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1917" w:rsidRPr="00471917" w:rsidRDefault="00471917" w:rsidP="00996DB6">
      <w:pPr>
        <w:jc w:val="center"/>
        <w:rPr>
          <w:color w:val="000000"/>
          <w:lang w:eastAsia="fr-FR"/>
        </w:rPr>
      </w:pPr>
      <w:r w:rsidRPr="00996DB6">
        <w:rPr>
          <w:b/>
          <w:bCs/>
          <w:noProof/>
          <w:color w:val="000000"/>
          <w:lang w:eastAsia="fr-FR"/>
          <w14:ligatures w14:val="standardContextual"/>
        </w:rPr>
        <mc:AlternateContent>
          <mc:Choice Requires="wpg">
            <w:drawing>
              <wp:anchor distT="0" distB="0" distL="114300" distR="114300" simplePos="0" relativeHeight="251702272" behindDoc="0" locked="0" layoutInCell="1" allowOverlap="1">
                <wp:simplePos x="0" y="0"/>
                <wp:positionH relativeFrom="column">
                  <wp:posOffset>-1841451</wp:posOffset>
                </wp:positionH>
                <wp:positionV relativeFrom="paragraph">
                  <wp:posOffset>-1117014</wp:posOffset>
                </wp:positionV>
                <wp:extent cx="3264538" cy="1878330"/>
                <wp:effectExtent l="0" t="254000" r="0" b="382270"/>
                <wp:wrapNone/>
                <wp:docPr id="1441893493" name="Groupe 4"/>
                <wp:cNvGraphicFramePr/>
                <a:graphic xmlns:a="http://schemas.openxmlformats.org/drawingml/2006/main">
                  <a:graphicData uri="http://schemas.microsoft.com/office/word/2010/wordprocessingGroup">
                    <wpg:wgp>
                      <wpg:cNvGrpSpPr/>
                      <wpg:grpSpPr>
                        <a:xfrm>
                          <a:off x="0" y="0"/>
                          <a:ext cx="3264538" cy="1878330"/>
                          <a:chOff x="0" y="0"/>
                          <a:chExt cx="3264538" cy="1878330"/>
                        </a:xfrm>
                      </wpg:grpSpPr>
                      <wps:wsp>
                        <wps:cNvPr id="755063935" name="Triangle rectangle 2"/>
                        <wps:cNvSpPr/>
                        <wps:spPr>
                          <a:xfrm rot="5400000">
                            <a:off x="606011" y="-81280"/>
                            <a:ext cx="1878330" cy="2040890"/>
                          </a:xfrm>
                          <a:prstGeom prst="rtTriangle">
                            <a:avLst/>
                          </a:prstGeom>
                          <a:solidFill>
                            <a:srgbClr val="D8DCD1"/>
                          </a:solidFill>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7176415" name="Rectangle 3"/>
                        <wps:cNvSpPr/>
                        <wps:spPr>
                          <a:xfrm rot="2887499">
                            <a:off x="1488539" y="-645917"/>
                            <a:ext cx="287459" cy="3264538"/>
                          </a:xfrm>
                          <a:prstGeom prst="rect">
                            <a:avLst/>
                          </a:prstGeom>
                          <a:gradFill flip="none" rotWithShape="1">
                            <a:gsLst>
                              <a:gs pos="0">
                                <a:srgbClr val="D4CEC2">
                                  <a:tint val="66000"/>
                                  <a:satMod val="160000"/>
                                </a:srgbClr>
                              </a:gs>
                              <a:gs pos="50000">
                                <a:srgbClr val="D4CEC2">
                                  <a:tint val="44500"/>
                                  <a:satMod val="160000"/>
                                </a:srgbClr>
                              </a:gs>
                              <a:gs pos="100000">
                                <a:srgbClr val="D4CEC2">
                                  <a:tint val="23500"/>
                                  <a:satMod val="160000"/>
                                </a:srgbClr>
                              </a:gs>
                            </a:gsLst>
                            <a:lin ang="5400000" scaled="1"/>
                            <a:tileRect/>
                          </a:gradFill>
                          <a:ln>
                            <a:noFill/>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FC1AC7A" id="Groupe 4" o:spid="_x0000_s1026" style="position:absolute;margin-left:-145pt;margin-top:-87.95pt;width:257.05pt;height:147.9pt;z-index:251702272" coordsize="32645,187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">
                <v:shapetype id="_x0000_t6" coordsize="21600,21600" o:spt="6" path="m,l,21600r21600,xe">
                  <v:stroke joinstyle="miter"/>
                  <v:path gradientshapeok="t" o:connecttype="custom" o:connectlocs="0,0;0,10800;0,21600;10800,21600;21600,21600;10800,10800" textboxrect="1800,12600,12600,19800"/>
                </v:shapetype>
                <v:shape id="Triangle rectangle 2" o:spid="_x0000_s1027" type="#_x0000_t6" style="position:absolute;left:6060;top:-813;width:18783;height:2040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" fillcolor="#d8dcd1" stroked="f">
                  <v:shadow on="t" color="black" opacity="41287f" offset="0,1.5pt"/>
                </v:shape>
                <v:rect id="Rectangle 3" o:spid="_x0000_s1028" style="position:absolute;left:14886;top:-6460;width:2874;height:32645;rotation:3153919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" fillcolor="#e7e1d6" stroked="f">
                  <v:fill color2="#f7f5f1" rotate="t" colors="0 #e7e1d6;.5 #efebe4;1 #f7f5f1" focus="100%" type="gradient"/>
                  <v:shadow on="t" color="black" opacity="41287f" offset="0,1.5pt"/>
                </v:rect>
              </v:group>
            </w:pict>
          </mc:Fallback>
        </mc:AlternateContent>
      </w:r>
      <w:r w:rsidRPr="00471917">
        <w:rPr>
          <w:b/>
          <w:bCs/>
          <w:color w:val="000000"/>
          <w:lang w:eastAsia="fr-FR"/>
        </w:rPr>
        <w:t>République Algérienne Démocratique et Populaire</w:t>
      </w:r>
    </w:p>
    <w:p w:rsidR="00471917" w:rsidRPr="00471917" w:rsidRDefault="00471917" w:rsidP="00471917">
      <w:pPr>
        <w:jc w:val="center"/>
        <w:rPr>
          <w:color w:val="000000"/>
          <w:lang w:eastAsia="fr-FR"/>
        </w:rPr>
      </w:pPr>
      <w:r w:rsidRPr="00471917">
        <w:rPr>
          <w:b/>
          <w:bCs/>
          <w:color w:val="000000"/>
          <w:lang w:eastAsia="fr-FR"/>
        </w:rPr>
        <w:t>Ministère de l'Enseignement Supérieur et de la Recherche Scientifique</w:t>
      </w:r>
    </w:p>
    <w:p w:rsidR="00471917" w:rsidRPr="00471917" w:rsidRDefault="00471917" w:rsidP="00471917">
      <w:pPr>
        <w:jc w:val="center"/>
        <w:rPr>
          <w:color w:val="000000"/>
          <w:lang w:eastAsia="fr-FR"/>
        </w:rPr>
      </w:pPr>
      <w:r w:rsidRPr="00471917">
        <w:rPr>
          <w:b/>
          <w:bCs/>
          <w:color w:val="000000"/>
          <w:lang w:eastAsia="fr-FR"/>
        </w:rPr>
        <w:t>Ecole Supérieure de Management Tlemcen</w:t>
      </w:r>
    </w:p>
    <w:p w:rsidR="007D3892" w:rsidRDefault="007D3892" w:rsidP="007D3892">
      <w:pPr>
        <w:jc w:val="center"/>
        <w:rPr>
          <w:b/>
          <w:bCs/>
          <w:color w:val="000000"/>
          <w:sz w:val="21"/>
          <w:szCs w:val="21"/>
          <w:lang w:eastAsia="fr-FR"/>
        </w:rPr>
      </w:pPr>
    </w:p>
    <w:p w:rsidR="007D3892" w:rsidRDefault="00996DB6" w:rsidP="007D3892">
      <w:pPr>
        <w:jc w:val="center"/>
        <w:rPr>
          <w:b/>
          <w:bCs/>
          <w:color w:val="000000"/>
          <w:sz w:val="21"/>
          <w:szCs w:val="21"/>
          <w:lang w:eastAsia="fr-FR"/>
        </w:rPr>
      </w:pPr>
      <w:r>
        <w:fldChar w:fldCharType="begin"/>
      </w:r>
      <w:r>
        <w:instrText xml:space="preserve"> INCLUDEPICTURE "/Users/misha/Library/Group Containers/UBF8T346G9.ms/WebArchiveCopyPasteTempFiles/com.microsoft.Word/9k=" \* MERGEFORMATINET </w:instrText>
      </w:r>
      <w:r>
        <w:fldChar w:fldCharType="separate"/>
      </w:r>
      <w:r>
        <w:rPr>
          <w:noProof/>
        </w:rPr>
        <w:drawing>
          <wp:inline distT="0" distB="0" distL="0" distR="0" wp14:anchorId="02C48528" wp14:editId="4834F5AB">
            <wp:extent cx="1402080" cy="1384740"/>
            <wp:effectExtent l="0" t="0" r="0" b="0"/>
            <wp:docPr id="1074426482" name="Image 1" descr="‪Département des Classes Préparatoires ESMT الصفحة الرسم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Kw9aILBAfjU7M8PqbG2-Qg_5" descr="‪Département des Classes Préparatoires ESMT الصفحة الرسمية‬‏"/>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4697" cy="1397201"/>
                    </a:xfrm>
                    <a:prstGeom prst="rect">
                      <a:avLst/>
                    </a:prstGeom>
                    <a:noFill/>
                    <a:ln>
                      <a:noFill/>
                    </a:ln>
                  </pic:spPr>
                </pic:pic>
              </a:graphicData>
            </a:graphic>
          </wp:inline>
        </w:drawing>
      </w:r>
      <w:r>
        <w:fldChar w:fldCharType="end"/>
      </w:r>
    </w:p>
    <w:p w:rsidR="007D3892" w:rsidRDefault="007D3892" w:rsidP="007D3892">
      <w:pPr>
        <w:jc w:val="center"/>
        <w:rPr>
          <w:b/>
          <w:bCs/>
          <w:color w:val="000000"/>
          <w:sz w:val="21"/>
          <w:szCs w:val="21"/>
          <w:lang w:eastAsia="fr-FR"/>
        </w:rPr>
      </w:pPr>
    </w:p>
    <w:p w:rsidR="007D3892" w:rsidRPr="007D3892" w:rsidRDefault="007D3892" w:rsidP="00735508">
      <w:pPr>
        <w:jc w:val="center"/>
        <w:rPr>
          <w:color w:val="000000"/>
          <w:sz w:val="72"/>
          <w:szCs w:val="72"/>
          <w:lang w:eastAsia="fr-FR"/>
        </w:rPr>
      </w:pPr>
      <w:r w:rsidRPr="007D3892">
        <w:rPr>
          <w:color w:val="000000"/>
          <w:sz w:val="72"/>
          <w:szCs w:val="72"/>
          <w:lang w:eastAsia="fr-FR"/>
        </w:rPr>
        <w:t>Mémoire</w:t>
      </w:r>
    </w:p>
    <w:p w:rsidR="007D3892" w:rsidRPr="00996DB6" w:rsidRDefault="007D3892" w:rsidP="00996DB6">
      <w:pPr>
        <w:spacing w:line="360" w:lineRule="auto"/>
        <w:jc w:val="center"/>
        <w:rPr>
          <w:color w:val="000000"/>
          <w:sz w:val="28"/>
          <w:szCs w:val="28"/>
          <w:lang w:eastAsia="fr-FR"/>
        </w:rPr>
      </w:pPr>
      <w:r w:rsidRPr="00996DB6">
        <w:rPr>
          <w:color w:val="000000"/>
          <w:sz w:val="28"/>
          <w:szCs w:val="28"/>
          <w:lang w:eastAsia="fr-FR"/>
        </w:rPr>
        <w:t>En vue de l’obtention du Diplôme de Master en science de gestion</w:t>
      </w:r>
    </w:p>
    <w:p w:rsidR="00735508" w:rsidRPr="00996DB6" w:rsidRDefault="007D3892" w:rsidP="00996DB6">
      <w:pPr>
        <w:spacing w:after="240" w:line="360" w:lineRule="auto"/>
        <w:jc w:val="center"/>
        <w:rPr>
          <w:color w:val="000000"/>
          <w:sz w:val="28"/>
          <w:szCs w:val="28"/>
          <w:lang w:val="fr-FR" w:eastAsia="fr-FR"/>
        </w:rPr>
      </w:pPr>
      <w:r w:rsidRPr="00996DB6">
        <w:rPr>
          <w:color w:val="000000"/>
          <w:sz w:val="28"/>
          <w:szCs w:val="28"/>
          <w:lang w:eastAsia="fr-FR"/>
        </w:rPr>
        <w:t xml:space="preserve">Spécialité : </w:t>
      </w:r>
      <w:r w:rsidRPr="00996DB6">
        <w:rPr>
          <w:b/>
          <w:bCs/>
          <w:color w:val="000000"/>
          <w:sz w:val="28"/>
          <w:szCs w:val="28"/>
          <w:lang w:eastAsia="fr-FR"/>
        </w:rPr>
        <w:t xml:space="preserve">Management et stratégies </w:t>
      </w:r>
      <w:r w:rsidR="00512E6C" w:rsidRPr="00996DB6">
        <w:rPr>
          <w:b/>
          <w:bCs/>
          <w:color w:val="000000"/>
          <w:sz w:val="28"/>
          <w:szCs w:val="28"/>
          <w:lang w:val="fr-FR" w:eastAsia="fr-FR"/>
        </w:rPr>
        <w:t xml:space="preserve">des </w:t>
      </w:r>
      <w:r w:rsidRPr="00996DB6">
        <w:rPr>
          <w:b/>
          <w:bCs/>
          <w:color w:val="000000"/>
          <w:sz w:val="28"/>
          <w:szCs w:val="28"/>
          <w:lang w:eastAsia="fr-FR"/>
        </w:rPr>
        <w:t>entreprise</w:t>
      </w:r>
      <w:r w:rsidR="00512E6C" w:rsidRPr="00996DB6">
        <w:rPr>
          <w:b/>
          <w:bCs/>
          <w:color w:val="000000"/>
          <w:sz w:val="28"/>
          <w:szCs w:val="28"/>
          <w:lang w:val="fr-FR" w:eastAsia="fr-FR"/>
        </w:rPr>
        <w:t>s</w:t>
      </w:r>
    </w:p>
    <w:p w:rsidR="00735508" w:rsidRPr="007C0828" w:rsidRDefault="00735508" w:rsidP="00735508">
      <w:pPr>
        <w:jc w:val="center"/>
        <w:rPr>
          <w:b/>
          <w:bCs/>
          <w:color w:val="000000"/>
          <w:sz w:val="32"/>
          <w:szCs w:val="32"/>
          <w:lang w:eastAsia="fr-FR"/>
        </w:rPr>
      </w:pPr>
      <w:r w:rsidRPr="007C0828">
        <w:rPr>
          <w:b/>
          <w:bCs/>
          <w:color w:val="000000"/>
          <w:sz w:val="32"/>
          <w:szCs w:val="32"/>
          <w:lang w:eastAsia="fr-FR"/>
        </w:rPr>
        <w:t>Thème :</w:t>
      </w:r>
    </w:p>
    <w:p w:rsidR="00735508" w:rsidRDefault="00996DB6" w:rsidP="00735508">
      <w:pPr>
        <w:jc w:val="center"/>
        <w:rPr>
          <w:b/>
          <w:bCs/>
          <w:color w:val="000000"/>
          <w:lang w:eastAsia="fr-FR"/>
        </w:rPr>
      </w:pPr>
      <w:r>
        <w:rPr>
          <w:b/>
          <w:bCs/>
          <w:noProof/>
          <w:color w:val="000000"/>
          <w:lang w:eastAsia="fr-FR"/>
          <w14:ligatures w14:val="standardContextual"/>
        </w:rPr>
        <mc:AlternateContent>
          <mc:Choice Requires="wps">
            <w:drawing>
              <wp:anchor distT="0" distB="0" distL="114300" distR="114300" simplePos="0" relativeHeight="251706368" behindDoc="0" locked="0" layoutInCell="1" allowOverlap="1">
                <wp:simplePos x="0" y="0"/>
                <wp:positionH relativeFrom="column">
                  <wp:posOffset>-178468</wp:posOffset>
                </wp:positionH>
                <wp:positionV relativeFrom="paragraph">
                  <wp:posOffset>163328</wp:posOffset>
                </wp:positionV>
                <wp:extent cx="6362700" cy="1225215"/>
                <wp:effectExtent l="38100" t="38100" r="38100" b="32385"/>
                <wp:wrapNone/>
                <wp:docPr id="1341683530" name="Rectangle : coins arrondis 6"/>
                <wp:cNvGraphicFramePr/>
                <a:graphic xmlns:a="http://schemas.openxmlformats.org/drawingml/2006/main">
                  <a:graphicData uri="http://schemas.microsoft.com/office/word/2010/wordprocessingShape">
                    <wps:wsp>
                      <wps:cNvSpPr/>
                      <wps:spPr>
                        <a:xfrm>
                          <a:off x="0" y="0"/>
                          <a:ext cx="6362700" cy="1225215"/>
                        </a:xfrm>
                        <a:prstGeom prst="roundRect">
                          <a:avLst/>
                        </a:prstGeom>
                        <a:solidFill>
                          <a:schemeClr val="bg1"/>
                        </a:solidFill>
                        <a:ln w="76200">
                          <a:solidFill>
                            <a:srgbClr val="D8DCD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96DB6" w:rsidRPr="00DF5664" w:rsidRDefault="007C0828" w:rsidP="00996DB6">
                            <w:pPr>
                              <w:jc w:val="center"/>
                              <w:rPr>
                                <w:sz w:val="22"/>
                                <w:szCs w:val="22"/>
                              </w:rPr>
                            </w:pPr>
                            <w:r w:rsidRPr="007C0828">
                              <w:rPr>
                                <w:rFonts w:asciiTheme="majorBidi" w:eastAsiaTheme="minorHAnsi" w:hAnsiTheme="majorBidi" w:cstheme="majorBidi"/>
                                <w:b/>
                                <w:bCs/>
                                <w:color w:val="000000"/>
                                <w:sz w:val="40"/>
                                <w:szCs w:val="40"/>
                                <w:lang w:val="fr-FR"/>
                                <w14:ligatures w14:val="standardContextual"/>
                              </w:rPr>
                              <w:t>L’impact de la digitalisation des processus de recrutement et de formation sur la performance des ressources humaines : cas des entreprises algériennes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 coins arrondis 6" o:spid="_x0000_s1026" style="position:absolute;left:0;text-align:left;margin-left:-14.05pt;margin-top:12.85pt;width:501pt;height:96.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" fillcolor="white [3212]" strokecolor="#d8dcd1" strokeweight="6pt">
                <v:stroke joinstyle="miter"/>
                <v:textbox>
                  <w:txbxContent>
                    <w:p w:rsidR="00996DB6" w:rsidRPr="00DF5664" w:rsidRDefault="007C0828" w:rsidP="00996DB6">
                      <w:pPr>
                        <w:jc w:val="center"/>
                        <w:rPr>
                          <w:sz w:val="22"/>
                          <w:szCs w:val="22"/>
                        </w:rPr>
                      </w:pPr>
                      <w:r w:rsidRPr="007C0828">
                        <w:rPr>
                          <w:rFonts w:asciiTheme="majorBidi" w:eastAsiaTheme="minorHAnsi" w:hAnsiTheme="majorBidi" w:cstheme="majorBidi"/>
                          <w:b/>
                          <w:bCs/>
                          <w:color w:val="000000"/>
                          <w:sz w:val="40"/>
                          <w:szCs w:val="40"/>
                          <w:lang w:val="fr-FR"/>
                          <w14:ligatures w14:val="standardContextual"/>
                        </w:rPr>
                        <w:t>L’impact de la digitalisation des processus de recrutement et de formation sur la performance des ressources humaines : cas des entreprises algériennes</w:t>
                      </w:r>
                    </w:p>
                  </w:txbxContent>
                </v:textbox>
              </v:roundrect>
            </w:pict>
          </mc:Fallback>
        </mc:AlternateContent>
      </w:r>
    </w:p>
    <w:p w:rsidR="006A71CF" w:rsidRDefault="006A71CF" w:rsidP="00B75385">
      <w:pPr>
        <w:pStyle w:val="p1"/>
        <w:jc w:val="center"/>
        <w:rPr>
          <w:b/>
          <w:bCs/>
          <w:lang w:val="fr-FR"/>
        </w:rPr>
      </w:pPr>
    </w:p>
    <w:p w:rsidR="00735508" w:rsidRPr="00735508" w:rsidRDefault="00735508" w:rsidP="007D3892">
      <w:pPr>
        <w:rPr>
          <w:b/>
          <w:bCs/>
          <w:color w:val="000000"/>
          <w:sz w:val="32"/>
          <w:szCs w:val="32"/>
          <w:lang w:eastAsia="fr-FR"/>
        </w:rPr>
      </w:pPr>
    </w:p>
    <w:p w:rsidR="00471917" w:rsidRDefault="00471917" w:rsidP="007D3892">
      <w:pPr>
        <w:rPr>
          <w:b/>
          <w:bCs/>
          <w:color w:val="000000"/>
          <w:sz w:val="32"/>
          <w:szCs w:val="32"/>
          <w:lang w:eastAsia="fr-FR"/>
        </w:rPr>
      </w:pPr>
    </w:p>
    <w:p w:rsidR="00471917" w:rsidRDefault="00471917" w:rsidP="007D3892">
      <w:pPr>
        <w:rPr>
          <w:b/>
          <w:bCs/>
          <w:color w:val="000000"/>
          <w:sz w:val="32"/>
          <w:szCs w:val="32"/>
          <w:lang w:eastAsia="fr-FR"/>
        </w:rPr>
      </w:pPr>
    </w:p>
    <w:p w:rsidR="00471917" w:rsidRDefault="00471917" w:rsidP="007D3892">
      <w:pPr>
        <w:rPr>
          <w:b/>
          <w:bCs/>
          <w:color w:val="000000"/>
          <w:sz w:val="32"/>
          <w:szCs w:val="32"/>
          <w:lang w:eastAsia="fr-FR"/>
        </w:rPr>
      </w:pPr>
    </w:p>
    <w:p w:rsidR="00DF5664" w:rsidRPr="00DF5664" w:rsidRDefault="00DF5664" w:rsidP="00DF5664">
      <w:pPr>
        <w:spacing w:line="360" w:lineRule="auto"/>
        <w:rPr>
          <w:b/>
          <w:bCs/>
          <w:color w:val="000000"/>
          <w:sz w:val="32"/>
          <w:szCs w:val="32"/>
          <w:lang w:eastAsia="fr-FR"/>
        </w:rPr>
      </w:pPr>
      <w:r w:rsidRPr="00DF5664">
        <w:rPr>
          <w:b/>
          <w:bCs/>
          <w:noProof/>
          <w:color w:val="000000"/>
          <w:sz w:val="32"/>
          <w:szCs w:val="32"/>
          <w:lang w:val="en-US" w:eastAsia="fr-FR"/>
          <w14:ligatures w14:val="standardContextual"/>
        </w:rPr>
        <mc:AlternateContent>
          <mc:Choice Requires="wps">
            <w:drawing>
              <wp:anchor distT="0" distB="0" distL="114300" distR="114300" simplePos="0" relativeHeight="251707392" behindDoc="0" locked="0" layoutInCell="1" allowOverlap="1">
                <wp:simplePos x="0" y="0"/>
                <wp:positionH relativeFrom="column">
                  <wp:posOffset>4023067</wp:posOffset>
                </wp:positionH>
                <wp:positionV relativeFrom="paragraph">
                  <wp:posOffset>292931</wp:posOffset>
                </wp:positionV>
                <wp:extent cx="2293034" cy="450166"/>
                <wp:effectExtent l="0" t="0" r="5715" b="0"/>
                <wp:wrapNone/>
                <wp:docPr id="1356529281" name="Rectangle 7"/>
                <wp:cNvGraphicFramePr/>
                <a:graphic xmlns:a="http://schemas.openxmlformats.org/drawingml/2006/main">
                  <a:graphicData uri="http://schemas.microsoft.com/office/word/2010/wordprocessingShape">
                    <wps:wsp>
                      <wps:cNvSpPr/>
                      <wps:spPr>
                        <a:xfrm>
                          <a:off x="0" y="0"/>
                          <a:ext cx="2293034" cy="45016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DF5664" w:rsidRPr="00996DB6" w:rsidRDefault="00DF5664" w:rsidP="00DF5664">
                            <w:pPr>
                              <w:spacing w:line="360" w:lineRule="auto"/>
                              <w:jc w:val="center"/>
                              <w:rPr>
                                <w:color w:val="000000"/>
                                <w:sz w:val="32"/>
                                <w:szCs w:val="32"/>
                                <w:lang w:val="en-US" w:eastAsia="fr-FR"/>
                              </w:rPr>
                            </w:pPr>
                            <w:r w:rsidRPr="00996DB6">
                              <w:rPr>
                                <w:b/>
                                <w:bCs/>
                                <w:color w:val="000000"/>
                                <w:sz w:val="32"/>
                                <w:szCs w:val="32"/>
                                <w:lang w:eastAsia="fr-FR"/>
                              </w:rPr>
                              <w:t xml:space="preserve">Soutenu le : </w:t>
                            </w:r>
                            <w:r w:rsidRPr="00DF5664">
                              <w:rPr>
                                <w:b/>
                                <w:bCs/>
                                <w:color w:val="000000"/>
                                <w:sz w:val="32"/>
                                <w:szCs w:val="32"/>
                                <w:lang w:val="en-US" w:eastAsia="fr-FR"/>
                              </w:rPr>
                              <w:t>19</w:t>
                            </w:r>
                            <w:r w:rsidRPr="00996DB6">
                              <w:rPr>
                                <w:b/>
                                <w:bCs/>
                                <w:color w:val="000000"/>
                                <w:sz w:val="32"/>
                                <w:szCs w:val="32"/>
                                <w:lang w:eastAsia="fr-FR"/>
                              </w:rPr>
                              <w:t>/06/202</w:t>
                            </w:r>
                            <w:r w:rsidRPr="00DF5664">
                              <w:rPr>
                                <w:b/>
                                <w:bCs/>
                                <w:color w:val="000000"/>
                                <w:sz w:val="32"/>
                                <w:szCs w:val="32"/>
                                <w:lang w:val="en-US" w:eastAsia="fr-FR"/>
                              </w:rPr>
                              <w:t>5</w:t>
                            </w:r>
                          </w:p>
                          <w:p w:rsidR="00DF5664" w:rsidRPr="00DF5664" w:rsidRDefault="00DF5664" w:rsidP="00DF56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7" style="position:absolute;margin-left:316.8pt;margin-top:23.05pt;width:180.55pt;height:35.4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" fillcolor="white [3212]" stroked="f" strokeweight="1pt">
                <v:textbox>
                  <w:txbxContent>
                    <w:p w:rsidR="00DF5664" w:rsidRPr="00996DB6" w:rsidRDefault="00DF5664" w:rsidP="00DF5664">
                      <w:pPr>
                        <w:spacing w:line="360" w:lineRule="auto"/>
                        <w:jc w:val="center"/>
                        <w:rPr>
                          <w:color w:val="000000"/>
                          <w:sz w:val="32"/>
                          <w:szCs w:val="32"/>
                          <w:lang w:val="en-US" w:eastAsia="fr-FR"/>
                        </w:rPr>
                      </w:pPr>
                      <w:r w:rsidRPr="00996DB6">
                        <w:rPr>
                          <w:b/>
                          <w:bCs/>
                          <w:color w:val="000000"/>
                          <w:sz w:val="32"/>
                          <w:szCs w:val="32"/>
                          <w:lang w:eastAsia="fr-FR"/>
                        </w:rPr>
                        <w:t xml:space="preserve">Soutenu le : </w:t>
                      </w:r>
                      <w:r w:rsidRPr="00DF5664">
                        <w:rPr>
                          <w:b/>
                          <w:bCs/>
                          <w:color w:val="000000"/>
                          <w:sz w:val="32"/>
                          <w:szCs w:val="32"/>
                          <w:lang w:val="en-US" w:eastAsia="fr-FR"/>
                        </w:rPr>
                        <w:t>19</w:t>
                      </w:r>
                      <w:r w:rsidRPr="00996DB6">
                        <w:rPr>
                          <w:b/>
                          <w:bCs/>
                          <w:color w:val="000000"/>
                          <w:sz w:val="32"/>
                          <w:szCs w:val="32"/>
                          <w:lang w:eastAsia="fr-FR"/>
                        </w:rPr>
                        <w:t>/06/202</w:t>
                      </w:r>
                      <w:r w:rsidRPr="00DF5664">
                        <w:rPr>
                          <w:b/>
                          <w:bCs/>
                          <w:color w:val="000000"/>
                          <w:sz w:val="32"/>
                          <w:szCs w:val="32"/>
                          <w:lang w:val="en-US" w:eastAsia="fr-FR"/>
                        </w:rPr>
                        <w:t>5</w:t>
                      </w:r>
                    </w:p>
                    <w:p w:rsidR="00DF5664" w:rsidRPr="00DF5664" w:rsidRDefault="00DF5664" w:rsidP="00DF5664">
                      <w:pPr>
                        <w:jc w:val="center"/>
                      </w:pPr>
                    </w:p>
                  </w:txbxContent>
                </v:textbox>
              </v:rect>
            </w:pict>
          </mc:Fallback>
        </mc:AlternateContent>
      </w:r>
      <w:r w:rsidR="00996DB6" w:rsidRPr="00996DB6">
        <w:rPr>
          <w:b/>
          <w:bCs/>
          <w:color w:val="000000"/>
          <w:sz w:val="32"/>
          <w:szCs w:val="32"/>
          <w:lang w:eastAsia="fr-FR"/>
        </w:rPr>
        <w:t xml:space="preserve">Présenté par : </w:t>
      </w:r>
    </w:p>
    <w:p w:rsidR="00DF5664" w:rsidRPr="00DF5664" w:rsidRDefault="00DF5664" w:rsidP="00DF5664">
      <w:pPr>
        <w:spacing w:line="360" w:lineRule="auto"/>
        <w:rPr>
          <w:b/>
          <w:bCs/>
          <w:color w:val="000000"/>
          <w:sz w:val="32"/>
          <w:szCs w:val="32"/>
          <w:lang w:eastAsia="fr-FR"/>
        </w:rPr>
      </w:pPr>
      <w:r w:rsidRPr="008A5941">
        <w:rPr>
          <w:b/>
          <w:bCs/>
          <w:color w:val="000000"/>
          <w:sz w:val="32"/>
          <w:szCs w:val="32"/>
          <w:lang w:val="fr-FR" w:eastAsia="fr-FR"/>
        </w:rPr>
        <w:t xml:space="preserve">  </w:t>
      </w:r>
      <w:r w:rsidR="00EE101E" w:rsidRPr="008A5941">
        <w:rPr>
          <w:b/>
          <w:bCs/>
          <w:color w:val="000000"/>
          <w:sz w:val="32"/>
          <w:szCs w:val="32"/>
          <w:lang w:val="fr-FR" w:eastAsia="fr-FR"/>
        </w:rPr>
        <w:t xml:space="preserve"> </w:t>
      </w:r>
      <w:r w:rsidR="00996DB6" w:rsidRPr="008A5941">
        <w:rPr>
          <w:b/>
          <w:bCs/>
          <w:color w:val="000000"/>
          <w:sz w:val="32"/>
          <w:szCs w:val="32"/>
          <w:lang w:val="fr-FR" w:eastAsia="fr-FR"/>
        </w:rPr>
        <w:t>BENYAKHOU Rania Manel</w:t>
      </w:r>
    </w:p>
    <w:p w:rsidR="00996DB6" w:rsidRPr="008A5941" w:rsidRDefault="00DF5664" w:rsidP="00DF5664">
      <w:pPr>
        <w:spacing w:line="360" w:lineRule="auto"/>
        <w:rPr>
          <w:b/>
          <w:bCs/>
          <w:color w:val="000000"/>
          <w:sz w:val="32"/>
          <w:szCs w:val="32"/>
          <w:lang w:val="fr-FR" w:eastAsia="fr-FR"/>
        </w:rPr>
      </w:pPr>
      <w:r w:rsidRPr="008A5941">
        <w:rPr>
          <w:b/>
          <w:bCs/>
          <w:color w:val="000000"/>
          <w:sz w:val="32"/>
          <w:szCs w:val="32"/>
          <w:lang w:val="fr-FR" w:eastAsia="fr-FR"/>
        </w:rPr>
        <w:t xml:space="preserve">   </w:t>
      </w:r>
      <w:r w:rsidR="00996DB6" w:rsidRPr="008A5941">
        <w:rPr>
          <w:b/>
          <w:bCs/>
          <w:color w:val="000000"/>
          <w:sz w:val="32"/>
          <w:szCs w:val="32"/>
          <w:lang w:val="fr-FR" w:eastAsia="fr-FR"/>
        </w:rPr>
        <w:t>LAHOUEL Meriem</w:t>
      </w:r>
    </w:p>
    <w:p w:rsidR="007D3892" w:rsidRPr="00DF5664" w:rsidRDefault="00DF5664" w:rsidP="00996DB6">
      <w:pPr>
        <w:spacing w:line="360" w:lineRule="auto"/>
        <w:jc w:val="center"/>
        <w:rPr>
          <w:b/>
          <w:bCs/>
          <w:color w:val="000000"/>
          <w:sz w:val="32"/>
          <w:szCs w:val="32"/>
          <w:lang w:eastAsia="fr-FR"/>
        </w:rPr>
      </w:pPr>
      <w:r>
        <w:rPr>
          <w:b/>
          <w:bCs/>
          <w:noProof/>
          <w:color w:val="000000"/>
          <w:sz w:val="21"/>
          <w:szCs w:val="21"/>
          <w:lang w:eastAsia="fr-FR"/>
          <w14:ligatures w14:val="standardContextual"/>
        </w:rPr>
        <mc:AlternateContent>
          <mc:Choice Requires="wpg">
            <w:drawing>
              <wp:anchor distT="0" distB="0" distL="114300" distR="114300" simplePos="0" relativeHeight="251704320" behindDoc="0" locked="0" layoutInCell="1" allowOverlap="1" wp14:anchorId="054F9C5A" wp14:editId="5A2DCF0F">
                <wp:simplePos x="0" y="0"/>
                <wp:positionH relativeFrom="column">
                  <wp:posOffset>4246734</wp:posOffset>
                </wp:positionH>
                <wp:positionV relativeFrom="paragraph">
                  <wp:posOffset>1764519</wp:posOffset>
                </wp:positionV>
                <wp:extent cx="3264538" cy="1878330"/>
                <wp:effectExtent l="0" t="342900" r="0" b="293370"/>
                <wp:wrapNone/>
                <wp:docPr id="1894979516" name="Groupe 4"/>
                <wp:cNvGraphicFramePr/>
                <a:graphic xmlns:a="http://schemas.openxmlformats.org/drawingml/2006/main">
                  <a:graphicData uri="http://schemas.microsoft.com/office/word/2010/wordprocessingGroup">
                    <wpg:wgp>
                      <wpg:cNvGrpSpPr/>
                      <wpg:grpSpPr>
                        <a:xfrm rot="10800000">
                          <a:off x="0" y="0"/>
                          <a:ext cx="3264538" cy="1878330"/>
                          <a:chOff x="0" y="0"/>
                          <a:chExt cx="3264538" cy="1878330"/>
                        </a:xfrm>
                      </wpg:grpSpPr>
                      <wps:wsp>
                        <wps:cNvPr id="1181162669" name="Triangle rectangle 2"/>
                        <wps:cNvSpPr/>
                        <wps:spPr>
                          <a:xfrm rot="5400000">
                            <a:off x="606011" y="-81280"/>
                            <a:ext cx="1878330" cy="2040890"/>
                          </a:xfrm>
                          <a:prstGeom prst="rtTriangle">
                            <a:avLst/>
                          </a:prstGeom>
                          <a:solidFill>
                            <a:srgbClr val="D8DCD1"/>
                          </a:solidFill>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8582034" name="Rectangle 3"/>
                        <wps:cNvSpPr/>
                        <wps:spPr>
                          <a:xfrm rot="2887499">
                            <a:off x="1488539" y="-645917"/>
                            <a:ext cx="287459" cy="3264538"/>
                          </a:xfrm>
                          <a:prstGeom prst="rect">
                            <a:avLst/>
                          </a:prstGeom>
                          <a:gradFill flip="none" rotWithShape="1">
                            <a:gsLst>
                              <a:gs pos="0">
                                <a:srgbClr val="D4CEC2">
                                  <a:tint val="66000"/>
                                  <a:satMod val="160000"/>
                                </a:srgbClr>
                              </a:gs>
                              <a:gs pos="50000">
                                <a:srgbClr val="D4CEC2">
                                  <a:tint val="44500"/>
                                  <a:satMod val="160000"/>
                                </a:srgbClr>
                              </a:gs>
                              <a:gs pos="100000">
                                <a:srgbClr val="D4CEC2">
                                  <a:tint val="23500"/>
                                  <a:satMod val="160000"/>
                                </a:srgbClr>
                              </a:gs>
                            </a:gsLst>
                            <a:path path="circle">
                              <a:fillToRect t="100000" r="100000"/>
                            </a:path>
                            <a:tileRect l="-100000" b="-100000"/>
                          </a:gradFill>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58A30CF" id="Groupe 4" o:spid="_x0000_s1026" style="position:absolute;margin-left:334.4pt;margin-top:138.95pt;width:257.05pt;height:147.9pt;rotation:180;z-index:251704320" coordsize="32645,187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">
                <v:shape id="Triangle rectangle 2" o:spid="_x0000_s1027" type="#_x0000_t6" style="position:absolute;left:6060;top:-813;width:18783;height:2040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" fillcolor="#d8dcd1" stroked="f">
                  <v:shadow on="t" color="black" opacity="41287f" offset="0,1.5pt"/>
                </v:shape>
                <v:rect id="Rectangle 3" o:spid="_x0000_s1028" style="position:absolute;left:14886;top:-6460;width:2874;height:32645;rotation:3153919fd;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" fillcolor="#e7e1d6" stroked="f">
                  <v:fill color2="#f7f5f1" rotate="t" focusposition=",1" focussize="" colors="0 #e7e1d6;.5 #efebe4;1 #f7f5f1" focus="100%" type="gradientRadial"/>
                  <v:shadow on="t" color="black" opacity="41287f" offset="0,1.5pt"/>
                </v:rect>
              </v:group>
            </w:pict>
          </mc:Fallback>
        </mc:AlternateContent>
      </w:r>
      <w:r w:rsidR="00996DB6" w:rsidRPr="00996DB6">
        <w:rPr>
          <w:b/>
          <w:bCs/>
          <w:color w:val="000000"/>
          <w:sz w:val="32"/>
          <w:szCs w:val="32"/>
          <w:lang w:eastAsia="fr-FR"/>
        </w:rPr>
        <w:t>Devant le jury composé de :</w:t>
      </w:r>
    </w:p>
    <w:tbl>
      <w:tblPr>
        <w:tblStyle w:val="Grilledutableau"/>
        <w:tblW w:w="9781" w:type="dxa"/>
        <w:tblInd w:w="-572" w:type="dxa"/>
        <w:tblLook w:val="04A0" w:firstRow="1" w:lastRow="0" w:firstColumn="1" w:lastColumn="0" w:noHBand="0" w:noVBand="1"/>
      </w:tblPr>
      <w:tblGrid>
        <w:gridCol w:w="5245"/>
        <w:gridCol w:w="1383"/>
        <w:gridCol w:w="3153"/>
      </w:tblGrid>
      <w:tr w:rsidR="00DF5664" w:rsidRPr="00DF5664" w:rsidTr="008A5941">
        <w:tc>
          <w:tcPr>
            <w:tcW w:w="5245" w:type="dxa"/>
          </w:tcPr>
          <w:p w:rsidR="00DF5664" w:rsidRPr="000538C0" w:rsidRDefault="00DF5664" w:rsidP="00DF5664">
            <w:pPr>
              <w:pStyle w:val="p1"/>
              <w:spacing w:after="240"/>
              <w:jc w:val="center"/>
              <w:rPr>
                <w:b/>
                <w:bCs/>
                <w:sz w:val="32"/>
                <w:szCs w:val="32"/>
                <w:lang w:val="fr-FR"/>
              </w:rPr>
            </w:pPr>
            <w:r w:rsidRPr="000538C0">
              <w:rPr>
                <w:b/>
                <w:bCs/>
                <w:sz w:val="32"/>
                <w:szCs w:val="32"/>
                <w:lang w:val="fr-FR"/>
              </w:rPr>
              <w:t>Nom et prénom</w:t>
            </w:r>
          </w:p>
        </w:tc>
        <w:tc>
          <w:tcPr>
            <w:tcW w:w="1383" w:type="dxa"/>
          </w:tcPr>
          <w:p w:rsidR="00DF5664" w:rsidRPr="000538C0" w:rsidRDefault="00DF5664" w:rsidP="00DF5664">
            <w:pPr>
              <w:pStyle w:val="p1"/>
              <w:spacing w:after="240"/>
              <w:jc w:val="center"/>
              <w:rPr>
                <w:b/>
                <w:bCs/>
                <w:sz w:val="32"/>
                <w:szCs w:val="32"/>
                <w:lang w:val="fr-FR"/>
              </w:rPr>
            </w:pPr>
            <w:r w:rsidRPr="000538C0">
              <w:rPr>
                <w:b/>
                <w:bCs/>
                <w:sz w:val="32"/>
                <w:szCs w:val="32"/>
                <w:lang w:val="fr-FR"/>
              </w:rPr>
              <w:t>Grade</w:t>
            </w:r>
          </w:p>
        </w:tc>
        <w:tc>
          <w:tcPr>
            <w:tcW w:w="3153" w:type="dxa"/>
          </w:tcPr>
          <w:p w:rsidR="00DF5664" w:rsidRPr="000538C0" w:rsidRDefault="00DF5664" w:rsidP="00DF5664">
            <w:pPr>
              <w:pStyle w:val="p1"/>
              <w:spacing w:after="240"/>
              <w:jc w:val="center"/>
              <w:rPr>
                <w:b/>
                <w:bCs/>
                <w:sz w:val="32"/>
                <w:szCs w:val="32"/>
                <w:lang w:val="fr-FR"/>
              </w:rPr>
            </w:pPr>
            <w:r w:rsidRPr="000538C0">
              <w:rPr>
                <w:b/>
                <w:bCs/>
                <w:sz w:val="32"/>
                <w:szCs w:val="32"/>
                <w:lang w:val="fr-FR"/>
              </w:rPr>
              <w:t>Qualité</w:t>
            </w:r>
          </w:p>
        </w:tc>
      </w:tr>
      <w:tr w:rsidR="00DF5664" w:rsidRPr="00DF5664" w:rsidTr="008A5941">
        <w:tc>
          <w:tcPr>
            <w:tcW w:w="5245" w:type="dxa"/>
          </w:tcPr>
          <w:p w:rsidR="00DF5664" w:rsidRPr="00DF5664" w:rsidRDefault="00DF5664" w:rsidP="00DF5664">
            <w:pPr>
              <w:pStyle w:val="p1"/>
              <w:spacing w:after="240"/>
              <w:rPr>
                <w:sz w:val="32"/>
                <w:szCs w:val="32"/>
                <w:lang w:val="fr-FR"/>
              </w:rPr>
            </w:pPr>
            <w:r>
              <w:rPr>
                <w:sz w:val="32"/>
                <w:szCs w:val="32"/>
                <w:lang w:val="fr-FR"/>
              </w:rPr>
              <w:t xml:space="preserve">1- Dr. </w:t>
            </w:r>
            <w:r w:rsidRPr="00DF5664">
              <w:rPr>
                <w:sz w:val="32"/>
                <w:szCs w:val="32"/>
                <w:lang w:val="fr-FR"/>
              </w:rPr>
              <w:t xml:space="preserve">BEZZAR </w:t>
            </w:r>
            <w:r w:rsidR="008A5941">
              <w:rPr>
                <w:sz w:val="32"/>
                <w:szCs w:val="32"/>
                <w:lang w:val="fr-FR"/>
              </w:rPr>
              <w:t xml:space="preserve">Mohammed </w:t>
            </w:r>
            <w:proofErr w:type="spellStart"/>
            <w:r w:rsidRPr="00DF5664">
              <w:rPr>
                <w:sz w:val="32"/>
                <w:szCs w:val="32"/>
                <w:lang w:val="fr-FR"/>
              </w:rPr>
              <w:t>So</w:t>
            </w:r>
            <w:r w:rsidR="007C0828">
              <w:rPr>
                <w:sz w:val="32"/>
                <w:szCs w:val="32"/>
                <w:lang w:val="fr-FR"/>
              </w:rPr>
              <w:t>u</w:t>
            </w:r>
            <w:r w:rsidRPr="00DF5664">
              <w:rPr>
                <w:sz w:val="32"/>
                <w:szCs w:val="32"/>
                <w:lang w:val="fr-FR"/>
              </w:rPr>
              <w:t>fi</w:t>
            </w:r>
            <w:r w:rsidR="007C0828">
              <w:rPr>
                <w:sz w:val="32"/>
                <w:szCs w:val="32"/>
                <w:lang w:val="fr-FR"/>
              </w:rPr>
              <w:t>e</w:t>
            </w:r>
            <w:r w:rsidRPr="00DF5664">
              <w:rPr>
                <w:sz w:val="32"/>
                <w:szCs w:val="32"/>
                <w:lang w:val="fr-FR"/>
              </w:rPr>
              <w:t>ne</w:t>
            </w:r>
            <w:proofErr w:type="spellEnd"/>
          </w:p>
        </w:tc>
        <w:tc>
          <w:tcPr>
            <w:tcW w:w="1383" w:type="dxa"/>
          </w:tcPr>
          <w:p w:rsidR="00DF5664" w:rsidRPr="00DF5664" w:rsidRDefault="00DF5664" w:rsidP="00DF5664">
            <w:pPr>
              <w:pStyle w:val="p1"/>
              <w:spacing w:after="240"/>
              <w:jc w:val="center"/>
              <w:rPr>
                <w:sz w:val="32"/>
                <w:szCs w:val="32"/>
                <w:lang w:val="fr-FR"/>
              </w:rPr>
            </w:pPr>
            <w:r w:rsidRPr="00DF5664">
              <w:rPr>
                <w:sz w:val="32"/>
                <w:szCs w:val="32"/>
                <w:lang w:val="fr-FR"/>
              </w:rPr>
              <w:t>MCA</w:t>
            </w:r>
          </w:p>
        </w:tc>
        <w:tc>
          <w:tcPr>
            <w:tcW w:w="3153" w:type="dxa"/>
          </w:tcPr>
          <w:p w:rsidR="00DF5664" w:rsidRPr="00DF5664" w:rsidRDefault="00DF5664" w:rsidP="00DF5664">
            <w:pPr>
              <w:pStyle w:val="p1"/>
              <w:spacing w:after="240"/>
              <w:jc w:val="center"/>
              <w:rPr>
                <w:sz w:val="32"/>
                <w:szCs w:val="32"/>
                <w:lang w:val="fr-FR"/>
              </w:rPr>
            </w:pPr>
            <w:r w:rsidRPr="00DF5664">
              <w:rPr>
                <w:sz w:val="32"/>
                <w:szCs w:val="32"/>
                <w:lang w:val="fr-FR"/>
              </w:rPr>
              <w:t>Président</w:t>
            </w:r>
          </w:p>
        </w:tc>
      </w:tr>
      <w:tr w:rsidR="00DF5664" w:rsidRPr="00DF5664" w:rsidTr="008A5941">
        <w:tc>
          <w:tcPr>
            <w:tcW w:w="5245" w:type="dxa"/>
          </w:tcPr>
          <w:p w:rsidR="00DF5664" w:rsidRPr="00DF5664" w:rsidRDefault="00DF5664" w:rsidP="00DF5664">
            <w:pPr>
              <w:pStyle w:val="p1"/>
              <w:spacing w:after="240"/>
              <w:rPr>
                <w:sz w:val="32"/>
                <w:szCs w:val="32"/>
              </w:rPr>
            </w:pPr>
            <w:r>
              <w:rPr>
                <w:sz w:val="32"/>
                <w:szCs w:val="32"/>
                <w:lang w:val="en-US"/>
              </w:rPr>
              <w:t xml:space="preserve">2- Dr. </w:t>
            </w:r>
            <w:r w:rsidRPr="00DF5664">
              <w:rPr>
                <w:sz w:val="32"/>
                <w:szCs w:val="32"/>
              </w:rPr>
              <w:t>IZNASNI Ali</w:t>
            </w:r>
            <w:r w:rsidRPr="00DF5664">
              <w:rPr>
                <w:rStyle w:val="apple-converted-space"/>
                <w:sz w:val="32"/>
                <w:szCs w:val="32"/>
              </w:rPr>
              <w:t> </w:t>
            </w:r>
          </w:p>
        </w:tc>
        <w:tc>
          <w:tcPr>
            <w:tcW w:w="1383" w:type="dxa"/>
          </w:tcPr>
          <w:p w:rsidR="00DF5664" w:rsidRPr="00DF5664" w:rsidRDefault="00DF5664" w:rsidP="00DF5664">
            <w:pPr>
              <w:pStyle w:val="p1"/>
              <w:spacing w:after="240"/>
              <w:jc w:val="center"/>
              <w:rPr>
                <w:sz w:val="32"/>
                <w:szCs w:val="32"/>
                <w:lang w:val="fr-FR"/>
              </w:rPr>
            </w:pPr>
            <w:r w:rsidRPr="00DF5664">
              <w:rPr>
                <w:sz w:val="32"/>
                <w:szCs w:val="32"/>
                <w:lang w:val="fr-FR"/>
              </w:rPr>
              <w:t>MCA</w:t>
            </w:r>
          </w:p>
        </w:tc>
        <w:tc>
          <w:tcPr>
            <w:tcW w:w="3153" w:type="dxa"/>
          </w:tcPr>
          <w:p w:rsidR="00DF5664" w:rsidRPr="00DF5664" w:rsidRDefault="00DF5664" w:rsidP="00DF5664">
            <w:pPr>
              <w:pStyle w:val="p1"/>
              <w:spacing w:after="240"/>
              <w:jc w:val="center"/>
              <w:rPr>
                <w:sz w:val="32"/>
                <w:szCs w:val="32"/>
                <w:lang w:val="fr-FR"/>
              </w:rPr>
            </w:pPr>
            <w:r w:rsidRPr="00DF5664">
              <w:rPr>
                <w:sz w:val="32"/>
                <w:szCs w:val="32"/>
                <w:lang w:val="fr-FR"/>
              </w:rPr>
              <w:t>Encadrant</w:t>
            </w:r>
          </w:p>
        </w:tc>
      </w:tr>
      <w:tr w:rsidR="00DF5664" w:rsidRPr="00DF5664" w:rsidTr="008A5941">
        <w:tc>
          <w:tcPr>
            <w:tcW w:w="5245" w:type="dxa"/>
          </w:tcPr>
          <w:p w:rsidR="00DF5664" w:rsidRPr="00DF5664" w:rsidRDefault="00DF5664" w:rsidP="00DF5664">
            <w:pPr>
              <w:pStyle w:val="p1"/>
              <w:spacing w:after="240"/>
              <w:rPr>
                <w:sz w:val="32"/>
                <w:szCs w:val="32"/>
              </w:rPr>
            </w:pPr>
            <w:r>
              <w:rPr>
                <w:sz w:val="32"/>
                <w:szCs w:val="32"/>
                <w:lang w:val="fr-FR"/>
              </w:rPr>
              <w:t xml:space="preserve">3- Dr. </w:t>
            </w:r>
            <w:r w:rsidRPr="00DF5664">
              <w:rPr>
                <w:sz w:val="32"/>
                <w:szCs w:val="32"/>
                <w:lang w:val="fr-FR"/>
              </w:rPr>
              <w:t xml:space="preserve">RAHALI </w:t>
            </w:r>
            <w:r w:rsidR="008A5941">
              <w:rPr>
                <w:sz w:val="32"/>
                <w:szCs w:val="32"/>
                <w:lang w:val="fr-FR"/>
              </w:rPr>
              <w:t xml:space="preserve">Amina </w:t>
            </w:r>
            <w:r w:rsidRPr="00DF5664">
              <w:rPr>
                <w:sz w:val="32"/>
                <w:szCs w:val="32"/>
                <w:lang w:val="fr-FR"/>
              </w:rPr>
              <w:t>Souad</w:t>
            </w:r>
          </w:p>
        </w:tc>
        <w:tc>
          <w:tcPr>
            <w:tcW w:w="1383" w:type="dxa"/>
          </w:tcPr>
          <w:p w:rsidR="00DF5664" w:rsidRPr="00DF5664" w:rsidRDefault="00DF5664" w:rsidP="00DF5664">
            <w:pPr>
              <w:pStyle w:val="p1"/>
              <w:spacing w:after="240"/>
              <w:jc w:val="center"/>
              <w:rPr>
                <w:sz w:val="32"/>
                <w:szCs w:val="32"/>
                <w:lang w:val="fr-FR"/>
              </w:rPr>
            </w:pPr>
            <w:r w:rsidRPr="00DF5664">
              <w:rPr>
                <w:sz w:val="32"/>
                <w:szCs w:val="32"/>
                <w:lang w:val="fr-FR"/>
              </w:rPr>
              <w:t>MCA</w:t>
            </w:r>
          </w:p>
        </w:tc>
        <w:tc>
          <w:tcPr>
            <w:tcW w:w="3153" w:type="dxa"/>
          </w:tcPr>
          <w:p w:rsidR="00DF5664" w:rsidRPr="00DF5664" w:rsidRDefault="00DF5664" w:rsidP="00DF5664">
            <w:pPr>
              <w:pStyle w:val="p1"/>
              <w:spacing w:after="240"/>
              <w:jc w:val="center"/>
              <w:rPr>
                <w:sz w:val="32"/>
                <w:szCs w:val="32"/>
                <w:lang w:val="fr-FR"/>
              </w:rPr>
            </w:pPr>
            <w:r w:rsidRPr="00DF5664">
              <w:rPr>
                <w:sz w:val="32"/>
                <w:szCs w:val="32"/>
                <w:lang w:val="fr-FR"/>
              </w:rPr>
              <w:t>Examinatrice</w:t>
            </w:r>
          </w:p>
        </w:tc>
      </w:tr>
    </w:tbl>
    <w:p w:rsidR="00DF5664" w:rsidRPr="00DF5664" w:rsidRDefault="00DF5664" w:rsidP="00DF5664">
      <w:pPr>
        <w:spacing w:before="240"/>
        <w:jc w:val="center"/>
        <w:rPr>
          <w:b/>
          <w:bCs/>
          <w:color w:val="000000"/>
          <w:sz w:val="32"/>
          <w:szCs w:val="32"/>
          <w:lang w:val="en-US" w:eastAsia="fr-FR"/>
        </w:rPr>
      </w:pPr>
      <w:r w:rsidRPr="00DF5664">
        <w:rPr>
          <w:b/>
          <w:bCs/>
          <w:color w:val="000000"/>
          <w:sz w:val="32"/>
          <w:szCs w:val="32"/>
          <w:lang w:eastAsia="fr-FR"/>
        </w:rPr>
        <w:t>Année universitaire : 202</w:t>
      </w:r>
      <w:r w:rsidRPr="00DF5664">
        <w:rPr>
          <w:b/>
          <w:bCs/>
          <w:color w:val="000000"/>
          <w:sz w:val="32"/>
          <w:szCs w:val="32"/>
          <w:lang w:val="en-US" w:eastAsia="fr-FR"/>
        </w:rPr>
        <w:t>4</w:t>
      </w:r>
      <w:r w:rsidRPr="00DF5664">
        <w:rPr>
          <w:b/>
          <w:bCs/>
          <w:color w:val="000000"/>
          <w:sz w:val="32"/>
          <w:szCs w:val="32"/>
          <w:lang w:eastAsia="fr-FR"/>
        </w:rPr>
        <w:t>/202</w:t>
      </w:r>
      <w:r w:rsidRPr="00DF5664">
        <w:rPr>
          <w:b/>
          <w:bCs/>
          <w:color w:val="000000"/>
          <w:sz w:val="32"/>
          <w:szCs w:val="32"/>
          <w:lang w:val="en-US" w:eastAsia="fr-FR"/>
        </w:rPr>
        <w:t>5</w:t>
      </w:r>
    </w:p>
    <w:p w:rsidR="00B92249" w:rsidRPr="00B92249" w:rsidRDefault="002526AB" w:rsidP="000538C0">
      <w:pPr>
        <w:pStyle w:val="p1"/>
        <w:jc w:val="center"/>
        <w:rPr>
          <w:sz w:val="36"/>
          <w:szCs w:val="36"/>
          <w:lang w:eastAsia="fr-FR"/>
        </w:rPr>
      </w:pPr>
      <w:r w:rsidRPr="00B92249">
        <w:rPr>
          <w:b/>
          <w:bCs/>
          <w:sz w:val="36"/>
          <w:szCs w:val="36"/>
          <w:lang w:val="fr-FR"/>
        </w:rPr>
        <w:lastRenderedPageBreak/>
        <w:t>Remerciements</w:t>
      </w:r>
    </w:p>
    <w:p w:rsidR="00471917" w:rsidRPr="00C04CA4" w:rsidRDefault="00471917" w:rsidP="00471917">
      <w:pPr>
        <w:spacing w:beforeAutospacing="1" w:afterAutospacing="1" w:line="360" w:lineRule="auto"/>
        <w:jc w:val="center"/>
      </w:pPr>
      <w:r w:rsidRPr="00C04CA4">
        <w:rPr>
          <w:rtl/>
        </w:rPr>
        <w:t xml:space="preserve">قال الله </w:t>
      </w:r>
      <w:proofErr w:type="gramStart"/>
      <w:r w:rsidRPr="00C04CA4">
        <w:rPr>
          <w:rtl/>
        </w:rPr>
        <w:t>تعالى</w:t>
      </w:r>
      <w:r>
        <w:rPr>
          <w:rFonts w:hint="cs"/>
          <w:rtl/>
        </w:rPr>
        <w:t xml:space="preserve"> :</w:t>
      </w:r>
      <w:proofErr w:type="gramEnd"/>
      <w:r w:rsidRPr="00C04CA4">
        <w:t xml:space="preserve"> </w:t>
      </w:r>
      <w:r w:rsidRPr="00C04CA4">
        <w:br/>
      </w:r>
      <w:r w:rsidRPr="00C04CA4">
        <w:rPr>
          <w:b/>
          <w:bCs/>
        </w:rPr>
        <w:t>{</w:t>
      </w:r>
      <w:r w:rsidRPr="00C04CA4">
        <w:rPr>
          <w:b/>
          <w:bCs/>
          <w:rtl/>
        </w:rPr>
        <w:t>وَمَا تَوْفِيقِي إِلَّا بِاللَّهِ ۚ عَلَيْهِ تَوَكَّلْتُ وَإِلَيْهِ أُنِيبُ</w:t>
      </w:r>
      <w:r w:rsidRPr="00C04CA4">
        <w:rPr>
          <w:b/>
          <w:bCs/>
        </w:rPr>
        <w:t>}</w:t>
      </w:r>
      <w:r w:rsidRPr="00C04CA4">
        <w:br/>
      </w:r>
      <w:r w:rsidRPr="00C04CA4">
        <w:rPr>
          <w:i/>
          <w:iCs/>
        </w:rPr>
        <w:t>(</w:t>
      </w:r>
      <w:r w:rsidRPr="00C04CA4">
        <w:rPr>
          <w:i/>
          <w:iCs/>
          <w:rtl/>
        </w:rPr>
        <w:t>سورة هود – الآية 88</w:t>
      </w:r>
      <w:r w:rsidR="000538C0">
        <w:rPr>
          <w:i/>
          <w:iCs/>
          <w:lang w:val="en-US"/>
        </w:rPr>
        <w:t xml:space="preserve"> </w:t>
      </w:r>
      <w:r w:rsidRPr="00C04CA4">
        <w:rPr>
          <w:i/>
          <w:iCs/>
        </w:rPr>
        <w:t>)</w:t>
      </w:r>
    </w:p>
    <w:p w:rsidR="00471917" w:rsidRPr="00C04CA4" w:rsidRDefault="00471917" w:rsidP="00471917">
      <w:pPr>
        <w:spacing w:before="100" w:beforeAutospacing="1" w:after="100" w:afterAutospacing="1" w:line="360" w:lineRule="auto"/>
        <w:jc w:val="both"/>
      </w:pPr>
      <w:r w:rsidRPr="00C04CA4">
        <w:t>Rédiger ce mémoire a constitué une étape importante de notre parcours universitaire, marquée par des efforts constants, de nombreux défis et des apprentissages significatifs. Sa réalisation n’aurait pas été possible sans le soutien et l’aide précieuse de plusieurs personnes à qui nous souhaitons exprimer notre profonde gratitude.</w:t>
      </w:r>
    </w:p>
    <w:p w:rsidR="00471917" w:rsidRPr="00C04CA4" w:rsidRDefault="00471917" w:rsidP="00471917">
      <w:pPr>
        <w:spacing w:before="100" w:beforeAutospacing="1" w:after="100" w:afterAutospacing="1" w:line="360" w:lineRule="auto"/>
        <w:jc w:val="both"/>
      </w:pPr>
      <w:r w:rsidRPr="00C04CA4">
        <w:t xml:space="preserve">Avant tout, nous remercions </w:t>
      </w:r>
      <w:r w:rsidRPr="00C04CA4">
        <w:rPr>
          <w:b/>
          <w:bCs/>
        </w:rPr>
        <w:t>Allah</w:t>
      </w:r>
      <w:r w:rsidRPr="00C04CA4">
        <w:t>, Le Tout-Puissant, de nous avoir accordé la force, la patience et la persévérance nécessaires pour mener à bien ce travail. C’est avec Sa bénédiction que nous avons pu surmonter les difficultés et atteindre nos objectifs.</w:t>
      </w:r>
    </w:p>
    <w:p w:rsidR="00471917" w:rsidRPr="00C04CA4" w:rsidRDefault="00471917" w:rsidP="00471917">
      <w:pPr>
        <w:spacing w:before="100" w:beforeAutospacing="1" w:after="100" w:afterAutospacing="1" w:line="360" w:lineRule="auto"/>
        <w:jc w:val="both"/>
      </w:pPr>
      <w:r w:rsidRPr="00C04CA4">
        <w:t xml:space="preserve">Nous tenons à adresser nos sincères remerciements à </w:t>
      </w:r>
      <w:r w:rsidRPr="00C04CA4">
        <w:rPr>
          <w:b/>
          <w:bCs/>
        </w:rPr>
        <w:t>Monsieur</w:t>
      </w:r>
      <w:r>
        <w:rPr>
          <w:b/>
          <w:bCs/>
          <w:lang w:val="fr-FR"/>
        </w:rPr>
        <w:t xml:space="preserve"> IZNASNI</w:t>
      </w:r>
      <w:r w:rsidR="00CE5FDA">
        <w:rPr>
          <w:b/>
          <w:bCs/>
          <w:lang w:val="fr-FR"/>
        </w:rPr>
        <w:t xml:space="preserve"> Ali</w:t>
      </w:r>
      <w:r w:rsidRPr="00C04CA4">
        <w:t>, notre encadrant, pour ses conseils judicieux, sa disponibilité, son accompagnement constant et la qualité de son encadrement tout au long de ce travail. Sa rigueur et son implication ont été d’un grand soutien.</w:t>
      </w:r>
    </w:p>
    <w:p w:rsidR="00471917" w:rsidRPr="00C04CA4" w:rsidRDefault="00471917" w:rsidP="00471917">
      <w:pPr>
        <w:spacing w:before="100" w:beforeAutospacing="1" w:after="100" w:afterAutospacing="1" w:line="360" w:lineRule="auto"/>
        <w:jc w:val="both"/>
      </w:pPr>
      <w:r w:rsidRPr="00C04CA4">
        <w:t xml:space="preserve">Nos remerciements s’adressent également à </w:t>
      </w:r>
      <w:r>
        <w:rPr>
          <w:b/>
          <w:bCs/>
          <w:lang w:val="fr-FR"/>
        </w:rPr>
        <w:t>Monsieur</w:t>
      </w:r>
      <w:r w:rsidR="00CE5FDA">
        <w:rPr>
          <w:b/>
          <w:bCs/>
          <w:lang w:val="fr-FR"/>
        </w:rPr>
        <w:t xml:space="preserve"> </w:t>
      </w:r>
      <w:r>
        <w:rPr>
          <w:b/>
          <w:bCs/>
          <w:lang w:val="fr-FR"/>
        </w:rPr>
        <w:t>BEZZAR</w:t>
      </w:r>
      <w:r w:rsidR="00CE5FDA">
        <w:rPr>
          <w:b/>
          <w:bCs/>
          <w:lang w:val="fr-FR"/>
        </w:rPr>
        <w:t xml:space="preserve"> </w:t>
      </w:r>
      <w:r w:rsidR="008A5941">
        <w:rPr>
          <w:b/>
          <w:bCs/>
          <w:lang w:val="fr-FR"/>
        </w:rPr>
        <w:t xml:space="preserve">Mohammed </w:t>
      </w:r>
      <w:proofErr w:type="spellStart"/>
      <w:r w:rsidR="00CE5FDA">
        <w:rPr>
          <w:b/>
          <w:bCs/>
          <w:lang w:val="fr-FR"/>
        </w:rPr>
        <w:t>So</w:t>
      </w:r>
      <w:r w:rsidR="007C0828">
        <w:rPr>
          <w:b/>
          <w:bCs/>
          <w:lang w:val="fr-FR"/>
        </w:rPr>
        <w:t>u</w:t>
      </w:r>
      <w:r w:rsidR="00CE5FDA">
        <w:rPr>
          <w:b/>
          <w:bCs/>
          <w:lang w:val="fr-FR"/>
        </w:rPr>
        <w:t>fi</w:t>
      </w:r>
      <w:r w:rsidR="007C0828">
        <w:rPr>
          <w:b/>
          <w:bCs/>
          <w:lang w:val="fr-FR"/>
        </w:rPr>
        <w:t>e</w:t>
      </w:r>
      <w:r w:rsidR="00CE5FDA">
        <w:rPr>
          <w:b/>
          <w:bCs/>
          <w:lang w:val="fr-FR"/>
        </w:rPr>
        <w:t>ne</w:t>
      </w:r>
      <w:proofErr w:type="spellEnd"/>
      <w:r w:rsidR="008A5941">
        <w:rPr>
          <w:b/>
          <w:bCs/>
          <w:lang w:val="fr-FR"/>
        </w:rPr>
        <w:t xml:space="preserve"> </w:t>
      </w:r>
      <w:r>
        <w:rPr>
          <w:b/>
          <w:bCs/>
          <w:lang w:val="fr-FR"/>
        </w:rPr>
        <w:t>et Madame RAHALI</w:t>
      </w:r>
      <w:r w:rsidR="007C0828">
        <w:rPr>
          <w:b/>
          <w:bCs/>
          <w:lang w:val="fr-FR"/>
        </w:rPr>
        <w:t xml:space="preserve"> </w:t>
      </w:r>
      <w:r w:rsidR="008A5941">
        <w:rPr>
          <w:b/>
          <w:bCs/>
          <w:lang w:val="fr-FR"/>
        </w:rPr>
        <w:t xml:space="preserve">Amina </w:t>
      </w:r>
      <w:r w:rsidR="00CE5FDA">
        <w:rPr>
          <w:b/>
          <w:bCs/>
          <w:lang w:val="fr-FR"/>
        </w:rPr>
        <w:t>Souad</w:t>
      </w:r>
      <w:r w:rsidRPr="00C04CA4">
        <w:t>, pour avoir accepté d’évaluer ce travail et pour leurs remarques enrichissantes qui ont contribué à l’amélioration de notre mémoire.</w:t>
      </w:r>
    </w:p>
    <w:p w:rsidR="00471917" w:rsidRPr="00C04CA4" w:rsidRDefault="00471917" w:rsidP="00471917">
      <w:pPr>
        <w:spacing w:before="100" w:beforeAutospacing="1" w:after="100" w:afterAutospacing="1" w:line="360" w:lineRule="auto"/>
        <w:jc w:val="both"/>
      </w:pPr>
      <w:r w:rsidRPr="00C04CA4">
        <w:t xml:space="preserve">Nous souhaitons également exprimer notre reconnaissance à </w:t>
      </w:r>
      <w:r w:rsidRPr="00C04CA4">
        <w:rPr>
          <w:b/>
          <w:bCs/>
        </w:rPr>
        <w:t xml:space="preserve">l’ensemble des enseignants et du personnel administratif de </w:t>
      </w:r>
      <w:r>
        <w:rPr>
          <w:b/>
          <w:bCs/>
          <w:lang w:val="fr-FR"/>
        </w:rPr>
        <w:t>l’École Supérieure de Management</w:t>
      </w:r>
      <w:r w:rsidRPr="00C04CA4">
        <w:t>, pour la qualité de l’enseignement dispensé, leur engagement et leur dévouement durant toutes nos années d’études.</w:t>
      </w:r>
    </w:p>
    <w:p w:rsidR="00471917" w:rsidRPr="00C04CA4" w:rsidRDefault="00471917" w:rsidP="00471917">
      <w:pPr>
        <w:spacing w:before="100" w:beforeAutospacing="1" w:after="100" w:afterAutospacing="1" w:line="360" w:lineRule="auto"/>
        <w:jc w:val="both"/>
      </w:pPr>
      <w:r w:rsidRPr="00C04CA4">
        <w:t xml:space="preserve">Nous n’oublions pas </w:t>
      </w:r>
      <w:r w:rsidRPr="00C04CA4">
        <w:rPr>
          <w:b/>
          <w:bCs/>
        </w:rPr>
        <w:t>nos familles</w:t>
      </w:r>
      <w:r w:rsidRPr="00C04CA4">
        <w:t>, en particulier nos parents, pour leur soutien inconditionnel, leurs sacrifices et leur confiance en nous. Leur amour et leur patience ont été une source essentielle de motivation et de courage.</w:t>
      </w:r>
    </w:p>
    <w:p w:rsidR="00BB2FB1" w:rsidRPr="00471917" w:rsidRDefault="00471917" w:rsidP="00471917">
      <w:pPr>
        <w:spacing w:before="100" w:beforeAutospacing="1" w:after="100" w:afterAutospacing="1" w:line="360" w:lineRule="auto"/>
        <w:jc w:val="both"/>
      </w:pPr>
      <w:r w:rsidRPr="00C04CA4">
        <w:t>Enfin, nous remercions toutes les personnes qui, de près ou de loin, ont participé à la réalisation de ce mémoire. À chacun d’entre vous, nous adressons nos remerciements les plus sincères.</w:t>
      </w:r>
    </w:p>
    <w:p w:rsidR="00BB2FB1" w:rsidRPr="00BB2FB1" w:rsidRDefault="00BB2FB1" w:rsidP="0049206A">
      <w:pPr>
        <w:pStyle w:val="p1"/>
        <w:spacing w:after="240" w:line="276" w:lineRule="auto"/>
        <w:jc w:val="center"/>
        <w:rPr>
          <w:b/>
          <w:bCs/>
          <w:sz w:val="36"/>
          <w:szCs w:val="36"/>
          <w:lang w:val="fr-FR"/>
        </w:rPr>
      </w:pPr>
      <w:r w:rsidRPr="00BB2FB1">
        <w:rPr>
          <w:b/>
          <w:bCs/>
          <w:sz w:val="36"/>
          <w:szCs w:val="36"/>
          <w:lang w:val="fr-FR"/>
        </w:rPr>
        <w:lastRenderedPageBreak/>
        <w:t>Dédicace</w:t>
      </w:r>
    </w:p>
    <w:p w:rsidR="00F263CC" w:rsidRPr="00596FDD" w:rsidRDefault="008A5941" w:rsidP="008A5941">
      <w:pPr>
        <w:spacing w:after="240" w:line="276" w:lineRule="auto"/>
        <w:jc w:val="both"/>
      </w:pPr>
      <w:r w:rsidRPr="008A5941">
        <w:t>Je dédie ce mémoire, avec une profonde gratitude, à tous ceux qui m'ont soutenue de près ou de loin dans ce parcours. Ces mots expriment ma sincère reconnaissance.</w:t>
      </w:r>
    </w:p>
    <w:p w:rsidR="00F263CC" w:rsidRDefault="00F263CC" w:rsidP="00F263CC">
      <w:pPr>
        <w:spacing w:line="276" w:lineRule="auto"/>
        <w:jc w:val="both"/>
      </w:pPr>
      <w:r w:rsidRPr="00596FDD">
        <w:t>À mes parents,</w:t>
      </w:r>
    </w:p>
    <w:p w:rsidR="00F263CC" w:rsidRPr="00596FDD" w:rsidRDefault="00F263CC" w:rsidP="00F263CC">
      <w:pPr>
        <w:spacing w:line="276" w:lineRule="auto"/>
        <w:jc w:val="both"/>
      </w:pPr>
      <w:r w:rsidRPr="00F263CC">
        <w:t>Papa</w:t>
      </w:r>
      <w:r w:rsidRPr="00596FDD">
        <w:t xml:space="preserve"> et </w:t>
      </w:r>
      <w:r w:rsidRPr="00F263CC">
        <w:t>Maman</w:t>
      </w:r>
      <w:r w:rsidRPr="00596FDD">
        <w:t>, piliers de ma vie, sources inépuisables d’amour, de sagesse et de courage.</w:t>
      </w:r>
    </w:p>
    <w:p w:rsidR="00811298" w:rsidRPr="00596FDD" w:rsidRDefault="00F263CC" w:rsidP="00F263CC">
      <w:pPr>
        <w:spacing w:after="240" w:line="276" w:lineRule="auto"/>
        <w:jc w:val="both"/>
      </w:pPr>
      <w:r w:rsidRPr="00596FDD">
        <w:t>Merci pour votre amour inconditionnel, votre patience infinie, vos sacrifices silencieux et votre soutien constant.</w:t>
      </w:r>
      <w:r w:rsidRPr="008A5941">
        <w:rPr>
          <w:lang w:val="fr-FR"/>
        </w:rPr>
        <w:t xml:space="preserve"> </w:t>
      </w:r>
      <w:r w:rsidRPr="00596FDD">
        <w:t>Vos prières, vos encouragements et votre foi en moi m’ont portée bien au-delà de mes propres doutes. Ce mémoire est aussi le vôtre.</w:t>
      </w:r>
    </w:p>
    <w:p w:rsidR="00811298" w:rsidRPr="009B6154" w:rsidRDefault="00811298" w:rsidP="00F263CC">
      <w:pPr>
        <w:spacing w:line="276" w:lineRule="auto"/>
        <w:jc w:val="both"/>
      </w:pPr>
      <w:r w:rsidRPr="00596FDD">
        <w:t xml:space="preserve">À ma sœur adorée, </w:t>
      </w:r>
    </w:p>
    <w:p w:rsidR="00811298" w:rsidRPr="00596FDD" w:rsidRDefault="00811298" w:rsidP="00F263CC">
      <w:pPr>
        <w:spacing w:after="240" w:line="276" w:lineRule="auto"/>
        <w:jc w:val="both"/>
      </w:pPr>
      <w:r w:rsidRPr="00F263CC">
        <w:t>Fatima Zohra</w:t>
      </w:r>
      <w:r w:rsidRPr="00596FDD">
        <w:t>,</w:t>
      </w:r>
      <w:r>
        <w:rPr>
          <w:b/>
          <w:bCs/>
          <w:lang w:val="fr-FR"/>
        </w:rPr>
        <w:t xml:space="preserve"> </w:t>
      </w:r>
      <w:r>
        <w:rPr>
          <w:lang w:val="fr-FR"/>
        </w:rPr>
        <w:t>t</w:t>
      </w:r>
      <w:r w:rsidRPr="00596FDD">
        <w:t>a douceur, ton écoute et ta présence réconfortante ont été d’un immense soutien. Merci d’avoir toujours été là, avec ton cœur grand ouvert et ton sourire rassurant.</w:t>
      </w:r>
    </w:p>
    <w:p w:rsidR="00811298" w:rsidRPr="009B6154" w:rsidRDefault="00811298" w:rsidP="00F263CC">
      <w:pPr>
        <w:spacing w:line="276" w:lineRule="auto"/>
        <w:jc w:val="both"/>
      </w:pPr>
      <w:r w:rsidRPr="00596FDD">
        <w:t xml:space="preserve">À mes frères, </w:t>
      </w:r>
    </w:p>
    <w:p w:rsidR="00811298" w:rsidRPr="00596FDD" w:rsidRDefault="00811298" w:rsidP="00F263CC">
      <w:pPr>
        <w:spacing w:after="240" w:line="276" w:lineRule="auto"/>
        <w:jc w:val="both"/>
      </w:pPr>
      <w:r w:rsidRPr="00F263CC">
        <w:t>Zakaria</w:t>
      </w:r>
      <w:r w:rsidRPr="00596FDD">
        <w:t>,</w:t>
      </w:r>
      <w:r w:rsidRPr="00596FDD">
        <w:rPr>
          <w:b/>
          <w:bCs/>
        </w:rPr>
        <w:t xml:space="preserve"> </w:t>
      </w:r>
      <w:r w:rsidRPr="00F263CC">
        <w:t>Boudjemaa</w:t>
      </w:r>
      <w:r w:rsidRPr="00596FDD">
        <w:t>,</w:t>
      </w:r>
      <w:r w:rsidRPr="00596FDD">
        <w:rPr>
          <w:b/>
          <w:bCs/>
        </w:rPr>
        <w:t xml:space="preserve"> </w:t>
      </w:r>
      <w:r w:rsidRPr="00F263CC">
        <w:t>Abdelhafid et Sohaib</w:t>
      </w:r>
      <w:r w:rsidRPr="00596FDD">
        <w:t>,</w:t>
      </w:r>
      <w:r>
        <w:rPr>
          <w:lang w:val="fr-FR"/>
        </w:rPr>
        <w:t xml:space="preserve"> c</w:t>
      </w:r>
      <w:r w:rsidRPr="00596FDD">
        <w:t>hacun à votre manière, vous m’avez inspirée, encouragée, fait rire et relevée. Merci pour vos conseils, vos mots sincères, et pour avoir toujours cru en moi.</w:t>
      </w:r>
    </w:p>
    <w:p w:rsidR="00811298" w:rsidRPr="009B6154" w:rsidRDefault="00811298" w:rsidP="00F263CC">
      <w:pPr>
        <w:spacing w:line="276" w:lineRule="auto"/>
        <w:jc w:val="both"/>
      </w:pPr>
      <w:r w:rsidRPr="00596FDD">
        <w:t xml:space="preserve">À mes chères belles-sœurs, </w:t>
      </w:r>
    </w:p>
    <w:p w:rsidR="00F263CC" w:rsidRPr="00596FDD" w:rsidRDefault="00811298" w:rsidP="0049206A">
      <w:pPr>
        <w:spacing w:after="240" w:line="276" w:lineRule="auto"/>
        <w:jc w:val="both"/>
      </w:pPr>
      <w:r w:rsidRPr="00F263CC">
        <w:t>Radia</w:t>
      </w:r>
      <w:r w:rsidRPr="00596FDD">
        <w:rPr>
          <w:b/>
          <w:bCs/>
        </w:rPr>
        <w:t xml:space="preserve"> </w:t>
      </w:r>
      <w:r w:rsidRPr="00596FDD">
        <w:t>et</w:t>
      </w:r>
      <w:r w:rsidRPr="00596FDD">
        <w:rPr>
          <w:b/>
          <w:bCs/>
        </w:rPr>
        <w:t xml:space="preserve"> </w:t>
      </w:r>
      <w:r w:rsidRPr="00F263CC">
        <w:t>Ahlem</w:t>
      </w:r>
      <w:r w:rsidRPr="00596FDD">
        <w:t>,</w:t>
      </w:r>
      <w:r>
        <w:rPr>
          <w:lang w:val="fr-FR"/>
        </w:rPr>
        <w:t xml:space="preserve"> m</w:t>
      </w:r>
      <w:r w:rsidRPr="00596FDD">
        <w:t>erci pour votre gentillesse, votre générosité et pour avoir enrichi notre famille de votre belle énergie.</w:t>
      </w:r>
    </w:p>
    <w:p w:rsidR="00F263CC" w:rsidRDefault="00811298" w:rsidP="00F263CC">
      <w:pPr>
        <w:spacing w:line="276" w:lineRule="auto"/>
        <w:jc w:val="both"/>
        <w:rPr>
          <w:lang w:val="fr-FR"/>
        </w:rPr>
      </w:pPr>
      <w:r w:rsidRPr="00596FDD">
        <w:t>À mes précieux petits trésors, mes adorables neveux et nièces</w:t>
      </w:r>
      <w:r w:rsidRPr="009B6154">
        <w:rPr>
          <w:lang w:val="fr-FR"/>
        </w:rPr>
        <w:t>,</w:t>
      </w:r>
    </w:p>
    <w:p w:rsidR="00F263CC" w:rsidRDefault="00F263CC" w:rsidP="00F263CC">
      <w:pPr>
        <w:spacing w:line="276" w:lineRule="auto"/>
        <w:jc w:val="both"/>
      </w:pPr>
      <w:r w:rsidRPr="00F263CC">
        <w:t>Racha Israa</w:t>
      </w:r>
      <w:r w:rsidRPr="00596FDD">
        <w:t xml:space="preserve">, </w:t>
      </w:r>
      <w:r w:rsidRPr="00F263CC">
        <w:t>Wissem</w:t>
      </w:r>
      <w:r w:rsidRPr="00596FDD">
        <w:t xml:space="preserve">, </w:t>
      </w:r>
      <w:r w:rsidRPr="00F263CC">
        <w:t>Mohamed Anes</w:t>
      </w:r>
      <w:r w:rsidRPr="00596FDD">
        <w:t xml:space="preserve">, </w:t>
      </w:r>
      <w:r w:rsidRPr="00F263CC">
        <w:t>Ratil</w:t>
      </w:r>
      <w:r w:rsidRPr="00596FDD">
        <w:t xml:space="preserve">, </w:t>
      </w:r>
      <w:r w:rsidRPr="00F263CC">
        <w:t>Akram Yahya</w:t>
      </w:r>
      <w:r w:rsidRPr="00596FDD">
        <w:t xml:space="preserve">, </w:t>
      </w:r>
      <w:r w:rsidRPr="00F263CC">
        <w:t>Ismet</w:t>
      </w:r>
      <w:r w:rsidRPr="00596FDD">
        <w:t xml:space="preserve">, </w:t>
      </w:r>
      <w:r w:rsidRPr="00F263CC">
        <w:t>Maria</w:t>
      </w:r>
      <w:r w:rsidRPr="00596FDD">
        <w:rPr>
          <w:b/>
          <w:bCs/>
        </w:rPr>
        <w:t xml:space="preserve"> </w:t>
      </w:r>
      <w:r w:rsidRPr="00F263CC">
        <w:t>Assil</w:t>
      </w:r>
      <w:r w:rsidRPr="00596FDD">
        <w:t xml:space="preserve">, </w:t>
      </w:r>
    </w:p>
    <w:p w:rsidR="00F263CC" w:rsidRDefault="00F263CC" w:rsidP="00F263CC">
      <w:pPr>
        <w:spacing w:after="240" w:line="276" w:lineRule="auto"/>
        <w:jc w:val="both"/>
      </w:pPr>
      <w:r w:rsidRPr="00F263CC">
        <w:t>Nouha Rania</w:t>
      </w:r>
      <w:r w:rsidRPr="00596FDD">
        <w:t xml:space="preserve"> et </w:t>
      </w:r>
      <w:r w:rsidRPr="00F263CC">
        <w:t>Hanaa Manel</w:t>
      </w:r>
      <w:r w:rsidRPr="00596FDD">
        <w:t>,</w:t>
      </w:r>
      <w:r>
        <w:rPr>
          <w:lang w:val="fr-FR"/>
        </w:rPr>
        <w:t xml:space="preserve"> v</w:t>
      </w:r>
      <w:r w:rsidRPr="00596FDD">
        <w:t>otre innocence, vos sourires et votre joie de vivre ont été une véritable source de bonheur et de motivation. Chacun de vous occupe une place spéciale dans mon cœur.</w:t>
      </w:r>
    </w:p>
    <w:p w:rsidR="00F263CC" w:rsidRDefault="00811298" w:rsidP="00F263CC">
      <w:pPr>
        <w:spacing w:line="276" w:lineRule="auto"/>
        <w:jc w:val="both"/>
      </w:pPr>
      <w:r w:rsidRPr="00F263CC">
        <w:t>À</w:t>
      </w:r>
      <w:r w:rsidRPr="00F263CC">
        <w:rPr>
          <w:lang w:val="fr-FR"/>
        </w:rPr>
        <w:t xml:space="preserve"> </w:t>
      </w:r>
      <w:r w:rsidRPr="00F263CC">
        <w:t>mon amie très chère Ines,</w:t>
      </w:r>
    </w:p>
    <w:p w:rsidR="00EE2C70" w:rsidRDefault="00F263CC" w:rsidP="00EE2C70">
      <w:pPr>
        <w:spacing w:line="276" w:lineRule="auto"/>
        <w:jc w:val="both"/>
      </w:pPr>
      <w:r w:rsidRPr="00F263CC">
        <w:t>Ton humour, ta joie de vivre et ton énergie ont illuminé ce parcours. Merci pour les fous rires, ta présence réconfortante et ta bonne humeur contagieuse. Ne change jamais !</w:t>
      </w:r>
    </w:p>
    <w:p w:rsidR="00EE2C70" w:rsidRDefault="00F263CC" w:rsidP="00EE2C70">
      <w:pPr>
        <w:spacing w:line="276" w:lineRule="auto"/>
        <w:jc w:val="both"/>
      </w:pPr>
      <w:r w:rsidRPr="00F263CC">
        <w:br/>
      </w:r>
      <w:r w:rsidR="00EE2C70" w:rsidRPr="00F263CC">
        <w:t>Et enfin, tout au fond de cette dédicace mais au sommet de mon cœur,</w:t>
      </w:r>
    </w:p>
    <w:p w:rsidR="00EE2C70" w:rsidRDefault="00EE2C70" w:rsidP="00EE2C70">
      <w:pPr>
        <w:spacing w:line="276" w:lineRule="auto"/>
        <w:jc w:val="both"/>
      </w:pPr>
      <w:r w:rsidRPr="00F263CC">
        <w:t>À ma binôme, ma meilleure amie, ma sœur de cœur, Meriem,</w:t>
      </w:r>
    </w:p>
    <w:p w:rsidR="008A5941" w:rsidRDefault="00EE2C70" w:rsidP="0049206A">
      <w:pPr>
        <w:spacing w:after="240" w:line="276" w:lineRule="auto"/>
        <w:jc w:val="both"/>
        <w:rPr>
          <w:lang w:val="fr-FR"/>
        </w:rPr>
      </w:pPr>
      <w:r w:rsidRPr="00F263CC">
        <w:t>Il m’est difficile de trouver les mots justes pour exprimer tout ce que tu représentes pour moi.</w:t>
      </w:r>
      <w:r w:rsidRPr="00F263CC">
        <w:br/>
        <w:t>Ce mémoire, c’est aussi ton histoire. Ensemble, nous avons tout partagé : les doutes, les rires, les coups de stress et les victoires.</w:t>
      </w:r>
      <w:r w:rsidRPr="008A5941">
        <w:rPr>
          <w:lang w:val="fr-FR"/>
        </w:rPr>
        <w:t xml:space="preserve"> </w:t>
      </w:r>
      <w:r w:rsidRPr="00F263CC">
        <w:t>Merci pour ta force, ta patience et ta lumière. Rien n’aurait été pareil sans toi.</w:t>
      </w:r>
      <w:r w:rsidRPr="008A5941">
        <w:rPr>
          <w:lang w:val="fr-FR"/>
        </w:rPr>
        <w:t xml:space="preserve"> </w:t>
      </w:r>
      <w:r w:rsidRPr="00F263CC">
        <w:t>Tu es bien plus qu’une amie. Tu es unique, et je suis infiniment reconnaissante à la vie de t’avoir mise sur mon chemin.</w:t>
      </w:r>
      <w:r w:rsidRPr="008A5941">
        <w:rPr>
          <w:lang w:val="fr-FR"/>
        </w:rPr>
        <w:t xml:space="preserve"> </w:t>
      </w:r>
    </w:p>
    <w:p w:rsidR="001213B3" w:rsidRPr="00903B4A" w:rsidRDefault="00EE2C70" w:rsidP="001213B3">
      <w:pPr>
        <w:spacing w:line="276" w:lineRule="auto"/>
        <w:jc w:val="both"/>
        <w:rPr>
          <w:lang w:val="fr-FR"/>
        </w:rPr>
      </w:pPr>
      <w:r w:rsidRPr="00596FDD">
        <w:t>Avec tout mon amour, ma tendresse et ma reconnaissance infinie.</w:t>
      </w:r>
    </w:p>
    <w:p w:rsidR="00F263CC" w:rsidRPr="0049206A" w:rsidRDefault="00F263CC" w:rsidP="00F263CC">
      <w:pPr>
        <w:pStyle w:val="NormalWeb"/>
        <w:spacing w:line="276" w:lineRule="auto"/>
        <w:jc w:val="right"/>
        <w:rPr>
          <w:rFonts w:ascii="Lucida Calligraphy" w:hAnsi="Lucida Calligraphy"/>
          <w:sz w:val="28"/>
          <w:szCs w:val="28"/>
        </w:rPr>
      </w:pPr>
      <w:proofErr w:type="spellStart"/>
      <w:r w:rsidRPr="0049206A">
        <w:rPr>
          <w:rFonts w:ascii="Lucida Calligraphy" w:hAnsi="Lucida Calligraphy"/>
          <w:sz w:val="28"/>
          <w:szCs w:val="28"/>
          <w:lang w:val="fr-FR"/>
        </w:rPr>
        <w:t>Benyakhou</w:t>
      </w:r>
      <w:proofErr w:type="spellEnd"/>
      <w:r w:rsidRPr="0049206A">
        <w:rPr>
          <w:rFonts w:ascii="Lucida Calligraphy" w:hAnsi="Lucida Calligraphy"/>
          <w:sz w:val="28"/>
          <w:szCs w:val="28"/>
          <w:lang w:val="fr-FR"/>
        </w:rPr>
        <w:t xml:space="preserve"> Rania Manel</w:t>
      </w:r>
    </w:p>
    <w:p w:rsidR="00B877E9" w:rsidRDefault="00B877E9" w:rsidP="00811298">
      <w:pPr>
        <w:pStyle w:val="p1"/>
        <w:rPr>
          <w:b/>
          <w:bCs/>
          <w:lang w:val="fr-FR"/>
        </w:rPr>
        <w:sectPr w:rsidR="00B877E9" w:rsidSect="0008626F">
          <w:headerReference w:type="even" r:id="rId9"/>
          <w:headerReference w:type="default" r:id="rId10"/>
          <w:footerReference w:type="even" r:id="rId11"/>
          <w:footerReference w:type="default" r:id="rId12"/>
          <w:pgSz w:w="11900" w:h="16840"/>
          <w:pgMar w:top="1440" w:right="1440" w:bottom="1440" w:left="1440" w:header="708" w:footer="708" w:gutter="0"/>
          <w:pgNumType w:fmt="upperRoman"/>
          <w:cols w:space="708"/>
          <w:docGrid w:linePitch="360"/>
        </w:sectPr>
      </w:pPr>
    </w:p>
    <w:p w:rsidR="00BB2FB1" w:rsidRDefault="00BB2FB1" w:rsidP="004B5739">
      <w:pPr>
        <w:pStyle w:val="p1"/>
        <w:jc w:val="center"/>
        <w:rPr>
          <w:b/>
          <w:bCs/>
          <w:sz w:val="36"/>
          <w:szCs w:val="36"/>
          <w:lang w:val="fr-FR"/>
        </w:rPr>
      </w:pPr>
      <w:r w:rsidRPr="00BB2FB1">
        <w:rPr>
          <w:b/>
          <w:bCs/>
          <w:sz w:val="36"/>
          <w:szCs w:val="36"/>
          <w:lang w:val="fr-FR"/>
        </w:rPr>
        <w:lastRenderedPageBreak/>
        <w:t>Dédicace</w:t>
      </w:r>
    </w:p>
    <w:p w:rsidR="004C0432" w:rsidRDefault="00811298" w:rsidP="004C0432">
      <w:pPr>
        <w:pStyle w:val="NormalWeb"/>
        <w:spacing w:line="360" w:lineRule="auto"/>
        <w:jc w:val="both"/>
        <w:rPr>
          <w:rFonts w:asciiTheme="majorBidi" w:hAnsiTheme="majorBidi" w:cstheme="majorBidi"/>
          <w:color w:val="000000"/>
        </w:rPr>
      </w:pPr>
      <w:r w:rsidRPr="00795534">
        <w:rPr>
          <w:rFonts w:asciiTheme="majorBidi" w:hAnsiTheme="majorBidi" w:cstheme="majorBidi"/>
          <w:color w:val="000000"/>
        </w:rPr>
        <w:t xml:space="preserve">À ma mère, celle qui a toujours cru en moi, même lorsque moi-même j’hésitais. Tu m’as guidée vers les bons choix avec tes conseils pleins de sagesse. </w:t>
      </w:r>
      <w:r w:rsidR="00514507">
        <w:rPr>
          <w:rFonts w:asciiTheme="majorBidi" w:hAnsiTheme="majorBidi" w:cstheme="majorBidi"/>
          <w:color w:val="000000"/>
          <w:lang w:val="en-US"/>
        </w:rPr>
        <w:t>T</w:t>
      </w:r>
      <w:r w:rsidR="00514507" w:rsidRPr="00514507">
        <w:rPr>
          <w:rFonts w:asciiTheme="majorBidi" w:hAnsiTheme="majorBidi" w:cstheme="majorBidi"/>
          <w:color w:val="000000"/>
        </w:rPr>
        <w:t>u as été présente à chaque étape, dans chaque doute</w:t>
      </w:r>
      <w:r w:rsidR="00514507">
        <w:rPr>
          <w:rFonts w:asciiTheme="majorBidi" w:hAnsiTheme="majorBidi" w:cstheme="majorBidi"/>
          <w:color w:val="000000"/>
          <w:lang w:val="en-US"/>
        </w:rPr>
        <w:t xml:space="preserve"> et</w:t>
      </w:r>
      <w:r w:rsidR="00514507" w:rsidRPr="00514507">
        <w:rPr>
          <w:rFonts w:asciiTheme="majorBidi" w:hAnsiTheme="majorBidi" w:cstheme="majorBidi"/>
          <w:color w:val="000000"/>
        </w:rPr>
        <w:t xml:space="preserve"> dans chaque rêve</w:t>
      </w:r>
      <w:r w:rsidR="00514507">
        <w:rPr>
          <w:rFonts w:asciiTheme="majorBidi" w:hAnsiTheme="majorBidi" w:cstheme="majorBidi"/>
          <w:color w:val="000000"/>
          <w:lang w:val="en-US"/>
        </w:rPr>
        <w:t xml:space="preserve">, </w:t>
      </w:r>
      <w:r w:rsidR="00514507" w:rsidRPr="00514507">
        <w:rPr>
          <w:rFonts w:asciiTheme="majorBidi" w:hAnsiTheme="majorBidi" w:cstheme="majorBidi"/>
          <w:color w:val="000000"/>
        </w:rPr>
        <w:t>tu m’as soutenue sans faille</w:t>
      </w:r>
      <w:r w:rsidR="00514507">
        <w:rPr>
          <w:rFonts w:asciiTheme="majorBidi" w:hAnsiTheme="majorBidi" w:cstheme="majorBidi"/>
          <w:color w:val="000000"/>
          <w:lang w:val="en-US"/>
        </w:rPr>
        <w:t>.</w:t>
      </w:r>
      <w:r w:rsidR="004C0432">
        <w:rPr>
          <w:rFonts w:asciiTheme="majorBidi" w:hAnsiTheme="majorBidi" w:cstheme="majorBidi"/>
          <w:color w:val="000000"/>
          <w:lang w:val="en-US"/>
        </w:rPr>
        <w:t xml:space="preserve"> </w:t>
      </w:r>
      <w:r w:rsidRPr="00795534">
        <w:rPr>
          <w:rFonts w:asciiTheme="majorBidi" w:hAnsiTheme="majorBidi" w:cstheme="majorBidi"/>
          <w:color w:val="000000"/>
        </w:rPr>
        <w:t>Ton amour m’a donné la force d’avancer et ta confiance m’a appris à croire en moi.</w:t>
      </w:r>
      <w:r w:rsidR="004C0432">
        <w:rPr>
          <w:rFonts w:asciiTheme="majorBidi" w:hAnsiTheme="majorBidi" w:cstheme="majorBidi"/>
          <w:color w:val="000000"/>
          <w:lang w:val="en-US"/>
        </w:rPr>
        <w:t xml:space="preserve"> </w:t>
      </w:r>
      <w:r w:rsidRPr="00795534">
        <w:rPr>
          <w:rFonts w:asciiTheme="majorBidi" w:hAnsiTheme="majorBidi" w:cstheme="majorBidi"/>
          <w:color w:val="000000"/>
        </w:rPr>
        <w:t>Merci d’être cette lumière douce et constante dans ma vie.</w:t>
      </w:r>
    </w:p>
    <w:p w:rsidR="004C0432" w:rsidRPr="004C0432" w:rsidRDefault="004C0432" w:rsidP="00795534">
      <w:pPr>
        <w:spacing w:after="240" w:line="360" w:lineRule="auto"/>
        <w:jc w:val="both"/>
        <w:rPr>
          <w:rFonts w:asciiTheme="majorBidi" w:hAnsiTheme="majorBidi" w:cstheme="majorBidi"/>
          <w:color w:val="000000"/>
          <w:lang w:val="en-US"/>
        </w:rPr>
      </w:pPr>
      <w:r w:rsidRPr="004C0432">
        <w:rPr>
          <w:rFonts w:asciiTheme="majorBidi" w:hAnsiTheme="majorBidi" w:cstheme="majorBidi"/>
          <w:color w:val="000000"/>
          <w:lang w:val="en-US"/>
        </w:rPr>
        <w:t xml:space="preserve">À </w:t>
      </w:r>
      <w:proofErr w:type="spellStart"/>
      <w:r w:rsidRPr="004C0432">
        <w:rPr>
          <w:rFonts w:asciiTheme="majorBidi" w:hAnsiTheme="majorBidi" w:cstheme="majorBidi"/>
          <w:color w:val="000000"/>
          <w:lang w:val="en-US"/>
        </w:rPr>
        <w:t>mon</w:t>
      </w:r>
      <w:proofErr w:type="spellEnd"/>
      <w:r w:rsidRPr="004C0432">
        <w:rPr>
          <w:rFonts w:asciiTheme="majorBidi" w:hAnsiTheme="majorBidi" w:cstheme="majorBidi"/>
          <w:color w:val="000000"/>
          <w:lang w:val="en-US"/>
        </w:rPr>
        <w:t xml:space="preserve"> </w:t>
      </w:r>
      <w:proofErr w:type="spellStart"/>
      <w:r w:rsidRPr="004C0432">
        <w:rPr>
          <w:rFonts w:asciiTheme="majorBidi" w:hAnsiTheme="majorBidi" w:cstheme="majorBidi"/>
          <w:color w:val="000000"/>
          <w:lang w:val="en-US"/>
        </w:rPr>
        <w:t>père</w:t>
      </w:r>
      <w:proofErr w:type="spellEnd"/>
      <w:r w:rsidRPr="004C0432">
        <w:rPr>
          <w:rFonts w:asciiTheme="majorBidi" w:hAnsiTheme="majorBidi" w:cstheme="majorBidi"/>
          <w:color w:val="000000"/>
          <w:lang w:val="en-US"/>
        </w:rPr>
        <w:t xml:space="preserve">, merci pour les encouragements et le </w:t>
      </w:r>
      <w:proofErr w:type="spellStart"/>
      <w:r w:rsidRPr="004C0432">
        <w:rPr>
          <w:rFonts w:asciiTheme="majorBidi" w:hAnsiTheme="majorBidi" w:cstheme="majorBidi"/>
          <w:color w:val="000000"/>
          <w:lang w:val="en-US"/>
        </w:rPr>
        <w:t>soutien</w:t>
      </w:r>
      <w:proofErr w:type="spellEnd"/>
      <w:r w:rsidRPr="004C0432">
        <w:rPr>
          <w:rFonts w:asciiTheme="majorBidi" w:hAnsiTheme="majorBidi" w:cstheme="majorBidi"/>
          <w:color w:val="000000"/>
          <w:lang w:val="en-US"/>
        </w:rPr>
        <w:t xml:space="preserve"> qui, à </w:t>
      </w:r>
      <w:proofErr w:type="spellStart"/>
      <w:r w:rsidRPr="004C0432">
        <w:rPr>
          <w:rFonts w:asciiTheme="majorBidi" w:hAnsiTheme="majorBidi" w:cstheme="majorBidi"/>
          <w:color w:val="000000"/>
          <w:lang w:val="en-US"/>
        </w:rPr>
        <w:t>leur</w:t>
      </w:r>
      <w:proofErr w:type="spellEnd"/>
      <w:r w:rsidRPr="004C0432">
        <w:rPr>
          <w:rFonts w:asciiTheme="majorBidi" w:hAnsiTheme="majorBidi" w:cstheme="majorBidi"/>
          <w:color w:val="000000"/>
          <w:lang w:val="en-US"/>
        </w:rPr>
        <w:t xml:space="preserve"> manière, </w:t>
      </w:r>
      <w:proofErr w:type="spellStart"/>
      <w:r w:rsidRPr="004C0432">
        <w:rPr>
          <w:rFonts w:asciiTheme="majorBidi" w:hAnsiTheme="majorBidi" w:cstheme="majorBidi"/>
          <w:color w:val="000000"/>
          <w:lang w:val="en-US"/>
        </w:rPr>
        <w:t>ont</w:t>
      </w:r>
      <w:proofErr w:type="spellEnd"/>
      <w:r w:rsidRPr="004C0432">
        <w:rPr>
          <w:rFonts w:asciiTheme="majorBidi" w:hAnsiTheme="majorBidi" w:cstheme="majorBidi"/>
          <w:color w:val="000000"/>
          <w:lang w:val="en-US"/>
        </w:rPr>
        <w:t xml:space="preserve"> </w:t>
      </w:r>
      <w:proofErr w:type="spellStart"/>
      <w:r w:rsidRPr="004C0432">
        <w:rPr>
          <w:rFonts w:asciiTheme="majorBidi" w:hAnsiTheme="majorBidi" w:cstheme="majorBidi"/>
          <w:color w:val="000000"/>
          <w:lang w:val="en-US"/>
        </w:rPr>
        <w:t>accompagné</w:t>
      </w:r>
      <w:proofErr w:type="spellEnd"/>
      <w:r w:rsidRPr="004C0432">
        <w:rPr>
          <w:rFonts w:asciiTheme="majorBidi" w:hAnsiTheme="majorBidi" w:cstheme="majorBidi"/>
          <w:color w:val="000000"/>
          <w:lang w:val="en-US"/>
        </w:rPr>
        <w:t xml:space="preserve"> </w:t>
      </w:r>
      <w:proofErr w:type="spellStart"/>
      <w:r w:rsidRPr="004C0432">
        <w:rPr>
          <w:rFonts w:asciiTheme="majorBidi" w:hAnsiTheme="majorBidi" w:cstheme="majorBidi"/>
          <w:color w:val="000000"/>
          <w:lang w:val="en-US"/>
        </w:rPr>
        <w:t>chaque</w:t>
      </w:r>
      <w:proofErr w:type="spellEnd"/>
      <w:r w:rsidRPr="004C0432">
        <w:rPr>
          <w:rFonts w:asciiTheme="majorBidi" w:hAnsiTheme="majorBidi" w:cstheme="majorBidi"/>
          <w:color w:val="000000"/>
          <w:lang w:val="en-US"/>
        </w:rPr>
        <w:t xml:space="preserve"> étape de </w:t>
      </w:r>
      <w:proofErr w:type="spellStart"/>
      <w:r w:rsidRPr="004C0432">
        <w:rPr>
          <w:rFonts w:asciiTheme="majorBidi" w:hAnsiTheme="majorBidi" w:cstheme="majorBidi"/>
          <w:color w:val="000000"/>
          <w:lang w:val="en-US"/>
        </w:rPr>
        <w:t>ce</w:t>
      </w:r>
      <w:proofErr w:type="spellEnd"/>
      <w:r w:rsidRPr="004C0432">
        <w:rPr>
          <w:rFonts w:asciiTheme="majorBidi" w:hAnsiTheme="majorBidi" w:cstheme="majorBidi"/>
          <w:color w:val="000000"/>
          <w:lang w:val="en-US"/>
        </w:rPr>
        <w:t xml:space="preserve"> </w:t>
      </w:r>
      <w:proofErr w:type="spellStart"/>
      <w:r w:rsidRPr="004C0432">
        <w:rPr>
          <w:rFonts w:asciiTheme="majorBidi" w:hAnsiTheme="majorBidi" w:cstheme="majorBidi"/>
          <w:color w:val="000000"/>
          <w:lang w:val="en-US"/>
        </w:rPr>
        <w:t>parcours</w:t>
      </w:r>
      <w:proofErr w:type="spellEnd"/>
    </w:p>
    <w:p w:rsidR="00811298" w:rsidRPr="00795534" w:rsidRDefault="00811298" w:rsidP="00795534">
      <w:pPr>
        <w:spacing w:after="240" w:line="360" w:lineRule="auto"/>
        <w:jc w:val="both"/>
        <w:rPr>
          <w:rFonts w:asciiTheme="majorBidi" w:hAnsiTheme="majorBidi" w:cstheme="majorBidi"/>
          <w:color w:val="000000"/>
          <w:lang w:eastAsia="fr-FR"/>
        </w:rPr>
      </w:pPr>
      <w:r w:rsidRPr="00795534">
        <w:rPr>
          <w:rFonts w:asciiTheme="majorBidi" w:hAnsiTheme="majorBidi" w:cstheme="majorBidi"/>
          <w:color w:val="000000"/>
          <w:lang w:eastAsia="fr-FR"/>
        </w:rPr>
        <w:t>À Rania, merci d’avoir été bien plus qu’une amie : une véritable sœur de cœur, de galères, d’aventures et de fous rires. Ensemble, on a affronté le stress des dernières minutes, mais aussi savouré des soirées remplies de rires incontrôlables et de joie pure. Ta présence a transformé chaque étape du parcours en une expérience plus légère, plus drôle</w:t>
      </w:r>
      <w:r w:rsidR="004C0432">
        <w:rPr>
          <w:rFonts w:asciiTheme="majorBidi" w:hAnsiTheme="majorBidi" w:cstheme="majorBidi"/>
          <w:color w:val="000000"/>
          <w:lang w:val="en-US" w:eastAsia="fr-FR"/>
        </w:rPr>
        <w:t xml:space="preserve"> et</w:t>
      </w:r>
      <w:r w:rsidRPr="00795534">
        <w:rPr>
          <w:rFonts w:asciiTheme="majorBidi" w:hAnsiTheme="majorBidi" w:cstheme="majorBidi"/>
          <w:color w:val="000000"/>
          <w:lang w:eastAsia="fr-FR"/>
        </w:rPr>
        <w:t xml:space="preserve"> plus vraie. Je ne peux pas imaginer ce chemin sans toi — on l’a construit ensemble, et ça restera gravé pour la vie.</w:t>
      </w:r>
    </w:p>
    <w:p w:rsidR="00811298" w:rsidRPr="00795534" w:rsidRDefault="00811298" w:rsidP="00795534">
      <w:pPr>
        <w:spacing w:after="240" w:line="360" w:lineRule="auto"/>
        <w:jc w:val="both"/>
        <w:rPr>
          <w:rFonts w:asciiTheme="majorBidi" w:hAnsiTheme="majorBidi" w:cstheme="majorBidi"/>
          <w:color w:val="000000"/>
        </w:rPr>
      </w:pPr>
      <w:r w:rsidRPr="00795534">
        <w:rPr>
          <w:rFonts w:asciiTheme="majorBidi" w:hAnsiTheme="majorBidi" w:cstheme="majorBidi"/>
          <w:color w:val="000000"/>
        </w:rPr>
        <w:t xml:space="preserve">À </w:t>
      </w:r>
      <w:proofErr w:type="spellStart"/>
      <w:r w:rsidR="004C0432">
        <w:rPr>
          <w:rFonts w:asciiTheme="majorBidi" w:hAnsiTheme="majorBidi" w:cstheme="majorBidi"/>
          <w:color w:val="000000"/>
          <w:lang w:val="en-US"/>
        </w:rPr>
        <w:t>Abir</w:t>
      </w:r>
      <w:proofErr w:type="spellEnd"/>
      <w:r w:rsidRPr="00795534">
        <w:rPr>
          <w:rFonts w:asciiTheme="majorBidi" w:hAnsiTheme="majorBidi" w:cstheme="majorBidi"/>
          <w:color w:val="000000"/>
        </w:rPr>
        <w:t>, pour sa joie de vivre, son originalité et son esprit spontané</w:t>
      </w:r>
      <w:r w:rsidR="004C0432">
        <w:rPr>
          <w:rFonts w:asciiTheme="majorBidi" w:hAnsiTheme="majorBidi" w:cstheme="majorBidi"/>
          <w:color w:val="000000"/>
          <w:lang w:val="en-US"/>
        </w:rPr>
        <w:t>,</w:t>
      </w:r>
      <w:r w:rsidRPr="00795534">
        <w:rPr>
          <w:rFonts w:asciiTheme="majorBidi" w:hAnsiTheme="majorBidi" w:cstheme="majorBidi"/>
          <w:color w:val="000000"/>
        </w:rPr>
        <w:t xml:space="preserve"> malgré nos différences, une complicité unique et pleine de souvenirs s’est construite.</w:t>
      </w:r>
    </w:p>
    <w:p w:rsidR="00795534" w:rsidRPr="00795534" w:rsidRDefault="00811298" w:rsidP="00795534">
      <w:pPr>
        <w:spacing w:after="240" w:line="360" w:lineRule="auto"/>
        <w:jc w:val="both"/>
        <w:rPr>
          <w:rFonts w:asciiTheme="majorBidi" w:hAnsiTheme="majorBidi" w:cstheme="majorBidi"/>
          <w:color w:val="000000"/>
        </w:rPr>
      </w:pPr>
      <w:r w:rsidRPr="00795534">
        <w:rPr>
          <w:rFonts w:asciiTheme="majorBidi" w:hAnsiTheme="majorBidi" w:cstheme="majorBidi"/>
          <w:color w:val="000000"/>
        </w:rPr>
        <w:t xml:space="preserve">À Ines Beddiar, </w:t>
      </w:r>
      <w:r w:rsidR="00795534" w:rsidRPr="00795534">
        <w:rPr>
          <w:rFonts w:asciiTheme="majorBidi" w:hAnsiTheme="majorBidi" w:cstheme="majorBidi"/>
          <w:color w:val="000000"/>
        </w:rPr>
        <w:t xml:space="preserve">Merci pour ta présence, ta bonne humeur et </w:t>
      </w:r>
      <w:r w:rsidR="004C0432">
        <w:rPr>
          <w:rFonts w:asciiTheme="majorBidi" w:hAnsiTheme="majorBidi" w:cstheme="majorBidi"/>
          <w:color w:val="000000"/>
          <w:lang w:val="en-US"/>
        </w:rPr>
        <w:t>l</w:t>
      </w:r>
      <w:r w:rsidR="00795534" w:rsidRPr="00795534">
        <w:rPr>
          <w:rFonts w:asciiTheme="majorBidi" w:hAnsiTheme="majorBidi" w:cstheme="majorBidi"/>
          <w:color w:val="000000"/>
        </w:rPr>
        <w:t xml:space="preserve">es moments partagés qui ont rendu le quotidien plus léger et agréable. </w:t>
      </w:r>
    </w:p>
    <w:p w:rsidR="00811298" w:rsidRPr="008A5941" w:rsidRDefault="00811298" w:rsidP="00795534">
      <w:pPr>
        <w:spacing w:line="360" w:lineRule="auto"/>
        <w:jc w:val="both"/>
        <w:rPr>
          <w:rFonts w:asciiTheme="majorBidi" w:hAnsiTheme="majorBidi" w:cstheme="majorBidi"/>
          <w:color w:val="000000"/>
          <w:lang w:val="fr-FR"/>
        </w:rPr>
      </w:pPr>
      <w:r w:rsidRPr="00795534">
        <w:rPr>
          <w:rFonts w:asciiTheme="majorBidi" w:hAnsiTheme="majorBidi" w:cstheme="majorBidi"/>
          <w:color w:val="000000"/>
        </w:rPr>
        <w:t>À toutes celles et ceux qui m’ont soutenue, inspirée ou encouragée à un moment ou un autre de ce chemin, merci pour votre présence. Vous avez, chacun à votre manière, contribué à cette aventure</w:t>
      </w:r>
      <w:r w:rsidRPr="008A5941">
        <w:rPr>
          <w:rFonts w:asciiTheme="majorBidi" w:hAnsiTheme="majorBidi" w:cstheme="majorBidi"/>
          <w:color w:val="000000"/>
          <w:lang w:val="fr-FR"/>
        </w:rPr>
        <w:t>.</w:t>
      </w:r>
    </w:p>
    <w:p w:rsidR="00811298" w:rsidRPr="00795534" w:rsidRDefault="00811298" w:rsidP="00811298">
      <w:pPr>
        <w:spacing w:line="360" w:lineRule="auto"/>
        <w:jc w:val="both"/>
        <w:rPr>
          <w:rFonts w:asciiTheme="majorBidi" w:hAnsiTheme="majorBidi" w:cstheme="majorBidi"/>
          <w:color w:val="000000"/>
          <w:sz w:val="27"/>
          <w:szCs w:val="27"/>
          <w:rtl/>
          <w:lang w:val="en-US"/>
        </w:rPr>
      </w:pPr>
    </w:p>
    <w:p w:rsidR="00BB2FB1" w:rsidRDefault="00BB2FB1" w:rsidP="00B75385">
      <w:pPr>
        <w:pStyle w:val="p1"/>
        <w:jc w:val="center"/>
        <w:rPr>
          <w:b/>
          <w:bCs/>
          <w:sz w:val="36"/>
          <w:szCs w:val="36"/>
          <w:lang w:val="fr-FR"/>
        </w:rPr>
      </w:pPr>
    </w:p>
    <w:p w:rsidR="00811298" w:rsidRPr="0049206A" w:rsidRDefault="00811298" w:rsidP="00811298">
      <w:pPr>
        <w:pStyle w:val="NormalWeb"/>
        <w:jc w:val="right"/>
        <w:rPr>
          <w:rFonts w:ascii="Lucida Calligraphy" w:hAnsi="Lucida Calligraphy"/>
          <w:sz w:val="28"/>
          <w:szCs w:val="28"/>
        </w:rPr>
      </w:pPr>
      <w:proofErr w:type="spellStart"/>
      <w:r w:rsidRPr="0049206A">
        <w:rPr>
          <w:rFonts w:ascii="Lucida Calligraphy" w:hAnsi="Lucida Calligraphy"/>
          <w:sz w:val="28"/>
          <w:szCs w:val="28"/>
          <w:lang w:val="fr-FR"/>
        </w:rPr>
        <w:t>Lahouel</w:t>
      </w:r>
      <w:proofErr w:type="spellEnd"/>
      <w:r w:rsidRPr="0049206A">
        <w:rPr>
          <w:rFonts w:ascii="Lucida Calligraphy" w:hAnsi="Lucida Calligraphy"/>
          <w:sz w:val="28"/>
          <w:szCs w:val="28"/>
          <w:lang w:val="fr-FR"/>
        </w:rPr>
        <w:t xml:space="preserve"> Meriem </w:t>
      </w: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7D1A12" w:rsidRDefault="007D1A12" w:rsidP="007D1A12">
      <w:pPr>
        <w:pStyle w:val="p1"/>
        <w:rPr>
          <w:b/>
          <w:bCs/>
          <w:sz w:val="36"/>
          <w:szCs w:val="36"/>
          <w:lang w:val="fr-FR"/>
        </w:rPr>
        <w:sectPr w:rsidR="007D1A12" w:rsidSect="00B90DFC">
          <w:headerReference w:type="default" r:id="rId13"/>
          <w:footerReference w:type="default" r:id="rId14"/>
          <w:type w:val="continuous"/>
          <w:pgSz w:w="11900" w:h="16840"/>
          <w:pgMar w:top="1440" w:right="1440" w:bottom="1440" w:left="1440" w:header="708" w:footer="708" w:gutter="0"/>
          <w:pgNumType w:fmt="upperRoman" w:start="1"/>
          <w:cols w:space="708"/>
          <w:docGrid w:linePitch="360"/>
        </w:sectPr>
      </w:pPr>
    </w:p>
    <w:p w:rsidR="00BB2FB1" w:rsidRDefault="00BB2FB1" w:rsidP="0008626F">
      <w:pPr>
        <w:pStyle w:val="p1"/>
        <w:jc w:val="center"/>
        <w:rPr>
          <w:b/>
          <w:bCs/>
          <w:sz w:val="36"/>
          <w:szCs w:val="36"/>
          <w:lang w:val="fr-FR"/>
        </w:rPr>
      </w:pPr>
      <w:r>
        <w:rPr>
          <w:b/>
          <w:bCs/>
          <w:sz w:val="36"/>
          <w:szCs w:val="36"/>
          <w:lang w:val="fr-FR"/>
        </w:rPr>
        <w:lastRenderedPageBreak/>
        <w:t>Sommaire</w:t>
      </w:r>
    </w:p>
    <w:p w:rsidR="00EE101E" w:rsidRPr="008A5941" w:rsidRDefault="00EE101E" w:rsidP="00621F97">
      <w:pPr>
        <w:spacing w:after="240" w:line="276" w:lineRule="auto"/>
        <w:jc w:val="both"/>
        <w:rPr>
          <w:rStyle w:val="Lienhypertexte"/>
          <w:noProof/>
          <w:color w:val="000000" w:themeColor="text1"/>
          <w:u w:val="none"/>
          <w:lang w:val="fr-FR"/>
        </w:rPr>
      </w:pPr>
      <w:r w:rsidRPr="00EE101E">
        <w:rPr>
          <w:rStyle w:val="Lienhypertexte"/>
          <w:noProof/>
          <w:color w:val="000000" w:themeColor="text1"/>
          <w:u w:val="none"/>
        </w:rPr>
        <w:t>Introduction générale</w:t>
      </w:r>
      <w:r w:rsidRPr="008A5941">
        <w:rPr>
          <w:rStyle w:val="Lienhypertexte"/>
          <w:noProof/>
          <w:color w:val="000000" w:themeColor="text1"/>
          <w:u w:val="none"/>
          <w:lang w:val="fr-FR"/>
        </w:rPr>
        <w:t>…………………………………………………………………………..1</w:t>
      </w:r>
    </w:p>
    <w:p w:rsidR="00EE101E" w:rsidRPr="00621F97" w:rsidRDefault="00EE101E" w:rsidP="00621F97">
      <w:pPr>
        <w:spacing w:line="276" w:lineRule="auto"/>
        <w:jc w:val="both"/>
        <w:rPr>
          <w:rStyle w:val="Lienhypertexte"/>
          <w:b/>
          <w:bCs/>
          <w:noProof/>
          <w:color w:val="000000" w:themeColor="text1"/>
          <w:u w:val="none"/>
        </w:rPr>
      </w:pPr>
      <w:r w:rsidRPr="00621F97">
        <w:rPr>
          <w:rStyle w:val="Lienhypertexte"/>
          <w:b/>
          <w:bCs/>
          <w:noProof/>
          <w:color w:val="000000" w:themeColor="text1"/>
          <w:u w:val="none"/>
        </w:rPr>
        <w:t>Chapitre I : La gestion des ressources humaines</w:t>
      </w:r>
      <w:r w:rsidRPr="008A5941">
        <w:rPr>
          <w:rStyle w:val="Lienhypertexte"/>
          <w:b/>
          <w:bCs/>
          <w:noProof/>
          <w:color w:val="000000" w:themeColor="text1"/>
          <w:u w:val="none"/>
          <w:lang w:val="fr-FR"/>
        </w:rPr>
        <w:t>………………………………………</w:t>
      </w:r>
      <w:r w:rsidR="00621F97" w:rsidRPr="008A5941">
        <w:rPr>
          <w:rStyle w:val="Lienhypertexte"/>
          <w:b/>
          <w:bCs/>
          <w:noProof/>
          <w:color w:val="000000" w:themeColor="text1"/>
          <w:u w:val="none"/>
          <w:lang w:val="fr-FR"/>
        </w:rPr>
        <w:t>..</w:t>
      </w:r>
      <w:r w:rsidRPr="008A5941">
        <w:rPr>
          <w:rStyle w:val="Lienhypertexte"/>
          <w:b/>
          <w:bCs/>
          <w:noProof/>
          <w:color w:val="000000" w:themeColor="text1"/>
          <w:u w:val="none"/>
          <w:lang w:val="fr-FR"/>
        </w:rPr>
        <w:t>..</w:t>
      </w:r>
      <w:r w:rsidRPr="00621F97">
        <w:rPr>
          <w:rStyle w:val="Lienhypertexte"/>
          <w:b/>
          <w:bCs/>
          <w:noProof/>
          <w:color w:val="000000" w:themeColor="text1"/>
          <w:u w:val="none"/>
        </w:rPr>
        <w:t>11</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Introduction du chapitre</w:t>
      </w:r>
      <w:r w:rsidRPr="008A5941">
        <w:rPr>
          <w:rStyle w:val="Lienhypertexte"/>
          <w:noProof/>
          <w:color w:val="000000" w:themeColor="text1"/>
          <w:u w:val="none"/>
          <w:lang w:val="fr-FR"/>
        </w:rPr>
        <w:t>……………………………………………………………………...</w:t>
      </w:r>
      <w:r w:rsidRPr="00EE101E">
        <w:rPr>
          <w:rStyle w:val="Lienhypertexte"/>
          <w:noProof/>
          <w:color w:val="000000" w:themeColor="text1"/>
          <w:u w:val="none"/>
        </w:rPr>
        <w:t>12</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1 : Généralités sur la gestion des ressources humaines</w:t>
      </w:r>
      <w:r w:rsidRPr="008A5941">
        <w:rPr>
          <w:rStyle w:val="Lienhypertexte"/>
          <w:noProof/>
          <w:color w:val="000000" w:themeColor="text1"/>
          <w:u w:val="none"/>
          <w:lang w:val="fr-FR"/>
        </w:rPr>
        <w:t>……………………………...</w:t>
      </w:r>
      <w:r w:rsidRPr="00EE101E">
        <w:rPr>
          <w:rStyle w:val="Lienhypertexte"/>
          <w:noProof/>
          <w:color w:val="000000" w:themeColor="text1"/>
          <w:u w:val="none"/>
        </w:rPr>
        <w:t>13</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2 : Les fonctions et enjeux stratégiques de la GRH</w:t>
      </w:r>
      <w:r w:rsidRPr="008A5941">
        <w:rPr>
          <w:rStyle w:val="Lienhypertexte"/>
          <w:noProof/>
          <w:color w:val="000000" w:themeColor="text1"/>
          <w:u w:val="none"/>
          <w:lang w:val="fr-FR"/>
        </w:rPr>
        <w:t>…………………………………</w:t>
      </w:r>
      <w:r w:rsidRPr="00EE101E">
        <w:rPr>
          <w:rStyle w:val="Lienhypertexte"/>
          <w:noProof/>
          <w:color w:val="000000" w:themeColor="text1"/>
          <w:u w:val="none"/>
        </w:rPr>
        <w:t>35</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3 : Le recrutement et la formation : piliers de la GRH</w:t>
      </w:r>
      <w:r w:rsidR="00621F97" w:rsidRPr="008A5941">
        <w:rPr>
          <w:rStyle w:val="Lienhypertexte"/>
          <w:noProof/>
          <w:color w:val="000000" w:themeColor="text1"/>
          <w:u w:val="none"/>
          <w:lang w:val="fr-FR"/>
        </w:rPr>
        <w:t>………………………………</w:t>
      </w:r>
      <w:r w:rsidRPr="00EE101E">
        <w:rPr>
          <w:rStyle w:val="Lienhypertexte"/>
          <w:noProof/>
          <w:color w:val="000000" w:themeColor="text1"/>
          <w:u w:val="none"/>
        </w:rPr>
        <w:t>55</w:t>
      </w:r>
    </w:p>
    <w:p w:rsidR="00EE101E" w:rsidRPr="00EE101E" w:rsidRDefault="00EE101E" w:rsidP="00621F97">
      <w:pPr>
        <w:spacing w:after="240" w:line="276" w:lineRule="auto"/>
        <w:jc w:val="both"/>
        <w:rPr>
          <w:rStyle w:val="Lienhypertexte"/>
          <w:noProof/>
          <w:color w:val="000000" w:themeColor="text1"/>
          <w:u w:val="none"/>
        </w:rPr>
      </w:pPr>
      <w:r w:rsidRPr="00EE101E">
        <w:rPr>
          <w:rStyle w:val="Lienhypertexte"/>
          <w:noProof/>
          <w:color w:val="000000" w:themeColor="text1"/>
          <w:u w:val="none"/>
        </w:rPr>
        <w:t xml:space="preserve">Conclusion du chapitre </w:t>
      </w:r>
      <w:r w:rsidR="00621F97" w:rsidRPr="008A5941">
        <w:rPr>
          <w:rStyle w:val="Lienhypertexte"/>
          <w:noProof/>
          <w:color w:val="000000" w:themeColor="text1"/>
          <w:u w:val="none"/>
          <w:lang w:val="fr-FR"/>
        </w:rPr>
        <w:t>………………………………………………………………………</w:t>
      </w:r>
      <w:r w:rsidRPr="00EE101E">
        <w:rPr>
          <w:rStyle w:val="Lienhypertexte"/>
          <w:noProof/>
          <w:color w:val="000000" w:themeColor="text1"/>
          <w:u w:val="none"/>
        </w:rPr>
        <w:t>79</w:t>
      </w:r>
    </w:p>
    <w:p w:rsidR="00EE101E" w:rsidRPr="00621F97" w:rsidRDefault="00EE101E" w:rsidP="00621F97">
      <w:pPr>
        <w:spacing w:line="276" w:lineRule="auto"/>
        <w:jc w:val="both"/>
        <w:rPr>
          <w:rStyle w:val="Lienhypertexte"/>
          <w:b/>
          <w:bCs/>
          <w:noProof/>
          <w:color w:val="000000" w:themeColor="text1"/>
          <w:u w:val="none"/>
        </w:rPr>
      </w:pPr>
      <w:r w:rsidRPr="00621F97">
        <w:rPr>
          <w:rStyle w:val="Lienhypertexte"/>
          <w:b/>
          <w:bCs/>
          <w:noProof/>
          <w:color w:val="000000" w:themeColor="text1"/>
          <w:u w:val="none"/>
        </w:rPr>
        <w:t>Chapitre II : La digitalisation des ressources humaines</w:t>
      </w:r>
      <w:r w:rsidR="00621F97" w:rsidRPr="008A5941">
        <w:rPr>
          <w:rStyle w:val="Lienhypertexte"/>
          <w:b/>
          <w:bCs/>
          <w:noProof/>
          <w:color w:val="000000" w:themeColor="text1"/>
          <w:u w:val="none"/>
          <w:lang w:val="fr-FR"/>
        </w:rPr>
        <w:t>………………………………....</w:t>
      </w:r>
      <w:r w:rsidRPr="00621F97">
        <w:rPr>
          <w:rStyle w:val="Lienhypertexte"/>
          <w:b/>
          <w:bCs/>
          <w:noProof/>
          <w:color w:val="000000" w:themeColor="text1"/>
          <w:u w:val="none"/>
        </w:rPr>
        <w:t>80</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Introduction du chapitre</w:t>
      </w:r>
      <w:r w:rsidR="00621F97" w:rsidRPr="008A5941">
        <w:rPr>
          <w:rStyle w:val="Lienhypertexte"/>
          <w:noProof/>
          <w:color w:val="000000" w:themeColor="text1"/>
          <w:u w:val="none"/>
          <w:lang w:val="fr-FR"/>
        </w:rPr>
        <w:t>……………………………………………………………………...</w:t>
      </w:r>
      <w:r w:rsidRPr="00EE101E">
        <w:rPr>
          <w:rStyle w:val="Lienhypertexte"/>
          <w:noProof/>
          <w:color w:val="000000" w:themeColor="text1"/>
          <w:u w:val="none"/>
        </w:rPr>
        <w:t>81</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1 : Généralité sur la digitalisation</w:t>
      </w:r>
      <w:r w:rsidR="00621F97" w:rsidRPr="008A5941">
        <w:rPr>
          <w:rStyle w:val="Lienhypertexte"/>
          <w:noProof/>
          <w:color w:val="000000" w:themeColor="text1"/>
          <w:u w:val="none"/>
          <w:lang w:val="fr-FR"/>
        </w:rPr>
        <w:t>…………………………………………………...</w:t>
      </w:r>
      <w:r w:rsidRPr="00EE101E">
        <w:rPr>
          <w:rStyle w:val="Lienhypertexte"/>
          <w:noProof/>
          <w:color w:val="000000" w:themeColor="text1"/>
          <w:u w:val="none"/>
        </w:rPr>
        <w:t>82</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2 : La digitalisation de la gestion des ressources humaines</w:t>
      </w:r>
      <w:r w:rsidR="00621F97" w:rsidRPr="008A5941">
        <w:rPr>
          <w:rStyle w:val="Lienhypertexte"/>
          <w:noProof/>
          <w:color w:val="000000" w:themeColor="text1"/>
          <w:u w:val="none"/>
          <w:lang w:val="fr-FR"/>
        </w:rPr>
        <w:t>………………………..</w:t>
      </w:r>
      <w:r w:rsidRPr="00EE101E">
        <w:rPr>
          <w:rStyle w:val="Lienhypertexte"/>
          <w:noProof/>
          <w:color w:val="000000" w:themeColor="text1"/>
          <w:u w:val="none"/>
        </w:rPr>
        <w:t>106</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3 : L’e-recrutement et l’e-formation : Vers une digitalisation des processus RH</w:t>
      </w:r>
      <w:r w:rsidR="00621F97" w:rsidRPr="008A5941">
        <w:rPr>
          <w:rStyle w:val="Lienhypertexte"/>
          <w:noProof/>
          <w:color w:val="000000" w:themeColor="text1"/>
          <w:u w:val="none"/>
          <w:lang w:val="fr-FR"/>
        </w:rPr>
        <w:t>….</w:t>
      </w:r>
      <w:r w:rsidRPr="00EE101E">
        <w:rPr>
          <w:rStyle w:val="Lienhypertexte"/>
          <w:noProof/>
          <w:color w:val="000000" w:themeColor="text1"/>
          <w:u w:val="none"/>
        </w:rPr>
        <w:t>130</w:t>
      </w:r>
    </w:p>
    <w:p w:rsidR="00EE101E" w:rsidRPr="00EE101E" w:rsidRDefault="00EE101E" w:rsidP="00621F97">
      <w:pPr>
        <w:spacing w:after="240" w:line="276" w:lineRule="auto"/>
        <w:jc w:val="both"/>
        <w:rPr>
          <w:rStyle w:val="Lienhypertexte"/>
          <w:noProof/>
          <w:color w:val="000000" w:themeColor="text1"/>
          <w:u w:val="none"/>
        </w:rPr>
      </w:pPr>
      <w:r w:rsidRPr="00EE101E">
        <w:rPr>
          <w:rStyle w:val="Lienhypertexte"/>
          <w:noProof/>
          <w:color w:val="000000" w:themeColor="text1"/>
          <w:u w:val="none"/>
        </w:rPr>
        <w:t>Conclusion du chapitre</w:t>
      </w:r>
      <w:r w:rsidR="00621F97" w:rsidRPr="008A5941">
        <w:rPr>
          <w:rStyle w:val="Lienhypertexte"/>
          <w:noProof/>
          <w:color w:val="000000" w:themeColor="text1"/>
          <w:u w:val="none"/>
          <w:lang w:val="fr-FR"/>
        </w:rPr>
        <w:t>……………………………………………………………………...</w:t>
      </w:r>
      <w:r w:rsidRPr="00EE101E">
        <w:rPr>
          <w:rStyle w:val="Lienhypertexte"/>
          <w:noProof/>
          <w:color w:val="000000" w:themeColor="text1"/>
          <w:u w:val="none"/>
        </w:rPr>
        <w:t>155</w:t>
      </w:r>
    </w:p>
    <w:p w:rsidR="00EE101E" w:rsidRPr="0079601A" w:rsidRDefault="00EE101E" w:rsidP="0079601A">
      <w:pPr>
        <w:spacing w:line="276" w:lineRule="auto"/>
        <w:jc w:val="both"/>
        <w:rPr>
          <w:rStyle w:val="Lienhypertexte"/>
          <w:b/>
          <w:bCs/>
          <w:noProof/>
          <w:color w:val="000000" w:themeColor="text1"/>
          <w:u w:val="none"/>
          <w:lang w:val="fr-FR"/>
        </w:rPr>
      </w:pPr>
      <w:r w:rsidRPr="00621F97">
        <w:rPr>
          <w:rStyle w:val="Lienhypertexte"/>
          <w:b/>
          <w:bCs/>
          <w:noProof/>
          <w:color w:val="000000" w:themeColor="text1"/>
          <w:u w:val="none"/>
        </w:rPr>
        <w:t xml:space="preserve">Chapitre </w:t>
      </w:r>
      <w:r w:rsidR="0079601A" w:rsidRPr="0079601A">
        <w:rPr>
          <w:rStyle w:val="Lienhypertexte"/>
          <w:b/>
          <w:bCs/>
          <w:noProof/>
          <w:color w:val="000000" w:themeColor="text1"/>
          <w:u w:val="none"/>
        </w:rPr>
        <w:t>III</w:t>
      </w:r>
      <w:r w:rsidRPr="00621F97">
        <w:rPr>
          <w:rStyle w:val="Lienhypertexte"/>
          <w:b/>
          <w:bCs/>
          <w:noProof/>
          <w:color w:val="000000" w:themeColor="text1"/>
          <w:u w:val="none"/>
        </w:rPr>
        <w:t xml:space="preserve"> : Étude</w:t>
      </w:r>
      <w:r w:rsidR="0079601A">
        <w:rPr>
          <w:rStyle w:val="Lienhypertexte"/>
          <w:b/>
          <w:bCs/>
          <w:noProof/>
          <w:color w:val="000000" w:themeColor="text1"/>
          <w:u w:val="none"/>
          <w:lang w:val="fr-FR"/>
        </w:rPr>
        <w:t xml:space="preserve"> </w:t>
      </w:r>
      <w:r w:rsidRPr="00621F97">
        <w:rPr>
          <w:rStyle w:val="Lienhypertexte"/>
          <w:b/>
          <w:bCs/>
          <w:noProof/>
          <w:color w:val="000000" w:themeColor="text1"/>
          <w:u w:val="none"/>
        </w:rPr>
        <w:t>empirique …………………………………………………………</w:t>
      </w:r>
      <w:r w:rsidR="0079601A">
        <w:rPr>
          <w:rStyle w:val="Lienhypertexte"/>
          <w:b/>
          <w:bCs/>
          <w:noProof/>
          <w:color w:val="000000" w:themeColor="text1"/>
          <w:u w:val="none"/>
          <w:lang w:val="fr-FR"/>
        </w:rPr>
        <w:t>..</w:t>
      </w:r>
      <w:r w:rsidRPr="00621F97">
        <w:rPr>
          <w:rStyle w:val="Lienhypertexte"/>
          <w:b/>
          <w:bCs/>
          <w:noProof/>
          <w:color w:val="000000" w:themeColor="text1"/>
          <w:u w:val="none"/>
        </w:rPr>
        <w:t>156</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Introduction du chapitre :</w:t>
      </w:r>
      <w:r w:rsidR="00621F97" w:rsidRPr="008A5941">
        <w:rPr>
          <w:rStyle w:val="Lienhypertexte"/>
          <w:noProof/>
          <w:color w:val="000000" w:themeColor="text1"/>
          <w:u w:val="none"/>
          <w:lang w:val="fr-FR"/>
        </w:rPr>
        <w:t>…………………………………………………………………...</w:t>
      </w:r>
      <w:r w:rsidRPr="00EE101E">
        <w:rPr>
          <w:rStyle w:val="Lienhypertexte"/>
          <w:noProof/>
          <w:color w:val="000000" w:themeColor="text1"/>
          <w:u w:val="none"/>
        </w:rPr>
        <w:t>157</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1 : Présentation de l’entreprise Hasnaoui Logistique</w:t>
      </w:r>
      <w:r w:rsidR="00621F97" w:rsidRPr="008A5941">
        <w:rPr>
          <w:rStyle w:val="Lienhypertexte"/>
          <w:noProof/>
          <w:color w:val="000000" w:themeColor="text1"/>
          <w:u w:val="none"/>
          <w:lang w:val="fr-FR"/>
        </w:rPr>
        <w:t>………………………………</w:t>
      </w:r>
      <w:r w:rsidRPr="00EE101E">
        <w:rPr>
          <w:rStyle w:val="Lienhypertexte"/>
          <w:noProof/>
          <w:color w:val="000000" w:themeColor="text1"/>
          <w:u w:val="none"/>
        </w:rPr>
        <w:t>159</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2 : Cadre méthodologique de la recherche</w:t>
      </w:r>
      <w:r w:rsidR="00621F97" w:rsidRPr="008A5941">
        <w:rPr>
          <w:rStyle w:val="Lienhypertexte"/>
          <w:noProof/>
          <w:color w:val="000000" w:themeColor="text1"/>
          <w:u w:val="none"/>
          <w:lang w:val="fr-FR"/>
        </w:rPr>
        <w:t>…………………………………………</w:t>
      </w:r>
      <w:r w:rsidRPr="00EE101E">
        <w:rPr>
          <w:rStyle w:val="Lienhypertexte"/>
          <w:noProof/>
          <w:color w:val="000000" w:themeColor="text1"/>
          <w:u w:val="none"/>
        </w:rPr>
        <w:t>171</w:t>
      </w:r>
    </w:p>
    <w:p w:rsidR="00EE101E" w:rsidRPr="00EE101E" w:rsidRDefault="00EE101E" w:rsidP="00621F97">
      <w:pPr>
        <w:spacing w:line="276" w:lineRule="auto"/>
        <w:jc w:val="both"/>
        <w:rPr>
          <w:rStyle w:val="Lienhypertexte"/>
          <w:noProof/>
          <w:color w:val="000000" w:themeColor="text1"/>
          <w:u w:val="none"/>
        </w:rPr>
      </w:pPr>
      <w:r w:rsidRPr="00EE101E">
        <w:rPr>
          <w:rStyle w:val="Lienhypertexte"/>
          <w:noProof/>
          <w:color w:val="000000" w:themeColor="text1"/>
          <w:u w:val="none"/>
        </w:rPr>
        <w:t>Section 3 : Présentation, analyse et interprétation des résultats</w:t>
      </w:r>
      <w:r w:rsidR="00621F97" w:rsidRPr="008A5941">
        <w:rPr>
          <w:rStyle w:val="Lienhypertexte"/>
          <w:noProof/>
          <w:color w:val="000000" w:themeColor="text1"/>
          <w:u w:val="none"/>
          <w:lang w:val="fr-FR"/>
        </w:rPr>
        <w:t>…………………………….</w:t>
      </w:r>
      <w:r w:rsidRPr="00EE101E">
        <w:rPr>
          <w:rStyle w:val="Lienhypertexte"/>
          <w:noProof/>
          <w:color w:val="000000" w:themeColor="text1"/>
          <w:u w:val="none"/>
        </w:rPr>
        <w:t>185</w:t>
      </w:r>
    </w:p>
    <w:p w:rsidR="00EE101E" w:rsidRPr="00EE101E" w:rsidRDefault="00EE101E" w:rsidP="00621F97">
      <w:pPr>
        <w:spacing w:after="240" w:line="276" w:lineRule="auto"/>
        <w:jc w:val="both"/>
        <w:rPr>
          <w:rStyle w:val="Lienhypertexte"/>
          <w:noProof/>
          <w:color w:val="000000" w:themeColor="text1"/>
          <w:u w:val="none"/>
        </w:rPr>
      </w:pPr>
      <w:r w:rsidRPr="00EE101E">
        <w:rPr>
          <w:rStyle w:val="Lienhypertexte"/>
          <w:noProof/>
          <w:color w:val="000000" w:themeColor="text1"/>
          <w:u w:val="none"/>
        </w:rPr>
        <w:t>Conclusion du chapitre</w:t>
      </w:r>
      <w:r w:rsidR="00621F97" w:rsidRPr="008A5941">
        <w:rPr>
          <w:rStyle w:val="Lienhypertexte"/>
          <w:noProof/>
          <w:color w:val="000000" w:themeColor="text1"/>
          <w:u w:val="none"/>
          <w:lang w:val="fr-FR"/>
        </w:rPr>
        <w:t>……………………………………………………………………...</w:t>
      </w:r>
      <w:r w:rsidRPr="00EE101E">
        <w:rPr>
          <w:rStyle w:val="Lienhypertexte"/>
          <w:noProof/>
          <w:color w:val="000000" w:themeColor="text1"/>
          <w:u w:val="none"/>
        </w:rPr>
        <w:t>249</w:t>
      </w:r>
    </w:p>
    <w:p w:rsidR="00EE101E" w:rsidRPr="00621F97" w:rsidRDefault="00621F97" w:rsidP="00621F97">
      <w:pPr>
        <w:spacing w:line="276" w:lineRule="auto"/>
        <w:jc w:val="both"/>
        <w:rPr>
          <w:rStyle w:val="Lienhypertexte"/>
          <w:b/>
          <w:bCs/>
          <w:noProof/>
          <w:color w:val="000000" w:themeColor="text1"/>
          <w:u w:val="none"/>
        </w:rPr>
      </w:pPr>
      <w:r w:rsidRPr="008A5941">
        <w:rPr>
          <w:rStyle w:val="Lienhypertexte"/>
          <w:b/>
          <w:bCs/>
          <w:noProof/>
          <w:color w:val="000000" w:themeColor="text1"/>
          <w:u w:val="none"/>
          <w:lang w:val="fr-FR"/>
        </w:rPr>
        <w:t>Conclusion générale………………………………………………………………………..</w:t>
      </w:r>
      <w:r w:rsidR="00EE101E" w:rsidRPr="00621F97">
        <w:rPr>
          <w:rStyle w:val="Lienhypertexte"/>
          <w:b/>
          <w:bCs/>
          <w:noProof/>
          <w:color w:val="000000" w:themeColor="text1"/>
          <w:u w:val="none"/>
        </w:rPr>
        <w:t>250</w:t>
      </w:r>
    </w:p>
    <w:p w:rsidR="00EE101E" w:rsidRPr="00180BD7" w:rsidRDefault="00621F97" w:rsidP="00621F97">
      <w:pPr>
        <w:spacing w:line="276" w:lineRule="auto"/>
        <w:jc w:val="both"/>
        <w:rPr>
          <w:rStyle w:val="Lienhypertexte"/>
          <w:b/>
          <w:bCs/>
          <w:noProof/>
          <w:color w:val="000000" w:themeColor="text1"/>
          <w:u w:val="none"/>
          <w:lang w:val="en-US"/>
        </w:rPr>
      </w:pPr>
      <w:r w:rsidRPr="008A5941">
        <w:rPr>
          <w:rStyle w:val="Lienhypertexte"/>
          <w:b/>
          <w:bCs/>
          <w:noProof/>
          <w:color w:val="000000" w:themeColor="text1"/>
          <w:u w:val="none"/>
          <w:lang w:val="fr-FR"/>
        </w:rPr>
        <w:t>Bibliographie…….</w:t>
      </w:r>
      <w:r w:rsidR="00EE101E" w:rsidRPr="008A5941">
        <w:rPr>
          <w:rStyle w:val="Lienhypertexte"/>
          <w:b/>
          <w:bCs/>
          <w:noProof/>
          <w:color w:val="000000" w:themeColor="text1"/>
          <w:u w:val="none"/>
          <w:lang w:val="fr-FR"/>
        </w:rPr>
        <w:t>………………………………………………………………………</w:t>
      </w:r>
      <w:r w:rsidRPr="008A5941">
        <w:rPr>
          <w:rStyle w:val="Lienhypertexte"/>
          <w:b/>
          <w:bCs/>
          <w:noProof/>
          <w:color w:val="000000" w:themeColor="text1"/>
          <w:u w:val="none"/>
          <w:lang w:val="fr-FR"/>
        </w:rPr>
        <w:t>..</w:t>
      </w:r>
      <w:r w:rsidR="00EE101E" w:rsidRPr="008A5941">
        <w:rPr>
          <w:rStyle w:val="Lienhypertexte"/>
          <w:b/>
          <w:bCs/>
          <w:noProof/>
          <w:color w:val="000000" w:themeColor="text1"/>
          <w:u w:val="none"/>
          <w:lang w:val="fr-FR"/>
        </w:rPr>
        <w:t>.</w:t>
      </w:r>
      <w:r w:rsidR="00EE101E" w:rsidRPr="00621F97">
        <w:rPr>
          <w:rStyle w:val="Lienhypertexte"/>
          <w:b/>
          <w:bCs/>
          <w:noProof/>
          <w:color w:val="000000" w:themeColor="text1"/>
          <w:u w:val="none"/>
        </w:rPr>
        <w:t>25</w:t>
      </w:r>
      <w:r w:rsidR="00180BD7">
        <w:rPr>
          <w:rStyle w:val="Lienhypertexte"/>
          <w:b/>
          <w:bCs/>
          <w:noProof/>
          <w:color w:val="000000" w:themeColor="text1"/>
          <w:u w:val="none"/>
          <w:lang w:val="en-US"/>
        </w:rPr>
        <w:t>7</w:t>
      </w:r>
    </w:p>
    <w:p w:rsidR="00EE101E" w:rsidRPr="00180BD7" w:rsidRDefault="00EE101E" w:rsidP="00621F97">
      <w:pPr>
        <w:spacing w:line="276" w:lineRule="auto"/>
        <w:jc w:val="both"/>
        <w:rPr>
          <w:rStyle w:val="Lienhypertexte"/>
          <w:b/>
          <w:bCs/>
          <w:noProof/>
          <w:color w:val="000000" w:themeColor="text1"/>
          <w:u w:val="none"/>
          <w:lang w:val="en-US"/>
        </w:rPr>
      </w:pPr>
      <w:r w:rsidRPr="00621F97">
        <w:rPr>
          <w:rStyle w:val="Lienhypertexte"/>
          <w:b/>
          <w:bCs/>
          <w:noProof/>
          <w:color w:val="000000" w:themeColor="text1"/>
          <w:u w:val="none"/>
        </w:rPr>
        <w:t>A</w:t>
      </w:r>
      <w:r w:rsidR="00621F97" w:rsidRPr="008A5941">
        <w:rPr>
          <w:rStyle w:val="Lienhypertexte"/>
          <w:b/>
          <w:bCs/>
          <w:noProof/>
          <w:color w:val="000000" w:themeColor="text1"/>
          <w:u w:val="none"/>
          <w:lang w:val="fr-FR"/>
        </w:rPr>
        <w:t>nnexes….</w:t>
      </w:r>
      <w:r w:rsidRPr="008A5941">
        <w:rPr>
          <w:rStyle w:val="Lienhypertexte"/>
          <w:b/>
          <w:bCs/>
          <w:noProof/>
          <w:color w:val="000000" w:themeColor="text1"/>
          <w:u w:val="none"/>
          <w:lang w:val="fr-FR"/>
        </w:rPr>
        <w:t>………………………………………………………………………………</w:t>
      </w:r>
      <w:r w:rsidR="00621F97" w:rsidRPr="008A5941">
        <w:rPr>
          <w:rStyle w:val="Lienhypertexte"/>
          <w:b/>
          <w:bCs/>
          <w:noProof/>
          <w:color w:val="000000" w:themeColor="text1"/>
          <w:u w:val="none"/>
          <w:lang w:val="fr-FR"/>
        </w:rPr>
        <w:t>...</w:t>
      </w:r>
      <w:r w:rsidRPr="008A5941">
        <w:rPr>
          <w:rStyle w:val="Lienhypertexte"/>
          <w:b/>
          <w:bCs/>
          <w:noProof/>
          <w:color w:val="000000" w:themeColor="text1"/>
          <w:u w:val="none"/>
          <w:lang w:val="fr-FR"/>
        </w:rPr>
        <w:t>.</w:t>
      </w:r>
      <w:r w:rsidRPr="00621F97">
        <w:rPr>
          <w:rStyle w:val="Lienhypertexte"/>
          <w:b/>
          <w:bCs/>
          <w:noProof/>
          <w:color w:val="000000" w:themeColor="text1"/>
          <w:u w:val="none"/>
        </w:rPr>
        <w:t>26</w:t>
      </w:r>
      <w:r w:rsidR="00180BD7">
        <w:rPr>
          <w:rStyle w:val="Lienhypertexte"/>
          <w:b/>
          <w:bCs/>
          <w:noProof/>
          <w:color w:val="000000" w:themeColor="text1"/>
          <w:u w:val="none"/>
          <w:lang w:val="en-US"/>
        </w:rPr>
        <w:t>9</w:t>
      </w:r>
    </w:p>
    <w:p w:rsidR="00EE101E" w:rsidRPr="00180BD7" w:rsidRDefault="00EE101E" w:rsidP="00621F97">
      <w:pPr>
        <w:spacing w:line="276" w:lineRule="auto"/>
        <w:jc w:val="both"/>
        <w:rPr>
          <w:rStyle w:val="Lienhypertexte"/>
          <w:b/>
          <w:bCs/>
          <w:noProof/>
          <w:color w:val="000000" w:themeColor="text1"/>
          <w:u w:val="none"/>
          <w:lang w:val="en-US"/>
        </w:rPr>
      </w:pPr>
      <w:r w:rsidRPr="00621F97">
        <w:rPr>
          <w:rStyle w:val="Lienhypertexte"/>
          <w:b/>
          <w:bCs/>
          <w:noProof/>
          <w:color w:val="000000" w:themeColor="text1"/>
          <w:u w:val="none"/>
        </w:rPr>
        <w:t>Table des matières ………………………………………………………………………</w:t>
      </w:r>
      <w:r w:rsidR="00621F97" w:rsidRPr="008A5941">
        <w:rPr>
          <w:rStyle w:val="Lienhypertexte"/>
          <w:b/>
          <w:bCs/>
          <w:noProof/>
          <w:color w:val="000000" w:themeColor="text1"/>
          <w:u w:val="none"/>
          <w:lang w:val="fr-FR"/>
        </w:rPr>
        <w:t>…</w:t>
      </w:r>
      <w:r w:rsidRPr="00621F97">
        <w:rPr>
          <w:rStyle w:val="Lienhypertexte"/>
          <w:b/>
          <w:bCs/>
          <w:noProof/>
          <w:color w:val="000000" w:themeColor="text1"/>
          <w:u w:val="none"/>
        </w:rPr>
        <w:t>29</w:t>
      </w:r>
      <w:r w:rsidR="00180BD7">
        <w:rPr>
          <w:rStyle w:val="Lienhypertexte"/>
          <w:b/>
          <w:bCs/>
          <w:noProof/>
          <w:color w:val="000000" w:themeColor="text1"/>
          <w:u w:val="none"/>
          <w:lang w:val="en-US"/>
        </w:rPr>
        <w:t>5</w:t>
      </w:r>
    </w:p>
    <w:p w:rsidR="00EE101E" w:rsidRPr="008A5941" w:rsidRDefault="00EE101E" w:rsidP="00621F97">
      <w:pPr>
        <w:spacing w:line="276" w:lineRule="auto"/>
        <w:jc w:val="both"/>
        <w:rPr>
          <w:rStyle w:val="Lienhypertexte"/>
          <w:b/>
          <w:bCs/>
          <w:noProof/>
          <w:color w:val="000000" w:themeColor="text1"/>
          <w:u w:val="none"/>
          <w:lang w:val="fr-FR"/>
        </w:rPr>
      </w:pPr>
      <w:r w:rsidRPr="00621F97">
        <w:rPr>
          <w:rStyle w:val="Lienhypertexte"/>
          <w:b/>
          <w:bCs/>
          <w:noProof/>
          <w:color w:val="000000" w:themeColor="text1"/>
          <w:u w:val="none"/>
        </w:rPr>
        <w:t>Résumé</w:t>
      </w:r>
      <w:r w:rsidRPr="008A5941">
        <w:rPr>
          <w:rStyle w:val="Lienhypertexte"/>
          <w:b/>
          <w:bCs/>
          <w:noProof/>
          <w:color w:val="000000" w:themeColor="text1"/>
          <w:u w:val="none"/>
          <w:lang w:val="fr-FR"/>
        </w:rPr>
        <w:t>……………………………………………………………………………………..</w:t>
      </w:r>
      <w:r w:rsidR="007F4B8D" w:rsidRPr="008A5941">
        <w:rPr>
          <w:rStyle w:val="Lienhypertexte"/>
          <w:b/>
          <w:bCs/>
          <w:noProof/>
          <w:color w:val="000000" w:themeColor="text1"/>
          <w:u w:val="none"/>
          <w:lang w:val="fr-FR"/>
        </w:rPr>
        <w:t>30</w:t>
      </w:r>
      <w:r w:rsidR="00180BD7">
        <w:rPr>
          <w:rStyle w:val="Lienhypertexte"/>
          <w:b/>
          <w:bCs/>
          <w:noProof/>
          <w:color w:val="000000" w:themeColor="text1"/>
          <w:u w:val="none"/>
          <w:lang w:val="fr-FR"/>
        </w:rPr>
        <w:t>5</w:t>
      </w: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Default="00BB2FB1" w:rsidP="00621F97">
      <w:pPr>
        <w:pStyle w:val="p1"/>
        <w:rPr>
          <w:b/>
          <w:bCs/>
          <w:sz w:val="36"/>
          <w:szCs w:val="36"/>
          <w:lang w:val="fr-FR"/>
        </w:rPr>
      </w:pPr>
    </w:p>
    <w:p w:rsidR="00621F97" w:rsidRDefault="00621F97" w:rsidP="00621F97">
      <w:pPr>
        <w:pStyle w:val="p1"/>
        <w:rPr>
          <w:b/>
          <w:bCs/>
          <w:sz w:val="36"/>
          <w:szCs w:val="36"/>
          <w:lang w:val="fr-FR"/>
        </w:rPr>
      </w:pPr>
    </w:p>
    <w:p w:rsidR="00621F97" w:rsidRDefault="00621F97" w:rsidP="00621F97">
      <w:pPr>
        <w:pStyle w:val="p1"/>
        <w:rPr>
          <w:b/>
          <w:bCs/>
          <w:sz w:val="36"/>
          <w:szCs w:val="36"/>
          <w:lang w:val="fr-FR"/>
        </w:rPr>
      </w:pPr>
    </w:p>
    <w:p w:rsidR="00BB2FB1" w:rsidRDefault="00BB2FB1" w:rsidP="00B75385">
      <w:pPr>
        <w:pStyle w:val="p1"/>
        <w:jc w:val="center"/>
        <w:rPr>
          <w:b/>
          <w:bCs/>
          <w:sz w:val="36"/>
          <w:szCs w:val="36"/>
          <w:lang w:val="fr-FR"/>
        </w:rPr>
      </w:pPr>
    </w:p>
    <w:p w:rsidR="00BB2FB1" w:rsidRDefault="00BB2FB1" w:rsidP="00B75385">
      <w:pPr>
        <w:pStyle w:val="p1"/>
        <w:jc w:val="center"/>
        <w:rPr>
          <w:b/>
          <w:bCs/>
          <w:sz w:val="36"/>
          <w:szCs w:val="36"/>
          <w:lang w:val="fr-FR"/>
        </w:rPr>
      </w:pPr>
    </w:p>
    <w:p w:rsidR="00BB2FB1" w:rsidRPr="00BB2FB1" w:rsidRDefault="00BB2FB1" w:rsidP="00EE101E">
      <w:pPr>
        <w:pStyle w:val="p1"/>
        <w:rPr>
          <w:b/>
          <w:bCs/>
          <w:sz w:val="36"/>
          <w:szCs w:val="36"/>
          <w:lang w:val="fr-FR"/>
        </w:rPr>
      </w:pPr>
    </w:p>
    <w:p w:rsidR="006A71CF" w:rsidRDefault="00500A93" w:rsidP="00B75385">
      <w:pPr>
        <w:pStyle w:val="p1"/>
        <w:jc w:val="center"/>
        <w:rPr>
          <w:b/>
          <w:bCs/>
          <w:lang w:val="fr-FR"/>
        </w:rPr>
      </w:pPr>
      <w:r>
        <w:rPr>
          <w:b/>
          <w:bCs/>
          <w:lang w:val="fr-FR"/>
        </w:rPr>
        <w:t xml:space="preserve">LISTE DES TABLEAUX </w:t>
      </w:r>
    </w:p>
    <w:p w:rsidR="006A71CF" w:rsidRDefault="006A71CF" w:rsidP="00B75385">
      <w:pPr>
        <w:pStyle w:val="p1"/>
        <w:jc w:val="center"/>
        <w:rPr>
          <w:b/>
          <w:bCs/>
          <w:lang w:val="fr-FR"/>
        </w:rPr>
      </w:pPr>
    </w:p>
    <w:p w:rsidR="006A71CF" w:rsidRDefault="006A71CF" w:rsidP="00B75385">
      <w:pPr>
        <w:pStyle w:val="p1"/>
        <w:jc w:val="center"/>
        <w:rPr>
          <w:b/>
          <w:bCs/>
          <w:lang w:val="fr-FR"/>
        </w:rPr>
      </w:pPr>
    </w:p>
    <w:p w:rsidR="00EE101E" w:rsidRDefault="00EE101E" w:rsidP="00B75385">
      <w:pPr>
        <w:pStyle w:val="p1"/>
        <w:jc w:val="center"/>
        <w:rPr>
          <w:b/>
          <w:bCs/>
          <w:lang w:val="fr-FR"/>
        </w:rPr>
      </w:pPr>
    </w:p>
    <w:p w:rsidR="00EE101E" w:rsidRDefault="00EE101E" w:rsidP="00B75385">
      <w:pPr>
        <w:pStyle w:val="p1"/>
        <w:jc w:val="center"/>
        <w:rPr>
          <w:b/>
          <w:bCs/>
          <w:lang w:val="fr-FR"/>
        </w:rPr>
      </w:pPr>
    </w:p>
    <w:p w:rsidR="006A71CF" w:rsidRDefault="006A71CF" w:rsidP="00B75385">
      <w:pPr>
        <w:pStyle w:val="p1"/>
        <w:jc w:val="center"/>
        <w:rPr>
          <w:b/>
          <w:bCs/>
          <w:lang w:val="fr-FR"/>
        </w:rPr>
      </w:pPr>
    </w:p>
    <w:p w:rsidR="006A71CF" w:rsidRDefault="006A71CF" w:rsidP="00B75385">
      <w:pPr>
        <w:pStyle w:val="p1"/>
        <w:jc w:val="center"/>
        <w:rPr>
          <w:b/>
          <w:bCs/>
          <w:lang w:val="fr-FR"/>
        </w:rPr>
      </w:pPr>
    </w:p>
    <w:p w:rsidR="006A71CF" w:rsidRDefault="006A71CF" w:rsidP="00B75385">
      <w:pPr>
        <w:pStyle w:val="p1"/>
        <w:jc w:val="center"/>
        <w:rPr>
          <w:b/>
          <w:bCs/>
          <w:lang w:val="fr-FR"/>
        </w:rPr>
      </w:pPr>
    </w:p>
    <w:p w:rsidR="000377D6" w:rsidRDefault="000377D6" w:rsidP="00B75385">
      <w:pPr>
        <w:pStyle w:val="p1"/>
        <w:jc w:val="center"/>
        <w:rPr>
          <w:b/>
          <w:bCs/>
          <w:lang w:val="fr-FR"/>
        </w:rPr>
      </w:pPr>
    </w:p>
    <w:p w:rsidR="000377D6" w:rsidRPr="00500A93" w:rsidRDefault="000377D6" w:rsidP="00621F97">
      <w:pPr>
        <w:spacing w:line="360" w:lineRule="auto"/>
        <w:jc w:val="center"/>
        <w:rPr>
          <w:b/>
          <w:bCs/>
          <w:color w:val="000000"/>
          <w:sz w:val="28"/>
          <w:szCs w:val="28"/>
        </w:rPr>
      </w:pPr>
      <w:r w:rsidRPr="000377D6">
        <w:rPr>
          <w:b/>
          <w:bCs/>
          <w:color w:val="000000"/>
          <w:sz w:val="28"/>
          <w:szCs w:val="28"/>
        </w:rPr>
        <w:lastRenderedPageBreak/>
        <w:t>LISTE DES TABLEAUX</w:t>
      </w:r>
    </w:p>
    <w:tbl>
      <w:tblPr>
        <w:tblStyle w:val="Grilledetableauclaire"/>
        <w:tblW w:w="0" w:type="auto"/>
        <w:tblLook w:val="04A0" w:firstRow="1" w:lastRow="0" w:firstColumn="1" w:lastColumn="0" w:noHBand="0" w:noVBand="1"/>
      </w:tblPr>
      <w:tblGrid>
        <w:gridCol w:w="1485"/>
        <w:gridCol w:w="6815"/>
        <w:gridCol w:w="710"/>
      </w:tblGrid>
      <w:tr w:rsidR="007E34FF" w:rsidRPr="00500A93" w:rsidTr="00500A93">
        <w:tc>
          <w:tcPr>
            <w:tcW w:w="0" w:type="auto"/>
            <w:hideMark/>
          </w:tcPr>
          <w:p w:rsidR="007E34FF" w:rsidRPr="00500A93" w:rsidRDefault="007E34FF" w:rsidP="00500A93">
            <w:pPr>
              <w:spacing w:line="360" w:lineRule="auto"/>
              <w:jc w:val="center"/>
              <w:rPr>
                <w:rFonts w:asciiTheme="majorBidi" w:hAnsiTheme="majorBidi" w:cstheme="majorBidi"/>
                <w:b/>
                <w:bCs/>
                <w:color w:val="000000"/>
              </w:rPr>
            </w:pPr>
            <w:r w:rsidRPr="00500A93">
              <w:rPr>
                <w:rFonts w:asciiTheme="majorBidi" w:hAnsiTheme="majorBidi" w:cstheme="majorBidi"/>
                <w:b/>
                <w:bCs/>
                <w:color w:val="000000"/>
              </w:rPr>
              <w:t>N° du tableau</w:t>
            </w:r>
          </w:p>
        </w:tc>
        <w:tc>
          <w:tcPr>
            <w:tcW w:w="0" w:type="auto"/>
            <w:hideMark/>
          </w:tcPr>
          <w:p w:rsidR="007E34FF" w:rsidRPr="00500A93" w:rsidRDefault="007E34FF" w:rsidP="00500A93">
            <w:pPr>
              <w:spacing w:line="360" w:lineRule="auto"/>
              <w:jc w:val="center"/>
              <w:rPr>
                <w:rFonts w:asciiTheme="majorBidi" w:hAnsiTheme="majorBidi" w:cstheme="majorBidi"/>
                <w:b/>
                <w:bCs/>
                <w:color w:val="000000"/>
              </w:rPr>
            </w:pPr>
            <w:r w:rsidRPr="00500A93">
              <w:rPr>
                <w:rFonts w:asciiTheme="majorBidi" w:hAnsiTheme="majorBidi" w:cstheme="majorBidi"/>
                <w:b/>
                <w:bCs/>
                <w:color w:val="000000"/>
              </w:rPr>
              <w:t>Titre du tableau</w:t>
            </w:r>
          </w:p>
        </w:tc>
        <w:tc>
          <w:tcPr>
            <w:tcW w:w="0" w:type="auto"/>
            <w:hideMark/>
          </w:tcPr>
          <w:p w:rsidR="007E34FF" w:rsidRPr="00500A93" w:rsidRDefault="007E34FF" w:rsidP="00500A93">
            <w:pPr>
              <w:spacing w:line="360" w:lineRule="auto"/>
              <w:jc w:val="center"/>
              <w:rPr>
                <w:rFonts w:asciiTheme="majorBidi" w:hAnsiTheme="majorBidi" w:cstheme="majorBidi"/>
                <w:b/>
                <w:bCs/>
                <w:color w:val="000000"/>
              </w:rPr>
            </w:pPr>
            <w:r w:rsidRPr="00500A93">
              <w:rPr>
                <w:rFonts w:asciiTheme="majorBidi" w:hAnsiTheme="majorBidi" w:cstheme="majorBidi"/>
                <w:b/>
                <w:bCs/>
                <w:color w:val="000000"/>
              </w:rPr>
              <w:t>Page</w:t>
            </w:r>
          </w:p>
        </w:tc>
      </w:tr>
      <w:tr w:rsidR="007E34FF" w:rsidRPr="00500A93" w:rsidTr="00500A93">
        <w:tc>
          <w:tcPr>
            <w:tcW w:w="0" w:type="auto"/>
            <w:gridSpan w:val="3"/>
          </w:tcPr>
          <w:p w:rsidR="007E34FF" w:rsidRPr="00500A93" w:rsidRDefault="00500A93" w:rsidP="00500A93">
            <w:pPr>
              <w:spacing w:line="360" w:lineRule="auto"/>
              <w:jc w:val="center"/>
              <w:rPr>
                <w:rFonts w:asciiTheme="majorBidi" w:hAnsiTheme="majorBidi" w:cstheme="majorBidi"/>
                <w:b/>
                <w:bCs/>
                <w:color w:val="000000"/>
                <w:lang w:val="fr-FR"/>
              </w:rPr>
            </w:pPr>
            <w:r w:rsidRPr="00500A93">
              <w:rPr>
                <w:rFonts w:asciiTheme="majorBidi" w:hAnsiTheme="majorBidi" w:cstheme="majorBidi"/>
                <w:b/>
                <w:bCs/>
                <w:color w:val="000000"/>
                <w:lang w:val="fr-FR"/>
              </w:rPr>
              <w:t>Chapitre 01</w:t>
            </w:r>
          </w:p>
        </w:tc>
      </w:tr>
      <w:tr w:rsidR="007E34FF" w:rsidRPr="00500A93" w:rsidTr="00500A93">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1</w:t>
            </w:r>
          </w:p>
        </w:tc>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Une synthèse sur les approches RH (anglo-saxonnes et françaises)</w:t>
            </w:r>
          </w:p>
        </w:tc>
        <w:tc>
          <w:tcPr>
            <w:tcW w:w="0" w:type="auto"/>
            <w:hideMark/>
          </w:tcPr>
          <w:p w:rsidR="007E34FF" w:rsidRPr="001F2DE7" w:rsidRDefault="001F2DE7"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18</w:t>
            </w:r>
          </w:p>
        </w:tc>
      </w:tr>
      <w:tr w:rsidR="007E34FF" w:rsidRPr="00500A93" w:rsidTr="00500A93">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2</w:t>
            </w:r>
          </w:p>
        </w:tc>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Comparaison entre la Théorie X et la Théorie Y</w:t>
            </w:r>
          </w:p>
        </w:tc>
        <w:tc>
          <w:tcPr>
            <w:tcW w:w="0" w:type="auto"/>
            <w:hideMark/>
          </w:tcPr>
          <w:p w:rsidR="007E34FF" w:rsidRPr="001F2DE7" w:rsidRDefault="001F2DE7"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p>
        </w:tc>
      </w:tr>
      <w:tr w:rsidR="007E34FF" w:rsidRPr="00500A93" w:rsidTr="00500A93">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3</w:t>
            </w:r>
          </w:p>
        </w:tc>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Les outils individuels de la gestion des carrières</w:t>
            </w:r>
          </w:p>
        </w:tc>
        <w:tc>
          <w:tcPr>
            <w:tcW w:w="0" w:type="auto"/>
            <w:hideMark/>
          </w:tcPr>
          <w:p w:rsidR="007E34FF" w:rsidRPr="001F2DE7" w:rsidRDefault="001F2DE7"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45</w:t>
            </w:r>
          </w:p>
        </w:tc>
      </w:tr>
      <w:tr w:rsidR="007E34FF" w:rsidRPr="00500A93" w:rsidTr="00500A93">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4</w:t>
            </w:r>
          </w:p>
        </w:tc>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Comparaison des méthodes d’évaluation</w:t>
            </w:r>
          </w:p>
        </w:tc>
        <w:tc>
          <w:tcPr>
            <w:tcW w:w="0" w:type="auto"/>
            <w:hideMark/>
          </w:tcPr>
          <w:p w:rsidR="007E34FF" w:rsidRPr="001F2DE7" w:rsidRDefault="001F2DE7"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48</w:t>
            </w:r>
          </w:p>
        </w:tc>
      </w:tr>
      <w:tr w:rsidR="007E34FF" w:rsidRPr="00500A93" w:rsidTr="00500A93">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5</w:t>
            </w:r>
          </w:p>
        </w:tc>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Avantages et inconvénients du recrutement interne</w:t>
            </w:r>
          </w:p>
        </w:tc>
        <w:tc>
          <w:tcPr>
            <w:tcW w:w="0" w:type="auto"/>
            <w:hideMark/>
          </w:tcPr>
          <w:p w:rsidR="007E34FF" w:rsidRPr="001F2DE7" w:rsidRDefault="001F2DE7"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59</w:t>
            </w:r>
          </w:p>
        </w:tc>
      </w:tr>
      <w:tr w:rsidR="007E34FF" w:rsidRPr="00500A93" w:rsidTr="00500A93">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6</w:t>
            </w:r>
          </w:p>
        </w:tc>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Avantages et inconvénients du recrutement externe</w:t>
            </w:r>
          </w:p>
        </w:tc>
        <w:tc>
          <w:tcPr>
            <w:tcW w:w="0" w:type="auto"/>
            <w:hideMark/>
          </w:tcPr>
          <w:p w:rsidR="007E34FF" w:rsidRPr="001F2DE7" w:rsidRDefault="001F2DE7"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6</w:t>
            </w:r>
            <w:r w:rsidR="000C1677">
              <w:rPr>
                <w:rFonts w:asciiTheme="majorBidi" w:hAnsiTheme="majorBidi" w:cstheme="majorBidi"/>
                <w:color w:val="000000"/>
                <w:lang w:val="fr-FR"/>
              </w:rPr>
              <w:t>0</w:t>
            </w:r>
          </w:p>
        </w:tc>
      </w:tr>
      <w:tr w:rsidR="007E34FF" w:rsidRPr="00500A93" w:rsidTr="00500A93">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7</w:t>
            </w:r>
          </w:p>
        </w:tc>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Les limites du recrutement traditionnel</w:t>
            </w:r>
          </w:p>
        </w:tc>
        <w:tc>
          <w:tcPr>
            <w:tcW w:w="0" w:type="auto"/>
            <w:hideMark/>
          </w:tcPr>
          <w:p w:rsidR="007E34FF" w:rsidRPr="001F2DE7" w:rsidRDefault="001F2DE7"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6</w:t>
            </w:r>
            <w:r w:rsidR="000C1677">
              <w:rPr>
                <w:rFonts w:asciiTheme="majorBidi" w:hAnsiTheme="majorBidi" w:cstheme="majorBidi"/>
                <w:color w:val="000000"/>
                <w:lang w:val="fr-FR"/>
              </w:rPr>
              <w:t>7</w:t>
            </w:r>
          </w:p>
        </w:tc>
      </w:tr>
      <w:tr w:rsidR="007E34FF" w:rsidRPr="00500A93" w:rsidTr="00500A93">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8</w:t>
            </w:r>
          </w:p>
        </w:tc>
        <w:tc>
          <w:tcPr>
            <w:tcW w:w="0" w:type="auto"/>
            <w:hideMark/>
          </w:tcPr>
          <w:p w:rsidR="007E34FF" w:rsidRPr="00500A93" w:rsidRDefault="007E34FF" w:rsidP="00500A93">
            <w:pPr>
              <w:spacing w:line="360" w:lineRule="auto"/>
              <w:rPr>
                <w:rFonts w:asciiTheme="majorBidi" w:hAnsiTheme="majorBidi" w:cstheme="majorBidi"/>
                <w:color w:val="000000"/>
              </w:rPr>
            </w:pPr>
            <w:r w:rsidRPr="00500A93">
              <w:rPr>
                <w:rFonts w:asciiTheme="majorBidi" w:hAnsiTheme="majorBidi" w:cstheme="majorBidi"/>
                <w:color w:val="000000"/>
              </w:rPr>
              <w:t>Les impacts positifs de la formation professionnelle</w:t>
            </w:r>
          </w:p>
        </w:tc>
        <w:tc>
          <w:tcPr>
            <w:tcW w:w="0" w:type="auto"/>
            <w:hideMark/>
          </w:tcPr>
          <w:p w:rsidR="007E34FF" w:rsidRPr="001F2DE7" w:rsidRDefault="001F2DE7"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7</w:t>
            </w:r>
            <w:r w:rsidR="000C1677">
              <w:rPr>
                <w:rFonts w:asciiTheme="majorBidi" w:hAnsiTheme="majorBidi" w:cstheme="majorBidi"/>
                <w:color w:val="000000"/>
                <w:lang w:val="fr-FR"/>
              </w:rPr>
              <w:t>0</w:t>
            </w:r>
          </w:p>
        </w:tc>
      </w:tr>
      <w:tr w:rsidR="00500A93" w:rsidRPr="00500A93" w:rsidTr="00500A93">
        <w:tc>
          <w:tcPr>
            <w:tcW w:w="0" w:type="auto"/>
            <w:gridSpan w:val="3"/>
          </w:tcPr>
          <w:p w:rsidR="00500A93" w:rsidRPr="00500A93" w:rsidRDefault="00500A93" w:rsidP="00500A93">
            <w:pPr>
              <w:spacing w:line="360" w:lineRule="auto"/>
              <w:jc w:val="center"/>
              <w:rPr>
                <w:rFonts w:asciiTheme="majorBidi" w:hAnsiTheme="majorBidi" w:cstheme="majorBidi"/>
                <w:b/>
                <w:bCs/>
                <w:color w:val="000000"/>
                <w:lang w:val="fr-FR"/>
              </w:rPr>
            </w:pPr>
            <w:r w:rsidRPr="00500A93">
              <w:rPr>
                <w:rFonts w:asciiTheme="majorBidi" w:hAnsiTheme="majorBidi" w:cstheme="majorBidi"/>
                <w:b/>
                <w:bCs/>
                <w:color w:val="000000"/>
                <w:lang w:val="fr-FR"/>
              </w:rPr>
              <w:t>Chapitre 0</w:t>
            </w:r>
            <w:r>
              <w:rPr>
                <w:rFonts w:asciiTheme="majorBidi" w:hAnsiTheme="majorBidi" w:cstheme="majorBidi"/>
                <w:b/>
                <w:bCs/>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9</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Les enjeux de la digitalisation</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10</w:t>
            </w:r>
            <w:r w:rsidR="000C1677">
              <w:rPr>
                <w:rFonts w:asciiTheme="majorBidi" w:hAnsiTheme="majorBidi" w:cstheme="majorBidi"/>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10</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Comparaison entre la GRH traditionnelle et la digitalisation de la GRH</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10</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11</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Avantages et limites des entretiens en ligne</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13</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12</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Comparaison des outils de l’e-recrutement et de l’e-formation</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15</w:t>
            </w:r>
            <w:r w:rsidR="000C1677">
              <w:rPr>
                <w:rFonts w:asciiTheme="majorBidi" w:hAnsiTheme="majorBidi" w:cstheme="majorBidi"/>
                <w:color w:val="000000"/>
                <w:lang w:val="fr-FR"/>
              </w:rPr>
              <w:t>2</w:t>
            </w:r>
          </w:p>
        </w:tc>
      </w:tr>
      <w:tr w:rsidR="00500A93" w:rsidRPr="00500A93" w:rsidTr="00500A93">
        <w:tc>
          <w:tcPr>
            <w:tcW w:w="0" w:type="auto"/>
            <w:gridSpan w:val="3"/>
          </w:tcPr>
          <w:p w:rsidR="00500A93" w:rsidRPr="00500A93" w:rsidRDefault="00500A93" w:rsidP="00500A93">
            <w:pPr>
              <w:spacing w:line="360" w:lineRule="auto"/>
              <w:jc w:val="center"/>
              <w:rPr>
                <w:rFonts w:asciiTheme="majorBidi" w:hAnsiTheme="majorBidi" w:cstheme="majorBidi"/>
                <w:b/>
                <w:bCs/>
                <w:color w:val="000000"/>
                <w:lang w:val="fr-FR"/>
              </w:rPr>
            </w:pPr>
            <w:r w:rsidRPr="00500A93">
              <w:rPr>
                <w:rFonts w:asciiTheme="majorBidi" w:hAnsiTheme="majorBidi" w:cstheme="majorBidi"/>
                <w:b/>
                <w:bCs/>
                <w:color w:val="000000"/>
                <w:lang w:val="fr-FR"/>
              </w:rPr>
              <w:t>Chapitre 0</w:t>
            </w:r>
            <w:r>
              <w:rPr>
                <w:rFonts w:asciiTheme="majorBidi" w:hAnsiTheme="majorBidi" w:cstheme="majorBidi"/>
                <w:b/>
                <w:bCs/>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13</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Variables et items mesurés dans l'étude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17</w:t>
            </w:r>
            <w:r w:rsidR="000C1677">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Facteurs de chargement pour les indicateurs de construction liés au modèle d'étude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18</w:t>
            </w:r>
            <w:r w:rsidR="000C1677">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Coefficients de Alpha de Cronbach</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18</w:t>
            </w:r>
            <w:r w:rsidR="000C1677">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16</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Les valeurs de l'indicateur de fiabilité composite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18</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17</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Variances Moyennes Extraite (AVE)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w:t>
            </w:r>
            <w:r w:rsidR="000C1677">
              <w:rPr>
                <w:rFonts w:asciiTheme="majorBidi" w:hAnsiTheme="majorBidi" w:cstheme="majorBidi"/>
                <w:color w:val="000000"/>
                <w:lang w:val="fr-FR"/>
              </w:rPr>
              <w:t>8</w:t>
            </w:r>
            <w:r>
              <w:rPr>
                <w:rFonts w:asciiTheme="majorBidi" w:hAnsiTheme="majorBidi" w:cstheme="majorBidi"/>
                <w:color w:val="000000"/>
                <w:lang w:val="fr-FR"/>
              </w:rPr>
              <w:t>9</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18</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Facteur de Gonflement de la Variance (VIF)</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0C1677">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19</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Qualité de l'ajustement</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0C1677">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20</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le genre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0C1677">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21</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d’échantillon selon l’âge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0C1677">
              <w:rPr>
                <w:rFonts w:asciiTheme="majorBidi" w:hAnsiTheme="majorBidi" w:cstheme="majorBidi"/>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22</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d’échantillon selon le niveau d’éducation</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0C1677">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23</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d’échantillon selon la catégorie socioprofessionnelle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0C1677">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d’échantillon selon le département du travail</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0C1677">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lastRenderedPageBreak/>
              <w:t>25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d’échantillon selon le secteur d'activité de l'entreprise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26</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d’échantillon selon la taille de l'entreprise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0C1677">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27</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d’échantillon selon la situation de l'entreprise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0C1677">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28</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d’échantillon selon l’expérience professionnelle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0C1677">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29</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la question 10 du questionnaire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0C1677">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30</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la question 11 du questionnaire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31</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la question 12 du questionnaire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w:t>
            </w:r>
            <w:r w:rsidR="000C1677">
              <w:rPr>
                <w:rFonts w:asciiTheme="majorBidi" w:hAnsiTheme="majorBidi" w:cstheme="majorBidi"/>
                <w:color w:val="000000"/>
                <w:lang w:val="fr-FR"/>
              </w:rPr>
              <w:t>09</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32</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Poids de l’échelle Likert</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21</w:t>
            </w:r>
            <w:r w:rsidR="000C1677">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33</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Test T de l’axe “Automatisation”</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21</w:t>
            </w:r>
            <w:r w:rsidR="000C1677">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Test T de l’axe “Numérisation”</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21</w:t>
            </w:r>
            <w:r w:rsidR="000C1677">
              <w:rPr>
                <w:rFonts w:asciiTheme="majorBidi" w:hAnsiTheme="majorBidi" w:cstheme="majorBidi"/>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Test T de l’axe “Accessibilité numérique”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21</w:t>
            </w:r>
            <w:r w:rsidR="000C1677">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36</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Test T de l’axe “Processus de recrutement digitalisé”</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218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37</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Test T de l’axe “Processus de formation digitalisée”</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38</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Test T de l’axe “Performance des RH”</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39</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l’hypothèse H1</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40</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l’hypothèse H1</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EE7032">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41</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l’hypothèse H1</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42</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la sous-hypothèse H1.1</w:t>
            </w:r>
          </w:p>
        </w:tc>
        <w:tc>
          <w:tcPr>
            <w:tcW w:w="0" w:type="auto"/>
            <w:hideMark/>
          </w:tcPr>
          <w:p w:rsidR="00500A93" w:rsidRPr="008C7866" w:rsidRDefault="008C7866"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43</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la sous-hypothèse H1.1</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44</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la sous-hypothèse H1.1</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45</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la sous-hypothèse H1.2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46</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la sous-hypothèse H1.2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47</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la sous-hypothèse H1.2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48</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la sous-hypothèse H1.3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22</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49</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la sous-hypothèse H1.3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w:t>
            </w:r>
            <w:r w:rsidR="000C1677">
              <w:rPr>
                <w:rFonts w:asciiTheme="majorBidi" w:hAnsiTheme="majorBidi" w:cstheme="majorBidi"/>
                <w:color w:val="000000"/>
                <w:lang w:val="fr-FR"/>
              </w:rPr>
              <w:t>29</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50</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la sous-hypothèse H1.3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w:t>
            </w:r>
            <w:r w:rsidR="000C1677">
              <w:rPr>
                <w:rFonts w:asciiTheme="majorBidi" w:hAnsiTheme="majorBidi" w:cstheme="majorBidi"/>
                <w:color w:val="000000"/>
                <w:lang w:val="fr-FR"/>
              </w:rPr>
              <w:t>29</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51</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l’hypothèse H2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52</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l’hypothèse H2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53</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l’hypothèse H2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54</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la sous-hypothèse H2.1</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55</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la sous-hypothèse H2.1</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56</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la sous-hypothèse H2.1</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lastRenderedPageBreak/>
              <w:t>57</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la sous-hypothèse H2.</w:t>
            </w:r>
            <w:r w:rsidR="00FC1595" w:rsidRPr="007B209A">
              <w:rPr>
                <w:rFonts w:asciiTheme="majorBidi" w:hAnsiTheme="majorBidi" w:cstheme="majorBidi"/>
                <w:color w:val="000000"/>
                <w:lang w:val="fr-FR"/>
              </w:rPr>
              <w:t>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58</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la sous-hypothèse H2.</w:t>
            </w:r>
            <w:r w:rsidR="00FC1595" w:rsidRPr="007B209A">
              <w:rPr>
                <w:rFonts w:asciiTheme="majorBidi" w:hAnsiTheme="majorBidi" w:cstheme="majorBidi"/>
                <w:color w:val="000000"/>
                <w:lang w:val="fr-FR"/>
              </w:rPr>
              <w:t>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59</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la sous-hypothèse H2.</w:t>
            </w:r>
            <w:r w:rsidR="00FC1595" w:rsidRPr="007B209A">
              <w:rPr>
                <w:rFonts w:asciiTheme="majorBidi" w:hAnsiTheme="majorBidi" w:cstheme="majorBidi"/>
                <w:color w:val="000000"/>
                <w:lang w:val="fr-FR"/>
              </w:rPr>
              <w:t>2</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60</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la sous-hypothèse H2.</w:t>
            </w:r>
            <w:r w:rsidR="00FC1595" w:rsidRPr="007B209A">
              <w:rPr>
                <w:rFonts w:asciiTheme="majorBidi" w:hAnsiTheme="majorBidi" w:cstheme="majorBidi"/>
                <w:color w:val="000000"/>
                <w:lang w:val="fr-FR"/>
              </w:rPr>
              <w:t>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61</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la sous-hypothèse H2.3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62</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la sous-hypothèse H2.3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63</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la sous-hypothèse H</w:t>
            </w:r>
            <w:r w:rsidR="00FC1595" w:rsidRPr="007B209A">
              <w:rPr>
                <w:rFonts w:asciiTheme="majorBidi" w:hAnsiTheme="majorBidi" w:cstheme="majorBidi"/>
                <w:color w:val="000000"/>
                <w:lang w:val="fr-FR"/>
              </w:rPr>
              <w:t>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64</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l’hypothèse H3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65</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l’hypothèse H3</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66</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l’hypothèse H</w:t>
            </w:r>
            <w:r w:rsidR="00FC1595" w:rsidRPr="007B209A">
              <w:rPr>
                <w:rFonts w:asciiTheme="majorBidi" w:hAnsiTheme="majorBidi" w:cstheme="majorBidi"/>
                <w:color w:val="000000"/>
                <w:lang w:val="fr-FR"/>
              </w:rPr>
              <w:t>4</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67</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 </w:t>
            </w:r>
            <w:r w:rsidR="00FC1595" w:rsidRPr="007B209A">
              <w:rPr>
                <w:rFonts w:asciiTheme="majorBidi" w:hAnsiTheme="majorBidi" w:cstheme="majorBidi"/>
                <w:color w:val="000000" w:themeColor="text1"/>
                <w:lang w:val="fr-FR"/>
              </w:rPr>
              <w:t xml:space="preserve">la condition de </w:t>
            </w:r>
            <w:r w:rsidR="00924812" w:rsidRPr="007B209A">
              <w:rPr>
                <w:rFonts w:asciiTheme="majorBidi" w:hAnsiTheme="majorBidi" w:cstheme="majorBidi"/>
                <w:color w:val="000000"/>
                <w:lang w:val="fr-FR"/>
              </w:rPr>
              <w:t>l’hypothèse H4</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68</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w:t>
            </w:r>
            <w:r w:rsidR="00FC1595" w:rsidRPr="007B209A">
              <w:rPr>
                <w:rFonts w:asciiTheme="majorBidi" w:hAnsiTheme="majorBidi" w:cstheme="majorBidi"/>
                <w:color w:val="000000" w:themeColor="text1"/>
                <w:lang w:val="fr-FR"/>
              </w:rPr>
              <w:t>de la condition</w:t>
            </w:r>
            <w:r w:rsidR="00924812" w:rsidRPr="007B209A">
              <w:rPr>
                <w:rFonts w:asciiTheme="majorBidi" w:hAnsiTheme="majorBidi" w:cstheme="majorBidi"/>
                <w:color w:val="000000"/>
                <w:lang w:val="fr-FR"/>
              </w:rPr>
              <w:t xml:space="preserve"> </w:t>
            </w:r>
            <w:r w:rsidR="00FC1595" w:rsidRPr="007B209A">
              <w:rPr>
                <w:rFonts w:asciiTheme="majorBidi" w:hAnsiTheme="majorBidi" w:cstheme="majorBidi"/>
                <w:color w:val="000000"/>
                <w:lang w:val="fr-FR"/>
              </w:rPr>
              <w:t xml:space="preserve">de </w:t>
            </w:r>
            <w:r w:rsidR="00924812" w:rsidRPr="007B209A">
              <w:rPr>
                <w:rFonts w:asciiTheme="majorBidi" w:hAnsiTheme="majorBidi" w:cstheme="majorBidi"/>
                <w:color w:val="000000"/>
                <w:lang w:val="fr-FR"/>
              </w:rPr>
              <w:t>l’hypothèse H4</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69</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 xml:space="preserve">L’effet direct de </w:t>
            </w:r>
            <w:r w:rsidR="00FC1595" w:rsidRPr="007B209A">
              <w:rPr>
                <w:rFonts w:asciiTheme="majorBidi" w:hAnsiTheme="majorBidi" w:cstheme="majorBidi"/>
                <w:color w:val="000000"/>
                <w:lang w:val="fr-FR"/>
              </w:rPr>
              <w:t>l’hypothèse H4</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70</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L’effet indirect de</w:t>
            </w:r>
            <w:r w:rsidR="00FC1595" w:rsidRPr="007B209A">
              <w:rPr>
                <w:rFonts w:asciiTheme="majorBidi" w:hAnsiTheme="majorBidi" w:cstheme="majorBidi"/>
                <w:color w:val="000000"/>
                <w:lang w:val="fr-FR"/>
              </w:rPr>
              <w:t xml:space="preserve"> de l’hypothèse H4</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23</w:t>
            </w:r>
            <w:r w:rsidR="000C1677">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71</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corrélation</w:t>
            </w:r>
            <w:r w:rsidR="00924812" w:rsidRPr="007B209A">
              <w:rPr>
                <w:rFonts w:asciiTheme="majorBidi" w:hAnsiTheme="majorBidi" w:cstheme="majorBidi"/>
                <w:color w:val="000000"/>
                <w:lang w:val="fr-FR"/>
              </w:rPr>
              <w:t xml:space="preserve"> de </w:t>
            </w:r>
            <w:r w:rsidR="00FC1595" w:rsidRPr="007B209A">
              <w:rPr>
                <w:rFonts w:asciiTheme="majorBidi" w:hAnsiTheme="majorBidi" w:cstheme="majorBidi"/>
                <w:color w:val="000000" w:themeColor="text1"/>
                <w:lang w:val="fr-FR"/>
              </w:rPr>
              <w:t>la condition</w:t>
            </w:r>
            <w:r w:rsidR="00FC1595" w:rsidRPr="007B209A">
              <w:rPr>
                <w:rFonts w:asciiTheme="majorBidi" w:hAnsiTheme="majorBidi" w:cstheme="majorBidi"/>
                <w:color w:val="000000"/>
                <w:lang w:val="fr-FR"/>
              </w:rPr>
              <w:t xml:space="preserve"> de </w:t>
            </w:r>
            <w:r w:rsidR="00924812" w:rsidRPr="007B209A">
              <w:rPr>
                <w:rFonts w:asciiTheme="majorBidi" w:hAnsiTheme="majorBidi" w:cstheme="majorBidi"/>
                <w:color w:val="000000"/>
                <w:lang w:val="fr-FR"/>
              </w:rPr>
              <w:t>l’hypothèse H5</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w:t>
            </w:r>
            <w:r w:rsidR="000C1677">
              <w:rPr>
                <w:rFonts w:asciiTheme="majorBidi" w:hAnsiTheme="majorBidi" w:cstheme="majorBidi"/>
                <w:color w:val="000000"/>
                <w:lang w:val="fr-FR"/>
              </w:rPr>
              <w:t>39</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72</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La variance ANOVA</w:t>
            </w:r>
            <w:r w:rsidR="00924812" w:rsidRPr="007B209A">
              <w:rPr>
                <w:rFonts w:asciiTheme="majorBidi" w:hAnsiTheme="majorBidi" w:cstheme="majorBidi"/>
                <w:color w:val="000000"/>
                <w:lang w:val="fr-FR"/>
              </w:rPr>
              <w:t xml:space="preserve"> de</w:t>
            </w:r>
            <w:r w:rsidR="00FC1595" w:rsidRPr="007B209A">
              <w:rPr>
                <w:rFonts w:asciiTheme="majorBidi" w:hAnsiTheme="majorBidi" w:cstheme="majorBidi"/>
                <w:color w:val="000000"/>
                <w:lang w:val="fr-FR"/>
              </w:rPr>
              <w:t xml:space="preserve"> </w:t>
            </w:r>
            <w:r w:rsidR="00FC1595" w:rsidRPr="007B209A">
              <w:rPr>
                <w:rFonts w:asciiTheme="majorBidi" w:hAnsiTheme="majorBidi" w:cstheme="majorBidi"/>
                <w:color w:val="000000" w:themeColor="text1"/>
                <w:lang w:val="fr-FR"/>
              </w:rPr>
              <w:t>la condition</w:t>
            </w:r>
            <w:r w:rsidR="00FC1595" w:rsidRPr="007B209A">
              <w:rPr>
                <w:rFonts w:asciiTheme="majorBidi" w:hAnsiTheme="majorBidi" w:cstheme="majorBidi"/>
                <w:color w:val="000000"/>
                <w:lang w:val="fr-FR"/>
              </w:rPr>
              <w:t xml:space="preserve"> de</w:t>
            </w:r>
            <w:r w:rsidR="00924812" w:rsidRPr="007B209A">
              <w:rPr>
                <w:rFonts w:asciiTheme="majorBidi" w:hAnsiTheme="majorBidi" w:cstheme="majorBidi"/>
                <w:color w:val="000000"/>
                <w:lang w:val="fr-FR"/>
              </w:rPr>
              <w:t xml:space="preserve"> l’hypothèse H5</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24</w:t>
            </w:r>
            <w:r w:rsidR="000C1677">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73</w:t>
            </w:r>
          </w:p>
        </w:tc>
        <w:tc>
          <w:tcPr>
            <w:tcW w:w="0" w:type="auto"/>
            <w:hideMark/>
          </w:tcPr>
          <w:p w:rsidR="00500A93" w:rsidRPr="007B209A" w:rsidRDefault="00500A93" w:rsidP="00500A93">
            <w:pPr>
              <w:spacing w:line="360" w:lineRule="auto"/>
              <w:rPr>
                <w:rFonts w:asciiTheme="majorBidi" w:hAnsiTheme="majorBidi" w:cstheme="majorBidi"/>
                <w:color w:val="000000"/>
                <w:lang w:val="fr-FR"/>
              </w:rPr>
            </w:pPr>
            <w:r w:rsidRPr="00500A93">
              <w:rPr>
                <w:rFonts w:asciiTheme="majorBidi" w:hAnsiTheme="majorBidi" w:cstheme="majorBidi"/>
                <w:color w:val="000000"/>
              </w:rPr>
              <w:t>Coefficients de régression</w:t>
            </w:r>
            <w:r w:rsidR="00924812" w:rsidRPr="007B209A">
              <w:rPr>
                <w:rFonts w:asciiTheme="majorBidi" w:hAnsiTheme="majorBidi" w:cstheme="majorBidi"/>
                <w:color w:val="000000"/>
                <w:lang w:val="fr-FR"/>
              </w:rPr>
              <w:t xml:space="preserve"> de </w:t>
            </w:r>
            <w:r w:rsidR="00FC1595" w:rsidRPr="007B209A">
              <w:rPr>
                <w:rFonts w:asciiTheme="majorBidi" w:hAnsiTheme="majorBidi" w:cstheme="majorBidi"/>
                <w:color w:val="000000" w:themeColor="text1"/>
                <w:lang w:val="fr-FR"/>
              </w:rPr>
              <w:t>la condition</w:t>
            </w:r>
            <w:r w:rsidR="00FC1595" w:rsidRPr="007B209A">
              <w:rPr>
                <w:rFonts w:asciiTheme="majorBidi" w:hAnsiTheme="majorBidi" w:cstheme="majorBidi"/>
                <w:color w:val="000000"/>
                <w:lang w:val="fr-FR"/>
              </w:rPr>
              <w:t xml:space="preserve"> de </w:t>
            </w:r>
            <w:r w:rsidR="00924812" w:rsidRPr="007B209A">
              <w:rPr>
                <w:rFonts w:asciiTheme="majorBidi" w:hAnsiTheme="majorBidi" w:cstheme="majorBidi"/>
                <w:color w:val="000000"/>
                <w:lang w:val="fr-FR"/>
              </w:rPr>
              <w:t>l’hypothèse H5</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24</w:t>
            </w:r>
            <w:r w:rsidR="000C1677">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74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 xml:space="preserve">L’effet direct </w:t>
            </w:r>
            <w:r w:rsidR="00FC1595" w:rsidRPr="007B209A">
              <w:rPr>
                <w:rFonts w:asciiTheme="majorBidi" w:hAnsiTheme="majorBidi" w:cstheme="majorBidi"/>
                <w:color w:val="000000"/>
                <w:lang w:val="fr-FR"/>
              </w:rPr>
              <w:t>de l’hypothèse H5</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24</w:t>
            </w:r>
            <w:r w:rsidR="000C1677">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75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 xml:space="preserve">L’effet indirect </w:t>
            </w:r>
            <w:r w:rsidR="00FC1595" w:rsidRPr="007B209A">
              <w:rPr>
                <w:rFonts w:asciiTheme="majorBidi" w:hAnsiTheme="majorBidi" w:cstheme="majorBidi"/>
                <w:color w:val="000000"/>
                <w:lang w:val="fr-FR"/>
              </w:rPr>
              <w:t>de l’hypothèse H5</w:t>
            </w:r>
          </w:p>
        </w:tc>
        <w:tc>
          <w:tcPr>
            <w:tcW w:w="0" w:type="auto"/>
            <w:hideMark/>
          </w:tcPr>
          <w:p w:rsidR="00500A93" w:rsidRPr="00FA2A43" w:rsidRDefault="00FA2A43"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24</w:t>
            </w:r>
            <w:r w:rsidR="000C1677">
              <w:rPr>
                <w:rFonts w:asciiTheme="majorBidi" w:hAnsiTheme="majorBidi" w:cstheme="majorBidi"/>
                <w:color w:val="000000"/>
                <w:lang w:val="fr-FR"/>
              </w:rPr>
              <w:t>1</w:t>
            </w:r>
          </w:p>
        </w:tc>
      </w:tr>
    </w:tbl>
    <w:p w:rsidR="000377D6" w:rsidRPr="000377D6" w:rsidRDefault="000377D6" w:rsidP="000377D6">
      <w:pPr>
        <w:jc w:val="center"/>
        <w:rPr>
          <w:color w:val="000000"/>
          <w:sz w:val="30"/>
          <w:szCs w:val="30"/>
        </w:rPr>
      </w:pPr>
    </w:p>
    <w:p w:rsidR="000377D6" w:rsidRPr="000377D6" w:rsidRDefault="000377D6" w:rsidP="00B75385">
      <w:pPr>
        <w:pStyle w:val="p1"/>
        <w:jc w:val="center"/>
        <w:rPr>
          <w:b/>
          <w:bCs/>
          <w:sz w:val="44"/>
          <w:szCs w:val="44"/>
          <w:lang w:val="fr-FR"/>
        </w:rPr>
      </w:pPr>
    </w:p>
    <w:p w:rsidR="000377D6" w:rsidRPr="000377D6" w:rsidRDefault="000377D6" w:rsidP="00B75385">
      <w:pPr>
        <w:pStyle w:val="p1"/>
        <w:jc w:val="center"/>
        <w:rPr>
          <w:b/>
          <w:bCs/>
        </w:rPr>
      </w:pPr>
    </w:p>
    <w:p w:rsidR="000377D6" w:rsidRDefault="000377D6" w:rsidP="00B75385">
      <w:pPr>
        <w:pStyle w:val="p1"/>
        <w:jc w:val="center"/>
        <w:rPr>
          <w:b/>
          <w:bCs/>
          <w:lang w:val="fr-FR"/>
        </w:rPr>
      </w:pPr>
    </w:p>
    <w:p w:rsidR="000377D6" w:rsidRDefault="000377D6" w:rsidP="007E34FF">
      <w:pPr>
        <w:pStyle w:val="p1"/>
        <w:rPr>
          <w:b/>
          <w:bCs/>
          <w:lang w:val="fr-FR"/>
        </w:rPr>
      </w:pPr>
    </w:p>
    <w:p w:rsidR="000377D6" w:rsidRDefault="000377D6" w:rsidP="00B75385">
      <w:pPr>
        <w:pStyle w:val="p1"/>
        <w:jc w:val="center"/>
        <w:rPr>
          <w:b/>
          <w:bCs/>
          <w:lang w:val="fr-FR"/>
        </w:rPr>
      </w:pPr>
    </w:p>
    <w:p w:rsidR="000377D6" w:rsidRDefault="000377D6" w:rsidP="00B75385">
      <w:pPr>
        <w:pStyle w:val="p1"/>
        <w:jc w:val="center"/>
        <w:rPr>
          <w:b/>
          <w:bCs/>
          <w:lang w:val="fr-FR"/>
        </w:rPr>
      </w:pPr>
    </w:p>
    <w:p w:rsidR="004703FF" w:rsidRPr="006A0412" w:rsidRDefault="004703FF" w:rsidP="001D04C6">
      <w:pPr>
        <w:jc w:val="center"/>
        <w:rPr>
          <w:color w:val="0C0C0C"/>
          <w:lang w:val="fr-FR"/>
        </w:rPr>
      </w:pPr>
    </w:p>
    <w:p w:rsidR="006A71CF" w:rsidRPr="007E34FF" w:rsidRDefault="001D04C6" w:rsidP="007E34FF">
      <w:pPr>
        <w:spacing w:line="360" w:lineRule="auto"/>
        <w:rPr>
          <w:b/>
          <w:bCs/>
          <w:color w:val="0C0C0C"/>
          <w:lang w:val="fr-FR"/>
        </w:rPr>
      </w:pPr>
      <w:r w:rsidRPr="008764AA">
        <w:rPr>
          <w:rFonts w:ascii="var(--jp-code-font-family)" w:hAnsi="var(--jp-code-font-family)"/>
          <w:b/>
          <w:bCs/>
          <w:lang w:val="fr-FR"/>
        </w:rPr>
        <w:t xml:space="preserve">                </w:t>
      </w:r>
    </w:p>
    <w:p w:rsidR="006A71CF" w:rsidRDefault="006A71CF" w:rsidP="00B75385">
      <w:pPr>
        <w:pStyle w:val="p1"/>
        <w:jc w:val="center"/>
        <w:rPr>
          <w:b/>
          <w:bCs/>
          <w:lang w:val="fr-FR"/>
        </w:rPr>
      </w:pPr>
    </w:p>
    <w:p w:rsidR="006A71CF" w:rsidRDefault="006A71CF" w:rsidP="00B75385">
      <w:pPr>
        <w:pStyle w:val="p1"/>
        <w:jc w:val="center"/>
        <w:rPr>
          <w:b/>
          <w:bCs/>
          <w:lang w:val="fr-FR"/>
        </w:rPr>
      </w:pPr>
    </w:p>
    <w:p w:rsidR="006A71CF" w:rsidRDefault="006A71CF" w:rsidP="00B75385">
      <w:pPr>
        <w:pStyle w:val="p1"/>
        <w:jc w:val="center"/>
        <w:rPr>
          <w:b/>
          <w:bCs/>
          <w:lang w:val="fr-FR"/>
        </w:rPr>
      </w:pPr>
    </w:p>
    <w:p w:rsidR="006A71CF" w:rsidRDefault="006A71CF" w:rsidP="00B75385">
      <w:pPr>
        <w:pStyle w:val="p1"/>
        <w:jc w:val="center"/>
        <w:rPr>
          <w:b/>
          <w:bCs/>
          <w:lang w:val="fr-FR"/>
        </w:rPr>
      </w:pPr>
    </w:p>
    <w:p w:rsidR="006A71CF" w:rsidRDefault="006A71CF" w:rsidP="00B75385">
      <w:pPr>
        <w:pStyle w:val="p1"/>
        <w:jc w:val="center"/>
        <w:rPr>
          <w:b/>
          <w:bCs/>
          <w:lang w:val="fr-FR"/>
        </w:rPr>
      </w:pPr>
    </w:p>
    <w:p w:rsidR="00500A93" w:rsidRDefault="00500A93" w:rsidP="00B75385">
      <w:pPr>
        <w:pStyle w:val="p1"/>
        <w:jc w:val="center"/>
        <w:rPr>
          <w:b/>
          <w:bCs/>
          <w:lang w:val="fr-FR"/>
        </w:rPr>
      </w:pPr>
    </w:p>
    <w:p w:rsidR="006A71CF" w:rsidRDefault="006A71CF" w:rsidP="00B75385">
      <w:pPr>
        <w:pStyle w:val="p1"/>
        <w:jc w:val="center"/>
        <w:rPr>
          <w:b/>
          <w:bCs/>
          <w:lang w:val="fr-FR"/>
        </w:rPr>
      </w:pPr>
    </w:p>
    <w:p w:rsidR="006A71CF" w:rsidRDefault="00500A93" w:rsidP="00B75385">
      <w:pPr>
        <w:pStyle w:val="p1"/>
        <w:jc w:val="center"/>
        <w:rPr>
          <w:b/>
          <w:bCs/>
          <w:lang w:val="fr-FR"/>
        </w:rPr>
      </w:pPr>
      <w:r>
        <w:rPr>
          <w:b/>
          <w:bCs/>
          <w:lang w:val="fr-FR"/>
        </w:rPr>
        <w:t xml:space="preserve">LISTE DES FIGURES </w:t>
      </w:r>
    </w:p>
    <w:p w:rsidR="006A71CF" w:rsidRDefault="006A71CF" w:rsidP="00B75385">
      <w:pPr>
        <w:pStyle w:val="p1"/>
        <w:jc w:val="center"/>
        <w:rPr>
          <w:b/>
          <w:bCs/>
          <w:lang w:val="fr-FR"/>
        </w:rPr>
      </w:pPr>
    </w:p>
    <w:p w:rsidR="006A71CF" w:rsidRDefault="006A71CF" w:rsidP="00B75385">
      <w:pPr>
        <w:pStyle w:val="p1"/>
        <w:jc w:val="center"/>
        <w:rPr>
          <w:b/>
          <w:bCs/>
          <w:lang w:val="fr-FR"/>
        </w:rPr>
      </w:pPr>
    </w:p>
    <w:p w:rsidR="006A71CF" w:rsidRDefault="006A71CF" w:rsidP="00B75385">
      <w:pPr>
        <w:pStyle w:val="p1"/>
        <w:jc w:val="center"/>
        <w:rPr>
          <w:b/>
          <w:bCs/>
          <w:lang w:val="fr-FR"/>
        </w:rPr>
      </w:pPr>
    </w:p>
    <w:p w:rsidR="00500A93" w:rsidRDefault="00500A93" w:rsidP="00B75385">
      <w:pPr>
        <w:pStyle w:val="p1"/>
        <w:jc w:val="center"/>
        <w:rPr>
          <w:b/>
          <w:bCs/>
          <w:lang w:val="fr-FR"/>
        </w:rPr>
      </w:pPr>
    </w:p>
    <w:p w:rsidR="00500A93" w:rsidRDefault="00500A93" w:rsidP="00B75385">
      <w:pPr>
        <w:pStyle w:val="p1"/>
        <w:jc w:val="center"/>
        <w:rPr>
          <w:b/>
          <w:bCs/>
          <w:sz w:val="36"/>
          <w:szCs w:val="36"/>
          <w:lang w:val="fr-FR"/>
        </w:rPr>
      </w:pPr>
    </w:p>
    <w:p w:rsidR="00500A93" w:rsidRDefault="00500A93" w:rsidP="00B75385">
      <w:pPr>
        <w:pStyle w:val="p1"/>
        <w:jc w:val="center"/>
        <w:rPr>
          <w:b/>
          <w:bCs/>
          <w:sz w:val="36"/>
          <w:szCs w:val="36"/>
          <w:lang w:val="fr-FR"/>
        </w:rPr>
      </w:pPr>
    </w:p>
    <w:p w:rsidR="00500A93" w:rsidRPr="00500A93" w:rsidRDefault="00500A93" w:rsidP="00B75385">
      <w:pPr>
        <w:pStyle w:val="p1"/>
        <w:jc w:val="center"/>
        <w:rPr>
          <w:b/>
          <w:bCs/>
          <w:sz w:val="36"/>
          <w:szCs w:val="36"/>
          <w:lang w:val="fr-FR"/>
        </w:rPr>
      </w:pPr>
    </w:p>
    <w:p w:rsidR="00500A93" w:rsidRDefault="00500A93" w:rsidP="00500A93">
      <w:pPr>
        <w:jc w:val="center"/>
        <w:rPr>
          <w:b/>
          <w:bCs/>
          <w:color w:val="000000"/>
          <w:sz w:val="30"/>
          <w:szCs w:val="30"/>
        </w:rPr>
      </w:pPr>
    </w:p>
    <w:p w:rsidR="00500A93" w:rsidRDefault="00500A93" w:rsidP="00500A93">
      <w:pPr>
        <w:jc w:val="center"/>
        <w:rPr>
          <w:b/>
          <w:bCs/>
          <w:color w:val="000000"/>
          <w:sz w:val="30"/>
          <w:szCs w:val="30"/>
        </w:rPr>
      </w:pPr>
    </w:p>
    <w:p w:rsidR="00500A93" w:rsidRDefault="00500A93" w:rsidP="00500A93">
      <w:pPr>
        <w:jc w:val="center"/>
        <w:rPr>
          <w:b/>
          <w:bCs/>
          <w:color w:val="000000"/>
          <w:sz w:val="30"/>
          <w:szCs w:val="30"/>
        </w:rPr>
      </w:pPr>
    </w:p>
    <w:p w:rsidR="00500A93" w:rsidRDefault="00500A93" w:rsidP="00500A93">
      <w:pPr>
        <w:jc w:val="center"/>
        <w:rPr>
          <w:b/>
          <w:bCs/>
          <w:color w:val="000000"/>
          <w:sz w:val="30"/>
          <w:szCs w:val="30"/>
        </w:rPr>
      </w:pPr>
    </w:p>
    <w:p w:rsidR="00500A93" w:rsidRDefault="00500A93" w:rsidP="00500A93">
      <w:pPr>
        <w:jc w:val="center"/>
        <w:rPr>
          <w:b/>
          <w:bCs/>
          <w:color w:val="000000"/>
          <w:sz w:val="30"/>
          <w:szCs w:val="30"/>
        </w:rPr>
      </w:pPr>
    </w:p>
    <w:p w:rsidR="00500A93" w:rsidRDefault="00500A93" w:rsidP="00500A93">
      <w:pPr>
        <w:jc w:val="center"/>
        <w:rPr>
          <w:b/>
          <w:bCs/>
          <w:color w:val="000000"/>
          <w:sz w:val="30"/>
          <w:szCs w:val="30"/>
        </w:rPr>
      </w:pPr>
    </w:p>
    <w:p w:rsidR="00500A93" w:rsidRDefault="00500A93" w:rsidP="00500A93">
      <w:pPr>
        <w:jc w:val="center"/>
        <w:rPr>
          <w:b/>
          <w:bCs/>
          <w:color w:val="000000"/>
          <w:sz w:val="30"/>
          <w:szCs w:val="30"/>
        </w:rPr>
      </w:pPr>
    </w:p>
    <w:p w:rsidR="00500A93" w:rsidRDefault="00500A93" w:rsidP="00500A93">
      <w:pPr>
        <w:jc w:val="center"/>
        <w:rPr>
          <w:b/>
          <w:bCs/>
          <w:color w:val="000000"/>
          <w:sz w:val="30"/>
          <w:szCs w:val="30"/>
        </w:rPr>
      </w:pPr>
    </w:p>
    <w:p w:rsidR="00500A93" w:rsidRPr="00500A93" w:rsidRDefault="00500A93" w:rsidP="00500A93">
      <w:pPr>
        <w:spacing w:line="360" w:lineRule="auto"/>
        <w:jc w:val="center"/>
        <w:rPr>
          <w:b/>
          <w:bCs/>
          <w:color w:val="000000"/>
          <w:sz w:val="28"/>
          <w:szCs w:val="28"/>
          <w:lang w:val="fr-FR"/>
        </w:rPr>
      </w:pPr>
      <w:r w:rsidRPr="00500A93">
        <w:rPr>
          <w:b/>
          <w:bCs/>
          <w:color w:val="000000"/>
          <w:sz w:val="28"/>
          <w:szCs w:val="28"/>
        </w:rPr>
        <w:lastRenderedPageBreak/>
        <w:t xml:space="preserve">LISTE DES </w:t>
      </w:r>
      <w:r w:rsidRPr="00500A93">
        <w:rPr>
          <w:b/>
          <w:bCs/>
          <w:color w:val="000000"/>
          <w:sz w:val="28"/>
          <w:szCs w:val="28"/>
          <w:lang w:val="fr-FR"/>
        </w:rPr>
        <w:t>FIGURES</w:t>
      </w:r>
    </w:p>
    <w:tbl>
      <w:tblPr>
        <w:tblStyle w:val="Grilledetableauclaire"/>
        <w:tblW w:w="0" w:type="auto"/>
        <w:tblLook w:val="04A0" w:firstRow="1" w:lastRow="0" w:firstColumn="1" w:lastColumn="0" w:noHBand="0" w:noVBand="1"/>
      </w:tblPr>
      <w:tblGrid>
        <w:gridCol w:w="1532"/>
        <w:gridCol w:w="6768"/>
        <w:gridCol w:w="710"/>
      </w:tblGrid>
      <w:tr w:rsidR="00500A93" w:rsidRPr="00500A93" w:rsidTr="00500A93">
        <w:tc>
          <w:tcPr>
            <w:tcW w:w="0" w:type="auto"/>
            <w:hideMark/>
          </w:tcPr>
          <w:p w:rsidR="00500A93" w:rsidRPr="00500A93" w:rsidRDefault="00500A93" w:rsidP="00500A93">
            <w:pPr>
              <w:spacing w:line="360" w:lineRule="auto"/>
              <w:jc w:val="center"/>
              <w:rPr>
                <w:rFonts w:asciiTheme="majorBidi" w:hAnsiTheme="majorBidi" w:cstheme="majorBidi"/>
                <w:b/>
                <w:bCs/>
                <w:color w:val="000000"/>
              </w:rPr>
            </w:pPr>
            <w:r w:rsidRPr="00500A93">
              <w:rPr>
                <w:rFonts w:asciiTheme="majorBidi" w:hAnsiTheme="majorBidi" w:cstheme="majorBidi"/>
                <w:b/>
                <w:bCs/>
                <w:color w:val="000000"/>
              </w:rPr>
              <w:t>N° de la figure</w:t>
            </w:r>
          </w:p>
        </w:tc>
        <w:tc>
          <w:tcPr>
            <w:tcW w:w="0" w:type="auto"/>
            <w:hideMark/>
          </w:tcPr>
          <w:p w:rsidR="00500A93" w:rsidRPr="00500A93" w:rsidRDefault="00500A93" w:rsidP="00500A93">
            <w:pPr>
              <w:spacing w:line="360" w:lineRule="auto"/>
              <w:jc w:val="center"/>
              <w:rPr>
                <w:rFonts w:asciiTheme="majorBidi" w:hAnsiTheme="majorBidi" w:cstheme="majorBidi"/>
                <w:b/>
                <w:bCs/>
                <w:color w:val="000000"/>
              </w:rPr>
            </w:pPr>
            <w:r w:rsidRPr="00500A93">
              <w:rPr>
                <w:rFonts w:asciiTheme="majorBidi" w:hAnsiTheme="majorBidi" w:cstheme="majorBidi"/>
                <w:b/>
                <w:bCs/>
                <w:color w:val="000000"/>
              </w:rPr>
              <w:t>Titre de la figure</w:t>
            </w:r>
          </w:p>
        </w:tc>
        <w:tc>
          <w:tcPr>
            <w:tcW w:w="0" w:type="auto"/>
            <w:hideMark/>
          </w:tcPr>
          <w:p w:rsidR="00500A93" w:rsidRPr="00500A93" w:rsidRDefault="00500A93" w:rsidP="00500A93">
            <w:pPr>
              <w:spacing w:line="360" w:lineRule="auto"/>
              <w:jc w:val="center"/>
              <w:rPr>
                <w:rFonts w:asciiTheme="majorBidi" w:hAnsiTheme="majorBidi" w:cstheme="majorBidi"/>
                <w:b/>
                <w:bCs/>
                <w:color w:val="000000"/>
              </w:rPr>
            </w:pPr>
            <w:r w:rsidRPr="00500A93">
              <w:rPr>
                <w:rFonts w:asciiTheme="majorBidi" w:hAnsiTheme="majorBidi" w:cstheme="majorBidi"/>
                <w:b/>
                <w:bCs/>
                <w:color w:val="000000"/>
              </w:rPr>
              <w:t>Page</w:t>
            </w:r>
          </w:p>
        </w:tc>
      </w:tr>
      <w:tr w:rsidR="00500A93" w:rsidRPr="00500A93" w:rsidTr="00500A93">
        <w:tc>
          <w:tcPr>
            <w:tcW w:w="0" w:type="auto"/>
            <w:gridSpan w:val="3"/>
          </w:tcPr>
          <w:p w:rsidR="00500A93" w:rsidRPr="00500A93" w:rsidRDefault="00500A93" w:rsidP="00500A93">
            <w:pPr>
              <w:spacing w:line="360" w:lineRule="auto"/>
              <w:jc w:val="center"/>
              <w:rPr>
                <w:rFonts w:asciiTheme="majorBidi" w:hAnsiTheme="majorBidi" w:cstheme="majorBidi"/>
                <w:b/>
                <w:bCs/>
                <w:color w:val="000000"/>
                <w:lang w:val="fr-FR"/>
              </w:rPr>
            </w:pPr>
            <w:r w:rsidRPr="00500A93">
              <w:rPr>
                <w:rFonts w:asciiTheme="majorBidi" w:hAnsiTheme="majorBidi" w:cstheme="majorBidi"/>
                <w:b/>
                <w:bCs/>
                <w:color w:val="000000"/>
                <w:lang w:val="fr-FR"/>
              </w:rPr>
              <w:t>Chapitre 01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La pyramide de Maslow</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Les missions de la GRH</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Calendrier et cycle annuel de la planification des RH</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29</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Les caractéristiques d’un bon système de rémunération</w:t>
            </w:r>
          </w:p>
        </w:tc>
        <w:tc>
          <w:tcPr>
            <w:tcW w:w="0" w:type="auto"/>
            <w:hideMark/>
          </w:tcPr>
          <w:p w:rsidR="00500A93" w:rsidRPr="002B50A5" w:rsidRDefault="00763878"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39</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 processus de gestion des carrières en trois étapes</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4</w:t>
            </w:r>
            <w:r w:rsidR="00763878">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6</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Les défis de la gestion des ressources humaines dans une économie mondialisée</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51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7</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Processus du recrutement</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6</w:t>
            </w:r>
            <w:r w:rsidR="00763878">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8</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Les composantes d’un profil de poste</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6</w:t>
            </w:r>
            <w:r w:rsidR="00763878">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9</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Évaluation finale du candidat - Est-il le bon choix ?</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6</w:t>
            </w:r>
            <w:r w:rsidR="00763878">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10</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Méthodes traditionnelles de formation</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7</w:t>
            </w:r>
            <w:r w:rsidR="00763878">
              <w:rPr>
                <w:rFonts w:asciiTheme="majorBidi" w:hAnsiTheme="majorBidi" w:cstheme="majorBidi"/>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11</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Processus de formation</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7</w:t>
            </w:r>
            <w:r w:rsidR="00763878">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12</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Défis de la formation traditionnelle</w:t>
            </w:r>
          </w:p>
        </w:tc>
        <w:tc>
          <w:tcPr>
            <w:tcW w:w="0" w:type="auto"/>
            <w:hideMark/>
          </w:tcPr>
          <w:p w:rsidR="00500A93" w:rsidRPr="002B50A5" w:rsidRDefault="002B50A5"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7</w:t>
            </w:r>
            <w:r w:rsidR="00763878">
              <w:rPr>
                <w:rFonts w:asciiTheme="majorBidi" w:hAnsiTheme="majorBidi" w:cstheme="majorBidi"/>
                <w:color w:val="000000"/>
                <w:lang w:val="fr-FR"/>
              </w:rPr>
              <w:t>6</w:t>
            </w:r>
          </w:p>
        </w:tc>
      </w:tr>
      <w:tr w:rsidR="00500A93" w:rsidRPr="00500A93" w:rsidTr="00500A93">
        <w:tc>
          <w:tcPr>
            <w:tcW w:w="0" w:type="auto"/>
            <w:gridSpan w:val="3"/>
          </w:tcPr>
          <w:p w:rsidR="00500A93" w:rsidRPr="00500A93" w:rsidRDefault="00500A93" w:rsidP="00500A93">
            <w:pPr>
              <w:spacing w:line="360" w:lineRule="auto"/>
              <w:jc w:val="center"/>
              <w:rPr>
                <w:rFonts w:asciiTheme="majorBidi" w:hAnsiTheme="majorBidi" w:cstheme="majorBidi"/>
                <w:b/>
                <w:bCs/>
                <w:color w:val="000000"/>
                <w:lang w:val="fr-FR"/>
              </w:rPr>
            </w:pPr>
            <w:r w:rsidRPr="00500A93">
              <w:rPr>
                <w:rFonts w:asciiTheme="majorBidi" w:hAnsiTheme="majorBidi" w:cstheme="majorBidi"/>
                <w:b/>
                <w:bCs/>
                <w:color w:val="000000"/>
                <w:lang w:val="fr-FR"/>
              </w:rPr>
              <w:t>Chapitre 0</w:t>
            </w:r>
            <w:r>
              <w:rPr>
                <w:rFonts w:asciiTheme="majorBidi" w:hAnsiTheme="majorBidi" w:cstheme="majorBidi"/>
                <w:b/>
                <w:bCs/>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13</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Les principales étapes de la digitalisation en entreprise</w:t>
            </w:r>
          </w:p>
        </w:tc>
        <w:tc>
          <w:tcPr>
            <w:tcW w:w="0" w:type="auto"/>
            <w:hideMark/>
          </w:tcPr>
          <w:p w:rsidR="00500A93" w:rsidRPr="002F4AFC" w:rsidRDefault="00763878"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89</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Des offres d'OVH Cloud pour les entreprises</w:t>
            </w:r>
          </w:p>
        </w:tc>
        <w:tc>
          <w:tcPr>
            <w:tcW w:w="0" w:type="auto"/>
            <w:hideMark/>
          </w:tcPr>
          <w:p w:rsidR="00500A93" w:rsidRPr="002F4AFC" w:rsidRDefault="00763878"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92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Yassir : L'application tout-en-un qui vous simplifie la vie</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9</w:t>
            </w:r>
            <w:r w:rsidR="00763878">
              <w:rPr>
                <w:rFonts w:asciiTheme="majorBidi" w:hAnsiTheme="majorBidi" w:cstheme="majorBidi"/>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16</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 site internet de jumia est accessible à tous</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9</w:t>
            </w:r>
            <w:r w:rsidR="00763878">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17</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 site internet de l’entreprise Sage propose des solutions de gestion</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9</w:t>
            </w:r>
            <w:r w:rsidR="00763878">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18</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Airbnb landing page</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9</w:t>
            </w:r>
            <w:r w:rsidR="00763878">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19</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IBM Process Mining</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9</w:t>
            </w:r>
            <w:r w:rsidR="00763878">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20</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Microsoft SharePoint : collaboration et gestion documentaire simplifiées</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9</w:t>
            </w:r>
            <w:r w:rsidR="00763878">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21</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Workday : La solution cloud innovante pour une gestion RH optimisée</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w:t>
            </w:r>
            <w:r w:rsidR="00763878">
              <w:rPr>
                <w:rFonts w:asciiTheme="majorBidi" w:hAnsiTheme="majorBidi" w:cstheme="majorBidi"/>
                <w:color w:val="000000"/>
                <w:lang w:val="fr-FR"/>
              </w:rPr>
              <w:t>11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22</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Oracle présente générative développent pour les entreprises</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11</w:t>
            </w:r>
            <w:r w:rsidR="00763878">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23</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Docusign : La solution n°1 de signature électronique</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11</w:t>
            </w:r>
            <w:r w:rsidR="00763878">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lastRenderedPageBreak/>
              <w:t>24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Les étapes de la digitalisation de la GRH</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12</w:t>
            </w:r>
            <w:r w:rsidR="00763878">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Efficacité des outils de recrutement jugée par les candidats (2017)</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13</w:t>
            </w:r>
            <w:r w:rsidR="00763878">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26</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Exemple d’entretien à distance</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13</w:t>
            </w:r>
            <w:r w:rsidR="00763878">
              <w:rPr>
                <w:rFonts w:asciiTheme="majorBidi" w:hAnsiTheme="majorBidi" w:cstheme="majorBidi"/>
                <w:color w:val="000000"/>
                <w:lang w:val="fr-FR"/>
              </w:rPr>
              <w:t>4</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27</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Engager, attirer et convertir : les maîtres mots du recruteur moderne</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13</w:t>
            </w:r>
            <w:r w:rsidR="00763878">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28</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L’évolution de l’e-formation</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14</w:t>
            </w:r>
            <w:r w:rsidR="00763878">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29</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Interface du site MOOC.org, une plateforme d’apprentissage en ligne</w:t>
            </w:r>
          </w:p>
        </w:tc>
        <w:tc>
          <w:tcPr>
            <w:tcW w:w="0" w:type="auto"/>
            <w:hideMark/>
          </w:tcPr>
          <w:p w:rsidR="00500A93" w:rsidRPr="002F4AFC" w:rsidRDefault="002F4AFC"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14</w:t>
            </w:r>
            <w:r w:rsidR="00763878">
              <w:rPr>
                <w:rFonts w:asciiTheme="majorBidi" w:hAnsiTheme="majorBidi" w:cstheme="majorBidi"/>
                <w:color w:val="000000"/>
                <w:lang w:val="fr-FR"/>
              </w:rPr>
              <w:t>3</w:t>
            </w:r>
          </w:p>
        </w:tc>
      </w:tr>
      <w:tr w:rsidR="00500A93" w:rsidRPr="00500A93" w:rsidTr="00500A93">
        <w:tc>
          <w:tcPr>
            <w:tcW w:w="0" w:type="auto"/>
            <w:gridSpan w:val="3"/>
          </w:tcPr>
          <w:p w:rsidR="00500A93" w:rsidRPr="00500A93" w:rsidRDefault="00500A93" w:rsidP="00500A93">
            <w:pPr>
              <w:spacing w:line="360" w:lineRule="auto"/>
              <w:jc w:val="center"/>
              <w:rPr>
                <w:rFonts w:asciiTheme="majorBidi" w:hAnsiTheme="majorBidi" w:cstheme="majorBidi"/>
                <w:b/>
                <w:bCs/>
                <w:color w:val="000000"/>
                <w:lang w:val="fr-FR"/>
              </w:rPr>
            </w:pPr>
            <w:r w:rsidRPr="00500A93">
              <w:rPr>
                <w:rFonts w:asciiTheme="majorBidi" w:hAnsiTheme="majorBidi" w:cstheme="majorBidi"/>
                <w:b/>
                <w:bCs/>
                <w:color w:val="000000"/>
                <w:lang w:val="fr-FR"/>
              </w:rPr>
              <w:t>Chapitre 0</w:t>
            </w:r>
            <w:r>
              <w:rPr>
                <w:rFonts w:asciiTheme="majorBidi" w:hAnsiTheme="majorBidi" w:cstheme="majorBidi"/>
                <w:b/>
                <w:bCs/>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30</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Camions de transport de Hasnaoui Logistique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16</w:t>
            </w:r>
            <w:r w:rsidR="00763878">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31</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Organigramme HASNAOUI LOGISTIQUE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16</w:t>
            </w:r>
            <w:r w:rsidR="00763878">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32</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Expression de besoin en formation</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16</w:t>
            </w:r>
            <w:r w:rsidR="00763878">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33</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Plan de formation - Groupe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16</w:t>
            </w:r>
            <w:r w:rsidR="00763878">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Expression de besoin en formation par employé</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16</w:t>
            </w:r>
            <w:r w:rsidR="00763878">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Modèle conceptuel de la recherche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17</w:t>
            </w:r>
            <w:r w:rsidR="00763878">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36</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le genre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763878">
              <w:rPr>
                <w:rFonts w:asciiTheme="majorBidi" w:hAnsiTheme="majorBidi" w:cstheme="majorBidi"/>
                <w:color w:val="000000"/>
                <w:lang w:val="fr-FR"/>
              </w:rPr>
              <w:t>2</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37</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l'âge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763878">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38</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le niveau d’éducation</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763878">
              <w:rPr>
                <w:rFonts w:asciiTheme="majorBidi" w:hAnsiTheme="majorBidi" w:cstheme="majorBidi"/>
                <w:color w:val="000000"/>
                <w:lang w:val="fr-FR"/>
              </w:rPr>
              <w:t>6</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39</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la catégorie socioprofessionnelle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19</w:t>
            </w:r>
            <w:r w:rsidR="00763878">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40</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le département du travail</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763878">
              <w:rPr>
                <w:rFonts w:asciiTheme="majorBidi" w:hAnsiTheme="majorBidi" w:cstheme="majorBidi"/>
                <w:color w:val="000000"/>
                <w:lang w:val="fr-FR"/>
              </w:rPr>
              <w:t>1</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41</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le secteur d'activité de l'entreprise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763878">
              <w:rPr>
                <w:rFonts w:asciiTheme="majorBidi" w:hAnsiTheme="majorBidi" w:cstheme="majorBidi"/>
                <w:color w:val="000000"/>
                <w:lang w:val="fr-FR"/>
              </w:rPr>
              <w:t>3</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42</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la taille de l'entreprise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763878">
              <w:rPr>
                <w:rFonts w:asciiTheme="majorBidi" w:hAnsiTheme="majorBidi" w:cstheme="majorBidi"/>
                <w:color w:val="000000"/>
                <w:lang w:val="fr-FR"/>
              </w:rPr>
              <w:t>5</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43</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la situation de l'entreprise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763878">
              <w:rPr>
                <w:rFonts w:asciiTheme="majorBidi" w:hAnsiTheme="majorBidi" w:cstheme="majorBidi"/>
                <w:color w:val="000000"/>
                <w:lang w:val="fr-FR"/>
              </w:rPr>
              <w:t>7</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44</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l’expérience professionnelle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763878">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45</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la question 10 du questionnaire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20</w:t>
            </w:r>
            <w:r w:rsidR="00763878">
              <w:rPr>
                <w:rFonts w:asciiTheme="majorBidi" w:hAnsiTheme="majorBidi" w:cstheme="majorBidi"/>
                <w:color w:val="000000"/>
                <w:lang w:val="fr-FR"/>
              </w:rPr>
              <w:t>8</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46</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Répartition de l'échantillon selon la question 12 du questionnaire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21</w:t>
            </w:r>
            <w:r w:rsidR="00763878">
              <w:rPr>
                <w:rFonts w:asciiTheme="majorBidi" w:hAnsiTheme="majorBidi" w:cstheme="majorBidi"/>
                <w:color w:val="000000"/>
                <w:lang w:val="fr-FR"/>
              </w:rPr>
              <w:t>0</w:t>
            </w:r>
          </w:p>
        </w:tc>
      </w:tr>
      <w:tr w:rsidR="00500A93" w:rsidRPr="00500A93" w:rsidTr="00500A93">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47</w:t>
            </w:r>
          </w:p>
        </w:tc>
        <w:tc>
          <w:tcPr>
            <w:tcW w:w="0" w:type="auto"/>
            <w:hideMark/>
          </w:tcPr>
          <w:p w:rsidR="00500A93" w:rsidRPr="00500A93" w:rsidRDefault="00500A93" w:rsidP="00500A93">
            <w:pPr>
              <w:spacing w:line="360" w:lineRule="auto"/>
              <w:rPr>
                <w:rFonts w:asciiTheme="majorBidi" w:hAnsiTheme="majorBidi" w:cstheme="majorBidi"/>
                <w:color w:val="000000"/>
              </w:rPr>
            </w:pPr>
            <w:r w:rsidRPr="00500A93">
              <w:rPr>
                <w:rFonts w:asciiTheme="majorBidi" w:hAnsiTheme="majorBidi" w:cstheme="majorBidi"/>
                <w:color w:val="000000"/>
              </w:rPr>
              <w:t>Modèle structurel de l'étude</w:t>
            </w:r>
          </w:p>
        </w:tc>
        <w:tc>
          <w:tcPr>
            <w:tcW w:w="0" w:type="auto"/>
            <w:hideMark/>
          </w:tcPr>
          <w:p w:rsidR="00500A93" w:rsidRPr="00332D8B" w:rsidRDefault="00332D8B" w:rsidP="00500A93">
            <w:pPr>
              <w:spacing w:line="360" w:lineRule="auto"/>
              <w:rPr>
                <w:rFonts w:asciiTheme="majorBidi" w:hAnsiTheme="majorBidi" w:cstheme="majorBidi"/>
                <w:color w:val="000000"/>
                <w:lang w:val="fr-FR"/>
              </w:rPr>
            </w:pPr>
            <w:r>
              <w:rPr>
                <w:rFonts w:asciiTheme="majorBidi" w:hAnsiTheme="majorBidi" w:cstheme="majorBidi"/>
                <w:color w:val="000000"/>
                <w:lang w:val="fr-FR"/>
              </w:rPr>
              <w:t>24</w:t>
            </w:r>
            <w:r w:rsidR="00763878">
              <w:rPr>
                <w:rFonts w:asciiTheme="majorBidi" w:hAnsiTheme="majorBidi" w:cstheme="majorBidi"/>
                <w:color w:val="000000"/>
                <w:lang w:val="fr-FR"/>
              </w:rPr>
              <w:t>2</w:t>
            </w:r>
          </w:p>
        </w:tc>
      </w:tr>
    </w:tbl>
    <w:p w:rsidR="00500A93" w:rsidRDefault="00500A93" w:rsidP="00500A93">
      <w:pPr>
        <w:rPr>
          <w:b/>
          <w:bCs/>
          <w:color w:val="000000"/>
          <w:sz w:val="30"/>
          <w:szCs w:val="30"/>
          <w:lang w:val="fr-FR"/>
        </w:rPr>
      </w:pPr>
    </w:p>
    <w:p w:rsidR="00662ACE" w:rsidRDefault="00662ACE" w:rsidP="00662ACE">
      <w:pPr>
        <w:pStyle w:val="p1"/>
        <w:rPr>
          <w:b/>
          <w:bCs/>
          <w:lang w:val="fr-FR"/>
        </w:rPr>
      </w:pPr>
    </w:p>
    <w:p w:rsidR="00662ACE" w:rsidRDefault="00662ACE">
      <w:pPr>
        <w:rPr>
          <w:b/>
          <w:bCs/>
          <w:color w:val="000000"/>
          <w:sz w:val="72"/>
          <w:szCs w:val="72"/>
          <w:lang w:val="fr-FR"/>
        </w:rPr>
      </w:pPr>
    </w:p>
    <w:p w:rsidR="00585024" w:rsidRDefault="00585024" w:rsidP="00B75385">
      <w:pPr>
        <w:pStyle w:val="p1"/>
        <w:jc w:val="center"/>
        <w:rPr>
          <w:b/>
          <w:bCs/>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1D32F8" w:rsidRDefault="001D32F8"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r w:rsidRPr="00585024">
        <w:rPr>
          <w:b/>
          <w:bCs/>
          <w:sz w:val="72"/>
          <w:szCs w:val="72"/>
          <w:lang w:val="fr-FR"/>
        </w:rPr>
        <w:t>LISTE DES ANNEXES</w:t>
      </w: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jc w:val="center"/>
        <w:rPr>
          <w:b/>
          <w:bCs/>
          <w:sz w:val="72"/>
          <w:szCs w:val="72"/>
          <w:lang w:val="fr-FR"/>
        </w:rPr>
      </w:pPr>
    </w:p>
    <w:p w:rsidR="00585024" w:rsidRDefault="00585024" w:rsidP="00585024">
      <w:pPr>
        <w:rPr>
          <w:b/>
          <w:bCs/>
          <w:sz w:val="72"/>
          <w:szCs w:val="72"/>
          <w:lang w:val="fr-FR"/>
        </w:rPr>
      </w:pPr>
    </w:p>
    <w:p w:rsidR="00585024" w:rsidRPr="00585024" w:rsidRDefault="00585024" w:rsidP="00585024">
      <w:pPr>
        <w:rPr>
          <w:b/>
          <w:bCs/>
          <w:color w:val="000000"/>
          <w:lang w:val="fr-FR"/>
        </w:rPr>
      </w:pPr>
    </w:p>
    <w:p w:rsidR="00585024" w:rsidRPr="00585024" w:rsidRDefault="00585024" w:rsidP="00585024">
      <w:pPr>
        <w:pStyle w:val="p1"/>
        <w:rPr>
          <w:b/>
          <w:bCs/>
          <w:sz w:val="28"/>
          <w:szCs w:val="28"/>
          <w:lang w:val="fr-FR"/>
        </w:rPr>
      </w:pPr>
    </w:p>
    <w:p w:rsidR="00662ACE" w:rsidRDefault="00585024" w:rsidP="00EE3833">
      <w:pPr>
        <w:pStyle w:val="p1"/>
        <w:spacing w:line="360" w:lineRule="auto"/>
        <w:jc w:val="center"/>
        <w:rPr>
          <w:b/>
          <w:bCs/>
          <w:sz w:val="28"/>
          <w:szCs w:val="28"/>
          <w:lang w:val="fr-FR"/>
        </w:rPr>
      </w:pPr>
      <w:r w:rsidRPr="00585024">
        <w:rPr>
          <w:b/>
          <w:bCs/>
          <w:sz w:val="28"/>
          <w:szCs w:val="28"/>
          <w:lang w:val="fr-FR"/>
        </w:rPr>
        <w:lastRenderedPageBreak/>
        <w:t>LISTE DES ANNEXES</w:t>
      </w:r>
    </w:p>
    <w:tbl>
      <w:tblPr>
        <w:tblStyle w:val="Grilledetableauclaire"/>
        <w:tblW w:w="0" w:type="auto"/>
        <w:jc w:val="center"/>
        <w:tblLook w:val="04A0" w:firstRow="1" w:lastRow="0" w:firstColumn="1" w:lastColumn="0" w:noHBand="0" w:noVBand="1"/>
      </w:tblPr>
      <w:tblGrid>
        <w:gridCol w:w="1712"/>
        <w:gridCol w:w="4428"/>
        <w:gridCol w:w="710"/>
      </w:tblGrid>
      <w:tr w:rsidR="00585024" w:rsidRPr="00500A93" w:rsidTr="00EE3833">
        <w:trPr>
          <w:jc w:val="center"/>
        </w:trPr>
        <w:tc>
          <w:tcPr>
            <w:tcW w:w="0" w:type="auto"/>
            <w:hideMark/>
          </w:tcPr>
          <w:p w:rsidR="00585024" w:rsidRPr="00585024" w:rsidRDefault="00585024" w:rsidP="00EE3833">
            <w:pPr>
              <w:spacing w:line="360" w:lineRule="auto"/>
              <w:jc w:val="center"/>
              <w:rPr>
                <w:rFonts w:asciiTheme="majorBidi" w:hAnsiTheme="majorBidi" w:cstheme="majorBidi"/>
                <w:b/>
                <w:bCs/>
                <w:color w:val="000000"/>
                <w:lang w:val="fr-FR"/>
              </w:rPr>
            </w:pPr>
            <w:r w:rsidRPr="00500A93">
              <w:rPr>
                <w:rFonts w:asciiTheme="majorBidi" w:hAnsiTheme="majorBidi" w:cstheme="majorBidi"/>
                <w:b/>
                <w:bCs/>
                <w:color w:val="000000"/>
              </w:rPr>
              <w:t xml:space="preserve">N° de </w:t>
            </w:r>
            <w:r>
              <w:rPr>
                <w:rFonts w:asciiTheme="majorBidi" w:hAnsiTheme="majorBidi" w:cstheme="majorBidi"/>
                <w:b/>
                <w:bCs/>
                <w:color w:val="000000"/>
                <w:lang w:val="fr-FR"/>
              </w:rPr>
              <w:t>l’annexe</w:t>
            </w:r>
          </w:p>
        </w:tc>
        <w:tc>
          <w:tcPr>
            <w:tcW w:w="0" w:type="auto"/>
            <w:hideMark/>
          </w:tcPr>
          <w:p w:rsidR="00585024" w:rsidRPr="00585024" w:rsidRDefault="00585024" w:rsidP="00EE3833">
            <w:pPr>
              <w:spacing w:line="360" w:lineRule="auto"/>
              <w:jc w:val="center"/>
              <w:rPr>
                <w:rFonts w:asciiTheme="majorBidi" w:hAnsiTheme="majorBidi" w:cstheme="majorBidi"/>
                <w:b/>
                <w:bCs/>
                <w:color w:val="000000"/>
                <w:lang w:val="fr-FR"/>
              </w:rPr>
            </w:pPr>
            <w:r w:rsidRPr="00500A93">
              <w:rPr>
                <w:rFonts w:asciiTheme="majorBidi" w:hAnsiTheme="majorBidi" w:cstheme="majorBidi"/>
                <w:b/>
                <w:bCs/>
                <w:color w:val="000000"/>
              </w:rPr>
              <w:t>Titre de l</w:t>
            </w:r>
            <w:r>
              <w:rPr>
                <w:rFonts w:asciiTheme="majorBidi" w:hAnsiTheme="majorBidi" w:cstheme="majorBidi"/>
                <w:b/>
                <w:bCs/>
                <w:color w:val="000000"/>
                <w:lang w:val="fr-FR"/>
              </w:rPr>
              <w:t>’annexe</w:t>
            </w:r>
          </w:p>
        </w:tc>
        <w:tc>
          <w:tcPr>
            <w:tcW w:w="0" w:type="auto"/>
            <w:hideMark/>
          </w:tcPr>
          <w:p w:rsidR="00585024" w:rsidRPr="00500A93" w:rsidRDefault="00585024" w:rsidP="00EE3833">
            <w:pPr>
              <w:spacing w:line="360" w:lineRule="auto"/>
              <w:jc w:val="center"/>
              <w:rPr>
                <w:rFonts w:asciiTheme="majorBidi" w:hAnsiTheme="majorBidi" w:cstheme="majorBidi"/>
                <w:b/>
                <w:bCs/>
                <w:color w:val="000000"/>
              </w:rPr>
            </w:pPr>
            <w:r w:rsidRPr="00500A93">
              <w:rPr>
                <w:rFonts w:asciiTheme="majorBidi" w:hAnsiTheme="majorBidi" w:cstheme="majorBidi"/>
                <w:b/>
                <w:bCs/>
                <w:color w:val="000000"/>
              </w:rPr>
              <w:t>Page</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1</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Expression de besoin en personnel</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270</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2</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Fiche de poste</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271</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3</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Fiche de sélection et entretien des candidats</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272</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4</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L’offre d'emploi</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273</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5</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Dossier de recrutement</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274</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6</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Procès verbal d’installation</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275</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7</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Évaluation de la période d'essai</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276</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8</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Évaluation de formation à chaud</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277</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9</w:t>
            </w:r>
          </w:p>
        </w:tc>
        <w:tc>
          <w:tcPr>
            <w:tcW w:w="0" w:type="auto"/>
            <w:hideMark/>
          </w:tcPr>
          <w:p w:rsidR="00585024" w:rsidRPr="00EE3833" w:rsidRDefault="00EE3833" w:rsidP="00EE3833">
            <w:pPr>
              <w:spacing w:line="360" w:lineRule="auto"/>
              <w:rPr>
                <w:rFonts w:asciiTheme="majorBidi" w:hAnsiTheme="majorBidi" w:cstheme="majorBidi"/>
                <w:color w:val="000000"/>
                <w:lang w:val="fr-FR"/>
              </w:rPr>
            </w:pPr>
            <w:r w:rsidRPr="00EE3833">
              <w:rPr>
                <w:rFonts w:asciiTheme="majorBidi" w:hAnsiTheme="majorBidi" w:cstheme="majorBidi"/>
                <w:color w:val="000000"/>
              </w:rPr>
              <w:t>Évaluation de formation à froid</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278</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10</w:t>
            </w:r>
          </w:p>
        </w:tc>
        <w:tc>
          <w:tcPr>
            <w:tcW w:w="0" w:type="auto"/>
            <w:hideMark/>
          </w:tcPr>
          <w:p w:rsidR="00585024" w:rsidRPr="00500A93" w:rsidRDefault="00EE3833" w:rsidP="00EE3833">
            <w:pPr>
              <w:spacing w:line="360" w:lineRule="auto"/>
              <w:rPr>
                <w:rFonts w:asciiTheme="majorBidi" w:hAnsiTheme="majorBidi" w:cstheme="majorBidi"/>
                <w:color w:val="000000"/>
              </w:rPr>
            </w:pPr>
            <w:r w:rsidRPr="00EE3833">
              <w:rPr>
                <w:rFonts w:asciiTheme="majorBidi" w:hAnsiTheme="majorBidi" w:cstheme="majorBidi"/>
                <w:color w:val="000000"/>
              </w:rPr>
              <w:t>Lien du questionnaire</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279</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11</w:t>
            </w:r>
          </w:p>
        </w:tc>
        <w:tc>
          <w:tcPr>
            <w:tcW w:w="0" w:type="auto"/>
            <w:hideMark/>
          </w:tcPr>
          <w:p w:rsidR="00585024" w:rsidRPr="002F1C27" w:rsidRDefault="00EE3833" w:rsidP="00EE3833">
            <w:pPr>
              <w:spacing w:line="360" w:lineRule="auto"/>
              <w:rPr>
                <w:color w:val="000000"/>
                <w:lang w:val="fr-FR"/>
              </w:rPr>
            </w:pPr>
            <w:proofErr w:type="spellStart"/>
            <w:r w:rsidRPr="002F1C27">
              <w:rPr>
                <w:rFonts w:eastAsiaTheme="minorHAnsi"/>
                <w:lang w:val="en-US"/>
                <w14:ligatures w14:val="standardContextual"/>
              </w:rPr>
              <w:t>Résultats</w:t>
            </w:r>
            <w:proofErr w:type="spellEnd"/>
            <w:r w:rsidRPr="002F1C27">
              <w:rPr>
                <w:rFonts w:eastAsiaTheme="minorHAnsi"/>
                <w:lang w:val="en-US"/>
                <w14:ligatures w14:val="standardContextual"/>
              </w:rPr>
              <w:t xml:space="preserve"> du </w:t>
            </w:r>
            <w:proofErr w:type="spellStart"/>
            <w:r w:rsidRPr="002F1C27">
              <w:rPr>
                <w:rFonts w:eastAsiaTheme="minorHAnsi"/>
                <w:lang w:val="en-US"/>
                <w14:ligatures w14:val="standardContextual"/>
              </w:rPr>
              <w:t>logiciel</w:t>
            </w:r>
            <w:proofErr w:type="spellEnd"/>
            <w:r w:rsidRPr="002F1C27">
              <w:rPr>
                <w:rFonts w:eastAsiaTheme="minorHAnsi"/>
                <w:lang w:val="en-US"/>
                <w14:ligatures w14:val="standardContextual"/>
              </w:rPr>
              <w:t xml:space="preserve"> SmartPLS4</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287</w:t>
            </w:r>
          </w:p>
        </w:tc>
      </w:tr>
      <w:tr w:rsidR="00585024" w:rsidRPr="00500A93" w:rsidTr="00EE3833">
        <w:trPr>
          <w:jc w:val="center"/>
        </w:trPr>
        <w:tc>
          <w:tcPr>
            <w:tcW w:w="0" w:type="auto"/>
            <w:hideMark/>
          </w:tcPr>
          <w:p w:rsidR="00585024" w:rsidRPr="00500A93" w:rsidRDefault="00585024" w:rsidP="00EE3833">
            <w:pPr>
              <w:spacing w:line="360" w:lineRule="auto"/>
              <w:rPr>
                <w:rFonts w:asciiTheme="majorBidi" w:hAnsiTheme="majorBidi" w:cstheme="majorBidi"/>
                <w:color w:val="000000"/>
              </w:rPr>
            </w:pPr>
            <w:r w:rsidRPr="00500A93">
              <w:rPr>
                <w:rFonts w:asciiTheme="majorBidi" w:hAnsiTheme="majorBidi" w:cstheme="majorBidi"/>
                <w:color w:val="000000"/>
              </w:rPr>
              <w:t>12</w:t>
            </w:r>
          </w:p>
        </w:tc>
        <w:tc>
          <w:tcPr>
            <w:tcW w:w="0" w:type="auto"/>
            <w:hideMark/>
          </w:tcPr>
          <w:p w:rsidR="00585024" w:rsidRPr="00EE3833" w:rsidRDefault="00EE3833" w:rsidP="00EE3833">
            <w:pPr>
              <w:spacing w:line="360" w:lineRule="auto"/>
              <w:rPr>
                <w:rFonts w:asciiTheme="majorBidi" w:hAnsiTheme="majorBidi" w:cstheme="majorBidi"/>
                <w:color w:val="000000"/>
                <w:lang w:val="fr-FR"/>
              </w:rPr>
            </w:pPr>
            <w:r w:rsidRPr="00EE3833">
              <w:rPr>
                <w:rFonts w:asciiTheme="majorBidi" w:hAnsiTheme="majorBidi" w:cstheme="majorBidi"/>
                <w:color w:val="000000"/>
              </w:rPr>
              <w:t>Résultats du logiciel Anaconda (Jupyter)</w:t>
            </w:r>
          </w:p>
        </w:tc>
        <w:tc>
          <w:tcPr>
            <w:tcW w:w="0" w:type="auto"/>
            <w:hideMark/>
          </w:tcPr>
          <w:p w:rsidR="00585024"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288</w:t>
            </w:r>
          </w:p>
        </w:tc>
      </w:tr>
      <w:tr w:rsidR="00EE3833" w:rsidRPr="00500A93" w:rsidTr="00EE3833">
        <w:trPr>
          <w:jc w:val="center"/>
        </w:trPr>
        <w:tc>
          <w:tcPr>
            <w:tcW w:w="0" w:type="auto"/>
            <w:hideMark/>
          </w:tcPr>
          <w:p w:rsidR="00EE3833" w:rsidRPr="00500A93" w:rsidRDefault="00EE3833" w:rsidP="00EE3833">
            <w:pPr>
              <w:spacing w:line="360" w:lineRule="auto"/>
              <w:rPr>
                <w:rFonts w:asciiTheme="majorBidi" w:hAnsiTheme="majorBidi" w:cstheme="majorBidi"/>
                <w:color w:val="000000"/>
              </w:rPr>
            </w:pPr>
            <w:r w:rsidRPr="00500A93">
              <w:rPr>
                <w:rFonts w:asciiTheme="majorBidi" w:hAnsiTheme="majorBidi" w:cstheme="majorBidi"/>
                <w:color w:val="000000"/>
              </w:rPr>
              <w:t>13</w:t>
            </w:r>
          </w:p>
        </w:tc>
        <w:tc>
          <w:tcPr>
            <w:tcW w:w="0" w:type="auto"/>
            <w:hideMark/>
          </w:tcPr>
          <w:p w:rsidR="00EE3833" w:rsidRPr="00EE3833" w:rsidRDefault="00EE3833" w:rsidP="00EE3833">
            <w:pPr>
              <w:spacing w:line="360" w:lineRule="auto"/>
              <w:rPr>
                <w:rFonts w:asciiTheme="majorBidi" w:hAnsiTheme="majorBidi" w:cstheme="majorBidi"/>
                <w:color w:val="000000"/>
                <w:lang w:val="fr-FR"/>
              </w:rPr>
            </w:pPr>
            <w:r w:rsidRPr="00EE3833">
              <w:rPr>
                <w:rFonts w:asciiTheme="majorBidi" w:hAnsiTheme="majorBidi" w:cstheme="majorBidi"/>
                <w:color w:val="000000"/>
              </w:rPr>
              <w:t>Résultats du logiciel SPSS version 29</w:t>
            </w:r>
          </w:p>
        </w:tc>
        <w:tc>
          <w:tcPr>
            <w:tcW w:w="0" w:type="auto"/>
            <w:hideMark/>
          </w:tcPr>
          <w:p w:rsidR="00EE3833" w:rsidRPr="002C7523" w:rsidRDefault="002C7523" w:rsidP="00EE3833">
            <w:pPr>
              <w:spacing w:line="360" w:lineRule="auto"/>
              <w:rPr>
                <w:rFonts w:asciiTheme="majorBidi" w:hAnsiTheme="majorBidi" w:cstheme="majorBidi"/>
                <w:color w:val="000000"/>
                <w:lang w:val="en-US"/>
              </w:rPr>
            </w:pPr>
            <w:r>
              <w:rPr>
                <w:rFonts w:asciiTheme="majorBidi" w:hAnsiTheme="majorBidi" w:cstheme="majorBidi"/>
                <w:color w:val="000000"/>
                <w:lang w:val="en-US"/>
              </w:rPr>
              <w:t>289</w:t>
            </w:r>
          </w:p>
        </w:tc>
      </w:tr>
    </w:tbl>
    <w:p w:rsidR="00662ACE" w:rsidRDefault="00662ACE" w:rsidP="00662ACE">
      <w:pPr>
        <w:pStyle w:val="p1"/>
        <w:jc w:val="center"/>
        <w:rPr>
          <w:b/>
          <w:bCs/>
          <w:lang w:val="fr-FR"/>
        </w:rPr>
      </w:pPr>
    </w:p>
    <w:p w:rsidR="007D1A12" w:rsidRDefault="007D1A12" w:rsidP="00662ACE">
      <w:pPr>
        <w:pStyle w:val="p1"/>
        <w:jc w:val="center"/>
        <w:rPr>
          <w:b/>
          <w:bCs/>
          <w:lang w:val="fr-FR"/>
        </w:rPr>
      </w:pPr>
    </w:p>
    <w:p w:rsidR="007D1A12" w:rsidRDefault="007D1A12" w:rsidP="00662ACE">
      <w:pPr>
        <w:pStyle w:val="p1"/>
        <w:jc w:val="center"/>
        <w:rPr>
          <w:b/>
          <w:bCs/>
          <w:lang w:val="fr-FR"/>
        </w:rPr>
      </w:pPr>
    </w:p>
    <w:p w:rsidR="007D1A12" w:rsidRDefault="007D1A12" w:rsidP="00662ACE">
      <w:pPr>
        <w:pStyle w:val="p1"/>
        <w:jc w:val="center"/>
        <w:rPr>
          <w:b/>
          <w:bCs/>
          <w:lang w:val="fr-FR"/>
        </w:rPr>
      </w:pPr>
    </w:p>
    <w:p w:rsidR="007D1A12" w:rsidRDefault="007D1A12" w:rsidP="00662ACE">
      <w:pPr>
        <w:pStyle w:val="p1"/>
        <w:jc w:val="center"/>
        <w:rPr>
          <w:b/>
          <w:bCs/>
          <w:lang w:val="fr-FR"/>
        </w:rPr>
      </w:pPr>
    </w:p>
    <w:p w:rsidR="007D1A12" w:rsidRDefault="007D1A12" w:rsidP="00662ACE">
      <w:pPr>
        <w:pStyle w:val="p1"/>
        <w:jc w:val="center"/>
        <w:rPr>
          <w:b/>
          <w:bCs/>
          <w:lang w:val="fr-FR"/>
        </w:rPr>
      </w:pPr>
    </w:p>
    <w:p w:rsidR="007D1A12" w:rsidRDefault="007D1A12" w:rsidP="00662ACE">
      <w:pPr>
        <w:pStyle w:val="p1"/>
        <w:jc w:val="center"/>
        <w:rPr>
          <w:b/>
          <w:bCs/>
          <w:lang w:val="fr-FR"/>
        </w:rPr>
      </w:pPr>
    </w:p>
    <w:p w:rsidR="007D1A12" w:rsidRDefault="007D1A12" w:rsidP="00662ACE">
      <w:pPr>
        <w:pStyle w:val="p1"/>
        <w:jc w:val="center"/>
        <w:rPr>
          <w:b/>
          <w:bCs/>
          <w:lang w:val="fr-FR"/>
        </w:rPr>
      </w:pPr>
    </w:p>
    <w:p w:rsidR="007D1A12" w:rsidRDefault="007D1A12" w:rsidP="00662ACE">
      <w:pPr>
        <w:pStyle w:val="p1"/>
        <w:jc w:val="center"/>
        <w:rPr>
          <w:b/>
          <w:bCs/>
          <w:lang w:val="fr-FR"/>
        </w:rPr>
      </w:pPr>
    </w:p>
    <w:p w:rsidR="007D1A12" w:rsidRDefault="007D1A12" w:rsidP="00662ACE">
      <w:pPr>
        <w:pStyle w:val="p1"/>
        <w:jc w:val="center"/>
        <w:rPr>
          <w:b/>
          <w:bCs/>
          <w:lang w:val="fr-FR"/>
        </w:rPr>
      </w:pPr>
    </w:p>
    <w:p w:rsidR="00662ACE" w:rsidRDefault="00662ACE">
      <w:pPr>
        <w:rPr>
          <w:b/>
          <w:bCs/>
          <w:color w:val="000000"/>
          <w:sz w:val="72"/>
          <w:szCs w:val="72"/>
          <w:lang w:val="fr-FR"/>
        </w:rPr>
      </w:pPr>
    </w:p>
    <w:p w:rsidR="00662ACE" w:rsidRDefault="00662ACE" w:rsidP="00B75385">
      <w:pPr>
        <w:pStyle w:val="p1"/>
        <w:jc w:val="center"/>
        <w:rPr>
          <w:b/>
          <w:bCs/>
          <w:lang w:val="fr-FR"/>
        </w:rPr>
      </w:pPr>
    </w:p>
    <w:p w:rsidR="00662ACE" w:rsidRPr="004F542E" w:rsidRDefault="00662ACE" w:rsidP="00B75385">
      <w:pPr>
        <w:pStyle w:val="p1"/>
        <w:jc w:val="center"/>
        <w:rPr>
          <w:b/>
          <w:bCs/>
          <w:lang w:val="fr-FR"/>
        </w:rPr>
      </w:pPr>
    </w:p>
    <w:p w:rsidR="00662ACE" w:rsidRPr="004F542E" w:rsidRDefault="00662ACE" w:rsidP="00662ACE">
      <w:pPr>
        <w:pStyle w:val="p1"/>
        <w:rPr>
          <w:b/>
          <w:bCs/>
          <w:lang w:val="fr-FR"/>
        </w:rPr>
      </w:pPr>
    </w:p>
    <w:p w:rsidR="006A71CF" w:rsidRDefault="006A71CF" w:rsidP="00B75385">
      <w:pPr>
        <w:pStyle w:val="p1"/>
        <w:jc w:val="center"/>
        <w:rPr>
          <w:b/>
          <w:bCs/>
          <w:lang w:val="fr-FR"/>
        </w:rPr>
      </w:pPr>
    </w:p>
    <w:p w:rsidR="006A71CF" w:rsidRDefault="006A71CF" w:rsidP="00B75385">
      <w:pPr>
        <w:pStyle w:val="p1"/>
        <w:jc w:val="center"/>
        <w:rPr>
          <w:b/>
          <w:bCs/>
          <w:lang w:val="fr-FR"/>
        </w:rPr>
      </w:pPr>
    </w:p>
    <w:p w:rsidR="006368EE" w:rsidRDefault="006368EE" w:rsidP="006368EE">
      <w:pPr>
        <w:pStyle w:val="p1"/>
        <w:jc w:val="center"/>
        <w:rPr>
          <w:b/>
          <w:bCs/>
          <w:lang w:val="fr-FR"/>
        </w:rPr>
      </w:pPr>
      <w:r>
        <w:rPr>
          <w:b/>
          <w:bCs/>
          <w:lang w:val="fr-FR"/>
        </w:rPr>
        <w:t>LISTE DES ABREVIATIONS</w:t>
      </w:r>
    </w:p>
    <w:p w:rsidR="006A71CF" w:rsidRDefault="006A71CF" w:rsidP="00B75385">
      <w:pPr>
        <w:pStyle w:val="p1"/>
        <w:jc w:val="center"/>
        <w:rPr>
          <w:b/>
          <w:bCs/>
          <w:lang w:val="fr-FR"/>
        </w:rPr>
      </w:pPr>
    </w:p>
    <w:p w:rsidR="006A71CF" w:rsidRDefault="006A71CF" w:rsidP="00B75385">
      <w:pPr>
        <w:pStyle w:val="p1"/>
        <w:jc w:val="center"/>
        <w:rPr>
          <w:b/>
          <w:bCs/>
          <w:lang w:val="fr-FR"/>
        </w:rPr>
      </w:pPr>
    </w:p>
    <w:p w:rsidR="006A71CF" w:rsidRDefault="006A71CF" w:rsidP="00B75385">
      <w:pPr>
        <w:pStyle w:val="p1"/>
        <w:jc w:val="center"/>
        <w:rPr>
          <w:b/>
          <w:bCs/>
          <w:lang w:val="fr-FR"/>
        </w:rPr>
      </w:pPr>
    </w:p>
    <w:p w:rsidR="00E7342A" w:rsidRDefault="00E7342A" w:rsidP="00A229C7">
      <w:pPr>
        <w:pStyle w:val="NormalWeb"/>
        <w:spacing w:before="0" w:beforeAutospacing="0" w:line="360" w:lineRule="auto"/>
        <w:jc w:val="center"/>
        <w:rPr>
          <w:rFonts w:asciiTheme="majorBidi" w:hAnsiTheme="majorBidi" w:cstheme="majorBidi"/>
          <w:color w:val="000000"/>
          <w:lang w:val="fr-FR"/>
        </w:rPr>
      </w:pPr>
    </w:p>
    <w:p w:rsidR="00662ACE" w:rsidRDefault="00662ACE" w:rsidP="00A229C7">
      <w:pPr>
        <w:pStyle w:val="NormalWeb"/>
        <w:spacing w:before="0" w:beforeAutospacing="0" w:line="360" w:lineRule="auto"/>
        <w:jc w:val="center"/>
        <w:rPr>
          <w:rFonts w:asciiTheme="majorBidi" w:hAnsiTheme="majorBidi" w:cstheme="majorBidi"/>
          <w:color w:val="000000"/>
          <w:lang w:val="fr-FR"/>
        </w:rPr>
      </w:pPr>
    </w:p>
    <w:p w:rsidR="00662ACE" w:rsidRDefault="00662ACE" w:rsidP="00A229C7">
      <w:pPr>
        <w:pStyle w:val="NormalWeb"/>
        <w:spacing w:before="0" w:beforeAutospacing="0" w:line="360" w:lineRule="auto"/>
        <w:jc w:val="center"/>
        <w:rPr>
          <w:rFonts w:asciiTheme="majorBidi" w:hAnsiTheme="majorBidi" w:cstheme="majorBidi"/>
          <w:color w:val="000000"/>
          <w:lang w:val="fr-FR"/>
        </w:rPr>
      </w:pPr>
    </w:p>
    <w:p w:rsidR="00662ACE" w:rsidRDefault="00662ACE" w:rsidP="00A229C7">
      <w:pPr>
        <w:pStyle w:val="NormalWeb"/>
        <w:spacing w:before="0" w:beforeAutospacing="0" w:line="360" w:lineRule="auto"/>
        <w:jc w:val="center"/>
        <w:rPr>
          <w:rFonts w:asciiTheme="majorBidi" w:hAnsiTheme="majorBidi" w:cstheme="majorBidi"/>
          <w:color w:val="000000"/>
          <w:lang w:val="fr-FR"/>
        </w:rPr>
      </w:pPr>
    </w:p>
    <w:p w:rsidR="00662ACE" w:rsidRDefault="00662ACE" w:rsidP="00662ACE">
      <w:pPr>
        <w:pStyle w:val="p1"/>
        <w:rPr>
          <w:b/>
          <w:bCs/>
          <w:sz w:val="28"/>
          <w:szCs w:val="28"/>
          <w:lang w:val="fr-FR"/>
        </w:rPr>
      </w:pPr>
    </w:p>
    <w:p w:rsidR="005F596E" w:rsidRDefault="005F596E" w:rsidP="00662ACE">
      <w:pPr>
        <w:pStyle w:val="p1"/>
        <w:rPr>
          <w:b/>
          <w:bCs/>
          <w:sz w:val="28"/>
          <w:szCs w:val="28"/>
          <w:lang w:val="fr-FR"/>
        </w:rPr>
      </w:pPr>
    </w:p>
    <w:p w:rsidR="005F596E" w:rsidRDefault="005F596E" w:rsidP="00662ACE">
      <w:pPr>
        <w:pStyle w:val="p1"/>
        <w:rPr>
          <w:b/>
          <w:bCs/>
          <w:sz w:val="28"/>
          <w:szCs w:val="28"/>
          <w:lang w:val="fr-FR"/>
        </w:rPr>
      </w:pPr>
    </w:p>
    <w:p w:rsidR="00487480" w:rsidRDefault="00E94C87" w:rsidP="00E94C87">
      <w:pPr>
        <w:pStyle w:val="p1"/>
        <w:spacing w:line="360" w:lineRule="auto"/>
        <w:jc w:val="center"/>
        <w:rPr>
          <w:b/>
          <w:bCs/>
          <w:sz w:val="28"/>
          <w:szCs w:val="28"/>
          <w:lang w:val="fr-FR"/>
        </w:rPr>
      </w:pPr>
      <w:r w:rsidRPr="00487480">
        <w:rPr>
          <w:b/>
          <w:bCs/>
          <w:sz w:val="28"/>
          <w:szCs w:val="28"/>
          <w:lang w:val="fr-FR"/>
        </w:rPr>
        <w:lastRenderedPageBreak/>
        <w:t>LISTE DES ABREVIATIONS</w:t>
      </w:r>
    </w:p>
    <w:tbl>
      <w:tblPr>
        <w:tblStyle w:val="Grilledetableauclaire"/>
        <w:tblW w:w="0" w:type="auto"/>
        <w:tblLook w:val="04A0" w:firstRow="1" w:lastRow="0" w:firstColumn="1" w:lastColumn="0" w:noHBand="0" w:noVBand="1"/>
      </w:tblPr>
      <w:tblGrid>
        <w:gridCol w:w="2229"/>
        <w:gridCol w:w="6781"/>
      </w:tblGrid>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b/>
                <w:bCs/>
                <w:color w:val="000000"/>
              </w:rPr>
            </w:pPr>
            <w:r w:rsidRPr="00114EBC">
              <w:rPr>
                <w:rStyle w:val="lev"/>
                <w:rFonts w:asciiTheme="majorBidi" w:hAnsiTheme="majorBidi" w:cstheme="majorBidi"/>
                <w:color w:val="000000"/>
              </w:rPr>
              <w:t>Abréviation</w:t>
            </w:r>
          </w:p>
        </w:tc>
        <w:tc>
          <w:tcPr>
            <w:tcW w:w="0" w:type="auto"/>
            <w:hideMark/>
          </w:tcPr>
          <w:p w:rsidR="00114EBC" w:rsidRPr="00114EBC" w:rsidRDefault="00114EBC" w:rsidP="00604AF1">
            <w:pPr>
              <w:spacing w:line="360" w:lineRule="auto"/>
              <w:rPr>
                <w:rFonts w:asciiTheme="majorBidi" w:hAnsiTheme="majorBidi" w:cstheme="majorBidi"/>
                <w:b/>
                <w:bCs/>
                <w:color w:val="000000"/>
              </w:rPr>
            </w:pPr>
            <w:r w:rsidRPr="00114EBC">
              <w:rPr>
                <w:rStyle w:val="lev"/>
                <w:rFonts w:asciiTheme="majorBidi" w:hAnsiTheme="majorBidi" w:cstheme="majorBidi"/>
                <w:color w:val="000000"/>
              </w:rPr>
              <w:t>Signification</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RH</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Ressources Humaines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GRH</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Gestion des Ressources Humaines</w:t>
            </w:r>
          </w:p>
        </w:tc>
      </w:tr>
      <w:tr w:rsidR="00114EBC" w:rsidRPr="00114EBC" w:rsidTr="00604AF1">
        <w:tc>
          <w:tcPr>
            <w:tcW w:w="0" w:type="auto"/>
          </w:tcPr>
          <w:p w:rsidR="00114EBC" w:rsidRPr="00114EBC" w:rsidRDefault="00114EBC" w:rsidP="00604AF1">
            <w:pPr>
              <w:spacing w:line="360" w:lineRule="auto"/>
              <w:rPr>
                <w:rFonts w:asciiTheme="majorBidi" w:hAnsiTheme="majorBidi" w:cstheme="majorBidi"/>
                <w:color w:val="000000"/>
                <w:lang w:val="fr-FR"/>
              </w:rPr>
            </w:pPr>
            <w:r>
              <w:rPr>
                <w:rFonts w:asciiTheme="majorBidi" w:hAnsiTheme="majorBidi" w:cstheme="majorBidi"/>
                <w:color w:val="000000"/>
                <w:lang w:val="fr-FR"/>
              </w:rPr>
              <w:t>DRH</w:t>
            </w:r>
          </w:p>
        </w:tc>
        <w:tc>
          <w:tcPr>
            <w:tcW w:w="0" w:type="auto"/>
          </w:tcPr>
          <w:p w:rsidR="00114EBC" w:rsidRPr="00114EBC" w:rsidRDefault="00114EBC" w:rsidP="00604AF1">
            <w:pPr>
              <w:spacing w:line="360" w:lineRule="auto"/>
              <w:rPr>
                <w:rFonts w:asciiTheme="majorBidi" w:hAnsiTheme="majorBidi" w:cstheme="majorBidi"/>
                <w:color w:val="000000"/>
              </w:rPr>
            </w:pPr>
            <w:r>
              <w:rPr>
                <w:rFonts w:asciiTheme="majorBidi" w:hAnsiTheme="majorBidi" w:cstheme="majorBidi"/>
                <w:color w:val="000000"/>
                <w:lang w:val="fr-FR"/>
              </w:rPr>
              <w:t>Directeur</w:t>
            </w:r>
            <w:r w:rsidRPr="00114EBC">
              <w:rPr>
                <w:rFonts w:asciiTheme="majorBidi" w:hAnsiTheme="majorBidi" w:cstheme="majorBidi"/>
                <w:color w:val="000000"/>
              </w:rPr>
              <w:t xml:space="preserve"> des Ressources Humaines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GPEC</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Gestion Prévisionnelle des Emplois et des Compétences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GSRH</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Gestion Stratégique des Ressources Humaines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AMO</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Assistant à Maîtrise d’Ouvrage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SIRH</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Système d’Information des Ressources Humaines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ERP</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Enterprise Resource Planning (Progiciel de gestion intégré)</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ATS</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Applicant Tracking System (Système de gestion des candidatures)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GED</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Gestion Électronique des Documents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GEDISO</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Gestion Électronique des Documents Internes et Suivi des Opérations (chez Hasnaoui Logistique)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ANEM</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Agence Nationale de l’Emploi</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DAIP</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Dispositif d’Aide à l’Insertion Professionnelle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LMS</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Learning Management System (Système de gestion de la formation)</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KPI</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Key Performance Indicator (Indicateur clé de performance)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API</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Application Programming Interface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CRM</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Customer Relationship Management (Gestion de la relation client)</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SPSS</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Statistical Package for the Social Sciences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PLS</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Partial Least Squares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PLS-SEM</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Partial Least Squares Structural Equation Modeling</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AFE</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Analyse Factorielle Exploratoire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AVE</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Average Variance Extracted</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VIF</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Variance Inflation Factor</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GOF</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Goodness of Fit</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PROCESS</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Macro pour l’analyse de médiation/modération sous SPSS</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Excel</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Microsoft Excel</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PowerPoint</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Microsoft PowerPoint</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Macir Vie</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Plateforme de gestion en ligne des assurances santé (prestataire externe)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lastRenderedPageBreak/>
              <w:t>Kelio</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Logiciel de gestion des temps et de pointage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CV</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Curriculum Vitae</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QVT</w:t>
            </w:r>
            <w:r w:rsidRPr="00114EBC">
              <w:rPr>
                <w:rStyle w:val="apple-converted-space"/>
                <w:rFonts w:asciiTheme="majorBidi" w:hAnsiTheme="majorBidi" w:cstheme="majorBidi"/>
                <w:color w:val="000000"/>
              </w:rPr>
              <w:t> </w:t>
            </w:r>
            <w:r w:rsidRPr="00114EBC">
              <w:rPr>
                <w:rStyle w:val="Accentuation"/>
                <w:rFonts w:asciiTheme="majorBidi" w:hAnsiTheme="majorBidi" w:cstheme="majorBidi"/>
                <w:color w:val="000000"/>
              </w:rPr>
              <w:t>(mention indirecte)</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Qualité de Vie au Travail</w:t>
            </w:r>
          </w:p>
        </w:tc>
      </w:tr>
      <w:tr w:rsidR="00114EBC" w:rsidRPr="00114EBC" w:rsidTr="00604AF1">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LinkedIn</w:t>
            </w:r>
          </w:p>
        </w:tc>
        <w:tc>
          <w:tcPr>
            <w:tcW w:w="0" w:type="auto"/>
            <w:hideMark/>
          </w:tcPr>
          <w:p w:rsidR="00114EBC" w:rsidRPr="00114EBC" w:rsidRDefault="00114EBC" w:rsidP="00604AF1">
            <w:pPr>
              <w:spacing w:line="360" w:lineRule="auto"/>
              <w:rPr>
                <w:rFonts w:asciiTheme="majorBidi" w:hAnsiTheme="majorBidi" w:cstheme="majorBidi"/>
                <w:color w:val="000000"/>
              </w:rPr>
            </w:pPr>
            <w:r w:rsidRPr="00114EBC">
              <w:rPr>
                <w:rFonts w:asciiTheme="majorBidi" w:hAnsiTheme="majorBidi" w:cstheme="majorBidi"/>
                <w:color w:val="000000"/>
              </w:rPr>
              <w:t>Réseau social professionnel (utilisé pour la diffusion du questionnaire)</w:t>
            </w:r>
          </w:p>
        </w:tc>
      </w:tr>
    </w:tbl>
    <w:p w:rsidR="00487480" w:rsidRPr="00114EBC" w:rsidRDefault="00487480" w:rsidP="00604AF1">
      <w:pPr>
        <w:pStyle w:val="p1"/>
        <w:jc w:val="center"/>
        <w:rPr>
          <w:b/>
          <w:bCs/>
          <w:sz w:val="28"/>
          <w:szCs w:val="28"/>
        </w:rPr>
      </w:pPr>
    </w:p>
    <w:p w:rsidR="00AB7C41" w:rsidRDefault="00AB7C41" w:rsidP="00C8394C">
      <w:pPr>
        <w:pStyle w:val="p1"/>
        <w:rPr>
          <w:b/>
          <w:bCs/>
        </w:rPr>
        <w:sectPr w:rsidR="00AB7C41" w:rsidSect="00B90DFC">
          <w:footerReference w:type="default" r:id="rId15"/>
          <w:pgSz w:w="11900" w:h="16840"/>
          <w:pgMar w:top="1440" w:right="1440" w:bottom="1440" w:left="1440" w:header="708" w:footer="708" w:gutter="0"/>
          <w:pgNumType w:fmt="upperRoman" w:start="1"/>
          <w:cols w:space="708"/>
          <w:docGrid w:linePitch="360"/>
        </w:sectPr>
      </w:pPr>
    </w:p>
    <w:p w:rsidR="00B75385" w:rsidRDefault="00B75385" w:rsidP="00B75385">
      <w:pPr>
        <w:pStyle w:val="p1"/>
        <w:jc w:val="center"/>
        <w:rPr>
          <w:b/>
          <w:bCs/>
        </w:rPr>
      </w:pPr>
    </w:p>
    <w:p w:rsidR="00AB7C41" w:rsidRDefault="00AB7C41" w:rsidP="00674E1F">
      <w:pPr>
        <w:pStyle w:val="p1"/>
        <w:rPr>
          <w:b/>
          <w:bCs/>
        </w:rPr>
        <w:sectPr w:rsidR="00AB7C41" w:rsidSect="00356CAF">
          <w:footerReference w:type="default" r:id="rId16"/>
          <w:pgSz w:w="11900" w:h="16840"/>
          <w:pgMar w:top="1440" w:right="1440" w:bottom="1440" w:left="1440" w:header="708" w:footer="708" w:gutter="0"/>
          <w:pgNumType w:start="1"/>
          <w:cols w:space="708"/>
          <w:docGrid w:linePitch="360"/>
        </w:sectPr>
      </w:pPr>
    </w:p>
    <w:p w:rsidR="00674E1F" w:rsidRDefault="00674E1F" w:rsidP="00674E1F">
      <w:pPr>
        <w:pStyle w:val="p1"/>
        <w:rPr>
          <w:b/>
          <w:bCs/>
        </w:rPr>
      </w:pPr>
    </w:p>
    <w:p w:rsidR="00C8394C" w:rsidRDefault="00C8394C" w:rsidP="00674E1F">
      <w:pPr>
        <w:pStyle w:val="p1"/>
        <w:rPr>
          <w:b/>
          <w:bCs/>
        </w:rPr>
      </w:pPr>
    </w:p>
    <w:p w:rsidR="001C75C0" w:rsidRDefault="001C75C0" w:rsidP="00674E1F">
      <w:pPr>
        <w:pStyle w:val="p1"/>
        <w:rPr>
          <w:b/>
          <w:bCs/>
        </w:rPr>
      </w:pPr>
    </w:p>
    <w:p w:rsidR="001C75C0" w:rsidRDefault="001C75C0" w:rsidP="00674E1F">
      <w:pPr>
        <w:pStyle w:val="p1"/>
        <w:rPr>
          <w:b/>
          <w:bCs/>
        </w:rPr>
      </w:pPr>
    </w:p>
    <w:p w:rsidR="001C75C0" w:rsidRDefault="001C75C0" w:rsidP="00674E1F">
      <w:pPr>
        <w:pStyle w:val="p1"/>
        <w:rPr>
          <w:b/>
          <w:bCs/>
        </w:rPr>
      </w:pPr>
    </w:p>
    <w:p w:rsidR="00B75385" w:rsidRPr="00D77B02" w:rsidRDefault="00E94C87" w:rsidP="00D77B02">
      <w:pPr>
        <w:pStyle w:val="Titre3"/>
        <w:jc w:val="center"/>
        <w:rPr>
          <w:sz w:val="72"/>
          <w:szCs w:val="72"/>
        </w:rPr>
      </w:pPr>
      <w:bookmarkStart w:id="0" w:name="_Toc200635277"/>
      <w:bookmarkStart w:id="1" w:name="_Toc200635665"/>
      <w:bookmarkStart w:id="2" w:name="_Toc200636054"/>
      <w:bookmarkStart w:id="3" w:name="_Toc200755791"/>
      <w:r w:rsidRPr="00D77B02">
        <w:rPr>
          <w:sz w:val="72"/>
          <w:szCs w:val="72"/>
        </w:rPr>
        <w:t>INTRODUCTION</w:t>
      </w:r>
      <w:bookmarkEnd w:id="0"/>
      <w:bookmarkEnd w:id="1"/>
      <w:bookmarkEnd w:id="2"/>
      <w:bookmarkEnd w:id="3"/>
    </w:p>
    <w:p w:rsidR="00B75385" w:rsidRPr="00D77B02" w:rsidRDefault="00E94C87" w:rsidP="00D77B02">
      <w:pPr>
        <w:pStyle w:val="Titre3"/>
        <w:jc w:val="center"/>
        <w:rPr>
          <w:sz w:val="72"/>
          <w:szCs w:val="72"/>
        </w:rPr>
      </w:pPr>
      <w:bookmarkStart w:id="4" w:name="_Toc200635278"/>
      <w:bookmarkStart w:id="5" w:name="_Toc200635666"/>
      <w:bookmarkStart w:id="6" w:name="_Toc200636055"/>
      <w:bookmarkStart w:id="7" w:name="_Toc200754955"/>
      <w:bookmarkStart w:id="8" w:name="_Toc200755792"/>
      <w:r w:rsidRPr="00D77B02">
        <w:rPr>
          <w:sz w:val="72"/>
          <w:szCs w:val="72"/>
        </w:rPr>
        <w:t>GÉNÉRALE</w:t>
      </w:r>
      <w:bookmarkEnd w:id="4"/>
      <w:bookmarkEnd w:id="5"/>
      <w:bookmarkEnd w:id="6"/>
      <w:bookmarkEnd w:id="7"/>
      <w:bookmarkEnd w:id="8"/>
    </w:p>
    <w:p w:rsidR="00B75385" w:rsidRDefault="00B75385" w:rsidP="00B75385">
      <w:pPr>
        <w:pStyle w:val="p1"/>
        <w:jc w:val="center"/>
        <w:rPr>
          <w:b/>
          <w:bCs/>
        </w:rPr>
      </w:pPr>
    </w:p>
    <w:p w:rsidR="00B75385" w:rsidRDefault="00B75385" w:rsidP="00B75385">
      <w:pPr>
        <w:pStyle w:val="p1"/>
        <w:jc w:val="center"/>
        <w:rPr>
          <w:b/>
          <w:bCs/>
        </w:rPr>
      </w:pPr>
    </w:p>
    <w:p w:rsidR="00B75385" w:rsidRDefault="00B75385" w:rsidP="00B75385">
      <w:pPr>
        <w:pStyle w:val="p1"/>
        <w:jc w:val="center"/>
        <w:rPr>
          <w:b/>
          <w:bCs/>
        </w:rPr>
      </w:pPr>
    </w:p>
    <w:p w:rsidR="00B75385" w:rsidRDefault="00B75385" w:rsidP="00B75385">
      <w:pPr>
        <w:pStyle w:val="p1"/>
        <w:jc w:val="center"/>
        <w:rPr>
          <w:b/>
          <w:bCs/>
        </w:rPr>
      </w:pPr>
    </w:p>
    <w:p w:rsidR="00B75385" w:rsidRDefault="00B75385" w:rsidP="00B75385">
      <w:pPr>
        <w:pStyle w:val="p1"/>
        <w:jc w:val="center"/>
        <w:rPr>
          <w:b/>
          <w:bCs/>
        </w:rPr>
      </w:pPr>
    </w:p>
    <w:p w:rsidR="00B75385" w:rsidRDefault="00B75385" w:rsidP="00B75385">
      <w:pPr>
        <w:pStyle w:val="p1"/>
        <w:jc w:val="center"/>
        <w:rPr>
          <w:b/>
          <w:bCs/>
        </w:rPr>
      </w:pPr>
    </w:p>
    <w:p w:rsidR="001C75C0" w:rsidRDefault="001C75C0" w:rsidP="00B75385">
      <w:pPr>
        <w:pStyle w:val="p1"/>
        <w:rPr>
          <w:b/>
          <w:bCs/>
        </w:rPr>
      </w:pPr>
    </w:p>
    <w:p w:rsidR="001C75C0" w:rsidRDefault="001C75C0" w:rsidP="00B75385">
      <w:pPr>
        <w:pStyle w:val="p1"/>
        <w:rPr>
          <w:b/>
          <w:bCs/>
          <w:sz w:val="28"/>
          <w:szCs w:val="28"/>
          <w:lang w:val="fr-FR"/>
        </w:rPr>
      </w:pPr>
    </w:p>
    <w:p w:rsidR="001C75C0" w:rsidRDefault="001C75C0" w:rsidP="00B75385">
      <w:pPr>
        <w:pStyle w:val="p1"/>
        <w:rPr>
          <w:b/>
          <w:bCs/>
          <w:sz w:val="28"/>
          <w:szCs w:val="28"/>
          <w:lang w:val="fr-FR"/>
        </w:rPr>
      </w:pPr>
    </w:p>
    <w:p w:rsidR="00B552EB" w:rsidRPr="00C8394C" w:rsidRDefault="00B552EB" w:rsidP="00A858C8">
      <w:pPr>
        <w:pStyle w:val="Titre3"/>
        <w:spacing w:after="0" w:afterAutospacing="0" w:line="360" w:lineRule="auto"/>
        <w:rPr>
          <w:sz w:val="28"/>
          <w:szCs w:val="28"/>
          <w:lang w:eastAsia="fr-FR"/>
        </w:rPr>
      </w:pPr>
      <w:bookmarkStart w:id="9" w:name="_Toc200486503"/>
      <w:bookmarkStart w:id="10" w:name="_Toc200635279"/>
      <w:bookmarkStart w:id="11" w:name="_Toc200635667"/>
      <w:bookmarkStart w:id="12" w:name="_Toc200636056"/>
      <w:bookmarkStart w:id="13" w:name="_Toc200754956"/>
      <w:bookmarkStart w:id="14" w:name="_Toc200755793"/>
      <w:r w:rsidRPr="00C8394C">
        <w:rPr>
          <w:sz w:val="28"/>
          <w:szCs w:val="28"/>
          <w:lang w:eastAsia="fr-FR"/>
        </w:rPr>
        <w:lastRenderedPageBreak/>
        <w:t xml:space="preserve">Introduction </w:t>
      </w:r>
      <w:r w:rsidRPr="00847F4A">
        <w:rPr>
          <w:sz w:val="28"/>
          <w:szCs w:val="28"/>
          <w:lang w:val="fr-FR" w:eastAsia="fr-FR"/>
        </w:rPr>
        <w:t>g</w:t>
      </w:r>
      <w:r w:rsidRPr="00C8394C">
        <w:rPr>
          <w:sz w:val="28"/>
          <w:szCs w:val="28"/>
          <w:lang w:eastAsia="fr-FR"/>
        </w:rPr>
        <w:t>énérale</w:t>
      </w:r>
      <w:bookmarkEnd w:id="9"/>
      <w:bookmarkEnd w:id="10"/>
      <w:bookmarkEnd w:id="11"/>
      <w:bookmarkEnd w:id="12"/>
      <w:bookmarkEnd w:id="13"/>
      <w:bookmarkEnd w:id="14"/>
    </w:p>
    <w:p w:rsidR="00B43A69" w:rsidRPr="00A502DC" w:rsidRDefault="00B43A69" w:rsidP="00A858C8">
      <w:pPr>
        <w:pStyle w:val="p1"/>
        <w:spacing w:line="360" w:lineRule="auto"/>
        <w:jc w:val="both"/>
        <w:rPr>
          <w:rFonts w:asciiTheme="majorBidi" w:hAnsiTheme="majorBidi" w:cstheme="majorBidi"/>
          <w:b/>
          <w:bCs/>
          <w:sz w:val="24"/>
          <w:szCs w:val="24"/>
          <w:lang w:val="fr-FR"/>
        </w:rPr>
      </w:pPr>
      <w:r w:rsidRPr="00A502DC">
        <w:rPr>
          <w:rFonts w:asciiTheme="majorBidi" w:hAnsiTheme="majorBidi" w:cstheme="majorBidi"/>
          <w:sz w:val="24"/>
          <w:szCs w:val="24"/>
        </w:rPr>
        <w:t>« La transformation digitale n’est plus une option, mais une nécessité pour toutes les fonctions de l’entreprise, y compris les ressources humaines. » Cette affirmation résonne fortement dans un monde professionnel marqué par l’accélération technologique, la complexité croissante des environnements de travail et l’évolution rapide des attentes des collaborateurs.</w:t>
      </w:r>
    </w:p>
    <w:p w:rsidR="00A502DC" w:rsidRDefault="00B43A69" w:rsidP="00B552EB">
      <w:pPr>
        <w:pStyle w:val="NormalWeb"/>
        <w:spacing w:before="0" w:beforeAutospacing="0" w:after="240" w:afterAutospacing="0" w:line="360" w:lineRule="auto"/>
        <w:jc w:val="both"/>
        <w:rPr>
          <w:rFonts w:asciiTheme="majorBidi" w:hAnsiTheme="majorBidi" w:cstheme="majorBidi"/>
          <w:color w:val="000000"/>
        </w:rPr>
      </w:pPr>
      <w:r w:rsidRPr="00A502DC">
        <w:rPr>
          <w:rFonts w:asciiTheme="majorBidi" w:hAnsiTheme="majorBidi" w:cstheme="majorBidi"/>
          <w:color w:val="000000"/>
        </w:rPr>
        <w:t>Dans ce contexte, la fonction</w:t>
      </w:r>
      <w:r w:rsidRPr="00A502DC">
        <w:rPr>
          <w:rStyle w:val="apple-converted-space"/>
          <w:rFonts w:asciiTheme="majorBidi" w:hAnsiTheme="majorBidi" w:cstheme="majorBidi"/>
          <w:color w:val="000000"/>
        </w:rPr>
        <w:t> </w:t>
      </w:r>
      <w:r w:rsidRPr="00B552EB">
        <w:rPr>
          <w:rStyle w:val="lev"/>
          <w:rFonts w:asciiTheme="majorBidi" w:hAnsiTheme="majorBidi" w:cstheme="majorBidi"/>
          <w:b w:val="0"/>
          <w:bCs w:val="0"/>
          <w:color w:val="000000"/>
        </w:rPr>
        <w:t>ressources humaines</w:t>
      </w:r>
      <w:r w:rsidRPr="00A502DC">
        <w:rPr>
          <w:rStyle w:val="apple-converted-space"/>
          <w:rFonts w:asciiTheme="majorBidi" w:hAnsiTheme="majorBidi" w:cstheme="majorBidi"/>
          <w:color w:val="000000"/>
        </w:rPr>
        <w:t> </w:t>
      </w:r>
      <w:r w:rsidRPr="00A502DC">
        <w:rPr>
          <w:rFonts w:asciiTheme="majorBidi" w:hAnsiTheme="majorBidi" w:cstheme="majorBidi"/>
          <w:color w:val="000000"/>
        </w:rPr>
        <w:t>(RH) est appelée à repenser ses modes de gestion traditionnels. Les</w:t>
      </w:r>
      <w:r w:rsidRPr="00A502DC">
        <w:rPr>
          <w:rStyle w:val="apple-converted-space"/>
          <w:rFonts w:asciiTheme="majorBidi" w:hAnsiTheme="majorBidi" w:cstheme="majorBidi"/>
          <w:color w:val="000000"/>
        </w:rPr>
        <w:t> </w:t>
      </w:r>
      <w:r w:rsidRPr="00B552EB">
        <w:rPr>
          <w:rStyle w:val="lev"/>
          <w:rFonts w:asciiTheme="majorBidi" w:hAnsiTheme="majorBidi" w:cstheme="majorBidi"/>
          <w:b w:val="0"/>
          <w:bCs w:val="0"/>
          <w:color w:val="000000"/>
        </w:rPr>
        <w:t>technologies numériques</w:t>
      </w:r>
      <w:r w:rsidRPr="00A502DC">
        <w:rPr>
          <w:rStyle w:val="apple-converted-space"/>
          <w:rFonts w:asciiTheme="majorBidi" w:hAnsiTheme="majorBidi" w:cstheme="majorBidi"/>
          <w:color w:val="000000"/>
        </w:rPr>
        <w:t> </w:t>
      </w:r>
      <w:r w:rsidRPr="00A502DC">
        <w:rPr>
          <w:rFonts w:asciiTheme="majorBidi" w:hAnsiTheme="majorBidi" w:cstheme="majorBidi"/>
          <w:color w:val="000000"/>
        </w:rPr>
        <w:t>ont ouvert la voie à une</w:t>
      </w:r>
      <w:r w:rsidRPr="00A502DC">
        <w:rPr>
          <w:rStyle w:val="apple-converted-space"/>
          <w:rFonts w:asciiTheme="majorBidi" w:hAnsiTheme="majorBidi" w:cstheme="majorBidi"/>
          <w:color w:val="000000"/>
        </w:rPr>
        <w:t> </w:t>
      </w:r>
      <w:r w:rsidRPr="00B552EB">
        <w:rPr>
          <w:rStyle w:val="lev"/>
          <w:rFonts w:asciiTheme="majorBidi" w:hAnsiTheme="majorBidi" w:cstheme="majorBidi"/>
          <w:b w:val="0"/>
          <w:bCs w:val="0"/>
          <w:color w:val="000000"/>
        </w:rPr>
        <w:t>refonte profonde des processus RH</w:t>
      </w:r>
      <w:r w:rsidRPr="00A502DC">
        <w:rPr>
          <w:rFonts w:asciiTheme="majorBidi" w:hAnsiTheme="majorBidi" w:cstheme="majorBidi"/>
          <w:color w:val="000000"/>
        </w:rPr>
        <w:t>, notamment dans des domaines stratégiques tels que le</w:t>
      </w:r>
      <w:r w:rsidRPr="00A502DC">
        <w:rPr>
          <w:rStyle w:val="apple-converted-space"/>
          <w:rFonts w:asciiTheme="majorBidi" w:hAnsiTheme="majorBidi" w:cstheme="majorBidi"/>
          <w:color w:val="000000"/>
        </w:rPr>
        <w:t> </w:t>
      </w:r>
      <w:r w:rsidRPr="00B552EB">
        <w:rPr>
          <w:rStyle w:val="lev"/>
          <w:rFonts w:asciiTheme="majorBidi" w:hAnsiTheme="majorBidi" w:cstheme="majorBidi"/>
          <w:b w:val="0"/>
          <w:bCs w:val="0"/>
          <w:color w:val="000000"/>
        </w:rPr>
        <w:t>recrutement</w:t>
      </w:r>
      <w:r w:rsidRPr="00A502DC">
        <w:rPr>
          <w:rStyle w:val="apple-converted-space"/>
          <w:rFonts w:asciiTheme="majorBidi" w:hAnsiTheme="majorBidi" w:cstheme="majorBidi"/>
          <w:color w:val="000000"/>
        </w:rPr>
        <w:t> </w:t>
      </w:r>
      <w:r w:rsidRPr="00A502DC">
        <w:rPr>
          <w:rFonts w:asciiTheme="majorBidi" w:hAnsiTheme="majorBidi" w:cstheme="majorBidi"/>
          <w:color w:val="000000"/>
        </w:rPr>
        <w:t>et la</w:t>
      </w:r>
      <w:r w:rsidRPr="00B552EB">
        <w:rPr>
          <w:rStyle w:val="apple-converted-space"/>
          <w:rFonts w:asciiTheme="majorBidi" w:hAnsiTheme="majorBidi" w:cstheme="majorBidi"/>
          <w:color w:val="000000"/>
        </w:rPr>
        <w:t> </w:t>
      </w:r>
      <w:r w:rsidRPr="00B552EB">
        <w:rPr>
          <w:rStyle w:val="lev"/>
          <w:rFonts w:asciiTheme="majorBidi" w:hAnsiTheme="majorBidi" w:cstheme="majorBidi"/>
          <w:b w:val="0"/>
          <w:bCs w:val="0"/>
          <w:color w:val="000000"/>
        </w:rPr>
        <w:t>formation</w:t>
      </w:r>
      <w:r w:rsidRPr="00A502DC">
        <w:rPr>
          <w:rFonts w:asciiTheme="majorBidi" w:hAnsiTheme="majorBidi" w:cstheme="majorBidi"/>
          <w:color w:val="000000"/>
        </w:rPr>
        <w:t>. L’introduction d’outils comme les systèmes d’information RH (SIRH), les plateformes de gestion des talents ou encore les modules de formation en ligne permet non seulement de gagner en efficacité, mais aussi d’améliorer la qualité, la transparence et l’adaptabilité des pratiques RH.</w:t>
      </w:r>
    </w:p>
    <w:p w:rsidR="008B5596" w:rsidRPr="00A502DC" w:rsidRDefault="008B5596" w:rsidP="00A502DC">
      <w:pPr>
        <w:pStyle w:val="NormalWeb"/>
        <w:spacing w:before="0" w:beforeAutospacing="0" w:after="0" w:afterAutospacing="0" w:line="360" w:lineRule="auto"/>
        <w:jc w:val="both"/>
        <w:rPr>
          <w:rFonts w:asciiTheme="majorBidi" w:hAnsiTheme="majorBidi" w:cstheme="majorBidi"/>
          <w:color w:val="000000"/>
        </w:rPr>
      </w:pPr>
      <w:r w:rsidRPr="00A502DC">
        <w:rPr>
          <w:rFonts w:asciiTheme="majorBidi" w:hAnsiTheme="majorBidi" w:cstheme="majorBidi"/>
        </w:rPr>
        <w:t>La digitalisation, portée par les avancées technologiques, a profondément bouleversé les modes traditionnels de recrutement et de formation, en introduisant des outils intelligents, interactifs et accessibles, capables d’optimiser ces deux processus clés. Selon Parry et Strohmeier (2014), l’e-recrutement permet non seulement de gagner en efficacité et en rapidité, mais aussi de cibler plus précisément les profils recherchés grâce à l’analyse de données et à l’intelligence artificielle</w:t>
      </w:r>
      <w:r w:rsidRPr="00A502DC">
        <w:rPr>
          <w:rStyle w:val="Appelnotedebasdep"/>
          <w:rFonts w:cstheme="majorBidi"/>
        </w:rPr>
        <w:footnoteReference w:id="1"/>
      </w:r>
      <w:r w:rsidRPr="00A502DC">
        <w:rPr>
          <w:rFonts w:asciiTheme="majorBidi" w:hAnsiTheme="majorBidi" w:cstheme="majorBidi"/>
        </w:rPr>
        <w:t>. De même, la formation en ligne (e-learning) favorise l’apprentissage continu, personnalisé et accessible, contribuant ainsi à renforcer les compétences internes de manière souple et dynamique</w:t>
      </w:r>
      <w:r w:rsidRPr="00A502DC">
        <w:rPr>
          <w:rStyle w:val="Appelnotedebasdep"/>
          <w:rFonts w:cstheme="majorBidi"/>
        </w:rPr>
        <w:footnoteReference w:id="2"/>
      </w:r>
      <w:r w:rsidRPr="00A502DC">
        <w:rPr>
          <w:rFonts w:asciiTheme="majorBidi" w:hAnsiTheme="majorBidi" w:cstheme="majorBidi"/>
        </w:rPr>
        <w:t>. Face à ces mutations, les services RH ne peuvent plus se limiter à des approches classiques : ils doivent intégrer pleinement les outils numériques dans leur stratégie globale pour rester compétitifs. Dans un contexte où l’agilité, la réactivité et la performance sont devenues des impératifs, la digitalisation s’impose comme un levier stratégique incontournable</w:t>
      </w:r>
      <w:r w:rsidRPr="00A502DC">
        <w:rPr>
          <w:rStyle w:val="Appelnotedebasdep"/>
          <w:rFonts w:cstheme="majorBidi"/>
        </w:rPr>
        <w:footnoteReference w:id="3"/>
      </w:r>
      <w:r w:rsidRPr="00A502DC">
        <w:rPr>
          <w:rFonts w:asciiTheme="majorBidi" w:hAnsiTheme="majorBidi" w:cstheme="majorBidi"/>
        </w:rPr>
        <w:t xml:space="preserve">. En Algérie, cette transformation prend une dimension particulière. De plus en plus d’entreprises – qu’elles soient privées ou publiques – commencent à adopter des solutions digitales pour moderniser leurs processus RH. Des acteurs locaux comme Sonelgaz, </w:t>
      </w:r>
      <w:r w:rsidR="00C44F94" w:rsidRPr="00A502DC">
        <w:rPr>
          <w:rFonts w:asciiTheme="majorBidi" w:hAnsiTheme="majorBidi" w:cstheme="majorBidi"/>
          <w:lang w:val="fr-FR"/>
        </w:rPr>
        <w:t xml:space="preserve">Groupe </w:t>
      </w:r>
      <w:r w:rsidRPr="00A502DC">
        <w:rPr>
          <w:rFonts w:asciiTheme="majorBidi" w:hAnsiTheme="majorBidi" w:cstheme="majorBidi"/>
        </w:rPr>
        <w:t xml:space="preserve">Hasnaoui ou encore Condor initient des projets de numérisation visant à améliorer l’efficacité </w:t>
      </w:r>
      <w:r w:rsidRPr="00A502DC">
        <w:rPr>
          <w:rFonts w:asciiTheme="majorBidi" w:hAnsiTheme="majorBidi" w:cstheme="majorBidi"/>
        </w:rPr>
        <w:lastRenderedPageBreak/>
        <w:t>de leurs services de recrutement et de formation</w:t>
      </w:r>
      <w:r w:rsidRPr="00A502DC">
        <w:rPr>
          <w:rStyle w:val="Appelnotedebasdep"/>
          <w:rFonts w:cstheme="majorBidi"/>
        </w:rPr>
        <w:footnoteReference w:id="4"/>
      </w:r>
      <w:r w:rsidRPr="00A502DC">
        <w:rPr>
          <w:rFonts w:asciiTheme="majorBidi" w:hAnsiTheme="majorBidi" w:cstheme="majorBidi"/>
        </w:rPr>
        <w:t>. Toutefois, cette transition reste inégale et soulève de nombreuses interrogations quant à son impact réel sur la performance RH, l’expérience collaborateur et la gestion des compétences. Dès lors, il devient essentiel d’analyser le rôle de la digitalisation non seulement comme une simple innovation technologique, mais comme un vecteur d’optimisation stratégique des pratiques RH.</w:t>
      </w:r>
    </w:p>
    <w:p w:rsidR="00C44F94" w:rsidRPr="00847F4A" w:rsidRDefault="00C44F94" w:rsidP="004D4075">
      <w:pPr>
        <w:pStyle w:val="Corpsdetexte"/>
        <w:spacing w:after="0" w:line="360" w:lineRule="auto"/>
        <w:rPr>
          <w:rFonts w:asciiTheme="majorBidi" w:hAnsiTheme="majorBidi" w:cstheme="majorBidi"/>
          <w:b/>
          <w:bCs/>
          <w:lang w:val="fr-FR"/>
        </w:rPr>
      </w:pPr>
      <w:bookmarkStart w:id="15" w:name="_Toc199685082"/>
      <w:bookmarkStart w:id="16" w:name="_Toc199685831"/>
      <w:r w:rsidRPr="00847F4A">
        <w:rPr>
          <w:rFonts w:ascii="Segoe UI Symbol" w:hAnsi="Segoe UI Symbol" w:cs="Segoe UI Symbol"/>
          <w:b/>
          <w:bCs/>
          <w:lang w:val="fr-FR"/>
        </w:rPr>
        <w:t>➢</w:t>
      </w:r>
      <w:r w:rsidRPr="00847F4A">
        <w:rPr>
          <w:rFonts w:asciiTheme="majorBidi" w:hAnsiTheme="majorBidi" w:cstheme="majorBidi"/>
          <w:b/>
          <w:bCs/>
          <w:lang w:val="fr-FR"/>
        </w:rPr>
        <w:t> Problématique de l'étude :</w:t>
      </w:r>
      <w:bookmarkEnd w:id="15"/>
      <w:bookmarkEnd w:id="16"/>
    </w:p>
    <w:p w:rsidR="00F91593" w:rsidRPr="00A502DC" w:rsidRDefault="00F91593" w:rsidP="00A502DC">
      <w:pPr>
        <w:pStyle w:val="NormalWeb"/>
        <w:spacing w:before="0" w:beforeAutospacing="0" w:after="0" w:afterAutospacing="0" w:line="360" w:lineRule="auto"/>
        <w:jc w:val="both"/>
        <w:rPr>
          <w:rFonts w:asciiTheme="majorBidi" w:hAnsiTheme="majorBidi" w:cstheme="majorBidi"/>
          <w:color w:val="000000"/>
        </w:rPr>
      </w:pPr>
      <w:r w:rsidRPr="00A502DC">
        <w:rPr>
          <w:rFonts w:asciiTheme="majorBidi" w:hAnsiTheme="majorBidi" w:cstheme="majorBidi"/>
          <w:color w:val="000000"/>
        </w:rPr>
        <w:t>Cette recherche s’articule autour de la problématique suivante :</w:t>
      </w:r>
    </w:p>
    <w:p w:rsidR="00F91593" w:rsidRPr="00A502DC" w:rsidRDefault="00F91593" w:rsidP="002526AB">
      <w:pPr>
        <w:pStyle w:val="NormalWeb"/>
        <w:spacing w:before="0" w:beforeAutospacing="0" w:after="0" w:afterAutospacing="0" w:line="360" w:lineRule="auto"/>
        <w:jc w:val="both"/>
        <w:rPr>
          <w:rFonts w:asciiTheme="majorBidi" w:hAnsiTheme="majorBidi" w:cstheme="majorBidi"/>
          <w:color w:val="000000"/>
        </w:rPr>
      </w:pPr>
      <w:r w:rsidRPr="00A502DC">
        <w:rPr>
          <w:rStyle w:val="lev"/>
          <w:rFonts w:asciiTheme="majorBidi" w:hAnsiTheme="majorBidi" w:cstheme="majorBidi"/>
          <w:color w:val="000000"/>
        </w:rPr>
        <w:t xml:space="preserve">« </w:t>
      </w:r>
      <w:r w:rsidR="002526AB" w:rsidRPr="002526AB">
        <w:rPr>
          <w:rFonts w:asciiTheme="majorBidi" w:hAnsiTheme="majorBidi" w:cstheme="majorBidi"/>
          <w:b/>
          <w:bCs/>
          <w:color w:val="000000"/>
        </w:rPr>
        <w:t>Dans quelle mesure la digitalisation des processus RH influence-t-elle la performance des ressources humaines, à travers les pratiques de recrutement et de formation digitalisées ?</w:t>
      </w:r>
      <w:r w:rsidR="002526AB">
        <w:rPr>
          <w:rFonts w:asciiTheme="majorBidi" w:hAnsiTheme="majorBidi" w:cstheme="majorBidi"/>
          <w:b/>
          <w:bCs/>
          <w:color w:val="000000"/>
          <w:lang w:val="fr-FR"/>
        </w:rPr>
        <w:t xml:space="preserve"> </w:t>
      </w:r>
      <w:r w:rsidRPr="00A502DC">
        <w:rPr>
          <w:rStyle w:val="lev"/>
          <w:rFonts w:asciiTheme="majorBidi" w:hAnsiTheme="majorBidi" w:cstheme="majorBidi"/>
          <w:color w:val="000000"/>
        </w:rPr>
        <w:t>»</w:t>
      </w:r>
    </w:p>
    <w:p w:rsidR="00C44F94" w:rsidRPr="00A502DC" w:rsidRDefault="00C44F94" w:rsidP="004D4075">
      <w:pPr>
        <w:spacing w:line="360" w:lineRule="auto"/>
        <w:jc w:val="both"/>
        <w:rPr>
          <w:rFonts w:asciiTheme="majorBidi" w:hAnsiTheme="majorBidi" w:cstheme="majorBidi"/>
          <w:color w:val="000000"/>
        </w:rPr>
      </w:pPr>
      <w:r w:rsidRPr="00A502DC">
        <w:rPr>
          <w:rFonts w:asciiTheme="majorBidi" w:hAnsiTheme="majorBidi" w:cstheme="majorBidi"/>
          <w:color w:val="000000"/>
        </w:rPr>
        <w:t>Cette problématique permettra d’examiner le lien entre la transformation numérique des fonctions RH et la performance globale, tout en analysant le rôle des processus digitalisés de recrutement et de formation comme leviers intermédiaires ou modérateurs.</w:t>
      </w:r>
    </w:p>
    <w:p w:rsidR="00C44F94" w:rsidRPr="00A502DC" w:rsidRDefault="00C44F94" w:rsidP="004D4075">
      <w:pPr>
        <w:pStyle w:val="Paragraphedeliste"/>
        <w:spacing w:line="360" w:lineRule="auto"/>
        <w:rPr>
          <w:rFonts w:asciiTheme="majorBidi" w:hAnsiTheme="majorBidi" w:cstheme="majorBidi"/>
          <w:color w:val="000000"/>
        </w:rPr>
      </w:pPr>
      <w:bookmarkStart w:id="17" w:name="_Toc199685083"/>
      <w:bookmarkStart w:id="18" w:name="_Toc199685832"/>
      <w:r w:rsidRPr="00A502DC">
        <w:rPr>
          <w:rFonts w:ascii="Segoe UI Symbol" w:hAnsi="Segoe UI Symbol" w:cs="Segoe UI Symbol"/>
          <w:color w:val="000000"/>
        </w:rPr>
        <w:t>➢</w:t>
      </w:r>
      <w:r w:rsidRPr="00A502DC">
        <w:rPr>
          <w:rFonts w:asciiTheme="majorBidi" w:hAnsiTheme="majorBidi" w:cstheme="majorBidi"/>
          <w:color w:val="000000"/>
        </w:rPr>
        <w:t> </w:t>
      </w:r>
      <w:r w:rsidRPr="004D4075">
        <w:rPr>
          <w:rFonts w:asciiTheme="majorBidi" w:hAnsiTheme="majorBidi" w:cstheme="majorBidi"/>
          <w:b/>
          <w:bCs/>
        </w:rPr>
        <w:t>Hypothèses de l’étude :</w:t>
      </w:r>
      <w:bookmarkEnd w:id="17"/>
      <w:bookmarkEnd w:id="18"/>
    </w:p>
    <w:p w:rsidR="00F91593" w:rsidRPr="00A858C8" w:rsidRDefault="00F91593" w:rsidP="00A858C8">
      <w:pPr>
        <w:spacing w:after="240" w:line="360" w:lineRule="auto"/>
        <w:rPr>
          <w:rFonts w:asciiTheme="majorBidi" w:hAnsiTheme="majorBidi" w:cstheme="majorBidi"/>
          <w:b/>
          <w:bCs/>
        </w:rPr>
      </w:pPr>
      <w:bookmarkStart w:id="19" w:name="_Toc199685084"/>
      <w:bookmarkStart w:id="20" w:name="_Toc199685833"/>
      <w:r w:rsidRPr="00A858C8">
        <w:rPr>
          <w:rFonts w:asciiTheme="majorBidi" w:hAnsiTheme="majorBidi" w:cstheme="majorBidi"/>
        </w:rPr>
        <w:t>Afin de répondre à cette problématique, les hypothèses suivantes ont été formulées :</w:t>
      </w:r>
      <w:bookmarkEnd w:id="19"/>
      <w:bookmarkEnd w:id="20"/>
    </w:p>
    <w:p w:rsidR="00C44F94" w:rsidRPr="004D4075" w:rsidRDefault="00C44F94" w:rsidP="004D32AC">
      <w:pPr>
        <w:pStyle w:val="Paragraphedeliste"/>
        <w:numPr>
          <w:ilvl w:val="0"/>
          <w:numId w:val="196"/>
        </w:numPr>
        <w:spacing w:line="360" w:lineRule="auto"/>
        <w:rPr>
          <w:rFonts w:asciiTheme="majorBidi" w:hAnsiTheme="majorBidi" w:cstheme="majorBidi"/>
        </w:rPr>
      </w:pPr>
      <w:r w:rsidRPr="004D4075">
        <w:rPr>
          <w:rFonts w:asciiTheme="majorBidi" w:hAnsiTheme="majorBidi" w:cstheme="majorBidi"/>
          <w:b/>
          <w:bCs/>
        </w:rPr>
        <w:t>H1</w:t>
      </w:r>
      <w:r w:rsidRPr="004D4075">
        <w:rPr>
          <w:rFonts w:asciiTheme="majorBidi" w:hAnsiTheme="majorBidi" w:cstheme="majorBidi"/>
        </w:rPr>
        <w:t xml:space="preserve"> : </w:t>
      </w:r>
      <w:r w:rsidR="007B209A">
        <w:rPr>
          <w:rFonts w:asciiTheme="majorBidi" w:hAnsiTheme="majorBidi" w:cstheme="majorBidi"/>
        </w:rPr>
        <w:t>La digitalisation des processus RH a un impact positif significatif sur le processus de recrutement</w:t>
      </w:r>
      <w:r w:rsidRPr="004D4075">
        <w:rPr>
          <w:rFonts w:asciiTheme="majorBidi" w:hAnsiTheme="majorBidi" w:cstheme="majorBidi"/>
        </w:rPr>
        <w:t>.</w:t>
      </w:r>
    </w:p>
    <w:p w:rsidR="00C44F94" w:rsidRPr="004D4075" w:rsidRDefault="00C44F94" w:rsidP="004D32AC">
      <w:pPr>
        <w:pStyle w:val="Paragraphedeliste"/>
        <w:numPr>
          <w:ilvl w:val="0"/>
          <w:numId w:val="196"/>
        </w:numPr>
        <w:spacing w:line="360" w:lineRule="auto"/>
        <w:rPr>
          <w:rFonts w:asciiTheme="majorBidi" w:hAnsiTheme="majorBidi" w:cstheme="majorBidi"/>
        </w:rPr>
      </w:pPr>
      <w:r w:rsidRPr="004D4075">
        <w:rPr>
          <w:rFonts w:asciiTheme="majorBidi" w:hAnsiTheme="majorBidi" w:cstheme="majorBidi"/>
          <w:b/>
          <w:bCs/>
        </w:rPr>
        <w:t>H2</w:t>
      </w:r>
      <w:r w:rsidRPr="004D4075">
        <w:rPr>
          <w:rFonts w:asciiTheme="majorBidi" w:hAnsiTheme="majorBidi" w:cstheme="majorBidi"/>
        </w:rPr>
        <w:t xml:space="preserve"> : </w:t>
      </w:r>
      <w:r w:rsidR="007B209A">
        <w:rPr>
          <w:rFonts w:asciiTheme="majorBidi" w:hAnsiTheme="majorBidi" w:cstheme="majorBidi"/>
        </w:rPr>
        <w:t xml:space="preserve">La digitalisation des processus RH a un impact positif significatif sur le processus de formation </w:t>
      </w:r>
      <w:r w:rsidRPr="004D4075">
        <w:rPr>
          <w:rFonts w:asciiTheme="majorBidi" w:hAnsiTheme="majorBidi" w:cstheme="majorBidi"/>
        </w:rPr>
        <w:t>.</w:t>
      </w:r>
    </w:p>
    <w:p w:rsidR="00C44F94" w:rsidRPr="004D4075" w:rsidRDefault="00C44F94" w:rsidP="004D32AC">
      <w:pPr>
        <w:pStyle w:val="Paragraphedeliste"/>
        <w:numPr>
          <w:ilvl w:val="0"/>
          <w:numId w:val="196"/>
        </w:numPr>
        <w:spacing w:line="360" w:lineRule="auto"/>
        <w:rPr>
          <w:rFonts w:asciiTheme="majorBidi" w:hAnsiTheme="majorBidi" w:cstheme="majorBidi"/>
        </w:rPr>
      </w:pPr>
      <w:r w:rsidRPr="004D4075">
        <w:rPr>
          <w:rFonts w:asciiTheme="majorBidi" w:hAnsiTheme="majorBidi" w:cstheme="majorBidi"/>
          <w:b/>
          <w:bCs/>
        </w:rPr>
        <w:t>H3</w:t>
      </w:r>
      <w:r w:rsidRPr="004D4075">
        <w:rPr>
          <w:rFonts w:asciiTheme="majorBidi" w:hAnsiTheme="majorBidi" w:cstheme="majorBidi"/>
        </w:rPr>
        <w:t xml:space="preserve"> : </w:t>
      </w:r>
      <w:r w:rsidR="007B209A">
        <w:rPr>
          <w:rFonts w:asciiTheme="majorBidi" w:hAnsiTheme="majorBidi" w:cstheme="majorBidi"/>
        </w:rPr>
        <w:t>La digitalisation des processus RH a un impact significatif sur la performance des ressources humaines.</w:t>
      </w:r>
    </w:p>
    <w:p w:rsidR="00C44F94" w:rsidRPr="004D4075" w:rsidRDefault="00C44F94" w:rsidP="004D32AC">
      <w:pPr>
        <w:pStyle w:val="Paragraphedeliste"/>
        <w:numPr>
          <w:ilvl w:val="0"/>
          <w:numId w:val="196"/>
        </w:numPr>
        <w:spacing w:line="360" w:lineRule="auto"/>
        <w:rPr>
          <w:rFonts w:asciiTheme="majorBidi" w:hAnsiTheme="majorBidi" w:cstheme="majorBidi"/>
        </w:rPr>
      </w:pPr>
      <w:r w:rsidRPr="004D4075">
        <w:rPr>
          <w:rFonts w:asciiTheme="majorBidi" w:hAnsiTheme="majorBidi" w:cstheme="majorBidi"/>
          <w:b/>
          <w:bCs/>
        </w:rPr>
        <w:t>H4</w:t>
      </w:r>
      <w:r w:rsidRPr="004D4075">
        <w:rPr>
          <w:rFonts w:asciiTheme="majorBidi" w:hAnsiTheme="majorBidi" w:cstheme="majorBidi"/>
        </w:rPr>
        <w:t xml:space="preserve"> : </w:t>
      </w:r>
      <w:r w:rsidR="007B209A">
        <w:rPr>
          <w:rFonts w:asciiTheme="majorBidi" w:hAnsiTheme="majorBidi" w:cstheme="majorBidi"/>
        </w:rPr>
        <w:t xml:space="preserve">Le processus de recrutement a un </w:t>
      </w:r>
      <w:r w:rsidR="007B209A">
        <w:rPr>
          <w:rFonts w:asciiTheme="majorBidi" w:hAnsiTheme="majorBidi" w:cstheme="majorBidi"/>
          <w:lang w:val="fr-FR"/>
        </w:rPr>
        <w:t>impact</w:t>
      </w:r>
      <w:r w:rsidR="007B209A">
        <w:rPr>
          <w:rFonts w:asciiTheme="majorBidi" w:hAnsiTheme="majorBidi" w:cstheme="majorBidi"/>
        </w:rPr>
        <w:t xml:space="preserve"> modérateur sur la digitalisation des processus RH et la performance des ressources humaines</w:t>
      </w:r>
      <w:r w:rsidR="007B209A">
        <w:rPr>
          <w:rFonts w:asciiTheme="majorBidi" w:hAnsiTheme="majorBidi" w:cstheme="majorBidi"/>
          <w:lang w:val="fr-FR"/>
        </w:rPr>
        <w:t>.</w:t>
      </w:r>
    </w:p>
    <w:p w:rsidR="00C44F94" w:rsidRPr="004D4075" w:rsidRDefault="00C44F94" w:rsidP="004D32AC">
      <w:pPr>
        <w:pStyle w:val="Paragraphedeliste"/>
        <w:numPr>
          <w:ilvl w:val="0"/>
          <w:numId w:val="196"/>
        </w:numPr>
        <w:spacing w:line="360" w:lineRule="auto"/>
        <w:rPr>
          <w:rFonts w:asciiTheme="majorBidi" w:hAnsiTheme="majorBidi" w:cstheme="majorBidi"/>
        </w:rPr>
      </w:pPr>
      <w:r w:rsidRPr="004D4075">
        <w:rPr>
          <w:rFonts w:asciiTheme="majorBidi" w:hAnsiTheme="majorBidi" w:cstheme="majorBidi"/>
          <w:b/>
          <w:bCs/>
        </w:rPr>
        <w:t>H5</w:t>
      </w:r>
      <w:r w:rsidRPr="004D4075">
        <w:rPr>
          <w:rFonts w:asciiTheme="majorBidi" w:hAnsiTheme="majorBidi" w:cstheme="majorBidi"/>
        </w:rPr>
        <w:t xml:space="preserve"> : </w:t>
      </w:r>
      <w:r w:rsidR="007B209A">
        <w:rPr>
          <w:rFonts w:asciiTheme="majorBidi" w:hAnsiTheme="majorBidi" w:cstheme="majorBidi"/>
        </w:rPr>
        <w:t>Le processus de formation a un impact modérateur sur la digitalisation des processus RH et la performance des ressources humaines</w:t>
      </w:r>
      <w:r w:rsidR="007B209A">
        <w:rPr>
          <w:rFonts w:asciiTheme="majorBidi" w:hAnsiTheme="majorBidi" w:cstheme="majorBidi"/>
          <w:lang w:val="fr-FR"/>
        </w:rPr>
        <w:t>.</w:t>
      </w:r>
    </w:p>
    <w:p w:rsidR="00C44F94" w:rsidRPr="004D4075" w:rsidRDefault="004D4075" w:rsidP="004D4075">
      <w:pPr>
        <w:spacing w:line="360" w:lineRule="auto"/>
        <w:jc w:val="both"/>
        <w:rPr>
          <w:rFonts w:asciiTheme="majorBidi" w:hAnsiTheme="majorBidi" w:cstheme="majorBidi"/>
        </w:rPr>
      </w:pPr>
      <w:bookmarkStart w:id="21" w:name="_Toc199685085"/>
      <w:bookmarkStart w:id="22" w:name="_Toc199685834"/>
      <w:r w:rsidRPr="004D4075">
        <w:rPr>
          <w:rFonts w:ascii="Segoe UI Symbol" w:hAnsi="Segoe UI Symbol" w:cs="Segoe UI Symbol"/>
          <w:b/>
          <w:bCs/>
        </w:rPr>
        <w:t>➢</w:t>
      </w:r>
      <w:r w:rsidR="00C44F94" w:rsidRPr="004D4075">
        <w:rPr>
          <w:rStyle w:val="apple-converted-space"/>
          <w:rFonts w:asciiTheme="majorBidi" w:hAnsiTheme="majorBidi" w:cstheme="majorBidi"/>
          <w:color w:val="000000"/>
        </w:rPr>
        <w:t> </w:t>
      </w:r>
      <w:r w:rsidR="00C44F94" w:rsidRPr="004D4075">
        <w:rPr>
          <w:rStyle w:val="lev"/>
          <w:rFonts w:asciiTheme="majorBidi" w:hAnsiTheme="majorBidi" w:cstheme="majorBidi"/>
          <w:color w:val="000000"/>
        </w:rPr>
        <w:t>L’importance de l’étude :</w:t>
      </w:r>
      <w:bookmarkEnd w:id="21"/>
      <w:bookmarkEnd w:id="22"/>
    </w:p>
    <w:p w:rsidR="00C44F94" w:rsidRPr="004D4075" w:rsidRDefault="00C44F94" w:rsidP="004D4075">
      <w:pPr>
        <w:spacing w:after="240" w:line="360" w:lineRule="auto"/>
        <w:jc w:val="both"/>
        <w:rPr>
          <w:rFonts w:asciiTheme="majorBidi" w:hAnsiTheme="majorBidi" w:cstheme="majorBidi"/>
        </w:rPr>
      </w:pPr>
      <w:r w:rsidRPr="004D4075">
        <w:rPr>
          <w:rFonts w:asciiTheme="majorBidi" w:hAnsiTheme="majorBidi" w:cstheme="majorBidi"/>
        </w:rPr>
        <w:t xml:space="preserve">À l’ère du numérique, les fonctions des ressources humaines ne cessent d’évoluer sous l’effet de la digitalisation. Cette étude s’inscrit dans cette dynamique en mettant l’accent sur le rôle </w:t>
      </w:r>
      <w:r w:rsidRPr="004D4075">
        <w:rPr>
          <w:rFonts w:asciiTheme="majorBidi" w:hAnsiTheme="majorBidi" w:cstheme="majorBidi"/>
        </w:rPr>
        <w:lastRenderedPageBreak/>
        <w:t>stratégique des technologies digitales dans l’optimisation des processus de recrutement et de formation, et leur influence sur la performance globale des ressources humaines.</w:t>
      </w:r>
    </w:p>
    <w:p w:rsidR="00C44F94" w:rsidRPr="004D4075" w:rsidRDefault="00C44F94" w:rsidP="004D4075">
      <w:pPr>
        <w:spacing w:after="240" w:line="360" w:lineRule="auto"/>
        <w:jc w:val="both"/>
        <w:rPr>
          <w:rFonts w:asciiTheme="majorBidi" w:hAnsiTheme="majorBidi" w:cstheme="majorBidi"/>
        </w:rPr>
      </w:pPr>
      <w:r w:rsidRPr="004D4075">
        <w:rPr>
          <w:rFonts w:asciiTheme="majorBidi" w:hAnsiTheme="majorBidi" w:cstheme="majorBidi"/>
        </w:rPr>
        <w:t>Elle revêt une importance particulière car elle permet de mieux comprendre comment les outils numériques peuvent être intégrés de manière cohérente et efficace dans les pratiques RH. En explorant les effets directs et modérateurs de ces processus digitalisés, cette recherche contribue à combler un manque dans la littérature, notamment en contexte algérien, où la transformation digitale des RH demeure encore en phase d’adoption progressive.</w:t>
      </w:r>
    </w:p>
    <w:p w:rsidR="00C44F94" w:rsidRPr="004D4075" w:rsidRDefault="00C44F94" w:rsidP="004D4075">
      <w:pPr>
        <w:spacing w:after="240" w:line="360" w:lineRule="auto"/>
        <w:jc w:val="both"/>
        <w:rPr>
          <w:rFonts w:asciiTheme="majorBidi" w:hAnsiTheme="majorBidi" w:cstheme="majorBidi"/>
        </w:rPr>
      </w:pPr>
      <w:r w:rsidRPr="004D4075">
        <w:rPr>
          <w:rFonts w:asciiTheme="majorBidi" w:hAnsiTheme="majorBidi" w:cstheme="majorBidi"/>
        </w:rPr>
        <w:t>D’un point de vue managérial, les résultats attendus fourniront des pistes concrètes aux responsables RH pour tirer pleinement parti de la digitalisation, renforcer l’efficience organisationnelle et mieux accompagner les collaborateurs dans un environnement de travail de plus en plus numérisé. Cette étude pourra également servir de base à d’autres recherches sur l’innovation en gestion des talents à travers des approches digitales.</w:t>
      </w:r>
    </w:p>
    <w:p w:rsidR="004337B1" w:rsidRPr="004D4075" w:rsidRDefault="004D4075" w:rsidP="004D4075">
      <w:pPr>
        <w:spacing w:line="360" w:lineRule="auto"/>
        <w:jc w:val="both"/>
        <w:rPr>
          <w:rFonts w:asciiTheme="majorBidi" w:hAnsiTheme="majorBidi" w:cstheme="majorBidi"/>
        </w:rPr>
      </w:pPr>
      <w:bookmarkStart w:id="23" w:name="_Toc199685086"/>
      <w:bookmarkStart w:id="24" w:name="_Toc199685835"/>
      <w:r w:rsidRPr="004D4075">
        <w:rPr>
          <w:rFonts w:ascii="Segoe UI Symbol" w:hAnsi="Segoe UI Symbol" w:cs="Segoe UI Symbol"/>
          <w:b/>
          <w:bCs/>
        </w:rPr>
        <w:t>➢</w:t>
      </w:r>
      <w:r w:rsidR="004337B1" w:rsidRPr="004D4075">
        <w:rPr>
          <w:rStyle w:val="apple-converted-space"/>
          <w:rFonts w:asciiTheme="majorBidi" w:hAnsiTheme="majorBidi" w:cstheme="majorBidi"/>
          <w:color w:val="000000"/>
        </w:rPr>
        <w:t> </w:t>
      </w:r>
      <w:r w:rsidR="004337B1" w:rsidRPr="004D4075">
        <w:rPr>
          <w:rStyle w:val="lev"/>
          <w:rFonts w:asciiTheme="majorBidi" w:hAnsiTheme="majorBidi" w:cstheme="majorBidi"/>
          <w:color w:val="000000"/>
        </w:rPr>
        <w:t>Justification du choix du sujet :</w:t>
      </w:r>
      <w:bookmarkEnd w:id="23"/>
      <w:bookmarkEnd w:id="24"/>
    </w:p>
    <w:p w:rsidR="004337B1" w:rsidRPr="004D4075" w:rsidRDefault="004337B1" w:rsidP="004D4075">
      <w:pPr>
        <w:spacing w:after="240" w:line="360" w:lineRule="auto"/>
        <w:jc w:val="both"/>
        <w:rPr>
          <w:rFonts w:asciiTheme="majorBidi" w:hAnsiTheme="majorBidi" w:cstheme="majorBidi"/>
        </w:rPr>
      </w:pPr>
      <w:r w:rsidRPr="004D4075">
        <w:rPr>
          <w:rFonts w:asciiTheme="majorBidi" w:hAnsiTheme="majorBidi" w:cstheme="majorBidi"/>
        </w:rPr>
        <w:t>Malgré l’intégration croissante des technologies numériques dans la gestion des ressources humaines, plusieurs zones d’incertitude subsistent quant à leur impact réel sur l’efficacité des processus RH, en particulier ceux liés au recrutement et à la formation. La digitalisation est souvent perçue comme une solution innovante permettant de gagner en rapidité, en traçabilité et en performance, mais son déploiement soulève encore des interrogations sur ses effets concrets et ses conditions de succès. Cette étude vise donc à combler ces lacunes en explorant, de manière systématique, le rôle de la digitalisation dans l’optimisation de ces processus, ainsi que son influence sur la performance globale des ressources humaines.</w:t>
      </w:r>
    </w:p>
    <w:p w:rsidR="004337B1" w:rsidRPr="004D4075" w:rsidRDefault="004337B1" w:rsidP="004D4075">
      <w:pPr>
        <w:spacing w:after="240" w:line="360" w:lineRule="auto"/>
        <w:jc w:val="both"/>
        <w:rPr>
          <w:rFonts w:asciiTheme="majorBidi" w:hAnsiTheme="majorBidi" w:cstheme="majorBidi"/>
        </w:rPr>
      </w:pPr>
      <w:r w:rsidRPr="004D4075">
        <w:rPr>
          <w:rFonts w:asciiTheme="majorBidi" w:hAnsiTheme="majorBidi" w:cstheme="majorBidi"/>
        </w:rPr>
        <w:t>Par ailleurs, cette recherche revêt un intérêt particulier à la fois académique et professionnel. Elle nous permet de développer une compréhension approfondie d’un phénomène actuel et incontournable dans le monde du travail, tout en renforçant notre capacité à accompagner les organisations dans leur transformation numérique. En étudiant les interactions entre digitalisation, recrutement, formation et performance RH, nous mobilisons des savoirs théoriques tout en les confrontant à une réalité de terrain observée durant notre stage de fin d’études.</w:t>
      </w:r>
    </w:p>
    <w:p w:rsidR="004337B1" w:rsidRPr="004D4075" w:rsidRDefault="004337B1" w:rsidP="004D4075">
      <w:pPr>
        <w:spacing w:after="240" w:line="360" w:lineRule="auto"/>
        <w:jc w:val="both"/>
        <w:rPr>
          <w:rFonts w:asciiTheme="majorBidi" w:hAnsiTheme="majorBidi" w:cstheme="majorBidi"/>
        </w:rPr>
      </w:pPr>
      <w:r w:rsidRPr="004D4075">
        <w:rPr>
          <w:rFonts w:asciiTheme="majorBidi" w:hAnsiTheme="majorBidi" w:cstheme="majorBidi"/>
        </w:rPr>
        <w:t xml:space="preserve">En tant qu’étudiantes spécialisées en </w:t>
      </w:r>
      <w:r w:rsidRPr="004D4075">
        <w:rPr>
          <w:rFonts w:asciiTheme="majorBidi" w:hAnsiTheme="majorBidi" w:cstheme="majorBidi"/>
          <w:lang w:val="fr-FR"/>
        </w:rPr>
        <w:t>management</w:t>
      </w:r>
      <w:r w:rsidRPr="004D4075">
        <w:rPr>
          <w:rFonts w:asciiTheme="majorBidi" w:hAnsiTheme="majorBidi" w:cstheme="majorBidi"/>
        </w:rPr>
        <w:t xml:space="preserve"> et stratégie</w:t>
      </w:r>
      <w:r w:rsidRPr="004D4075">
        <w:rPr>
          <w:rFonts w:asciiTheme="majorBidi" w:hAnsiTheme="majorBidi" w:cstheme="majorBidi"/>
          <w:lang w:val="fr-FR"/>
        </w:rPr>
        <w:t>s</w:t>
      </w:r>
      <w:r w:rsidRPr="004D4075">
        <w:rPr>
          <w:rFonts w:asciiTheme="majorBidi" w:hAnsiTheme="majorBidi" w:cstheme="majorBidi"/>
        </w:rPr>
        <w:t xml:space="preserve"> des entreprises, ce sujet s’aligne parfaitement avec notre orientation académique. Il nous offre l’opportunité d’acquérir des compétences clés pour notre avenir professionnel, en nous outillant pour répondre aux défis </w:t>
      </w:r>
      <w:r w:rsidRPr="004D4075">
        <w:rPr>
          <w:rFonts w:asciiTheme="majorBidi" w:hAnsiTheme="majorBidi" w:cstheme="majorBidi"/>
        </w:rPr>
        <w:lastRenderedPageBreak/>
        <w:t>contemporains auxquels sont confrontées les directions des ressources humaines. Ainsi, cette recherche se veut non seulement une contribution à la réflexion scientifique, mais également un levier de développement personnel et professionnel.</w:t>
      </w:r>
    </w:p>
    <w:p w:rsidR="00382E52" w:rsidRPr="004D4075" w:rsidRDefault="00A502DC" w:rsidP="004D4075">
      <w:pPr>
        <w:spacing w:line="360" w:lineRule="auto"/>
        <w:jc w:val="both"/>
        <w:rPr>
          <w:rFonts w:asciiTheme="majorBidi" w:hAnsiTheme="majorBidi" w:cstheme="majorBidi"/>
          <w:lang w:val="fr-FR"/>
        </w:rPr>
      </w:pPr>
      <w:r w:rsidRPr="004D4075">
        <w:rPr>
          <w:rFonts w:ascii="Segoe UI Symbol" w:hAnsi="Segoe UI Symbol" w:cs="Segoe UI Symbol"/>
        </w:rPr>
        <w:t>➢</w:t>
      </w:r>
      <w:r w:rsidRPr="004D4075">
        <w:rPr>
          <w:rFonts w:asciiTheme="majorBidi" w:hAnsiTheme="majorBidi" w:cstheme="majorBidi"/>
          <w:lang w:val="fr-FR"/>
        </w:rPr>
        <w:t xml:space="preserve"> </w:t>
      </w:r>
      <w:r w:rsidR="00382E52" w:rsidRPr="004D4075">
        <w:rPr>
          <w:rStyle w:val="lev"/>
          <w:rFonts w:asciiTheme="majorBidi" w:hAnsiTheme="majorBidi" w:cstheme="majorBidi"/>
          <w:color w:val="000000"/>
        </w:rPr>
        <w:t>Démarche méthodologique</w:t>
      </w:r>
      <w:r w:rsidRPr="004D4075">
        <w:rPr>
          <w:rStyle w:val="lev"/>
          <w:rFonts w:asciiTheme="majorBidi" w:hAnsiTheme="majorBidi" w:cstheme="majorBidi"/>
          <w:color w:val="000000"/>
        </w:rPr>
        <w:t> </w:t>
      </w:r>
      <w:r w:rsidRPr="004D4075">
        <w:rPr>
          <w:rStyle w:val="lev"/>
          <w:rFonts w:asciiTheme="majorBidi" w:hAnsiTheme="majorBidi" w:cstheme="majorBidi"/>
          <w:color w:val="000000"/>
          <w:lang w:val="fr-FR"/>
        </w:rPr>
        <w:t>:</w:t>
      </w:r>
    </w:p>
    <w:p w:rsidR="00382E52" w:rsidRPr="004D4075" w:rsidRDefault="00382E52" w:rsidP="004D4075">
      <w:pPr>
        <w:spacing w:line="360" w:lineRule="auto"/>
        <w:jc w:val="both"/>
        <w:rPr>
          <w:rFonts w:asciiTheme="majorBidi" w:hAnsiTheme="majorBidi" w:cstheme="majorBidi"/>
        </w:rPr>
      </w:pPr>
      <w:r w:rsidRPr="004D4075">
        <w:rPr>
          <w:rFonts w:asciiTheme="majorBidi" w:hAnsiTheme="majorBidi" w:cstheme="majorBidi"/>
        </w:rPr>
        <w:t>Pour mener cette étude, nous avons adopté une double approche : théorique et empirique.</w:t>
      </w:r>
    </w:p>
    <w:p w:rsidR="00382E52" w:rsidRPr="004D4075" w:rsidRDefault="00382E52" w:rsidP="004D4075">
      <w:pPr>
        <w:spacing w:after="240" w:line="360" w:lineRule="auto"/>
        <w:jc w:val="both"/>
        <w:rPr>
          <w:rFonts w:asciiTheme="majorBidi" w:hAnsiTheme="majorBidi" w:cstheme="majorBidi"/>
        </w:rPr>
      </w:pPr>
      <w:r w:rsidRPr="004D4075">
        <w:rPr>
          <w:rFonts w:asciiTheme="majorBidi" w:hAnsiTheme="majorBidi" w:cstheme="majorBidi"/>
        </w:rPr>
        <w:t>L’approche théorique consiste à analyser les concepts liés à la digitalisation des processus RH, au recrutement et à la formation digitalisés, ainsi qu’à la performance des ressources humaines. Cette revue permet de construire un cadre conceptuel solide, appuyé sur des recherches académiques récentes, afin de formuler des hypothèses pertinentes.</w:t>
      </w:r>
    </w:p>
    <w:p w:rsidR="00382E52" w:rsidRPr="004D4075" w:rsidRDefault="00382E52" w:rsidP="004D4075">
      <w:pPr>
        <w:spacing w:after="240" w:line="360" w:lineRule="auto"/>
        <w:jc w:val="both"/>
        <w:rPr>
          <w:rFonts w:asciiTheme="majorBidi" w:hAnsiTheme="majorBidi" w:cstheme="majorBidi"/>
        </w:rPr>
      </w:pPr>
      <w:r w:rsidRPr="004D4075">
        <w:rPr>
          <w:rFonts w:asciiTheme="majorBidi" w:hAnsiTheme="majorBidi" w:cstheme="majorBidi"/>
        </w:rPr>
        <w:t>L’approche empirique, quant à elle, s’inscrit dans une perspective quantitative visant à mesurer l’impact de la digitalisation sur les pratiques de recrutement et de formation au sein des services RH. Cette démarche hypothético-déductive implique la formulation d’hypothèses issues du cadre théorique, qui sont ensuite testées par la collecte et l’analyse de données empiriques. Le recueil des données s’appuie sur un questionnaire structuré diffusé via Google Forms, permettant de standardiser les réponses et d’assurer leur comparabilité. Cette méthode favorise l’identification de relations statistiques entre les variables étudiées, avec une visée d’objectivation et de généralisation des résultats.</w:t>
      </w:r>
    </w:p>
    <w:p w:rsidR="00382E52" w:rsidRPr="004D4075" w:rsidRDefault="00382E52" w:rsidP="004D4075">
      <w:pPr>
        <w:spacing w:after="240" w:line="360" w:lineRule="auto"/>
        <w:jc w:val="both"/>
        <w:rPr>
          <w:rFonts w:asciiTheme="majorBidi" w:hAnsiTheme="majorBidi" w:cstheme="majorBidi"/>
        </w:rPr>
      </w:pPr>
      <w:r w:rsidRPr="004D4075">
        <w:rPr>
          <w:rFonts w:asciiTheme="majorBidi" w:hAnsiTheme="majorBidi" w:cstheme="majorBidi"/>
        </w:rPr>
        <w:t>Le choix des participants s’est orienté vers un échantillon raisonné, composé de professionnels des ressources humaines concernés par la digitalisation, notamment dans les domaines du recrutement et de la formation. Au total, 190 questionnaires ont été collectés, dont 170 exploitables, provenant principalement de responsables RH, DRH, recruteurs, formateurs et assistants RH. La diffusion s’est effectuée par des canaux professionnels tels que LinkedIn et des réseaux personnels, avec un effet « boule de neige » pour maximiser la pertinence des profils recueillis.</w:t>
      </w:r>
    </w:p>
    <w:p w:rsidR="00B552EB" w:rsidRDefault="00382E52" w:rsidP="004D4075">
      <w:pPr>
        <w:spacing w:after="240" w:line="360" w:lineRule="auto"/>
        <w:jc w:val="both"/>
        <w:rPr>
          <w:rFonts w:asciiTheme="majorBidi" w:hAnsiTheme="majorBidi" w:cstheme="majorBidi"/>
        </w:rPr>
      </w:pPr>
      <w:r w:rsidRPr="004D4075">
        <w:rPr>
          <w:rFonts w:asciiTheme="majorBidi" w:hAnsiTheme="majorBidi" w:cstheme="majorBidi"/>
        </w:rPr>
        <w:t>Les données recueillies seront analysées à l’aide des logiciels SPSS (version 29) pour les analyses statistiques descriptives et inférentielles, SmartPLS (version 4) pour la modélisation par équations structurelles, ainsi que Python pour certains traitements complémentaires et visualisations avancées.</w:t>
      </w:r>
    </w:p>
    <w:p w:rsidR="004D4075" w:rsidRDefault="004D4075" w:rsidP="004D4075">
      <w:pPr>
        <w:spacing w:after="240" w:line="360" w:lineRule="auto"/>
        <w:jc w:val="both"/>
        <w:rPr>
          <w:rFonts w:asciiTheme="majorBidi" w:hAnsiTheme="majorBidi" w:cstheme="majorBidi"/>
        </w:rPr>
      </w:pPr>
    </w:p>
    <w:p w:rsidR="004D4075" w:rsidRPr="004D4075" w:rsidRDefault="004D4075" w:rsidP="004D4075">
      <w:pPr>
        <w:spacing w:after="240" w:line="360" w:lineRule="auto"/>
        <w:jc w:val="both"/>
        <w:rPr>
          <w:rFonts w:asciiTheme="majorBidi" w:hAnsiTheme="majorBidi" w:cstheme="majorBidi"/>
        </w:rPr>
      </w:pPr>
    </w:p>
    <w:p w:rsidR="0040109B" w:rsidRDefault="0040109B" w:rsidP="004D4075">
      <w:pPr>
        <w:spacing w:line="360" w:lineRule="auto"/>
        <w:jc w:val="both"/>
        <w:rPr>
          <w:rFonts w:asciiTheme="majorBidi" w:hAnsiTheme="majorBidi" w:cstheme="majorBidi"/>
          <w:b/>
          <w:bCs/>
        </w:rPr>
      </w:pPr>
      <w:r w:rsidRPr="004D4075">
        <w:rPr>
          <w:rFonts w:ascii="Segoe UI Symbol" w:hAnsi="Segoe UI Symbol" w:cs="Segoe UI Symbol"/>
          <w:b/>
          <w:bCs/>
        </w:rPr>
        <w:lastRenderedPageBreak/>
        <w:t>➢</w:t>
      </w:r>
      <w:r w:rsidRPr="004D4075">
        <w:rPr>
          <w:rFonts w:asciiTheme="majorBidi" w:hAnsiTheme="majorBidi" w:cstheme="majorBidi"/>
          <w:b/>
          <w:bCs/>
        </w:rPr>
        <w:t xml:space="preserve"> Études précédentes :</w:t>
      </w:r>
    </w:p>
    <w:p w:rsidR="0077132C" w:rsidRPr="004D4075" w:rsidRDefault="0077132C" w:rsidP="004D32AC">
      <w:pPr>
        <w:pStyle w:val="Paragraphedeliste"/>
        <w:numPr>
          <w:ilvl w:val="0"/>
          <w:numId w:val="197"/>
        </w:numPr>
        <w:spacing w:line="360" w:lineRule="auto"/>
        <w:jc w:val="both"/>
        <w:rPr>
          <w:rFonts w:asciiTheme="majorBidi" w:hAnsiTheme="majorBidi" w:cstheme="majorBidi"/>
          <w:b/>
          <w:bCs/>
        </w:rPr>
      </w:pPr>
      <w:r w:rsidRPr="004D4075">
        <w:rPr>
          <w:rFonts w:asciiTheme="majorBidi" w:hAnsiTheme="majorBidi" w:cstheme="majorBidi"/>
          <w:b/>
          <w:bCs/>
        </w:rPr>
        <w:t xml:space="preserve">François L’Écuyer (2016) : </w:t>
      </w:r>
      <w:r w:rsidRPr="004D4075">
        <w:rPr>
          <w:rStyle w:val="Accentuation"/>
          <w:rFonts w:asciiTheme="majorBidi" w:hAnsiTheme="majorBidi" w:cstheme="majorBidi"/>
          <w:b/>
          <w:bCs/>
          <w:i w:val="0"/>
          <w:iCs w:val="0"/>
        </w:rPr>
        <w:t>Les technologies de l’information en tant que vecteur de performance de la gestion stratégique des ressources humaines dans les PME</w:t>
      </w:r>
      <w:r w:rsidRPr="004D4075">
        <w:rPr>
          <w:rStyle w:val="Appelnotedebasdep"/>
          <w:rFonts w:cstheme="majorBidi"/>
          <w:b/>
          <w:bCs/>
          <w:i/>
          <w:iCs/>
        </w:rPr>
        <w:footnoteReference w:id="5"/>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Dans sa thèse de doctorat soutenue à l’Université du Québec à Trois-Rivières, François L’Écuyer explore comment les technologies de l’information (TI) peuvent devenir un levier de performance pour la gestion stratégique des ressources humaines (GSRH) dans les petites et moyennes entreprises (PME).</w:t>
      </w:r>
      <w:r w:rsidRPr="004D4075">
        <w:rPr>
          <w:rFonts w:asciiTheme="majorBidi" w:hAnsiTheme="majorBidi" w:cstheme="majorBidi"/>
        </w:rPr>
        <w:t xml:space="preserve"> </w:t>
      </w:r>
      <w:r w:rsidRPr="004D4075">
        <w:rPr>
          <w:rStyle w:val="relative"/>
          <w:rFonts w:asciiTheme="majorBidi" w:hAnsiTheme="majorBidi" w:cstheme="majorBidi"/>
        </w:rPr>
        <w:t>S’appuyant sur la théorie des ressources et des capacités organisationnelles, ainsi que sur le concept d’alignement stratégique des TI, l’auteur propose un modèle intégrant les capacités de GSRH et d’e-GRH (gestion électronique des ressources humaines).</w:t>
      </w:r>
      <w:r w:rsidRPr="004D4075">
        <w:rPr>
          <w:rFonts w:asciiTheme="majorBidi" w:hAnsiTheme="majorBidi" w:cstheme="majorBidi"/>
        </w:rPr>
        <w:t xml:space="preserve"> </w:t>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L’étude repose sur une enquête quantitative menée auprès de 216 PME manufacturières québécoises, analysant l’utilisation des logiciels et technologies d’e-GRH.</w:t>
      </w:r>
      <w:r w:rsidRPr="004D4075">
        <w:rPr>
          <w:rFonts w:asciiTheme="majorBidi" w:hAnsiTheme="majorBidi" w:cstheme="majorBidi"/>
        </w:rPr>
        <w:t xml:space="preserve"> </w:t>
      </w:r>
      <w:r w:rsidRPr="004D4075">
        <w:rPr>
          <w:rStyle w:val="relative"/>
          <w:rFonts w:asciiTheme="majorBidi" w:hAnsiTheme="majorBidi" w:cstheme="majorBidi"/>
        </w:rPr>
        <w:t>Les résultats révèlent une adoption significative des outils numériques dans les pratiques RH, avec des taux d’utilisation variant de 77% à 99%.</w:t>
      </w:r>
      <w:r w:rsidRPr="004D4075">
        <w:rPr>
          <w:rFonts w:asciiTheme="majorBidi" w:hAnsiTheme="majorBidi" w:cstheme="majorBidi"/>
        </w:rPr>
        <w:t xml:space="preserve"> </w:t>
      </w:r>
      <w:r w:rsidRPr="004D4075">
        <w:rPr>
          <w:rStyle w:val="relative"/>
          <w:rFonts w:asciiTheme="majorBidi" w:hAnsiTheme="majorBidi" w:cstheme="majorBidi"/>
        </w:rPr>
        <w:t>Cependant, l’utilisation des technologies d’e-GRH est moins influencée par la taille de l’entreprise ou son orientation stratégique.L’Écuyer souligne que certaines capacités organisationnelles de GSRH sont plus développées que d’autres, notamment les pratiques de développement et de motivation, tandis que les pratiques d’autonomisation sont moins présentes.</w:t>
      </w:r>
      <w:r w:rsidRPr="004D4075">
        <w:rPr>
          <w:rFonts w:asciiTheme="majorBidi" w:hAnsiTheme="majorBidi" w:cstheme="majorBidi"/>
        </w:rPr>
        <w:t xml:space="preserve"> </w:t>
      </w:r>
      <w:r w:rsidRPr="004D4075">
        <w:rPr>
          <w:rStyle w:val="relative"/>
          <w:rFonts w:asciiTheme="majorBidi" w:hAnsiTheme="majorBidi" w:cstheme="majorBidi"/>
        </w:rPr>
        <w:t>Il démontre également que l’alignement entre les capacités de GSRH et d’e-GRH a un effet significatif sur la performance de la GSRH, indépendamment de l’orientation stratégique ou de l’incertitude environnementale.</w:t>
      </w:r>
      <w:r w:rsidRPr="004D4075">
        <w:rPr>
          <w:rFonts w:asciiTheme="majorBidi" w:hAnsiTheme="majorBidi" w:cstheme="majorBidi"/>
        </w:rPr>
        <w:t xml:space="preserve"> </w:t>
      </w:r>
      <w:r w:rsidRPr="004D4075">
        <w:rPr>
          <w:rStyle w:val="relative"/>
          <w:rFonts w:asciiTheme="majorBidi" w:hAnsiTheme="majorBidi" w:cstheme="majorBidi"/>
        </w:rPr>
        <w:t>Cette recherche contribue à combler une lacune en fournissant des preuves empiriques de l’effet des capacités organisationnelles de GSRH sur la performance, et propose un modèle d’alignement stratégique des TI applicable aux PME.</w:t>
      </w:r>
      <w:r w:rsidRPr="004D4075">
        <w:rPr>
          <w:rFonts w:asciiTheme="majorBidi" w:hAnsiTheme="majorBidi" w:cstheme="majorBidi"/>
        </w:rPr>
        <w:t xml:space="preserve"> </w:t>
      </w:r>
    </w:p>
    <w:p w:rsidR="0077132C" w:rsidRPr="004D4075" w:rsidRDefault="0077132C" w:rsidP="004D32AC">
      <w:pPr>
        <w:pStyle w:val="Paragraphedeliste"/>
        <w:numPr>
          <w:ilvl w:val="0"/>
          <w:numId w:val="197"/>
        </w:numPr>
        <w:spacing w:line="360" w:lineRule="auto"/>
        <w:jc w:val="both"/>
        <w:rPr>
          <w:rFonts w:asciiTheme="majorBidi" w:hAnsiTheme="majorBidi" w:cstheme="majorBidi"/>
          <w:b/>
          <w:bCs/>
        </w:rPr>
      </w:pPr>
      <w:r w:rsidRPr="004D4075">
        <w:rPr>
          <w:rFonts w:asciiTheme="majorBidi" w:hAnsiTheme="majorBidi" w:cstheme="majorBidi"/>
          <w:b/>
          <w:bCs/>
        </w:rPr>
        <w:t xml:space="preserve">Galindo, G., Garbe, E., &amp; Vignal, J. (2019) : </w:t>
      </w:r>
      <w:r w:rsidRPr="004D4075">
        <w:rPr>
          <w:rStyle w:val="Accentuation"/>
          <w:rFonts w:asciiTheme="majorBidi" w:hAnsiTheme="majorBidi" w:cstheme="majorBidi"/>
          <w:b/>
          <w:bCs/>
          <w:i w:val="0"/>
          <w:iCs w:val="0"/>
        </w:rPr>
        <w:t>Des idéaux à la réalité de l’accompagnement de la GRH dans la digitalisation : le cas d’une entreprise industrielle</w:t>
      </w:r>
      <w:r w:rsidRPr="004D4075">
        <w:rPr>
          <w:rStyle w:val="Appelnotedebasdep"/>
          <w:rFonts w:cstheme="majorBidi"/>
          <w:b/>
          <w:bCs/>
        </w:rPr>
        <w:footnoteReference w:id="6"/>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 xml:space="preserve">Cette étude, présentée lors du 30e Congrès de l’Association Francophone de Gestion des Ressources Humaines (AGRH) et publiée dans la revue @GRH, examine le rôle de la gestion </w:t>
      </w:r>
      <w:r w:rsidRPr="004D4075">
        <w:rPr>
          <w:rStyle w:val="relative"/>
          <w:rFonts w:asciiTheme="majorBidi" w:hAnsiTheme="majorBidi" w:cstheme="majorBidi"/>
        </w:rPr>
        <w:lastRenderedPageBreak/>
        <w:t>des ressources humaines (GRH) dans le processus de transformation digitale au sein d'un grand groupe industriel, en l'occurrence Safran</w:t>
      </w:r>
      <w:r w:rsidRPr="004D4075">
        <w:rPr>
          <w:rFonts w:asciiTheme="majorBidi" w:hAnsiTheme="majorBidi" w:cstheme="majorBidi"/>
        </w:rPr>
        <w:t xml:space="preserve">. </w:t>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Les auteurs identifient deux principaux décalages dans l'accompagnement de la digitalisation par la GRH : le premier entre la politique RH et les pratiques mises en œuvre, et le second entre ces pratiques et leur perception par les acteurs opérationnels</w:t>
      </w:r>
      <w:r w:rsidRPr="004D4075">
        <w:rPr>
          <w:rFonts w:asciiTheme="majorBidi" w:hAnsiTheme="majorBidi" w:cstheme="majorBidi"/>
        </w:rPr>
        <w:t>.</w:t>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Ces décalages se manifestent sur trois plans : organisationnel, en lien avec les ressources mobilisées, et sur le plan humain.</w:t>
      </w:r>
      <w:r w:rsidRPr="004D4075">
        <w:rPr>
          <w:rFonts w:asciiTheme="majorBidi" w:hAnsiTheme="majorBidi" w:cstheme="majorBidi"/>
        </w:rPr>
        <w:t xml:space="preserve"> </w:t>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L'étude met en évidence que la digitalisation, souvent perçue comme une révolution, est soumise aux mêmes défis que les transformations stratégiques classiques.</w:t>
      </w:r>
      <w:r w:rsidRPr="004D4075">
        <w:rPr>
          <w:rFonts w:asciiTheme="majorBidi" w:hAnsiTheme="majorBidi" w:cstheme="majorBidi"/>
        </w:rPr>
        <w:t xml:space="preserve"> </w:t>
      </w:r>
      <w:r w:rsidRPr="004D4075">
        <w:rPr>
          <w:rStyle w:val="relative"/>
          <w:rFonts w:asciiTheme="majorBidi" w:hAnsiTheme="majorBidi" w:cstheme="majorBidi"/>
        </w:rPr>
        <w:t>Les auteurs suggèrent que ces décalages résultent de différentes interprétations du dispositif RH d'accompagnement de la digitalisation.</w:t>
      </w:r>
      <w:r w:rsidRPr="004D4075">
        <w:rPr>
          <w:rFonts w:asciiTheme="majorBidi" w:hAnsiTheme="majorBidi" w:cstheme="majorBidi"/>
        </w:rPr>
        <w:t xml:space="preserve"> </w:t>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Cette recherche souligne l'importance d'une approche cohérente et alignée entre les politiques RH, les pratiques mises en œuvre et leur perception par les employés pour réussir la transformation</w:t>
      </w:r>
      <w:r w:rsidRPr="004D4075">
        <w:rPr>
          <w:rStyle w:val="relative"/>
          <w:rFonts w:asciiTheme="majorBidi" w:hAnsiTheme="majorBidi" w:cstheme="majorBidi"/>
          <w:lang w:val="fr-FR"/>
        </w:rPr>
        <w:t xml:space="preserve"> </w:t>
      </w:r>
      <w:r w:rsidRPr="004D4075">
        <w:rPr>
          <w:rStyle w:val="relative"/>
          <w:rFonts w:asciiTheme="majorBidi" w:hAnsiTheme="majorBidi" w:cstheme="majorBidi"/>
        </w:rPr>
        <w:t>digitale.</w:t>
      </w:r>
    </w:p>
    <w:p w:rsidR="0077132C" w:rsidRPr="004D4075" w:rsidRDefault="0077132C" w:rsidP="004D32AC">
      <w:pPr>
        <w:pStyle w:val="Paragraphedeliste"/>
        <w:numPr>
          <w:ilvl w:val="0"/>
          <w:numId w:val="197"/>
        </w:numPr>
        <w:spacing w:line="360" w:lineRule="auto"/>
        <w:jc w:val="both"/>
        <w:rPr>
          <w:rFonts w:asciiTheme="majorBidi" w:hAnsiTheme="majorBidi" w:cstheme="majorBidi"/>
          <w:b/>
          <w:bCs/>
        </w:rPr>
      </w:pPr>
      <w:r w:rsidRPr="004D4075">
        <w:rPr>
          <w:rFonts w:asciiTheme="majorBidi" w:hAnsiTheme="majorBidi" w:cstheme="majorBidi"/>
          <w:b/>
          <w:bCs/>
        </w:rPr>
        <w:t xml:space="preserve">Wafae Jarachi, Saad Lamsaadi, Maroua Belakhmima &amp; Youssef Khatori (2022) : </w:t>
      </w:r>
      <w:r w:rsidRPr="004D4075">
        <w:rPr>
          <w:rStyle w:val="Accentuation"/>
          <w:rFonts w:asciiTheme="majorBidi" w:hAnsiTheme="majorBidi" w:cstheme="majorBidi"/>
          <w:b/>
          <w:bCs/>
          <w:i w:val="0"/>
          <w:iCs w:val="0"/>
        </w:rPr>
        <w:t>Transformation digitale et développement de la gestion des ressources humaines</w:t>
      </w:r>
      <w:r w:rsidRPr="004D4075">
        <w:rPr>
          <w:rStyle w:val="Appelnotedebasdep"/>
          <w:rFonts w:cstheme="majorBidi"/>
          <w:b/>
          <w:bCs/>
        </w:rPr>
        <w:footnoteReference w:id="7"/>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Dans cet article publié en 2022 dans l’International Journal of Accounting, Finance, Auditing, Management and Economics, les auteurs s’intéressent à l’impact de la transformation digitale sur le développement de la gestion des ressources humaines (GRH).</w:t>
      </w:r>
      <w:r w:rsidRPr="004D4075">
        <w:rPr>
          <w:rFonts w:asciiTheme="majorBidi" w:hAnsiTheme="majorBidi" w:cstheme="majorBidi"/>
        </w:rPr>
        <w:t xml:space="preserve"> </w:t>
      </w:r>
      <w:r w:rsidRPr="004D4075">
        <w:rPr>
          <w:rStyle w:val="relative"/>
          <w:rFonts w:asciiTheme="majorBidi" w:hAnsiTheme="majorBidi" w:cstheme="majorBidi"/>
        </w:rPr>
        <w:t>L’étude examine comment l’intégration des technologies numériques influence les pratiques RH, notamment en matière de recrutement, de formation, de gestion des performances et de communication interne.</w:t>
      </w:r>
      <w:r w:rsidRPr="004D4075">
        <w:rPr>
          <w:rFonts w:asciiTheme="majorBidi" w:hAnsiTheme="majorBidi" w:cstheme="majorBidi"/>
        </w:rPr>
        <w:t xml:space="preserve"> </w:t>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Les auteurs mettent en évidence que la digitalisation des RH permet non seulement d’automatiser certaines tâches administratives, mais aussi de renforcer la performance organisationnelle en améliorant la réactivité, la transparence et la qualité des services RH.</w:t>
      </w:r>
      <w:r w:rsidRPr="004D4075">
        <w:rPr>
          <w:rFonts w:asciiTheme="majorBidi" w:hAnsiTheme="majorBidi" w:cstheme="majorBidi"/>
        </w:rPr>
        <w:t xml:space="preserve"> </w:t>
      </w:r>
      <w:r w:rsidRPr="004D4075">
        <w:rPr>
          <w:rStyle w:val="relative"/>
          <w:rFonts w:asciiTheme="majorBidi" w:hAnsiTheme="majorBidi" w:cstheme="majorBidi"/>
        </w:rPr>
        <w:t>L’étude souligne également l’importance de l’accompagnement du changement et de la formation des collaborateurs pour assurer une adoption réussie des outils numériques.</w:t>
      </w:r>
    </w:p>
    <w:p w:rsidR="0077132C" w:rsidRDefault="0077132C" w:rsidP="0077132C">
      <w:pPr>
        <w:spacing w:after="240" w:line="360" w:lineRule="auto"/>
        <w:jc w:val="both"/>
        <w:rPr>
          <w:rStyle w:val="relative"/>
          <w:rFonts w:asciiTheme="majorBidi" w:hAnsiTheme="majorBidi" w:cstheme="majorBidi"/>
        </w:rPr>
      </w:pPr>
      <w:r w:rsidRPr="004D4075">
        <w:rPr>
          <w:rStyle w:val="relative"/>
          <w:rFonts w:asciiTheme="majorBidi" w:hAnsiTheme="majorBidi" w:cstheme="majorBidi"/>
        </w:rPr>
        <w:lastRenderedPageBreak/>
        <w:t>Cette recherche contribue à une meilleure compréhension des enjeux liés à la transformation digitale des ressources humaines, en mettant en lumière les facteurs clés de succès pour une adoption efficace des technologies numériques dans les pratiques RH.</w:t>
      </w:r>
    </w:p>
    <w:p w:rsidR="0077132C" w:rsidRPr="004D4075" w:rsidRDefault="0077132C" w:rsidP="004D32AC">
      <w:pPr>
        <w:pStyle w:val="Paragraphedeliste"/>
        <w:numPr>
          <w:ilvl w:val="0"/>
          <w:numId w:val="197"/>
        </w:numPr>
        <w:spacing w:line="360" w:lineRule="auto"/>
        <w:jc w:val="both"/>
        <w:rPr>
          <w:rFonts w:asciiTheme="majorBidi" w:hAnsiTheme="majorBidi" w:cstheme="majorBidi"/>
          <w:b/>
          <w:bCs/>
        </w:rPr>
      </w:pPr>
      <w:bookmarkStart w:id="25" w:name="_Toc199685092"/>
      <w:bookmarkStart w:id="26" w:name="_Toc199685841"/>
      <w:r w:rsidRPr="004D4075">
        <w:rPr>
          <w:rFonts w:asciiTheme="majorBidi" w:hAnsiTheme="majorBidi" w:cstheme="majorBidi"/>
          <w:b/>
          <w:bCs/>
        </w:rPr>
        <w:t xml:space="preserve">Imene Berrefas (2023) : </w:t>
      </w:r>
      <w:r w:rsidRPr="004D4075">
        <w:rPr>
          <w:rStyle w:val="Accentuation"/>
          <w:rFonts w:asciiTheme="majorBidi" w:hAnsiTheme="majorBidi" w:cstheme="majorBidi"/>
          <w:b/>
          <w:bCs/>
          <w:i w:val="0"/>
          <w:iCs w:val="0"/>
        </w:rPr>
        <w:t>Transformation digitale, changement organisationnel et pratiques de la gestion des ressources humaines en Algérie</w:t>
      </w:r>
      <w:r w:rsidRPr="004D4075">
        <w:rPr>
          <w:rStyle w:val="Appelnotedebasdep"/>
          <w:rFonts w:cstheme="majorBidi"/>
          <w:b/>
          <w:bCs/>
        </w:rPr>
        <w:footnoteReference w:id="8"/>
      </w:r>
      <w:bookmarkEnd w:id="25"/>
      <w:bookmarkEnd w:id="26"/>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Dans sa thèse de doctorat soutenue à l’Université de Tlemcen, Imene Berrefas s’intéresse à la manière dont la transformation digitale influence les pratiques de gestion des ressources humaines (GRH) et induit des changements organisationnels au sein des entreprises algériennes.</w:t>
      </w:r>
      <w:r w:rsidRPr="004D4075">
        <w:rPr>
          <w:rFonts w:asciiTheme="majorBidi" w:hAnsiTheme="majorBidi" w:cstheme="majorBidi"/>
        </w:rPr>
        <w:t xml:space="preserve"> </w:t>
      </w:r>
      <w:r w:rsidRPr="004D4075">
        <w:rPr>
          <w:rStyle w:val="relative"/>
          <w:rFonts w:asciiTheme="majorBidi" w:hAnsiTheme="majorBidi" w:cstheme="majorBidi"/>
        </w:rPr>
        <w:t>L’étude examine comment l’intégration des technologies numériques modifie les processus RH, notamment en matière de recrutement, de formation, de gestion des performances et de communication interne.</w:t>
      </w:r>
    </w:p>
    <w:p w:rsidR="0077132C" w:rsidRPr="004D4075" w:rsidRDefault="0077132C" w:rsidP="0077132C">
      <w:pPr>
        <w:spacing w:after="240" w:line="360" w:lineRule="auto"/>
        <w:jc w:val="both"/>
        <w:rPr>
          <w:rFonts w:asciiTheme="majorBidi" w:hAnsiTheme="majorBidi" w:cstheme="majorBidi"/>
        </w:rPr>
      </w:pPr>
      <w:r w:rsidRPr="004D4075">
        <w:rPr>
          <w:rStyle w:val="relative"/>
          <w:rFonts w:asciiTheme="majorBidi" w:hAnsiTheme="majorBidi" w:cstheme="majorBidi"/>
        </w:rPr>
        <w:t>L’auteure met en évidence que la digitalisation des RH en Algérie est confrontée à plusieurs défis, tels que les contraintes technologiques, culturelles et réglementaires.</w:t>
      </w:r>
      <w:r w:rsidRPr="004D4075">
        <w:rPr>
          <w:rFonts w:asciiTheme="majorBidi" w:hAnsiTheme="majorBidi" w:cstheme="majorBidi"/>
        </w:rPr>
        <w:t xml:space="preserve"> </w:t>
      </w:r>
      <w:r w:rsidRPr="004D4075">
        <w:rPr>
          <w:rStyle w:val="relative"/>
          <w:rFonts w:asciiTheme="majorBidi" w:hAnsiTheme="majorBidi" w:cstheme="majorBidi"/>
        </w:rPr>
        <w:t>Cependant, elle souligne également les opportunités offertes par la digitalisation pour améliorer l’efficacité des pratiques RH et la performance organisationnelle.</w:t>
      </w:r>
      <w:r w:rsidRPr="004D4075">
        <w:rPr>
          <w:rFonts w:asciiTheme="majorBidi" w:hAnsiTheme="majorBidi" w:cstheme="majorBidi"/>
        </w:rPr>
        <w:t xml:space="preserve"> </w:t>
      </w:r>
      <w:r w:rsidRPr="004D4075">
        <w:rPr>
          <w:rStyle w:val="relative"/>
          <w:rFonts w:asciiTheme="majorBidi" w:hAnsiTheme="majorBidi" w:cstheme="majorBidi"/>
        </w:rPr>
        <w:t>L’étude insiste sur l’importance de l’accompagnement du changement et de la formation des collaborateurs pour assurer une adoption réussie des outils numériques.</w:t>
      </w:r>
    </w:p>
    <w:p w:rsidR="0077132C" w:rsidRPr="0077132C" w:rsidRDefault="0077132C" w:rsidP="0077132C">
      <w:pPr>
        <w:spacing w:line="360" w:lineRule="auto"/>
        <w:jc w:val="both"/>
        <w:rPr>
          <w:rFonts w:asciiTheme="majorBidi" w:hAnsiTheme="majorBidi" w:cstheme="majorBidi"/>
        </w:rPr>
      </w:pPr>
      <w:r w:rsidRPr="004D4075">
        <w:rPr>
          <w:rStyle w:val="relative"/>
          <w:rFonts w:asciiTheme="majorBidi" w:hAnsiTheme="majorBidi" w:cstheme="majorBidi"/>
        </w:rPr>
        <w:t>Cette recherche contribue à une meilleure compréhension des enjeux liés à la transformation digitale des ressources humaines dans le contexte algérien, en mettant en lumière les facteurs clés de succès pour une adoption efficace des technologies numériques dans les pratiques RH.</w:t>
      </w:r>
    </w:p>
    <w:p w:rsidR="00D519F2" w:rsidRPr="004D4075" w:rsidRDefault="00D519F2" w:rsidP="004D32AC">
      <w:pPr>
        <w:pStyle w:val="Paragraphedeliste"/>
        <w:numPr>
          <w:ilvl w:val="0"/>
          <w:numId w:val="197"/>
        </w:numPr>
        <w:spacing w:line="360" w:lineRule="auto"/>
        <w:jc w:val="both"/>
        <w:rPr>
          <w:rFonts w:asciiTheme="majorBidi" w:hAnsiTheme="majorBidi" w:cstheme="majorBidi"/>
          <w:b/>
          <w:bCs/>
        </w:rPr>
      </w:pPr>
      <w:bookmarkStart w:id="27" w:name="_Toc199685087"/>
      <w:bookmarkStart w:id="28" w:name="_Toc199685836"/>
      <w:r w:rsidRPr="004D4075">
        <w:rPr>
          <w:rFonts w:asciiTheme="majorBidi" w:hAnsiTheme="majorBidi" w:cstheme="majorBidi"/>
          <w:b/>
          <w:bCs/>
        </w:rPr>
        <w:t>Ibrahim Tanko Gampine (2023) : La digitalisation des pratiques de ressources humaines et la performance des entreprises dans un environnement dynamique</w:t>
      </w:r>
      <w:r w:rsidR="00D4129D" w:rsidRPr="004D4075">
        <w:rPr>
          <w:rStyle w:val="Appelnotedebasdep"/>
          <w:rFonts w:cstheme="majorBidi"/>
          <w:b/>
          <w:bCs/>
        </w:rPr>
        <w:footnoteReference w:id="9"/>
      </w:r>
      <w:bookmarkEnd w:id="27"/>
      <w:bookmarkEnd w:id="28"/>
    </w:p>
    <w:p w:rsidR="00D519F2" w:rsidRPr="004D4075" w:rsidRDefault="00D519F2" w:rsidP="004D4075">
      <w:pPr>
        <w:spacing w:after="240" w:line="360" w:lineRule="auto"/>
        <w:jc w:val="both"/>
        <w:rPr>
          <w:rFonts w:asciiTheme="majorBidi" w:hAnsiTheme="majorBidi" w:cstheme="majorBidi"/>
        </w:rPr>
      </w:pPr>
      <w:r w:rsidRPr="004D4075">
        <w:rPr>
          <w:rFonts w:asciiTheme="majorBidi" w:hAnsiTheme="majorBidi" w:cstheme="majorBidi"/>
        </w:rPr>
        <w:t>Dans sa thèse de doctorat soutenue à l’Université Paul Valéry - Montpellier III, Ibrahim Tanko Gampine s’intéresse à la manière dont la digitalisation des pratiques de ressources humaines peut influencer la performance des entreprises, en particulier dans un environnement caractérisé par l’instabilité et le changement constant.</w:t>
      </w:r>
    </w:p>
    <w:p w:rsidR="00D519F2" w:rsidRPr="004D4075" w:rsidRDefault="00D519F2" w:rsidP="004D4075">
      <w:pPr>
        <w:spacing w:after="240" w:line="360" w:lineRule="auto"/>
        <w:jc w:val="both"/>
        <w:rPr>
          <w:rFonts w:asciiTheme="majorBidi" w:hAnsiTheme="majorBidi" w:cstheme="majorBidi"/>
        </w:rPr>
      </w:pPr>
      <w:r w:rsidRPr="004D4075">
        <w:rPr>
          <w:rFonts w:asciiTheme="majorBidi" w:hAnsiTheme="majorBidi" w:cstheme="majorBidi"/>
        </w:rPr>
        <w:lastRenderedPageBreak/>
        <w:t>L’auteur mobilise une approche multi-théorique combinant la théorie fondée sur les ressources, la théorie des capacités dynamiques et la richesse des médias, afin d’analyser comment certaines capacités organisationnelles – telles que les compétences, l’engagement des employés, la prospective managériale et les technologies digitales – peuvent favoriser l’adaptabilité et la compétitivité de l’entreprise.</w:t>
      </w:r>
    </w:p>
    <w:p w:rsidR="00D519F2" w:rsidRPr="004D4075" w:rsidRDefault="00D519F2" w:rsidP="004D4075">
      <w:pPr>
        <w:spacing w:after="240" w:line="360" w:lineRule="auto"/>
        <w:jc w:val="both"/>
        <w:rPr>
          <w:rFonts w:asciiTheme="majorBidi" w:hAnsiTheme="majorBidi" w:cstheme="majorBidi"/>
        </w:rPr>
      </w:pPr>
      <w:r w:rsidRPr="004D4075">
        <w:rPr>
          <w:rFonts w:asciiTheme="majorBidi" w:hAnsiTheme="majorBidi" w:cstheme="majorBidi"/>
        </w:rPr>
        <w:t>L’étude repose sur une enquête quantitative menée auprès de 500 répondants et utilise les logiciels SmartPLS4 et SPSS pour l’analyse des données. Les résultats mettent en évidence que la digitalisation agit comme un facteur modérateur entre les pratiques RH et la performance organisationnelle, et qu’elle peut également renforcer la capacité d’adaptation des entreprises. Cependant, la digitalisation ne semble pas modérer la relation entre la prospective managériale et la performance.</w:t>
      </w:r>
    </w:p>
    <w:p w:rsidR="00B75385" w:rsidRDefault="00D519F2" w:rsidP="004D4075">
      <w:pPr>
        <w:spacing w:after="240" w:line="360" w:lineRule="auto"/>
        <w:jc w:val="both"/>
        <w:rPr>
          <w:rFonts w:asciiTheme="majorBidi" w:hAnsiTheme="majorBidi" w:cstheme="majorBidi"/>
        </w:rPr>
      </w:pPr>
      <w:r w:rsidRPr="004D4075">
        <w:rPr>
          <w:rFonts w:asciiTheme="majorBidi" w:hAnsiTheme="majorBidi" w:cstheme="majorBidi"/>
        </w:rPr>
        <w:t>L’intérêt de cette recherche réside dans sa contribution à la compréhension du rôle stratégique de la digitalisation des ressources humaines, non seulement comme levier d’innovation, mais aussi comme réponse aux défis d’un environnement de plus en plus complexe et dynamique.</w:t>
      </w:r>
    </w:p>
    <w:p w:rsidR="00D519F2" w:rsidRPr="004D4075" w:rsidRDefault="00D519F2" w:rsidP="004D32AC">
      <w:pPr>
        <w:pStyle w:val="Paragraphedeliste"/>
        <w:numPr>
          <w:ilvl w:val="0"/>
          <w:numId w:val="197"/>
        </w:numPr>
        <w:spacing w:line="360" w:lineRule="auto"/>
        <w:jc w:val="both"/>
        <w:rPr>
          <w:rFonts w:asciiTheme="majorBidi" w:hAnsiTheme="majorBidi" w:cstheme="majorBidi"/>
          <w:b/>
          <w:bCs/>
        </w:rPr>
      </w:pPr>
      <w:bookmarkStart w:id="29" w:name="_Toc199685088"/>
      <w:bookmarkStart w:id="30" w:name="_Toc199685837"/>
      <w:r w:rsidRPr="004D4075">
        <w:rPr>
          <w:rFonts w:asciiTheme="majorBidi" w:hAnsiTheme="majorBidi" w:cstheme="majorBidi"/>
          <w:b/>
          <w:bCs/>
        </w:rPr>
        <w:t xml:space="preserve">Rania El Oumami &amp; Mohamed Yassine El Haddad (2024) : </w:t>
      </w:r>
      <w:r w:rsidRPr="004D4075">
        <w:rPr>
          <w:rStyle w:val="Accentuation"/>
          <w:rFonts w:asciiTheme="majorBidi" w:hAnsiTheme="majorBidi" w:cstheme="majorBidi"/>
          <w:b/>
          <w:bCs/>
          <w:i w:val="0"/>
          <w:iCs w:val="0"/>
        </w:rPr>
        <w:t>Impact de la digitalisation sur les Ressources Humaines : Étude de Cas dans le Secteur Bancaire</w:t>
      </w:r>
      <w:r w:rsidR="00D4129D" w:rsidRPr="004D4075">
        <w:rPr>
          <w:rStyle w:val="Appelnotedebasdep"/>
          <w:rFonts w:cstheme="majorBidi"/>
          <w:b/>
          <w:bCs/>
        </w:rPr>
        <w:footnoteReference w:id="10"/>
      </w:r>
      <w:bookmarkEnd w:id="29"/>
      <w:bookmarkEnd w:id="30"/>
    </w:p>
    <w:p w:rsidR="00D519F2" w:rsidRPr="004D4075" w:rsidRDefault="00D519F2" w:rsidP="004D4075">
      <w:pPr>
        <w:spacing w:after="240" w:line="360" w:lineRule="auto"/>
        <w:jc w:val="both"/>
        <w:rPr>
          <w:rFonts w:asciiTheme="majorBidi" w:hAnsiTheme="majorBidi" w:cstheme="majorBidi"/>
        </w:rPr>
      </w:pPr>
      <w:r w:rsidRPr="004D4075">
        <w:rPr>
          <w:rStyle w:val="relative"/>
          <w:rFonts w:asciiTheme="majorBidi" w:hAnsiTheme="majorBidi" w:cstheme="majorBidi"/>
        </w:rPr>
        <w:t>Dans cette étude publiée en 2024, El Oumami et El Haddad analysent l'impact de la digitalisation sur les pratiques de gestion des ressources humaines au sein du secteur bancaire.</w:t>
      </w:r>
      <w:r w:rsidRPr="004D4075">
        <w:rPr>
          <w:rFonts w:asciiTheme="majorBidi" w:hAnsiTheme="majorBidi" w:cstheme="majorBidi"/>
        </w:rPr>
        <w:t xml:space="preserve"> </w:t>
      </w:r>
      <w:r w:rsidRPr="004D4075">
        <w:rPr>
          <w:rStyle w:val="relative"/>
          <w:rFonts w:asciiTheme="majorBidi" w:hAnsiTheme="majorBidi" w:cstheme="majorBidi"/>
        </w:rPr>
        <w:t>À travers une étude de cas approfondie, les auteurs examinent comment l'intégration des technologies numériques transforme les processus RH, notamment en matière de recrutement, de formation et de gestion des performances.</w:t>
      </w:r>
      <w:r w:rsidRPr="004D4075">
        <w:rPr>
          <w:rFonts w:asciiTheme="majorBidi" w:hAnsiTheme="majorBidi" w:cstheme="majorBidi"/>
        </w:rPr>
        <w:t xml:space="preserve"> </w:t>
      </w:r>
    </w:p>
    <w:p w:rsidR="00954D17" w:rsidRDefault="00D519F2" w:rsidP="00954D17">
      <w:pPr>
        <w:spacing w:after="240" w:line="360" w:lineRule="auto"/>
        <w:jc w:val="both"/>
        <w:rPr>
          <w:rFonts w:asciiTheme="majorBidi" w:hAnsiTheme="majorBidi" w:cstheme="majorBidi"/>
        </w:rPr>
      </w:pPr>
      <w:r w:rsidRPr="004D4075">
        <w:rPr>
          <w:rStyle w:val="relative"/>
          <w:rFonts w:asciiTheme="majorBidi" w:hAnsiTheme="majorBidi" w:cstheme="majorBidi"/>
        </w:rPr>
        <w:t>L'étude met en évidence que la digitalisation des RH dans le secteur bancaire n'est pas seulement une question technologique, mais implique également une transformation organisationnelle et culturelle.</w:t>
      </w:r>
      <w:r w:rsidRPr="004D4075">
        <w:rPr>
          <w:rFonts w:asciiTheme="majorBidi" w:hAnsiTheme="majorBidi" w:cstheme="majorBidi"/>
        </w:rPr>
        <w:t xml:space="preserve"> </w:t>
      </w:r>
      <w:r w:rsidRPr="004D4075">
        <w:rPr>
          <w:rStyle w:val="relative"/>
          <w:rFonts w:asciiTheme="majorBidi" w:hAnsiTheme="majorBidi" w:cstheme="majorBidi"/>
        </w:rPr>
        <w:t>Les auteurs soulignent l'importance de l'accompagnement du changement et de la formation des collaborateurs pour assurer une adoption réussie des outils numériques.</w:t>
      </w:r>
      <w:r w:rsidRPr="004D4075">
        <w:rPr>
          <w:rFonts w:asciiTheme="majorBidi" w:hAnsiTheme="majorBidi" w:cstheme="majorBidi"/>
        </w:rPr>
        <w:t xml:space="preserve"> </w:t>
      </w:r>
    </w:p>
    <w:p w:rsidR="00D519F2" w:rsidRPr="004D4075" w:rsidRDefault="00D519F2" w:rsidP="00954D17">
      <w:pPr>
        <w:spacing w:after="240" w:line="360" w:lineRule="auto"/>
        <w:jc w:val="both"/>
        <w:rPr>
          <w:rFonts w:asciiTheme="majorBidi" w:hAnsiTheme="majorBidi" w:cstheme="majorBidi"/>
        </w:rPr>
      </w:pPr>
      <w:r w:rsidRPr="004D4075">
        <w:rPr>
          <w:rStyle w:val="relative"/>
          <w:rFonts w:asciiTheme="majorBidi" w:hAnsiTheme="majorBidi" w:cstheme="majorBidi"/>
        </w:rPr>
        <w:lastRenderedPageBreak/>
        <w:t>Cette recherche contribue à une meilleure compréhension des défis et des opportunités liés à la digitalisation des ressources humaines, en mettant en lumière les facteurs clés de succès pour une transformation efficace dans le contexte spécifique du secteur bancaire.</w:t>
      </w:r>
    </w:p>
    <w:p w:rsidR="00636C12" w:rsidRPr="004D4075" w:rsidRDefault="00636C12" w:rsidP="004D4075">
      <w:pPr>
        <w:spacing w:line="360" w:lineRule="auto"/>
        <w:jc w:val="both"/>
        <w:rPr>
          <w:rFonts w:asciiTheme="majorBidi" w:hAnsiTheme="majorBidi" w:cstheme="majorBidi"/>
          <w:b/>
          <w:bCs/>
          <w:lang w:eastAsia="fr-FR"/>
        </w:rPr>
      </w:pPr>
      <w:r w:rsidRPr="004D4075">
        <w:rPr>
          <w:rFonts w:ascii="Segoe UI Symbol" w:hAnsi="Segoe UI Symbol" w:cs="Segoe UI Symbol"/>
          <w:b/>
          <w:bCs/>
        </w:rPr>
        <w:t>➢</w:t>
      </w:r>
      <w:r w:rsidRPr="004D4075">
        <w:rPr>
          <w:rFonts w:asciiTheme="majorBidi" w:hAnsiTheme="majorBidi" w:cstheme="majorBidi"/>
          <w:b/>
          <w:bCs/>
        </w:rPr>
        <w:t> </w:t>
      </w:r>
      <w:r w:rsidRPr="004D4075">
        <w:rPr>
          <w:rFonts w:asciiTheme="majorBidi" w:hAnsiTheme="majorBidi" w:cstheme="majorBidi"/>
          <w:b/>
          <w:bCs/>
          <w:lang w:eastAsia="fr-FR"/>
        </w:rPr>
        <w:t> La structure de l'étude</w:t>
      </w:r>
    </w:p>
    <w:p w:rsidR="00636C12" w:rsidRPr="004D4075" w:rsidRDefault="00636C12" w:rsidP="00A858C8">
      <w:pPr>
        <w:spacing w:after="240" w:line="360" w:lineRule="auto"/>
        <w:jc w:val="both"/>
        <w:rPr>
          <w:rFonts w:asciiTheme="majorBidi" w:hAnsiTheme="majorBidi" w:cstheme="majorBidi"/>
        </w:rPr>
      </w:pPr>
      <w:r w:rsidRPr="004D4075">
        <w:rPr>
          <w:rFonts w:asciiTheme="majorBidi" w:hAnsiTheme="majorBidi" w:cstheme="majorBidi"/>
        </w:rPr>
        <w:t>Ce travail de recherche s’articule autour de deux grandes parties distinctes. La première, de nature théorique, comprend deux chapitres ; la seconde, plus pratique, se compose d’un seul chapitre consacré à l’étude terrain.</w:t>
      </w:r>
    </w:p>
    <w:p w:rsidR="00636C12" w:rsidRPr="004D4075" w:rsidRDefault="00636C12" w:rsidP="00A858C8">
      <w:pPr>
        <w:spacing w:after="240" w:line="360" w:lineRule="auto"/>
        <w:jc w:val="both"/>
        <w:rPr>
          <w:rFonts w:asciiTheme="majorBidi" w:hAnsiTheme="majorBidi" w:cstheme="majorBidi"/>
        </w:rPr>
      </w:pPr>
      <w:r w:rsidRPr="004D4075">
        <w:rPr>
          <w:rStyle w:val="lev"/>
          <w:rFonts w:asciiTheme="majorBidi" w:hAnsiTheme="majorBidi" w:cstheme="majorBidi"/>
          <w:color w:val="000000"/>
        </w:rPr>
        <w:t xml:space="preserve">Chapitre I : </w:t>
      </w:r>
      <w:r w:rsidRPr="004D4075">
        <w:rPr>
          <w:rFonts w:asciiTheme="majorBidi" w:hAnsiTheme="majorBidi" w:cstheme="majorBidi"/>
        </w:rPr>
        <w:t>Ce chapitre introductif est réparti en trois sections. La première section expose les notions générales relatives à la gestion des ressources humaines, offrant un cadre de compréhension global. La deuxième section se concentre sur les différentes fonctions RH ainsi que sur les enjeux stratégiques qu’elles impliquent dans le contexte organisationnel actuel. Quant à la troisième section, elle met en évidence l’importance du recrutement et de la formation, considérés comme des éléments centraux de la politique RH.</w:t>
      </w:r>
    </w:p>
    <w:p w:rsidR="00636C12" w:rsidRPr="00847F4A" w:rsidRDefault="00636C12" w:rsidP="00A858C8">
      <w:pPr>
        <w:spacing w:after="240" w:line="360" w:lineRule="auto"/>
        <w:jc w:val="both"/>
        <w:rPr>
          <w:rFonts w:asciiTheme="majorBidi" w:hAnsiTheme="majorBidi" w:cstheme="majorBidi"/>
          <w:lang w:val="fr-FR"/>
        </w:rPr>
      </w:pPr>
      <w:r w:rsidRPr="004D4075">
        <w:rPr>
          <w:rStyle w:val="lev"/>
          <w:rFonts w:asciiTheme="majorBidi" w:hAnsiTheme="majorBidi" w:cstheme="majorBidi"/>
          <w:color w:val="000000"/>
        </w:rPr>
        <w:t>Chapitre II :</w:t>
      </w:r>
      <w:r w:rsidRPr="00847F4A">
        <w:rPr>
          <w:rFonts w:asciiTheme="majorBidi" w:hAnsiTheme="majorBidi" w:cstheme="majorBidi"/>
          <w:lang w:val="fr-FR"/>
        </w:rPr>
        <w:t xml:space="preserve"> </w:t>
      </w:r>
      <w:r w:rsidRPr="004D4075">
        <w:rPr>
          <w:rFonts w:asciiTheme="majorBidi" w:hAnsiTheme="majorBidi" w:cstheme="majorBidi"/>
        </w:rPr>
        <w:t>Ce second chapitre comporte également trois sections. La première introduit les concepts essentiels liés à la transformation digitale. La seconde examine comment cette digitalisation impacte les pratiques et outils de gestion des ressources humaines. La troisième section, enfin, explore plus en détail deux processus RH clés – le recrutement et la formation à travers leur évolution numérique, donnant lieu à l’émergence de pratiques telles que</w:t>
      </w:r>
      <w:r w:rsidRPr="00847F4A">
        <w:rPr>
          <w:rFonts w:asciiTheme="majorBidi" w:hAnsiTheme="majorBidi" w:cstheme="majorBidi"/>
          <w:lang w:val="fr-FR"/>
        </w:rPr>
        <w:t xml:space="preserve"> </w:t>
      </w:r>
      <w:r w:rsidRPr="004D4075">
        <w:rPr>
          <w:rFonts w:asciiTheme="majorBidi" w:hAnsiTheme="majorBidi" w:cstheme="majorBidi"/>
        </w:rPr>
        <w:t>l’</w:t>
      </w:r>
      <w:r w:rsidRPr="00847F4A">
        <w:rPr>
          <w:rFonts w:asciiTheme="majorBidi" w:hAnsiTheme="majorBidi" w:cstheme="majorBidi"/>
          <w:lang w:val="fr-FR"/>
        </w:rPr>
        <w:t>e-</w:t>
      </w:r>
      <w:r w:rsidRPr="004D4075">
        <w:rPr>
          <w:rFonts w:asciiTheme="majorBidi" w:hAnsiTheme="majorBidi" w:cstheme="majorBidi"/>
        </w:rPr>
        <w:t>recrutement et l’e-formation.</w:t>
      </w:r>
    </w:p>
    <w:p w:rsidR="008476E2" w:rsidRDefault="00636C12" w:rsidP="004D4075">
      <w:pPr>
        <w:spacing w:line="360" w:lineRule="auto"/>
        <w:jc w:val="both"/>
        <w:rPr>
          <w:rFonts w:asciiTheme="majorBidi" w:hAnsiTheme="majorBidi" w:cstheme="majorBidi"/>
        </w:rPr>
        <w:sectPr w:rsidR="008476E2" w:rsidSect="008476E2">
          <w:headerReference w:type="default" r:id="rId17"/>
          <w:type w:val="continuous"/>
          <w:pgSz w:w="11900" w:h="16840"/>
          <w:pgMar w:top="1440" w:right="1440" w:bottom="1440" w:left="1440" w:header="708" w:footer="708" w:gutter="0"/>
          <w:pgNumType w:start="1"/>
          <w:cols w:space="708"/>
          <w:docGrid w:linePitch="360"/>
        </w:sectPr>
      </w:pPr>
      <w:r w:rsidRPr="004D4075">
        <w:rPr>
          <w:rStyle w:val="lev"/>
          <w:rFonts w:asciiTheme="majorBidi" w:hAnsiTheme="majorBidi" w:cstheme="majorBidi"/>
          <w:color w:val="000000"/>
        </w:rPr>
        <w:t xml:space="preserve">Chapitre III : </w:t>
      </w:r>
      <w:r w:rsidRPr="004D4075">
        <w:rPr>
          <w:rFonts w:asciiTheme="majorBidi" w:hAnsiTheme="majorBidi" w:cstheme="majorBidi"/>
        </w:rPr>
        <w:t>Ce dernier chapitre est consacré à la phase d’enquête. Celle-ci a été conduite auprès d’un échantillon ciblé, à l’aide d’un questionnaire conçu pour collecter des données fiables. L’analyse statistique des réponses permettra de formuler des conclusions pertinentes en lien avec la problématique, tout en validant ou infirmant les hypothèses avancées dans la partie théorique.</w:t>
      </w:r>
    </w:p>
    <w:p w:rsidR="00636C12" w:rsidRPr="008A5941" w:rsidRDefault="00636C12" w:rsidP="004D4075">
      <w:pPr>
        <w:spacing w:line="360" w:lineRule="auto"/>
        <w:jc w:val="both"/>
        <w:rPr>
          <w:rFonts w:asciiTheme="majorBidi" w:hAnsiTheme="majorBidi" w:cstheme="majorBidi"/>
          <w:lang w:val="fr-FR"/>
        </w:rPr>
      </w:pPr>
    </w:p>
    <w:p w:rsidR="00636C12" w:rsidRDefault="00636C12" w:rsidP="00D519F2">
      <w:pPr>
        <w:pStyle w:val="NormalWeb"/>
      </w:pPr>
    </w:p>
    <w:p w:rsidR="00636C12" w:rsidRDefault="00636C12" w:rsidP="00D519F2">
      <w:pPr>
        <w:pStyle w:val="NormalWeb"/>
      </w:pPr>
    </w:p>
    <w:p w:rsidR="00636C12" w:rsidRDefault="00636C12" w:rsidP="00D519F2">
      <w:pPr>
        <w:pStyle w:val="NormalWeb"/>
      </w:pPr>
    </w:p>
    <w:p w:rsidR="00636C12" w:rsidRDefault="00636C12" w:rsidP="00D519F2">
      <w:pPr>
        <w:pStyle w:val="NormalWeb"/>
      </w:pPr>
    </w:p>
    <w:p w:rsidR="00636C12" w:rsidRDefault="00636C12" w:rsidP="00D519F2">
      <w:pPr>
        <w:pStyle w:val="NormalWeb"/>
      </w:pPr>
    </w:p>
    <w:p w:rsidR="00636C12" w:rsidRDefault="00636C12" w:rsidP="00D519F2">
      <w:pPr>
        <w:pStyle w:val="NormalWeb"/>
      </w:pPr>
    </w:p>
    <w:p w:rsidR="00636C12" w:rsidRDefault="00636C12" w:rsidP="00D519F2">
      <w:pPr>
        <w:pStyle w:val="NormalWeb"/>
      </w:pPr>
    </w:p>
    <w:p w:rsidR="008476E2" w:rsidRDefault="008476E2" w:rsidP="008476E2">
      <w:pPr>
        <w:pStyle w:val="Titre3"/>
        <w:rPr>
          <w:sz w:val="72"/>
          <w:szCs w:val="72"/>
          <w:lang w:val="fr-FR"/>
        </w:rPr>
      </w:pPr>
    </w:p>
    <w:p w:rsidR="00E772DD" w:rsidRPr="00A858C8" w:rsidRDefault="00E772DD" w:rsidP="00A858C8">
      <w:pPr>
        <w:pStyle w:val="Titre3"/>
        <w:jc w:val="center"/>
        <w:rPr>
          <w:rStyle w:val="lev"/>
          <w:color w:val="000000"/>
          <w:sz w:val="72"/>
          <w:szCs w:val="72"/>
          <w:lang w:val="fr-FR"/>
        </w:rPr>
      </w:pPr>
      <w:bookmarkStart w:id="31" w:name="_Toc200486504"/>
      <w:bookmarkStart w:id="32" w:name="_Toc200635280"/>
      <w:bookmarkStart w:id="33" w:name="_Toc200635668"/>
      <w:bookmarkStart w:id="34" w:name="_Toc200636057"/>
      <w:bookmarkStart w:id="35" w:name="_Toc200755794"/>
      <w:r w:rsidRPr="00A858C8">
        <w:rPr>
          <w:sz w:val="72"/>
          <w:szCs w:val="72"/>
          <w:lang w:val="fr-FR"/>
        </w:rPr>
        <w:t>Chapitre I : La gestion des ressources humaines</w:t>
      </w:r>
      <w:bookmarkEnd w:id="31"/>
      <w:bookmarkEnd w:id="32"/>
      <w:bookmarkEnd w:id="33"/>
      <w:bookmarkEnd w:id="34"/>
      <w:bookmarkEnd w:id="35"/>
    </w:p>
    <w:p w:rsidR="00E772DD" w:rsidRPr="00AD5F90" w:rsidRDefault="00E772DD" w:rsidP="00FD32F7">
      <w:pPr>
        <w:pStyle w:val="NormalWeb"/>
        <w:rPr>
          <w:rStyle w:val="lev"/>
          <w:color w:val="000000"/>
          <w:sz w:val="28"/>
          <w:szCs w:val="28"/>
          <w:lang w:val="fr-FR"/>
        </w:rPr>
      </w:pPr>
    </w:p>
    <w:p w:rsidR="00E772DD" w:rsidRPr="00AD5F90" w:rsidRDefault="00E772DD" w:rsidP="00FD32F7">
      <w:pPr>
        <w:pStyle w:val="NormalWeb"/>
        <w:rPr>
          <w:rStyle w:val="lev"/>
          <w:color w:val="000000"/>
          <w:sz w:val="28"/>
          <w:szCs w:val="28"/>
          <w:lang w:val="fr-FR"/>
        </w:rPr>
      </w:pPr>
    </w:p>
    <w:p w:rsidR="00E772DD" w:rsidRPr="00AD5F90" w:rsidRDefault="00E772DD" w:rsidP="00FD32F7">
      <w:pPr>
        <w:pStyle w:val="NormalWeb"/>
        <w:rPr>
          <w:rStyle w:val="lev"/>
          <w:color w:val="000000"/>
          <w:sz w:val="28"/>
          <w:szCs w:val="28"/>
          <w:lang w:val="fr-FR"/>
        </w:rPr>
      </w:pPr>
    </w:p>
    <w:p w:rsidR="00E772DD" w:rsidRPr="00AD5F90" w:rsidRDefault="00E772DD" w:rsidP="00FD32F7">
      <w:pPr>
        <w:pStyle w:val="NormalWeb"/>
        <w:rPr>
          <w:rStyle w:val="lev"/>
          <w:color w:val="000000"/>
          <w:sz w:val="28"/>
          <w:szCs w:val="28"/>
          <w:lang w:val="fr-FR"/>
        </w:rPr>
      </w:pPr>
    </w:p>
    <w:p w:rsidR="00E772DD" w:rsidRPr="00AD5F90" w:rsidRDefault="00E772DD" w:rsidP="00FD32F7">
      <w:pPr>
        <w:pStyle w:val="NormalWeb"/>
        <w:rPr>
          <w:rStyle w:val="lev"/>
          <w:color w:val="000000"/>
          <w:sz w:val="28"/>
          <w:szCs w:val="28"/>
          <w:lang w:val="fr-FR"/>
        </w:rPr>
      </w:pPr>
    </w:p>
    <w:p w:rsidR="00E772DD" w:rsidRPr="00AD5F90" w:rsidRDefault="00E772DD" w:rsidP="00FD32F7">
      <w:pPr>
        <w:pStyle w:val="NormalWeb"/>
        <w:rPr>
          <w:rStyle w:val="lev"/>
          <w:color w:val="000000"/>
          <w:sz w:val="28"/>
          <w:szCs w:val="28"/>
          <w:lang w:val="fr-FR"/>
        </w:rPr>
      </w:pPr>
    </w:p>
    <w:p w:rsidR="00E772DD" w:rsidRPr="00AD5F90" w:rsidRDefault="00E772DD" w:rsidP="00FD32F7">
      <w:pPr>
        <w:pStyle w:val="NormalWeb"/>
        <w:rPr>
          <w:rStyle w:val="lev"/>
          <w:color w:val="000000"/>
          <w:sz w:val="28"/>
          <w:szCs w:val="28"/>
          <w:lang w:val="fr-FR"/>
        </w:rPr>
      </w:pPr>
    </w:p>
    <w:p w:rsidR="00E772DD" w:rsidRPr="00AD5F90" w:rsidRDefault="00E772DD" w:rsidP="00FD32F7">
      <w:pPr>
        <w:pStyle w:val="NormalWeb"/>
        <w:rPr>
          <w:rStyle w:val="lev"/>
          <w:color w:val="000000"/>
          <w:sz w:val="28"/>
          <w:szCs w:val="28"/>
          <w:lang w:val="fr-FR"/>
        </w:rPr>
      </w:pPr>
    </w:p>
    <w:p w:rsidR="00A858C8" w:rsidRDefault="00A858C8" w:rsidP="00FD32F7">
      <w:pPr>
        <w:pStyle w:val="NormalWeb"/>
        <w:rPr>
          <w:rStyle w:val="lev"/>
          <w:color w:val="000000"/>
          <w:sz w:val="28"/>
          <w:szCs w:val="28"/>
          <w:lang w:val="fr-FR"/>
        </w:rPr>
      </w:pPr>
    </w:p>
    <w:p w:rsidR="008476E2" w:rsidRDefault="008476E2" w:rsidP="00FD32F7">
      <w:pPr>
        <w:pStyle w:val="NormalWeb"/>
        <w:rPr>
          <w:rStyle w:val="lev"/>
          <w:color w:val="000000"/>
          <w:sz w:val="28"/>
          <w:szCs w:val="28"/>
          <w:lang w:val="fr-FR"/>
        </w:rPr>
        <w:sectPr w:rsidR="008476E2" w:rsidSect="00376CBF">
          <w:headerReference w:type="default" r:id="rId18"/>
          <w:pgSz w:w="11900" w:h="16840"/>
          <w:pgMar w:top="1440" w:right="1440" w:bottom="1440" w:left="1440" w:header="708" w:footer="708" w:gutter="0"/>
          <w:cols w:space="708"/>
          <w:docGrid w:linePitch="360"/>
        </w:sectPr>
      </w:pPr>
    </w:p>
    <w:p w:rsidR="00E772DD" w:rsidRPr="00A858C8" w:rsidRDefault="00E772DD" w:rsidP="00A858C8">
      <w:pPr>
        <w:pStyle w:val="Titre3"/>
        <w:spacing w:after="0" w:afterAutospacing="0" w:line="360" w:lineRule="auto"/>
        <w:rPr>
          <w:b w:val="0"/>
          <w:bCs w:val="0"/>
          <w:lang w:val="fr-FR"/>
        </w:rPr>
      </w:pPr>
      <w:bookmarkStart w:id="36" w:name="_Toc200486505"/>
      <w:bookmarkStart w:id="37" w:name="_Toc200635281"/>
      <w:bookmarkStart w:id="38" w:name="_Toc200635669"/>
      <w:bookmarkStart w:id="39" w:name="_Toc200636058"/>
      <w:bookmarkStart w:id="40" w:name="_Toc200755795"/>
      <w:r w:rsidRPr="00A858C8">
        <w:rPr>
          <w:rStyle w:val="lev"/>
          <w:b/>
          <w:bCs/>
          <w:color w:val="000000"/>
          <w:sz w:val="28"/>
          <w:szCs w:val="28"/>
          <w:lang w:val="fr-FR"/>
        </w:rPr>
        <w:lastRenderedPageBreak/>
        <w:t>Introduction</w:t>
      </w:r>
      <w:r w:rsidR="00045019">
        <w:rPr>
          <w:rStyle w:val="lev"/>
          <w:b/>
          <w:bCs/>
          <w:color w:val="000000"/>
          <w:sz w:val="28"/>
          <w:szCs w:val="28"/>
          <w:lang w:val="fr-FR"/>
        </w:rPr>
        <w:t xml:space="preserve"> du chapitre</w:t>
      </w:r>
      <w:bookmarkEnd w:id="36"/>
      <w:bookmarkEnd w:id="37"/>
      <w:bookmarkEnd w:id="38"/>
      <w:bookmarkEnd w:id="39"/>
      <w:bookmarkEnd w:id="40"/>
    </w:p>
    <w:p w:rsidR="00E772DD" w:rsidRPr="00A858C8" w:rsidRDefault="00E772DD" w:rsidP="00A858C8">
      <w:pPr>
        <w:spacing w:after="240" w:line="360" w:lineRule="auto"/>
        <w:jc w:val="both"/>
        <w:rPr>
          <w:rFonts w:asciiTheme="majorBidi" w:hAnsiTheme="majorBidi" w:cstheme="majorBidi"/>
          <w:lang w:val="fr-FR"/>
        </w:rPr>
      </w:pPr>
      <w:r w:rsidRPr="00A858C8">
        <w:rPr>
          <w:rFonts w:asciiTheme="majorBidi" w:hAnsiTheme="majorBidi" w:cstheme="majorBidi"/>
          <w:lang w:val="fr-FR"/>
        </w:rPr>
        <w:t>La performance et la compétitivité des entreprises reposent en grande partie sur une gestion efficace des ressources humaines (GRH). Avec l’essor du numérique, les pratiques de gestion du capital humain évoluent considérablement, influençant ainsi le fonctionnement des organisations. Ce chapitre, structuré en trois sections, explore les principes fondamentaux de la GRH ainsi que ses enjeux stratégiques.</w:t>
      </w:r>
    </w:p>
    <w:p w:rsidR="00E772DD" w:rsidRPr="00A858C8" w:rsidRDefault="00E772DD" w:rsidP="00A858C8">
      <w:pPr>
        <w:spacing w:after="240" w:line="360" w:lineRule="auto"/>
        <w:jc w:val="both"/>
        <w:rPr>
          <w:rFonts w:asciiTheme="majorBidi" w:hAnsiTheme="majorBidi" w:cstheme="majorBidi"/>
          <w:lang w:val="fr-FR"/>
        </w:rPr>
      </w:pPr>
      <w:r w:rsidRPr="00A858C8">
        <w:rPr>
          <w:rFonts w:asciiTheme="majorBidi" w:hAnsiTheme="majorBidi" w:cstheme="majorBidi"/>
          <w:lang w:val="fr-FR"/>
        </w:rPr>
        <w:t>Dans la première section, nous examinerons les bases de la gestion des ressources humaines. Nous retracerons son évolution, en présentant ses principales définitions et concepts. Cette section mettra en avant l’importance de la GRH dans le bon fonctionnement des entreprises et son rôle dans l’amélioration de la performance globale.</w:t>
      </w:r>
    </w:p>
    <w:p w:rsidR="00E772DD" w:rsidRPr="00A858C8" w:rsidRDefault="00E772DD" w:rsidP="00A858C8">
      <w:pPr>
        <w:spacing w:after="240" w:line="360" w:lineRule="auto"/>
        <w:jc w:val="both"/>
        <w:rPr>
          <w:rFonts w:asciiTheme="majorBidi" w:hAnsiTheme="majorBidi" w:cstheme="majorBidi"/>
          <w:lang w:val="fr-FR"/>
        </w:rPr>
      </w:pPr>
      <w:r w:rsidRPr="00A858C8">
        <w:rPr>
          <w:rFonts w:asciiTheme="majorBidi" w:hAnsiTheme="majorBidi" w:cstheme="majorBidi"/>
          <w:lang w:val="fr-FR"/>
        </w:rPr>
        <w:t>La deuxième section s’intéressera aux missions et défis stratégiques de la GRH. Nous analyserons ses principales fonctions, telles que la rémunération ,GPEC et la gestion des compétences. Cette partie soulignera également les enjeux auxquels les entreprises doivent faire face dans un contexte en perpétuelle transformation.</w:t>
      </w:r>
    </w:p>
    <w:p w:rsidR="00E772DD" w:rsidRPr="00A858C8" w:rsidRDefault="00E772DD" w:rsidP="00A858C8">
      <w:pPr>
        <w:spacing w:after="240" w:line="360" w:lineRule="auto"/>
        <w:jc w:val="both"/>
        <w:rPr>
          <w:rFonts w:asciiTheme="majorBidi" w:hAnsiTheme="majorBidi" w:cstheme="majorBidi"/>
          <w:lang w:val="fr-FR"/>
        </w:rPr>
      </w:pPr>
      <w:r w:rsidRPr="00A858C8">
        <w:rPr>
          <w:rFonts w:asciiTheme="majorBidi" w:hAnsiTheme="majorBidi" w:cstheme="majorBidi"/>
          <w:lang w:val="fr-FR"/>
        </w:rPr>
        <w:t>Enfin, la troisième section portera sur le recrutement et la formation, deux éléments clés du développement des ressources humaines. Nous explorerons les différentes méthodes utilisées pour recruter des talents et les stratégies de formation visant à renforcer les compétences des employés et à favoriser leur évolution professionnelle.</w:t>
      </w:r>
    </w:p>
    <w:p w:rsidR="00E772DD" w:rsidRPr="00A858C8" w:rsidRDefault="00E772DD" w:rsidP="00A858C8">
      <w:pPr>
        <w:spacing w:after="240" w:line="360" w:lineRule="auto"/>
        <w:jc w:val="both"/>
        <w:rPr>
          <w:rFonts w:asciiTheme="majorBidi" w:hAnsiTheme="majorBidi" w:cstheme="majorBidi"/>
          <w:b/>
          <w:bCs/>
          <w:sz w:val="28"/>
          <w:szCs w:val="28"/>
          <w:lang w:val="fr-FR"/>
        </w:rPr>
      </w:pPr>
      <w:bookmarkStart w:id="41" w:name="_Toc199685093"/>
      <w:bookmarkStart w:id="42" w:name="_Toc199685842"/>
      <w:r w:rsidRPr="00A858C8">
        <w:rPr>
          <w:rFonts w:asciiTheme="majorBidi" w:hAnsiTheme="majorBidi" w:cstheme="majorBidi"/>
          <w:lang w:val="fr-FR"/>
        </w:rPr>
        <w:t>Ce chapitre propose ainsi une analyse approfondie des mécanismes qui structurent la gestion des ressources humaines, en mettant en lumière son rôle central dans la performance des organisations. Il met en évidence l'importance des différentes fonctions RH dans l’optimisation du capital humain, en veillant à aligner les objectifs des employés avec ceux de l’entreprise. En adoptant une approche stratégique, la gestion des ressources humaines devient un levier essentiel pour favoriser l’engagement des collaborateurs et assurer la compétitivité des organisations.</w:t>
      </w:r>
      <w:bookmarkEnd w:id="41"/>
      <w:bookmarkEnd w:id="42"/>
    </w:p>
    <w:p w:rsidR="00E772DD" w:rsidRDefault="00E772DD" w:rsidP="00AA15A0">
      <w:pPr>
        <w:spacing w:line="360" w:lineRule="auto"/>
        <w:jc w:val="both"/>
        <w:outlineLvl w:val="2"/>
        <w:rPr>
          <w:rFonts w:asciiTheme="majorBidi" w:hAnsiTheme="majorBidi" w:cstheme="majorBidi"/>
          <w:b/>
          <w:bCs/>
          <w:color w:val="000000"/>
          <w:sz w:val="28"/>
          <w:szCs w:val="28"/>
          <w:lang w:val="fr-FR"/>
        </w:rPr>
      </w:pPr>
    </w:p>
    <w:p w:rsidR="00E772DD" w:rsidRDefault="00E772DD" w:rsidP="00AA15A0">
      <w:pPr>
        <w:spacing w:line="360" w:lineRule="auto"/>
        <w:jc w:val="both"/>
        <w:outlineLvl w:val="2"/>
        <w:rPr>
          <w:rFonts w:asciiTheme="majorBidi" w:hAnsiTheme="majorBidi" w:cstheme="majorBidi"/>
          <w:b/>
          <w:bCs/>
          <w:color w:val="000000"/>
          <w:sz w:val="28"/>
          <w:szCs w:val="28"/>
          <w:lang w:val="fr-FR"/>
        </w:rPr>
      </w:pPr>
    </w:p>
    <w:p w:rsidR="00E772DD" w:rsidRDefault="00E772DD" w:rsidP="00AA15A0">
      <w:pPr>
        <w:spacing w:line="360" w:lineRule="auto"/>
        <w:jc w:val="both"/>
        <w:outlineLvl w:val="2"/>
        <w:rPr>
          <w:rFonts w:asciiTheme="majorBidi" w:hAnsiTheme="majorBidi" w:cstheme="majorBidi"/>
          <w:b/>
          <w:bCs/>
          <w:color w:val="000000"/>
          <w:sz w:val="28"/>
          <w:szCs w:val="28"/>
          <w:lang w:val="fr-FR"/>
        </w:rPr>
      </w:pPr>
    </w:p>
    <w:p w:rsidR="00A858C8" w:rsidRPr="00AD5F90" w:rsidRDefault="00A858C8" w:rsidP="00AA15A0">
      <w:pPr>
        <w:spacing w:line="360" w:lineRule="auto"/>
        <w:jc w:val="both"/>
        <w:outlineLvl w:val="2"/>
        <w:rPr>
          <w:rFonts w:asciiTheme="majorBidi" w:hAnsiTheme="majorBidi" w:cstheme="majorBidi"/>
          <w:b/>
          <w:bCs/>
          <w:color w:val="000000"/>
          <w:sz w:val="28"/>
          <w:szCs w:val="28"/>
          <w:lang w:val="fr-FR"/>
        </w:rPr>
      </w:pPr>
    </w:p>
    <w:p w:rsidR="00E772DD" w:rsidRPr="00AD5F90" w:rsidRDefault="00E772DD" w:rsidP="00AA15A0">
      <w:pPr>
        <w:spacing w:line="360" w:lineRule="auto"/>
        <w:jc w:val="both"/>
        <w:outlineLvl w:val="2"/>
        <w:rPr>
          <w:rFonts w:asciiTheme="majorBidi" w:hAnsiTheme="majorBidi" w:cstheme="majorBidi"/>
          <w:b/>
          <w:bCs/>
          <w:color w:val="000000"/>
          <w:sz w:val="28"/>
          <w:szCs w:val="28"/>
          <w:lang w:val="fr-FR"/>
        </w:rPr>
      </w:pPr>
    </w:p>
    <w:p w:rsidR="00E772DD" w:rsidRPr="00AD5F90" w:rsidRDefault="00E772DD" w:rsidP="00AA15A0">
      <w:pPr>
        <w:spacing w:line="360" w:lineRule="auto"/>
        <w:jc w:val="both"/>
        <w:outlineLvl w:val="2"/>
        <w:rPr>
          <w:rFonts w:asciiTheme="majorBidi" w:hAnsiTheme="majorBidi" w:cstheme="majorBidi"/>
          <w:b/>
          <w:bCs/>
          <w:color w:val="000000"/>
          <w:sz w:val="28"/>
          <w:szCs w:val="28"/>
          <w:lang w:val="fr-FR"/>
        </w:rPr>
      </w:pPr>
      <w:bookmarkStart w:id="43" w:name="_Toc200486506"/>
      <w:bookmarkStart w:id="44" w:name="_Toc200635282"/>
      <w:bookmarkStart w:id="45" w:name="_Toc200635670"/>
      <w:bookmarkStart w:id="46" w:name="_Toc200636059"/>
      <w:bookmarkStart w:id="47" w:name="_Toc200755796"/>
      <w:r w:rsidRPr="00AD5F90">
        <w:rPr>
          <w:rFonts w:asciiTheme="majorBidi" w:hAnsiTheme="majorBidi" w:cstheme="majorBidi"/>
          <w:b/>
          <w:bCs/>
          <w:color w:val="000000"/>
          <w:sz w:val="28"/>
          <w:szCs w:val="28"/>
          <w:lang w:val="fr-FR"/>
        </w:rPr>
        <w:lastRenderedPageBreak/>
        <w:t>Section 1 : Généralités sur la gestion des ressources humaines</w:t>
      </w:r>
      <w:bookmarkEnd w:id="43"/>
      <w:bookmarkEnd w:id="44"/>
      <w:bookmarkEnd w:id="45"/>
      <w:bookmarkEnd w:id="46"/>
      <w:bookmarkEnd w:id="47"/>
      <w:r w:rsidRPr="00AD5F90">
        <w:rPr>
          <w:rFonts w:asciiTheme="majorBidi" w:hAnsiTheme="majorBidi" w:cstheme="majorBidi"/>
          <w:b/>
          <w:bCs/>
          <w:color w:val="000000"/>
          <w:sz w:val="28"/>
          <w:szCs w:val="28"/>
          <w:lang w:val="fr-FR"/>
        </w:rPr>
        <w:t> </w:t>
      </w:r>
    </w:p>
    <w:p w:rsidR="00E772DD" w:rsidRPr="00A858C8" w:rsidRDefault="00E772DD" w:rsidP="00A858C8">
      <w:pPr>
        <w:spacing w:after="240" w:line="360" w:lineRule="auto"/>
        <w:jc w:val="both"/>
        <w:rPr>
          <w:rFonts w:asciiTheme="majorBidi" w:hAnsiTheme="majorBidi" w:cstheme="majorBidi"/>
        </w:rPr>
      </w:pPr>
      <w:bookmarkStart w:id="48" w:name="_Toc199685095"/>
      <w:bookmarkStart w:id="49" w:name="_Toc199685844"/>
      <w:r w:rsidRPr="00A858C8">
        <w:rPr>
          <w:rFonts w:asciiTheme="majorBidi" w:hAnsiTheme="majorBidi" w:cstheme="majorBidi"/>
        </w:rPr>
        <w:t>La gestion des ressources humaines constitue un pilier fondamental du développement et de la pérennité des entreprises modernes. Elle regroupe un ensemble de pratiques stratégiques visant à attirer, mobiliser, développer et fidéliser les talents, tout en optimisant la gestion du capital humain pour répondre aux exigences organisationnelles. Dans un contexte marqué par la transformation numérique, la mondialisation et l’évolution des attentes des travailleurs, la GRH devient un levier essentiel d’adaptabilité et de performance. En favorisant l’engagement des employés, en améliorant leurs compétences et en promouvant une culture organisationnelle dynamique, elle contribue directement à la compétitivité de l’entreprise sur le marché. De plus, une gestion efficace des ressources humaines permet de répondre aux défis liés à la gestion des carrières, à la diversité en milieu professionnel et aux nouvelles formes de travail. Cette section analyse la gestion des ressources humaines (GRH) en explorant son évolution, sa définition et ses approches. Elle examine également les missions et objectifs de la fonction RH, son influence sur la performance des entreprises, ainsi que les défis actuels dans un contexte globalisé. Enfin, l'importance de l'éthique et de la responsabilité sociale dans la GRH est abordée, afin de comprendre son rôle clé dans l'optimisation des processus organisationnels.</w:t>
      </w:r>
      <w:bookmarkEnd w:id="48"/>
      <w:bookmarkEnd w:id="49"/>
    </w:p>
    <w:p w:rsidR="00E772DD" w:rsidRPr="00AD5F90" w:rsidRDefault="00E772DD" w:rsidP="004D32AC">
      <w:pPr>
        <w:pStyle w:val="Paragraphedeliste"/>
        <w:numPr>
          <w:ilvl w:val="0"/>
          <w:numId w:val="67"/>
        </w:numPr>
        <w:spacing w:line="360" w:lineRule="auto"/>
        <w:jc w:val="both"/>
        <w:outlineLvl w:val="2"/>
        <w:rPr>
          <w:rFonts w:asciiTheme="majorBidi" w:hAnsiTheme="majorBidi" w:cstheme="majorBidi"/>
          <w:b/>
          <w:bCs/>
          <w:color w:val="000000"/>
          <w:lang w:val="fr-FR"/>
        </w:rPr>
      </w:pPr>
      <w:bookmarkStart w:id="50" w:name="_Toc199714229"/>
      <w:bookmarkStart w:id="51" w:name="_Toc200486507"/>
      <w:bookmarkStart w:id="52" w:name="_Toc200635283"/>
      <w:bookmarkStart w:id="53" w:name="_Toc200635671"/>
      <w:bookmarkStart w:id="54" w:name="_Toc200636060"/>
      <w:bookmarkStart w:id="55" w:name="_Toc200755797"/>
      <w:r w:rsidRPr="00AD5F90">
        <w:rPr>
          <w:rFonts w:asciiTheme="majorBidi" w:hAnsiTheme="majorBidi" w:cstheme="majorBidi"/>
          <w:b/>
          <w:bCs/>
          <w:color w:val="000000"/>
          <w:lang w:val="fr-FR"/>
        </w:rPr>
        <w:t>Contexte théorique de la gestion des ressources humaines</w:t>
      </w:r>
      <w:bookmarkEnd w:id="50"/>
      <w:bookmarkEnd w:id="51"/>
      <w:bookmarkEnd w:id="52"/>
      <w:bookmarkEnd w:id="53"/>
      <w:bookmarkEnd w:id="54"/>
      <w:bookmarkEnd w:id="55"/>
    </w:p>
    <w:p w:rsidR="00E772DD" w:rsidRPr="00A858C8" w:rsidRDefault="00E772DD" w:rsidP="00A858C8">
      <w:pPr>
        <w:spacing w:line="360" w:lineRule="auto"/>
        <w:rPr>
          <w:rFonts w:asciiTheme="majorBidi" w:hAnsiTheme="majorBidi" w:cstheme="majorBidi"/>
          <w:lang w:val="fr-FR"/>
        </w:rPr>
      </w:pPr>
      <w:bookmarkStart w:id="56" w:name="_Toc199685097"/>
      <w:bookmarkStart w:id="57" w:name="_Toc199685846"/>
      <w:r w:rsidRPr="00A858C8">
        <w:rPr>
          <w:rFonts w:asciiTheme="majorBidi" w:hAnsiTheme="majorBidi" w:cstheme="majorBidi"/>
          <w:lang w:val="fr-FR"/>
        </w:rPr>
        <w:t>La gestion des ressources humaines (GRH) en entreprise est un concept aux contours souvent imprécis, intégrant des dimensions administratives, stratégiques et sociologiques. Cette diversité d'approches complique sa définition et son analyse dans un cadre organisationnel structuré. Pourtant, la GRH joue un rôle central dans la performance et la compétitivité des entreprises, en influençant directement la motivation des employés, l'optimisation des compétences et l'adaptation aux évolutions du marché. Elle ne se limite plus à une fonction de gestion du personnel, mais devient un levier stratégique permettant d'attirer, de fidéliser et de développer les talents. Ainsi, une meilleure compréhension de la GRH est essentielle pour maximiser son impact sur la réussite des organisations.</w:t>
      </w:r>
      <w:bookmarkEnd w:id="56"/>
      <w:bookmarkEnd w:id="57"/>
    </w:p>
    <w:p w:rsidR="00E772DD" w:rsidRDefault="00E772DD" w:rsidP="004D32AC">
      <w:pPr>
        <w:pStyle w:val="Paragraphedeliste"/>
        <w:numPr>
          <w:ilvl w:val="1"/>
          <w:numId w:val="67"/>
        </w:numPr>
        <w:spacing w:line="360" w:lineRule="auto"/>
        <w:jc w:val="both"/>
        <w:outlineLvl w:val="2"/>
        <w:rPr>
          <w:rFonts w:asciiTheme="majorBidi" w:hAnsiTheme="majorBidi" w:cstheme="majorBidi"/>
          <w:b/>
          <w:bCs/>
          <w:color w:val="000000"/>
          <w:lang w:val="fr-FR"/>
        </w:rPr>
      </w:pPr>
      <w:bookmarkStart w:id="58" w:name="_Toc199714230"/>
      <w:bookmarkStart w:id="59" w:name="_Toc200486508"/>
      <w:bookmarkStart w:id="60" w:name="_Toc200635284"/>
      <w:bookmarkStart w:id="61" w:name="_Toc200635672"/>
      <w:bookmarkStart w:id="62" w:name="_Toc200636061"/>
      <w:bookmarkStart w:id="63" w:name="_Toc200755798"/>
      <w:r w:rsidRPr="00AD5F90">
        <w:rPr>
          <w:rFonts w:asciiTheme="majorBidi" w:hAnsiTheme="majorBidi" w:cstheme="majorBidi"/>
          <w:b/>
          <w:bCs/>
          <w:color w:val="000000"/>
          <w:lang w:val="fr-FR"/>
        </w:rPr>
        <w:t>Historique et évolution de la gestion des ressources humaines (GRH)</w:t>
      </w:r>
      <w:bookmarkEnd w:id="58"/>
      <w:bookmarkEnd w:id="59"/>
      <w:bookmarkEnd w:id="60"/>
      <w:bookmarkEnd w:id="61"/>
      <w:bookmarkEnd w:id="62"/>
      <w:bookmarkEnd w:id="63"/>
    </w:p>
    <w:p w:rsidR="00E772DD" w:rsidRDefault="00E772DD" w:rsidP="00A858C8">
      <w:pPr>
        <w:spacing w:after="240" w:line="360" w:lineRule="auto"/>
        <w:rPr>
          <w:rFonts w:asciiTheme="majorBidi" w:hAnsiTheme="majorBidi" w:cstheme="majorBidi"/>
          <w:lang w:val="fr-FR"/>
        </w:rPr>
      </w:pPr>
      <w:bookmarkStart w:id="64" w:name="_Toc199685099"/>
      <w:bookmarkStart w:id="65" w:name="_Toc199685848"/>
      <w:r w:rsidRPr="00A858C8">
        <w:rPr>
          <w:rFonts w:asciiTheme="majorBidi" w:hAnsiTheme="majorBidi" w:cstheme="majorBidi"/>
          <w:lang w:val="fr-FR"/>
        </w:rPr>
        <w:t>La gestion des ressources humaines a connu une évolution progressive, influencée par les transformations économiques, sociales et technologiques. Son développement s’est traduit par un élargissement des missions et une professionnalisation croissante au sein des organisations.</w:t>
      </w:r>
      <w:bookmarkEnd w:id="64"/>
      <w:bookmarkEnd w:id="65"/>
    </w:p>
    <w:p w:rsidR="005F596E" w:rsidRPr="00A858C8" w:rsidRDefault="005F596E" w:rsidP="00A858C8">
      <w:pPr>
        <w:spacing w:after="240" w:line="360" w:lineRule="auto"/>
        <w:rPr>
          <w:rFonts w:asciiTheme="majorBidi" w:hAnsiTheme="majorBidi" w:cstheme="majorBidi"/>
          <w:lang w:val="fr-FR"/>
        </w:rPr>
      </w:pPr>
    </w:p>
    <w:p w:rsidR="00E772DD" w:rsidRPr="00AD5F90" w:rsidRDefault="00E772DD" w:rsidP="004D32AC">
      <w:pPr>
        <w:pStyle w:val="Paragraphedeliste"/>
        <w:numPr>
          <w:ilvl w:val="2"/>
          <w:numId w:val="67"/>
        </w:numPr>
        <w:spacing w:line="360" w:lineRule="auto"/>
        <w:jc w:val="both"/>
        <w:outlineLvl w:val="1"/>
        <w:rPr>
          <w:rFonts w:asciiTheme="majorBidi" w:hAnsiTheme="majorBidi" w:cstheme="majorBidi"/>
          <w:b/>
          <w:bCs/>
          <w:color w:val="000000"/>
          <w:lang w:val="fr-FR"/>
        </w:rPr>
      </w:pPr>
      <w:bookmarkStart w:id="66" w:name="_Toc199714231"/>
      <w:bookmarkStart w:id="67" w:name="_Toc200486509"/>
      <w:bookmarkStart w:id="68" w:name="_Toc200635285"/>
      <w:bookmarkStart w:id="69" w:name="_Toc200635673"/>
      <w:bookmarkStart w:id="70" w:name="_Toc200636062"/>
      <w:bookmarkStart w:id="71" w:name="_Toc200755799"/>
      <w:r w:rsidRPr="00AD5F90">
        <w:rPr>
          <w:rFonts w:asciiTheme="majorBidi" w:hAnsiTheme="majorBidi" w:cstheme="majorBidi"/>
          <w:b/>
          <w:bCs/>
          <w:color w:val="000000"/>
          <w:lang w:val="fr-FR"/>
        </w:rPr>
        <w:lastRenderedPageBreak/>
        <w:t>Les premières formes de gestion du travail (antiquité et moyen âge)</w:t>
      </w:r>
      <w:bookmarkEnd w:id="66"/>
      <w:bookmarkEnd w:id="67"/>
      <w:bookmarkEnd w:id="68"/>
      <w:bookmarkEnd w:id="69"/>
      <w:bookmarkEnd w:id="70"/>
      <w:bookmarkEnd w:id="71"/>
      <w:r w:rsidRPr="00AD5F90">
        <w:rPr>
          <w:rFonts w:asciiTheme="majorBidi" w:hAnsiTheme="majorBidi" w:cstheme="majorBidi"/>
          <w:b/>
          <w:bCs/>
          <w:color w:val="000000"/>
          <w:lang w:val="fr-FR"/>
        </w:rPr>
        <w:t> </w:t>
      </w:r>
    </w:p>
    <w:p w:rsidR="00E772DD" w:rsidRPr="00AD5F90" w:rsidRDefault="00E772DD" w:rsidP="00AA15A0">
      <w:pPr>
        <w:spacing w:after="240" w:line="360" w:lineRule="auto"/>
        <w:jc w:val="both"/>
        <w:rPr>
          <w:rFonts w:asciiTheme="majorBidi" w:hAnsiTheme="majorBidi" w:cstheme="majorBidi"/>
          <w:b/>
          <w:bCs/>
          <w:color w:val="000000"/>
          <w:lang w:val="fr-FR"/>
        </w:rPr>
      </w:pPr>
      <w:r w:rsidRPr="00AD5F90">
        <w:rPr>
          <w:rFonts w:asciiTheme="majorBidi" w:hAnsiTheme="majorBidi" w:cstheme="majorBidi"/>
          <w:color w:val="000000"/>
          <w:lang w:val="fr-FR"/>
        </w:rPr>
        <w:t>Dans les sociétés anciennes et médiévales, l'organisation du travail était assez simple. En gros, c'étaient les chefs, les seigneurs ou les maîtres qui dirigeaient les travailleurs. Au Moyen Âge, il y a eu un changement avec les guildes. C'était comme des associations de métiers qui permettaient aux artisans de se regrouper et de transmettre leur savoir-faire. C'est comme ça que les métiers se sont développés et que les compétences ont été conservées.</w:t>
      </w:r>
      <w:r w:rsidRPr="00AD5F90">
        <w:rPr>
          <w:rStyle w:val="Appelnotedebasdep"/>
          <w:rFonts w:cstheme="majorBidi"/>
          <w:color w:val="000000"/>
          <w:lang w:val="fr-FR"/>
        </w:rPr>
        <w:footnoteReference w:id="11"/>
      </w:r>
    </w:p>
    <w:p w:rsidR="00E772DD" w:rsidRPr="00AD5F90" w:rsidRDefault="00E772DD" w:rsidP="004D32AC">
      <w:pPr>
        <w:pStyle w:val="Paragraphedeliste"/>
        <w:numPr>
          <w:ilvl w:val="2"/>
          <w:numId w:val="67"/>
        </w:numPr>
        <w:spacing w:line="360" w:lineRule="auto"/>
        <w:jc w:val="both"/>
        <w:outlineLvl w:val="1"/>
        <w:rPr>
          <w:rFonts w:asciiTheme="majorBidi" w:hAnsiTheme="majorBidi" w:cstheme="majorBidi"/>
          <w:b/>
          <w:bCs/>
          <w:color w:val="000000"/>
          <w:lang w:val="fr-FR"/>
        </w:rPr>
      </w:pPr>
      <w:bookmarkStart w:id="74" w:name="_Toc199714232"/>
      <w:bookmarkStart w:id="75" w:name="_Toc200486510"/>
      <w:bookmarkStart w:id="76" w:name="_Toc200635286"/>
      <w:bookmarkStart w:id="77" w:name="_Toc200635674"/>
      <w:bookmarkStart w:id="78" w:name="_Toc200636063"/>
      <w:bookmarkStart w:id="79" w:name="_Toc200755800"/>
      <w:r w:rsidRPr="00AD5F90">
        <w:rPr>
          <w:rFonts w:asciiTheme="majorBidi" w:hAnsiTheme="majorBidi" w:cstheme="majorBidi"/>
          <w:b/>
          <w:bCs/>
          <w:color w:val="000000"/>
          <w:lang w:val="fr-FR"/>
        </w:rPr>
        <w:t>La révolution industrielle et l’apparition de la gestion du personnel</w:t>
      </w:r>
      <w:bookmarkEnd w:id="74"/>
      <w:bookmarkEnd w:id="75"/>
      <w:bookmarkEnd w:id="76"/>
      <w:bookmarkEnd w:id="77"/>
      <w:bookmarkEnd w:id="78"/>
      <w:bookmarkEnd w:id="79"/>
      <w:r w:rsidRPr="00AD5F90">
        <w:rPr>
          <w:rFonts w:asciiTheme="majorBidi" w:hAnsiTheme="majorBidi" w:cstheme="majorBidi"/>
          <w:b/>
          <w:bCs/>
          <w:color w:val="000000"/>
          <w:lang w:val="fr-FR"/>
        </w:rPr>
        <w:t> </w:t>
      </w:r>
    </w:p>
    <w:p w:rsidR="00E772DD" w:rsidRPr="00AD5F90" w:rsidRDefault="00E772DD" w:rsidP="00AA15A0">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révolution industrielle du XIXe siècle a marqué une transformation profonde dans l'organisation du travail. L'introduction de méthodes de rationalisation et de division du travail a conduit à l'émergence de structures organisationnelles plus complexes. Parallèlement, la gestion du personnel s'est formalisée en réponse aux tensions sociales engendrées par les conditions de travail difficiles de l'époque.</w:t>
      </w:r>
      <w:r w:rsidRPr="00AD5F90">
        <w:rPr>
          <w:rStyle w:val="Appelnotedebasdep"/>
          <w:rFonts w:cstheme="majorBidi"/>
          <w:color w:val="000000"/>
          <w:lang w:val="fr-FR"/>
        </w:rPr>
        <w:footnoteReference w:id="12"/>
      </w:r>
    </w:p>
    <w:p w:rsidR="00E772DD" w:rsidRPr="00AD5F90" w:rsidRDefault="00E772DD" w:rsidP="004D32AC">
      <w:pPr>
        <w:pStyle w:val="Paragraphedeliste"/>
        <w:numPr>
          <w:ilvl w:val="2"/>
          <w:numId w:val="67"/>
        </w:numPr>
        <w:spacing w:line="360" w:lineRule="auto"/>
        <w:jc w:val="both"/>
        <w:outlineLvl w:val="1"/>
        <w:rPr>
          <w:rFonts w:asciiTheme="majorBidi" w:hAnsiTheme="majorBidi" w:cstheme="majorBidi"/>
          <w:b/>
          <w:bCs/>
          <w:color w:val="000000"/>
          <w:lang w:val="fr-FR"/>
        </w:rPr>
      </w:pPr>
      <w:bookmarkStart w:id="81" w:name="_Toc199714233"/>
      <w:bookmarkStart w:id="82" w:name="_Toc200486511"/>
      <w:bookmarkStart w:id="83" w:name="_Toc200635287"/>
      <w:bookmarkStart w:id="84" w:name="_Toc200635675"/>
      <w:bookmarkStart w:id="85" w:name="_Toc200636064"/>
      <w:bookmarkStart w:id="86" w:name="_Toc200755801"/>
      <w:r w:rsidRPr="00AD5F90">
        <w:rPr>
          <w:rFonts w:asciiTheme="majorBidi" w:hAnsiTheme="majorBidi" w:cstheme="majorBidi"/>
          <w:b/>
          <w:bCs/>
          <w:color w:val="000000"/>
          <w:lang w:val="fr-FR"/>
        </w:rPr>
        <w:t>L’organisation scientifique du travail et la gestion du personnel</w:t>
      </w:r>
      <w:bookmarkEnd w:id="81"/>
      <w:bookmarkEnd w:id="82"/>
      <w:bookmarkEnd w:id="83"/>
      <w:bookmarkEnd w:id="84"/>
      <w:bookmarkEnd w:id="85"/>
      <w:bookmarkEnd w:id="86"/>
      <w:r w:rsidRPr="00AD5F90">
        <w:rPr>
          <w:rFonts w:asciiTheme="majorBidi" w:hAnsiTheme="majorBidi" w:cstheme="majorBidi"/>
          <w:b/>
          <w:bCs/>
          <w:color w:val="000000"/>
          <w:lang w:val="fr-FR"/>
        </w:rPr>
        <w:t> </w:t>
      </w:r>
    </w:p>
    <w:p w:rsidR="00E772DD" w:rsidRPr="00AD5F90" w:rsidRDefault="00E772DD" w:rsidP="00AA15A0">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L'Organisation Scientifique du Travail (OST), née au début du XXe siècle sous l'impulsion de Frederick Taylor, a marqué une rupture dans la gestion du travail. En privilégiant une approche scientifique et la spécialisation des tâches, l'OST a permis d'optimiser la productivité. Cependant, cette méthode a été critiquée pour avoir négligé la dimension humaine du travail, réduisant les employés à des exécutants.</w:t>
      </w:r>
      <w:r w:rsidRPr="00AD5F90">
        <w:rPr>
          <w:rStyle w:val="Appelnotedebasdep"/>
          <w:rFonts w:cstheme="majorBidi"/>
          <w:color w:val="000000"/>
          <w:lang w:val="fr-FR"/>
        </w:rPr>
        <w:footnoteReference w:id="13"/>
      </w:r>
    </w:p>
    <w:p w:rsidR="00E772DD" w:rsidRPr="00AD5F90" w:rsidRDefault="00E772DD" w:rsidP="004D32AC">
      <w:pPr>
        <w:pStyle w:val="Paragraphedeliste"/>
        <w:numPr>
          <w:ilvl w:val="2"/>
          <w:numId w:val="67"/>
        </w:numPr>
        <w:spacing w:line="360" w:lineRule="auto"/>
        <w:jc w:val="both"/>
        <w:outlineLvl w:val="1"/>
        <w:rPr>
          <w:rFonts w:asciiTheme="majorBidi" w:hAnsiTheme="majorBidi" w:cstheme="majorBidi"/>
          <w:b/>
          <w:bCs/>
          <w:color w:val="000000"/>
          <w:lang w:val="fr-FR"/>
        </w:rPr>
      </w:pPr>
      <w:bookmarkStart w:id="87" w:name="_Toc199714234"/>
      <w:bookmarkStart w:id="88" w:name="_Toc200486512"/>
      <w:bookmarkStart w:id="89" w:name="_Toc200635288"/>
      <w:bookmarkStart w:id="90" w:name="_Toc200635676"/>
      <w:bookmarkStart w:id="91" w:name="_Toc200636065"/>
      <w:bookmarkStart w:id="92" w:name="_Toc200755802"/>
      <w:r w:rsidRPr="00AD5F90">
        <w:rPr>
          <w:rFonts w:asciiTheme="majorBidi" w:hAnsiTheme="majorBidi" w:cstheme="majorBidi"/>
          <w:b/>
          <w:bCs/>
          <w:color w:val="000000"/>
          <w:lang w:val="fr-FR"/>
        </w:rPr>
        <w:t>La gestion des ressources humaines après la seconde guerre mondiale</w:t>
      </w:r>
      <w:bookmarkEnd w:id="87"/>
      <w:bookmarkEnd w:id="88"/>
      <w:bookmarkEnd w:id="89"/>
      <w:bookmarkEnd w:id="90"/>
      <w:bookmarkEnd w:id="91"/>
      <w:bookmarkEnd w:id="92"/>
      <w:r w:rsidRPr="00AD5F90">
        <w:rPr>
          <w:rFonts w:asciiTheme="majorBidi" w:hAnsiTheme="majorBidi" w:cstheme="majorBidi"/>
          <w:b/>
          <w:bCs/>
          <w:color w:val="000000"/>
          <w:lang w:val="fr-FR"/>
        </w:rPr>
        <w:t xml:space="preserve"> </w:t>
      </w:r>
    </w:p>
    <w:p w:rsidR="00E772DD" w:rsidRPr="00AD5F90" w:rsidRDefault="00E772DD" w:rsidP="00AA15A0">
      <w:pPr>
        <w:spacing w:after="240" w:line="360" w:lineRule="auto"/>
        <w:jc w:val="both"/>
        <w:rPr>
          <w:rFonts w:asciiTheme="majorBidi" w:hAnsiTheme="majorBidi" w:cstheme="majorBidi"/>
          <w:b/>
          <w:bCs/>
          <w:color w:val="000000"/>
          <w:lang w:val="fr-FR"/>
        </w:rPr>
      </w:pPr>
      <w:r w:rsidRPr="00AD5F90">
        <w:rPr>
          <w:rFonts w:asciiTheme="majorBidi" w:hAnsiTheme="majorBidi" w:cstheme="majorBidi"/>
          <w:color w:val="000000"/>
          <w:lang w:val="fr-FR"/>
        </w:rPr>
        <w:t>Au lendemain de la seconde guerre mondiale, et plus précisément entre 1945 et 1960, la gestion des ressources humaines a connu une évolution significative. L'approche s'est progressivement orientée vers une plus grande considération du bien-être des employés. Cette transformation a été influencée par les théories du comportement humain, qui ont mis en lumière l'importance de la motivation, de la formation et des relations interpersonnelles au sein de l'entreprise.</w:t>
      </w:r>
      <w:r w:rsidRPr="00AD5F90">
        <w:rPr>
          <w:rStyle w:val="Appelnotedebasdep"/>
          <w:rFonts w:cstheme="majorBidi"/>
          <w:color w:val="000000"/>
          <w:lang w:val="fr-FR"/>
        </w:rPr>
        <w:footnoteReference w:id="14"/>
      </w:r>
    </w:p>
    <w:p w:rsidR="00E772DD" w:rsidRPr="00AD5F90" w:rsidRDefault="00E772DD" w:rsidP="004D32AC">
      <w:pPr>
        <w:pStyle w:val="Paragraphedeliste"/>
        <w:numPr>
          <w:ilvl w:val="2"/>
          <w:numId w:val="67"/>
        </w:numPr>
        <w:spacing w:line="360" w:lineRule="auto"/>
        <w:jc w:val="both"/>
        <w:outlineLvl w:val="1"/>
        <w:rPr>
          <w:rFonts w:asciiTheme="majorBidi" w:hAnsiTheme="majorBidi" w:cstheme="majorBidi"/>
          <w:b/>
          <w:bCs/>
          <w:color w:val="000000"/>
          <w:lang w:val="fr-FR"/>
        </w:rPr>
      </w:pPr>
      <w:bookmarkStart w:id="95" w:name="_Toc199714235"/>
      <w:bookmarkStart w:id="96" w:name="_Toc200486513"/>
      <w:bookmarkStart w:id="97" w:name="_Toc200635289"/>
      <w:bookmarkStart w:id="98" w:name="_Toc200635677"/>
      <w:bookmarkStart w:id="99" w:name="_Toc200636066"/>
      <w:bookmarkStart w:id="100" w:name="_Toc200755803"/>
      <w:r w:rsidRPr="00AD5F90">
        <w:rPr>
          <w:rFonts w:asciiTheme="majorBidi" w:hAnsiTheme="majorBidi" w:cstheme="majorBidi"/>
          <w:b/>
          <w:bCs/>
          <w:color w:val="000000"/>
          <w:lang w:val="fr-FR"/>
        </w:rPr>
        <w:t>La stratégie de gestion des ressources humaines et l’émergence des talents</w:t>
      </w:r>
      <w:bookmarkEnd w:id="95"/>
      <w:bookmarkEnd w:id="96"/>
      <w:bookmarkEnd w:id="97"/>
      <w:bookmarkEnd w:id="98"/>
      <w:bookmarkEnd w:id="99"/>
      <w:bookmarkEnd w:id="100"/>
      <w:r w:rsidRPr="00AD5F90">
        <w:rPr>
          <w:rFonts w:asciiTheme="majorBidi" w:hAnsiTheme="majorBidi" w:cstheme="majorBidi"/>
          <w:b/>
          <w:bCs/>
          <w:color w:val="000000"/>
          <w:lang w:val="fr-FR"/>
        </w:rPr>
        <w:t> </w:t>
      </w:r>
    </w:p>
    <w:p w:rsidR="00E772DD" w:rsidRPr="00A858C8" w:rsidRDefault="00E772DD" w:rsidP="00A858C8">
      <w:pPr>
        <w:spacing w:after="240" w:line="360" w:lineRule="auto"/>
        <w:rPr>
          <w:rFonts w:asciiTheme="majorBidi" w:hAnsiTheme="majorBidi" w:cstheme="majorBidi"/>
          <w:lang w:val="fr-FR"/>
        </w:rPr>
      </w:pPr>
      <w:bookmarkStart w:id="101" w:name="_Toc199685105"/>
      <w:bookmarkStart w:id="102" w:name="_Toc199685854"/>
      <w:r w:rsidRPr="00A858C8">
        <w:rPr>
          <w:rFonts w:asciiTheme="majorBidi" w:hAnsiTheme="majorBidi" w:cstheme="majorBidi"/>
          <w:lang w:val="fr-FR"/>
        </w:rPr>
        <w:t xml:space="preserve">La période allant des années 1980 à 2000 a marqué une évolution fondamentale dans la manière dont les entreprises considèrent leurs employés. La GRH, autrefois perçue comme une fonction administrative, est devenue une fonction stratégique. Les ressources humaines </w:t>
      </w:r>
      <w:r w:rsidRPr="00A858C8">
        <w:rPr>
          <w:rFonts w:asciiTheme="majorBidi" w:hAnsiTheme="majorBidi" w:cstheme="majorBidi"/>
          <w:lang w:val="fr-FR"/>
        </w:rPr>
        <w:lastRenderedPageBreak/>
        <w:t>sont désormais considérées comme un capital essentiel, et les entreprises investissent dans la gestion des talents et la planification de la relève pour assurer leur succès à long terme.</w:t>
      </w:r>
      <w:r w:rsidRPr="00A858C8">
        <w:rPr>
          <w:rStyle w:val="Appelnotedebasdep"/>
          <w:rFonts w:cstheme="majorBidi"/>
          <w:color w:val="000000"/>
          <w:lang w:val="fr-FR"/>
        </w:rPr>
        <w:footnoteReference w:id="15"/>
      </w:r>
      <w:bookmarkEnd w:id="101"/>
      <w:bookmarkEnd w:id="102"/>
    </w:p>
    <w:p w:rsidR="00E772DD" w:rsidRPr="00AD5F90" w:rsidRDefault="00E772DD" w:rsidP="004D32AC">
      <w:pPr>
        <w:pStyle w:val="Paragraphedeliste"/>
        <w:numPr>
          <w:ilvl w:val="2"/>
          <w:numId w:val="67"/>
        </w:numPr>
        <w:spacing w:line="360" w:lineRule="auto"/>
        <w:jc w:val="both"/>
        <w:outlineLvl w:val="1"/>
        <w:rPr>
          <w:rFonts w:asciiTheme="majorBidi" w:hAnsiTheme="majorBidi" w:cstheme="majorBidi"/>
          <w:b/>
          <w:bCs/>
          <w:color w:val="000000"/>
          <w:lang w:val="fr-FR"/>
        </w:rPr>
      </w:pPr>
      <w:bookmarkStart w:id="104" w:name="_Toc199714236"/>
      <w:bookmarkStart w:id="105" w:name="_Toc200486514"/>
      <w:bookmarkStart w:id="106" w:name="_Toc200635290"/>
      <w:bookmarkStart w:id="107" w:name="_Toc200635678"/>
      <w:bookmarkStart w:id="108" w:name="_Toc200636067"/>
      <w:bookmarkStart w:id="109" w:name="_Toc200755804"/>
      <w:r w:rsidRPr="00AD5F90">
        <w:rPr>
          <w:rFonts w:asciiTheme="majorBidi" w:hAnsiTheme="majorBidi" w:cstheme="majorBidi"/>
          <w:b/>
          <w:bCs/>
          <w:color w:val="000000"/>
          <w:lang w:val="fr-FR"/>
        </w:rPr>
        <w:t>L’ère contemporaine : digitalisation et nouveaux défis</w:t>
      </w:r>
      <w:bookmarkEnd w:id="104"/>
      <w:bookmarkEnd w:id="105"/>
      <w:bookmarkEnd w:id="106"/>
      <w:bookmarkEnd w:id="107"/>
      <w:bookmarkEnd w:id="108"/>
      <w:bookmarkEnd w:id="109"/>
      <w:r w:rsidRPr="00AD5F90">
        <w:rPr>
          <w:rFonts w:asciiTheme="majorBidi" w:hAnsiTheme="majorBidi" w:cstheme="majorBidi"/>
          <w:b/>
          <w:bCs/>
          <w:color w:val="000000"/>
          <w:lang w:val="fr-FR"/>
        </w:rPr>
        <w:t> </w:t>
      </w:r>
    </w:p>
    <w:p w:rsidR="00E772DD" w:rsidRPr="00A858C8" w:rsidRDefault="00E772DD" w:rsidP="00A858C8">
      <w:pPr>
        <w:spacing w:after="240" w:line="360" w:lineRule="auto"/>
        <w:rPr>
          <w:rFonts w:asciiTheme="majorBidi" w:hAnsiTheme="majorBidi" w:cstheme="majorBidi"/>
          <w:b/>
          <w:bCs/>
          <w:lang w:val="fr-FR"/>
        </w:rPr>
      </w:pPr>
      <w:bookmarkStart w:id="110" w:name="_Toc199685107"/>
      <w:bookmarkStart w:id="111" w:name="_Toc199685856"/>
      <w:r w:rsidRPr="00A858C8">
        <w:rPr>
          <w:rFonts w:asciiTheme="majorBidi" w:hAnsiTheme="majorBidi" w:cstheme="majorBidi"/>
          <w:lang w:val="fr-FR"/>
        </w:rPr>
        <w:t>Depuis le début des années 2000, les technologies numériques ont révolutionné la gestion des ressources humaines. Les outils digitaux ont simplifié et automatisé de nombreuses tâches, tandis que les employés ont développé de nouvelles exigences, notamment en matière de bien-être au travail. Les professionnels RH sont ainsi confrontés à de nouveaux défis et doivent se positionner comme des acteurs clés de la transformation digitale de l'entreprise.</w:t>
      </w:r>
      <w:r w:rsidRPr="00A858C8">
        <w:rPr>
          <w:rStyle w:val="Appelnotedebasdep"/>
          <w:rFonts w:cstheme="majorBidi"/>
          <w:color w:val="000000"/>
          <w:lang w:val="fr-FR"/>
        </w:rPr>
        <w:footnoteReference w:id="16"/>
      </w:r>
      <w:bookmarkEnd w:id="110"/>
      <w:bookmarkEnd w:id="111"/>
    </w:p>
    <w:p w:rsidR="00E772DD" w:rsidRPr="00104751" w:rsidRDefault="00E772DD" w:rsidP="004D32AC">
      <w:pPr>
        <w:pStyle w:val="Titre2"/>
        <w:numPr>
          <w:ilvl w:val="1"/>
          <w:numId w:val="67"/>
        </w:numPr>
        <w:spacing w:after="240"/>
        <w:rPr>
          <w:rFonts w:asciiTheme="majorBidi" w:hAnsiTheme="majorBidi"/>
          <w:b/>
          <w:bCs/>
          <w:color w:val="000000" w:themeColor="text1"/>
          <w:sz w:val="24"/>
          <w:szCs w:val="24"/>
          <w:lang w:val="fr-FR"/>
        </w:rPr>
      </w:pPr>
      <w:bookmarkStart w:id="112" w:name="_Toc199714237"/>
      <w:bookmarkStart w:id="113" w:name="_Toc200486515"/>
      <w:bookmarkStart w:id="114" w:name="_Toc200635291"/>
      <w:bookmarkStart w:id="115" w:name="_Toc200635679"/>
      <w:bookmarkStart w:id="116" w:name="_Toc200636068"/>
      <w:bookmarkStart w:id="117" w:name="_Toc200755805"/>
      <w:r w:rsidRPr="00104751">
        <w:rPr>
          <w:rFonts w:asciiTheme="majorBidi" w:hAnsiTheme="majorBidi"/>
          <w:b/>
          <w:bCs/>
          <w:color w:val="000000" w:themeColor="text1"/>
          <w:sz w:val="24"/>
          <w:szCs w:val="24"/>
          <w:lang w:val="fr-FR"/>
        </w:rPr>
        <w:t>Définition de la gestion des ressources humaines</w:t>
      </w:r>
      <w:bookmarkEnd w:id="112"/>
      <w:bookmarkEnd w:id="113"/>
      <w:bookmarkEnd w:id="114"/>
      <w:bookmarkEnd w:id="115"/>
      <w:bookmarkEnd w:id="116"/>
      <w:bookmarkEnd w:id="117"/>
      <w:r w:rsidRPr="00104751">
        <w:rPr>
          <w:rFonts w:asciiTheme="majorBidi" w:hAnsiTheme="majorBidi"/>
          <w:b/>
          <w:bCs/>
          <w:color w:val="000000" w:themeColor="text1"/>
          <w:sz w:val="24"/>
          <w:szCs w:val="24"/>
          <w:lang w:val="fr-FR"/>
        </w:rPr>
        <w:t> </w:t>
      </w:r>
    </w:p>
    <w:p w:rsidR="00E772DD" w:rsidRPr="00AD5F90" w:rsidRDefault="00E772DD" w:rsidP="00AA1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Avant d'aller plus loin, il faut savoir que, Selon Armstrong et Taylor (2014), la gestion des ressources humaines (GRH) est un domaine en constante évolution, car il doit s'adapter aux changements qui surviennent dans les organisations, l'économie et la société. La GRH englobe toutes les actions stratégiques et administratives entreprises pour gérer les employés d'une organisation. Cela inclut la gestion du recrutement, de la formation et du développement des talents. .</w:t>
      </w:r>
      <w:r w:rsidRPr="00AD5F90">
        <w:rPr>
          <w:rStyle w:val="Appelnotedebasdep"/>
          <w:rFonts w:cstheme="majorBidi"/>
          <w:color w:val="000000"/>
          <w:lang w:val="fr-FR"/>
        </w:rPr>
        <w:footnoteReference w:id="17"/>
      </w:r>
      <w:r w:rsidRPr="00AD5F90">
        <w:rPr>
          <w:rFonts w:asciiTheme="majorBidi" w:hAnsiTheme="majorBidi" w:cstheme="majorBidi"/>
          <w:color w:val="000000"/>
          <w:lang w:val="fr-FR"/>
        </w:rPr>
        <w:t xml:space="preserve"> </w:t>
      </w:r>
    </w:p>
    <w:p w:rsidR="00E772DD" w:rsidRPr="00AD5F90" w:rsidRDefault="00E772DD" w:rsidP="004D32AC">
      <w:pPr>
        <w:pStyle w:val="NormalWeb"/>
        <w:numPr>
          <w:ilvl w:val="0"/>
          <w:numId w:val="41"/>
        </w:numPr>
        <w:spacing w:before="0" w:beforeAutospacing="0" w:after="0" w:afterAutospacing="0" w:line="360" w:lineRule="auto"/>
        <w:jc w:val="both"/>
        <w:rPr>
          <w:rFonts w:asciiTheme="majorBidi" w:hAnsiTheme="majorBidi" w:cstheme="majorBidi"/>
          <w:color w:val="000000"/>
          <w:lang w:val="fr-FR"/>
        </w:rPr>
      </w:pPr>
      <w:r w:rsidRPr="00AD5F90">
        <w:rPr>
          <w:rStyle w:val="lev"/>
          <w:rFonts w:asciiTheme="majorBidi" w:eastAsiaTheme="majorEastAsia" w:hAnsiTheme="majorBidi"/>
          <w:color w:val="000000"/>
          <w:lang w:val="fr-FR"/>
        </w:rPr>
        <w:t>La gestion des ressources humaines et le capital humain</w:t>
      </w:r>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proofErr w:type="spellStart"/>
      <w:r w:rsidRPr="00AD5F90">
        <w:rPr>
          <w:rFonts w:asciiTheme="majorBidi" w:hAnsiTheme="majorBidi" w:cstheme="majorBidi"/>
          <w:color w:val="000000"/>
          <w:lang w:val="fr-FR"/>
        </w:rPr>
        <w:t>Lepak</w:t>
      </w:r>
      <w:proofErr w:type="spellEnd"/>
      <w:r w:rsidRPr="00AD5F90">
        <w:rPr>
          <w:rFonts w:asciiTheme="majorBidi" w:hAnsiTheme="majorBidi" w:cstheme="majorBidi"/>
          <w:color w:val="000000"/>
          <w:lang w:val="fr-FR"/>
        </w:rPr>
        <w:t xml:space="preserve"> et Snell (2002) proposent une perspective éclairée de la GRH, axée sur la gestion stratégique du capital humain. Selon ces auteurs, il est essentiel d'identifier, de développer et de fidéliser les talents pour assurer la compétitivité de l'entreprise. La GRH devient ainsi un levier stratégique permettant de maximiser la contribution des employés et d'exploiter les compétences uniques présentes au sein de l'organisation.</w:t>
      </w:r>
      <w:r w:rsidRPr="00AD5F90">
        <w:rPr>
          <w:rStyle w:val="Appelnotedebasdep"/>
          <w:rFonts w:cstheme="majorBidi"/>
          <w:color w:val="000000"/>
          <w:lang w:val="fr-FR"/>
        </w:rPr>
        <w:footnoteReference w:id="18"/>
      </w:r>
    </w:p>
    <w:p w:rsidR="00E772DD" w:rsidRPr="00AD5F90" w:rsidRDefault="00E772DD" w:rsidP="004D32AC">
      <w:pPr>
        <w:pStyle w:val="NormalWeb"/>
        <w:numPr>
          <w:ilvl w:val="0"/>
          <w:numId w:val="41"/>
        </w:numPr>
        <w:spacing w:before="0" w:beforeAutospacing="0" w:after="0" w:afterAutospacing="0" w:line="360" w:lineRule="auto"/>
        <w:jc w:val="both"/>
        <w:rPr>
          <w:rFonts w:asciiTheme="majorBidi" w:hAnsiTheme="majorBidi" w:cstheme="majorBidi"/>
          <w:color w:val="000000"/>
          <w:lang w:val="fr-FR"/>
        </w:rPr>
      </w:pPr>
      <w:r w:rsidRPr="00AD5F90">
        <w:rPr>
          <w:rStyle w:val="lev"/>
          <w:rFonts w:asciiTheme="majorBidi" w:eastAsiaTheme="majorEastAsia" w:hAnsiTheme="majorBidi"/>
          <w:color w:val="000000"/>
          <w:lang w:val="fr-FR"/>
        </w:rPr>
        <w:t>Une discipline influencée par les facteurs culturels et sociaux</w:t>
      </w:r>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proofErr w:type="spellStart"/>
      <w:r w:rsidRPr="00AD5F90">
        <w:rPr>
          <w:rFonts w:asciiTheme="majorBidi" w:hAnsiTheme="majorBidi" w:cstheme="majorBidi"/>
          <w:color w:val="000000"/>
          <w:lang w:val="fr-FR"/>
        </w:rPr>
        <w:t>Legge</w:t>
      </w:r>
      <w:proofErr w:type="spellEnd"/>
      <w:r w:rsidRPr="00AD5F90">
        <w:rPr>
          <w:rFonts w:asciiTheme="majorBidi" w:hAnsiTheme="majorBidi" w:cstheme="majorBidi"/>
          <w:color w:val="000000"/>
          <w:lang w:val="fr-FR"/>
        </w:rPr>
        <w:t xml:space="preserve"> (2005) met en lumière la dualité des approches en Gestion des Ressources Humaines (GRH), distinguant une approche « dure » axée sur l'efficacité économique et la maîtrise des coûts, d'une approche « douce » privilégiant le développement des employés, leur bien-être et leur satisfaction au travail. Cette distinction reflète les tensions inhérentes aux différents </w:t>
      </w:r>
      <w:r w:rsidRPr="00AD5F90">
        <w:rPr>
          <w:rFonts w:asciiTheme="majorBidi" w:hAnsiTheme="majorBidi" w:cstheme="majorBidi"/>
          <w:color w:val="000000"/>
          <w:lang w:val="fr-FR"/>
        </w:rPr>
        <w:lastRenderedPageBreak/>
        <w:t>modèles de gestion du personnel, en fonction des valeurs et des objectifs propres à chaque organisation.</w:t>
      </w:r>
      <w:r w:rsidRPr="00AD5F90">
        <w:rPr>
          <w:rStyle w:val="Appelnotedebasdep"/>
          <w:rFonts w:cstheme="majorBidi"/>
          <w:color w:val="000000"/>
          <w:lang w:val="fr-FR"/>
        </w:rPr>
        <w:footnoteReference w:id="19"/>
      </w:r>
    </w:p>
    <w:p w:rsidR="00E772DD" w:rsidRPr="00AD5F90" w:rsidRDefault="00E772DD" w:rsidP="004D32AC">
      <w:pPr>
        <w:pStyle w:val="NormalWeb"/>
        <w:numPr>
          <w:ilvl w:val="0"/>
          <w:numId w:val="41"/>
        </w:numPr>
        <w:spacing w:before="0" w:beforeAutospacing="0" w:after="0" w:afterAutospacing="0" w:line="360" w:lineRule="auto"/>
        <w:jc w:val="both"/>
        <w:rPr>
          <w:rFonts w:asciiTheme="majorBidi" w:hAnsiTheme="majorBidi" w:cstheme="majorBidi"/>
          <w:color w:val="000000"/>
          <w:lang w:val="fr-FR"/>
        </w:rPr>
      </w:pPr>
      <w:r w:rsidRPr="00AD5F90">
        <w:rPr>
          <w:rStyle w:val="lev"/>
          <w:rFonts w:asciiTheme="majorBidi" w:eastAsiaTheme="majorEastAsia" w:hAnsiTheme="majorBidi"/>
          <w:color w:val="000000"/>
          <w:lang w:val="fr-FR"/>
        </w:rPr>
        <w:t>Une approche stratégique de la GRH</w:t>
      </w:r>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Becker et </w:t>
      </w:r>
      <w:proofErr w:type="spellStart"/>
      <w:r w:rsidRPr="00AD5F90">
        <w:rPr>
          <w:rFonts w:asciiTheme="majorBidi" w:hAnsiTheme="majorBidi" w:cstheme="majorBidi"/>
          <w:color w:val="000000"/>
          <w:lang w:val="fr-FR"/>
        </w:rPr>
        <w:t>Huselid</w:t>
      </w:r>
      <w:proofErr w:type="spellEnd"/>
      <w:r w:rsidRPr="00AD5F90">
        <w:rPr>
          <w:rFonts w:asciiTheme="majorBidi" w:hAnsiTheme="majorBidi" w:cstheme="majorBidi"/>
          <w:color w:val="000000"/>
          <w:lang w:val="fr-FR"/>
        </w:rPr>
        <w:t xml:space="preserve"> (2006) mettent en exergue le rôle stratégique de la GRH, dépassant la vision traditionnelle de fonctions administratives. Ils affirment que la GRH doit être en phase avec les objectifs stratégiques de l'entreprise pour optimiser la performance globale et assurer un avantage concurrentiel pérenne. Ainsi, les pratiques RH </w:t>
      </w:r>
      <w:proofErr w:type="gramStart"/>
      <w:r w:rsidRPr="00AD5F90">
        <w:rPr>
          <w:rFonts w:asciiTheme="majorBidi" w:hAnsiTheme="majorBidi" w:cstheme="majorBidi"/>
          <w:color w:val="000000"/>
          <w:lang w:val="fr-FR"/>
        </w:rPr>
        <w:t>deviennent</w:t>
      </w:r>
      <w:proofErr w:type="gramEnd"/>
      <w:r w:rsidRPr="00AD5F90">
        <w:rPr>
          <w:rFonts w:asciiTheme="majorBidi" w:hAnsiTheme="majorBidi" w:cstheme="majorBidi"/>
          <w:color w:val="000000"/>
          <w:lang w:val="fr-FR"/>
        </w:rPr>
        <w:t xml:space="preserve"> des instruments de réussite organisationnelle, favorisant le développement des capacités et l'amélioration des performances des employés.</w:t>
      </w:r>
      <w:r w:rsidRPr="00AD5F90">
        <w:rPr>
          <w:rStyle w:val="Appelnotedebasdep"/>
          <w:rFonts w:cstheme="majorBidi"/>
          <w:color w:val="000000"/>
          <w:lang w:val="fr-FR"/>
        </w:rPr>
        <w:footnoteReference w:id="20"/>
      </w:r>
    </w:p>
    <w:p w:rsidR="00E772DD" w:rsidRPr="00AD5F90" w:rsidRDefault="00E772DD" w:rsidP="004D32AC">
      <w:pPr>
        <w:pStyle w:val="NormalWeb"/>
        <w:numPr>
          <w:ilvl w:val="0"/>
          <w:numId w:val="41"/>
        </w:numPr>
        <w:spacing w:before="0" w:beforeAutospacing="0" w:after="0" w:afterAutospacing="0" w:line="360" w:lineRule="auto"/>
        <w:jc w:val="both"/>
        <w:rPr>
          <w:rFonts w:asciiTheme="majorBidi" w:hAnsiTheme="majorBidi" w:cstheme="majorBidi"/>
          <w:color w:val="000000"/>
          <w:lang w:val="fr-FR"/>
        </w:rPr>
      </w:pPr>
      <w:r w:rsidRPr="00AD5F90">
        <w:rPr>
          <w:rStyle w:val="lev"/>
          <w:rFonts w:asciiTheme="majorBidi" w:eastAsiaTheme="majorEastAsia" w:hAnsiTheme="majorBidi"/>
          <w:color w:val="000000"/>
          <w:lang w:val="fr-FR"/>
        </w:rPr>
        <w:t>L’évolution vers une GRH digitale</w:t>
      </w:r>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Stone et al. (2015) analysent l'impact significatif des nouvelles technologies sur la GRH. Ils soulignent que l'intégration de technologies numériques, comme les systèmes de gestion des talents basés sur l'IA, entraîne une transformation profonde de la fonction RH. Ces technologies permettent d'optimiser les processus RH, en particulier le recrutement, l'évaluation des performances et la gestion de la formation, en les rendant plus efficaces et plus transparents pour les </w:t>
      </w:r>
      <w:proofErr w:type="gramStart"/>
      <w:r w:rsidRPr="00AD5F90">
        <w:rPr>
          <w:rFonts w:asciiTheme="majorBidi" w:hAnsiTheme="majorBidi" w:cstheme="majorBidi"/>
          <w:color w:val="000000"/>
          <w:lang w:val="fr-FR"/>
        </w:rPr>
        <w:t>employés..</w:t>
      </w:r>
      <w:proofErr w:type="gramEnd"/>
      <w:r w:rsidRPr="00AD5F90">
        <w:rPr>
          <w:rStyle w:val="Appelnotedebasdep"/>
          <w:rFonts w:cstheme="majorBidi"/>
          <w:color w:val="000000"/>
          <w:lang w:val="fr-FR"/>
        </w:rPr>
        <w:footnoteReference w:id="21"/>
      </w:r>
    </w:p>
    <w:p w:rsidR="00E772DD" w:rsidRPr="00AD5F90" w:rsidRDefault="00E772DD" w:rsidP="004D32AC">
      <w:pPr>
        <w:pStyle w:val="NormalWeb"/>
        <w:numPr>
          <w:ilvl w:val="0"/>
          <w:numId w:val="41"/>
        </w:numPr>
        <w:spacing w:before="0" w:beforeAutospacing="0" w:after="0" w:afterAutospacing="0" w:line="360" w:lineRule="auto"/>
        <w:jc w:val="both"/>
        <w:rPr>
          <w:rFonts w:asciiTheme="majorBidi" w:hAnsiTheme="majorBidi" w:cstheme="majorBidi"/>
          <w:color w:val="000000"/>
          <w:lang w:val="fr-FR"/>
        </w:rPr>
      </w:pPr>
      <w:r w:rsidRPr="00AD5F90">
        <w:rPr>
          <w:rStyle w:val="lev"/>
          <w:rFonts w:asciiTheme="majorBidi" w:eastAsiaTheme="majorEastAsia" w:hAnsiTheme="majorBidi"/>
          <w:color w:val="000000"/>
          <w:lang w:val="fr-FR"/>
        </w:rPr>
        <w:t>La gestion des ressources humaines comme fonction organisationnelle</w:t>
      </w:r>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Selon </w:t>
      </w:r>
      <w:proofErr w:type="spellStart"/>
      <w:r w:rsidRPr="00AD5F90">
        <w:rPr>
          <w:rFonts w:asciiTheme="majorBidi" w:hAnsiTheme="majorBidi" w:cstheme="majorBidi"/>
          <w:color w:val="000000"/>
          <w:lang w:val="fr-FR"/>
        </w:rPr>
        <w:t>Dessler</w:t>
      </w:r>
      <w:proofErr w:type="spellEnd"/>
      <w:r w:rsidRPr="00AD5F90">
        <w:rPr>
          <w:rFonts w:asciiTheme="majorBidi" w:hAnsiTheme="majorBidi" w:cstheme="majorBidi"/>
          <w:color w:val="000000"/>
          <w:lang w:val="fr-FR"/>
        </w:rPr>
        <w:t xml:space="preserve"> (2020), la Gestion des Ressources Humaines (GRH) se définit comme un ensemble de pratiques essentielles, incluant l'acquisition, la formation, l'évaluation des talents, la gestion des rémunérations et des relations de travail. L'auteur souligne l'importance cruciale de ces fonctions pour assurer que les employés possèdent les compétences adéquates pour atteindre les objectifs organisationnels, tout en veillant à leur bien-être. De plus, il met en exergue la nécessité de mener ces actions dans le respect scrupuleux de l'éthique et des réglementations en vigueur.</w:t>
      </w:r>
      <w:r w:rsidRPr="00AD5F90">
        <w:rPr>
          <w:rStyle w:val="Appelnotedebasdep"/>
          <w:rFonts w:cstheme="majorBidi"/>
          <w:color w:val="000000"/>
          <w:lang w:val="fr-FR"/>
        </w:rPr>
        <w:footnoteReference w:id="22"/>
      </w:r>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À travers ces différentes perspectives, il apparaît clairement que la GRH est un domaine complexe et en constante évolution. Elle allie à la fois des pratiques administratives, </w:t>
      </w:r>
      <w:r w:rsidRPr="00AD5F90">
        <w:rPr>
          <w:rFonts w:asciiTheme="majorBidi" w:hAnsiTheme="majorBidi" w:cstheme="majorBidi"/>
          <w:color w:val="000000"/>
          <w:lang w:val="fr-FR"/>
        </w:rPr>
        <w:lastRenderedPageBreak/>
        <w:t>stratégiques, humaines et technologiques. Cette discipline vise à optimiser la gestion du capital humain afin d’aligner les besoins des employés et les objectifs organisationnels, tout en répondant aux enjeux économiques, sociaux et culturels contemporains.</w:t>
      </w:r>
    </w:p>
    <w:p w:rsidR="00E772DD" w:rsidRPr="007B7581" w:rsidRDefault="00E772DD" w:rsidP="004D32AC">
      <w:pPr>
        <w:pStyle w:val="Titre2"/>
        <w:numPr>
          <w:ilvl w:val="1"/>
          <w:numId w:val="67"/>
        </w:numPr>
        <w:spacing w:before="0"/>
        <w:rPr>
          <w:rFonts w:asciiTheme="majorBidi" w:hAnsiTheme="majorBidi"/>
          <w:b/>
          <w:bCs/>
          <w:color w:val="000000" w:themeColor="text1"/>
          <w:sz w:val="24"/>
          <w:szCs w:val="24"/>
          <w:lang w:val="fr-FR"/>
        </w:rPr>
      </w:pPr>
      <w:bookmarkStart w:id="122" w:name="_Toc199714238"/>
      <w:bookmarkStart w:id="123" w:name="_Toc200486516"/>
      <w:bookmarkStart w:id="124" w:name="_Toc200635292"/>
      <w:bookmarkStart w:id="125" w:name="_Toc200635680"/>
      <w:bookmarkStart w:id="126" w:name="_Toc200636069"/>
      <w:bookmarkStart w:id="127" w:name="_Toc200755806"/>
      <w:r w:rsidRPr="007B7581">
        <w:rPr>
          <w:rFonts w:asciiTheme="majorBidi" w:hAnsiTheme="majorBidi"/>
          <w:b/>
          <w:bCs/>
          <w:color w:val="000000" w:themeColor="text1"/>
          <w:sz w:val="24"/>
          <w:szCs w:val="24"/>
          <w:lang w:val="fr-FR"/>
        </w:rPr>
        <w:t>L’approche historique des modèles de la fonction RH</w:t>
      </w:r>
      <w:bookmarkEnd w:id="122"/>
      <w:bookmarkEnd w:id="123"/>
      <w:bookmarkEnd w:id="124"/>
      <w:bookmarkEnd w:id="125"/>
      <w:bookmarkEnd w:id="126"/>
      <w:bookmarkEnd w:id="127"/>
    </w:p>
    <w:p w:rsidR="00E772DD" w:rsidRPr="00AD5F90" w:rsidRDefault="00E772DD" w:rsidP="007B7581">
      <w:pPr>
        <w:pStyle w:val="NormalWeb"/>
        <w:spacing w:before="24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L'étude de l'histoire de la fonction RH peut être abordée à travers les travaux anglo-saxons et l'approche française. Ces deux perspectives partagent de nombreux points communs en ce qui concerne les pratiques, mais présentent également des éléments de différenciation liés à l'évolution des contextes économiques et du marché de l'emploi.</w:t>
      </w:r>
    </w:p>
    <w:p w:rsidR="00E772DD" w:rsidRPr="007B7581" w:rsidRDefault="00E772DD" w:rsidP="004D32AC">
      <w:pPr>
        <w:pStyle w:val="Titre3"/>
        <w:numPr>
          <w:ilvl w:val="2"/>
          <w:numId w:val="67"/>
        </w:numPr>
        <w:spacing w:after="240" w:afterAutospacing="0"/>
        <w:rPr>
          <w:sz w:val="24"/>
          <w:szCs w:val="24"/>
          <w:lang w:val="fr-FR"/>
        </w:rPr>
      </w:pPr>
      <w:bookmarkStart w:id="128" w:name="_Toc199714239"/>
      <w:bookmarkStart w:id="129" w:name="_Toc200486517"/>
      <w:bookmarkStart w:id="130" w:name="_Toc200635293"/>
      <w:bookmarkStart w:id="131" w:name="_Toc200635681"/>
      <w:bookmarkStart w:id="132" w:name="_Toc200636070"/>
      <w:bookmarkStart w:id="133" w:name="_Toc200755807"/>
      <w:r w:rsidRPr="007B7581">
        <w:rPr>
          <w:sz w:val="24"/>
          <w:szCs w:val="24"/>
          <w:lang w:val="fr-FR"/>
        </w:rPr>
        <w:t>L'approche anglo-saxonne</w:t>
      </w:r>
      <w:bookmarkEnd w:id="128"/>
      <w:bookmarkEnd w:id="129"/>
      <w:bookmarkEnd w:id="130"/>
      <w:bookmarkEnd w:id="131"/>
      <w:bookmarkEnd w:id="132"/>
      <w:bookmarkEnd w:id="133"/>
    </w:p>
    <w:p w:rsidR="00E772DD" w:rsidRPr="00AD5F90" w:rsidRDefault="00E772DD" w:rsidP="007B7581">
      <w:pPr>
        <w:pStyle w:val="NormalWeb"/>
        <w:spacing w:before="0" w:beforeAutospacing="0" w:after="0" w:afterAutospacing="0" w:line="360" w:lineRule="auto"/>
        <w:jc w:val="both"/>
        <w:rPr>
          <w:rFonts w:asciiTheme="majorBidi" w:hAnsiTheme="majorBidi" w:cstheme="majorBidi"/>
          <w:b/>
          <w:bCs/>
          <w:color w:val="000000"/>
          <w:lang w:val="fr-FR"/>
        </w:rPr>
      </w:pPr>
      <w:r w:rsidRPr="00AD5F90">
        <w:rPr>
          <w:rFonts w:asciiTheme="majorBidi" w:hAnsiTheme="majorBidi" w:cstheme="majorBidi"/>
          <w:color w:val="000000"/>
          <w:lang w:val="fr-FR"/>
        </w:rPr>
        <w:t>L’approche anglo-saxonne de la gestion des ressources humaines repose sur une vision stratégique et orientée vers la performance, considérant la fonction RH comme un levier essentiel à la compétitivité de l’entreprise. Contrairement aux modèles plus administratifs ou sociaux, elle met l’accent sur l’alignement des pratiques RH avec les objectifs globaux de l’organisation, notamment à travers la gestion des talents, l’évaluation des performances et la rémunération liée aux résultats. Dave Ulrich, l’un des principaux théoriciens de cette approche, introduit le concept de HR Business Partner, soulignant le rôle actif des RH dans la prise de décisions stratégiques. De plus, cette approche favorise la flexibilité et l’adaptabilité aux évolutions du marché, en intégrant des pratiques innovantes comme la digitalisation et le travail flexible. Largement adoptée dans les pays anglo-saxons, elle s’impose aujourd’hui comme un modèle influent en raison de son efficacité dans un environnement économique compétitif et en constante mutation</w:t>
      </w:r>
      <w:r w:rsidRPr="00AD5F90">
        <w:rPr>
          <w:rFonts w:asciiTheme="majorBidi" w:hAnsiTheme="majorBidi" w:cstheme="majorBidi"/>
          <w:b/>
          <w:bCs/>
          <w:color w:val="000000"/>
          <w:lang w:val="fr-FR"/>
        </w:rPr>
        <w:t>.</w:t>
      </w:r>
      <w:r w:rsidRPr="00AD5F90">
        <w:rPr>
          <w:rStyle w:val="Appelnotedebasdep"/>
          <w:rFonts w:cstheme="majorBidi"/>
          <w:b/>
          <w:bCs/>
          <w:color w:val="000000"/>
          <w:lang w:val="fr-FR"/>
        </w:rPr>
        <w:footnoteReference w:id="23"/>
      </w:r>
    </w:p>
    <w:p w:rsidR="00E772DD" w:rsidRPr="007B7581" w:rsidRDefault="00E772DD" w:rsidP="004D32AC">
      <w:pPr>
        <w:pStyle w:val="Titre3"/>
        <w:numPr>
          <w:ilvl w:val="2"/>
          <w:numId w:val="67"/>
        </w:numPr>
        <w:spacing w:after="0" w:afterAutospacing="0"/>
        <w:rPr>
          <w:sz w:val="24"/>
          <w:szCs w:val="24"/>
          <w:lang w:val="fr-FR"/>
        </w:rPr>
      </w:pPr>
      <w:bookmarkStart w:id="134" w:name="_Toc199714240"/>
      <w:bookmarkStart w:id="135" w:name="_Toc200486518"/>
      <w:bookmarkStart w:id="136" w:name="_Toc200635294"/>
      <w:bookmarkStart w:id="137" w:name="_Toc200635682"/>
      <w:bookmarkStart w:id="138" w:name="_Toc200636071"/>
      <w:bookmarkStart w:id="139" w:name="_Toc200755808"/>
      <w:r w:rsidRPr="007B7581">
        <w:rPr>
          <w:sz w:val="24"/>
          <w:szCs w:val="24"/>
          <w:lang w:val="fr-FR"/>
        </w:rPr>
        <w:t>L'approche française</w:t>
      </w:r>
      <w:bookmarkEnd w:id="134"/>
      <w:bookmarkEnd w:id="135"/>
      <w:bookmarkEnd w:id="136"/>
      <w:bookmarkEnd w:id="137"/>
      <w:bookmarkEnd w:id="138"/>
      <w:bookmarkEnd w:id="139"/>
    </w:p>
    <w:p w:rsidR="00E772DD" w:rsidRPr="00AD5F90" w:rsidRDefault="00E772DD" w:rsidP="007B7581">
      <w:pPr>
        <w:pStyle w:val="NormalWeb"/>
        <w:spacing w:before="24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L'approche française, quant à elle, se distingue par une analyse chronologique de l'évolution de la fonction RH. Anne Dietrich et Frédérique </w:t>
      </w:r>
      <w:proofErr w:type="spellStart"/>
      <w:r w:rsidRPr="00AD5F90">
        <w:rPr>
          <w:rFonts w:asciiTheme="majorBidi" w:hAnsiTheme="majorBidi" w:cstheme="majorBidi"/>
          <w:color w:val="000000"/>
          <w:lang w:val="fr-FR"/>
        </w:rPr>
        <w:t>Pigeyre</w:t>
      </w:r>
      <w:proofErr w:type="spellEnd"/>
      <w:r w:rsidRPr="00AD5F90">
        <w:rPr>
          <w:rFonts w:asciiTheme="majorBidi" w:hAnsiTheme="majorBidi" w:cstheme="majorBidi"/>
          <w:color w:val="000000"/>
          <w:lang w:val="fr-FR"/>
        </w:rPr>
        <w:t xml:space="preserve"> ont identifié trois grandes périodes qui ont marqué son développement en France.</w:t>
      </w:r>
    </w:p>
    <w:p w:rsidR="00E772DD" w:rsidRPr="00AD5F90" w:rsidRDefault="00E772DD" w:rsidP="004D32AC">
      <w:pPr>
        <w:pStyle w:val="NormalWeb"/>
        <w:numPr>
          <w:ilvl w:val="0"/>
          <w:numId w:val="41"/>
        </w:numPr>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L'administration du personnel : Cette première période, fortement influencée par le taylorisme, se caractérise par une gestion des ressources humaines essentiellement administrative et bureaucratique.</w:t>
      </w:r>
    </w:p>
    <w:p w:rsidR="00E772DD" w:rsidRPr="00AD5F90" w:rsidRDefault="00E772DD" w:rsidP="004D32AC">
      <w:pPr>
        <w:pStyle w:val="NormalWeb"/>
        <w:numPr>
          <w:ilvl w:val="0"/>
          <w:numId w:val="41"/>
        </w:numPr>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lastRenderedPageBreak/>
        <w:t>La gestion des relations humaines : Cette deuxième période marque une transition vers une prise en compte plus sociale des employés, sous l'influence de la psychologie du travail et des théories des relations humaines.</w:t>
      </w:r>
    </w:p>
    <w:p w:rsidR="00E772DD" w:rsidRPr="00AD5F90" w:rsidRDefault="00E772DD" w:rsidP="004D32AC">
      <w:pPr>
        <w:pStyle w:val="NormalWeb"/>
        <w:numPr>
          <w:ilvl w:val="0"/>
          <w:numId w:val="41"/>
        </w:numPr>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des ressources humaines : Cette troisième période marque une évolution vers une approche plus stratégique, où la performance et la gestion des compétences deviennent des éléments centraux de la fonction RH.</w:t>
      </w:r>
      <w:r w:rsidRPr="00AD5F90">
        <w:rPr>
          <w:rStyle w:val="Appelnotedebasdep"/>
          <w:rFonts w:cstheme="majorBidi"/>
          <w:color w:val="000000"/>
          <w:lang w:val="fr-FR"/>
        </w:rPr>
        <w:footnoteReference w:id="24"/>
      </w:r>
    </w:p>
    <w:p w:rsidR="00E772DD" w:rsidRPr="00AD5F90" w:rsidRDefault="00E772DD" w:rsidP="00A16730">
      <w:pPr>
        <w:pStyle w:val="NormalWeb"/>
        <w:spacing w:before="0" w:beforeAutospacing="0" w:after="0" w:afterAutospacing="0" w:line="360" w:lineRule="auto"/>
        <w:jc w:val="center"/>
        <w:rPr>
          <w:rFonts w:asciiTheme="majorBidi" w:hAnsiTheme="majorBidi" w:cstheme="majorBidi"/>
          <w:b/>
          <w:bCs/>
          <w:color w:val="000000"/>
          <w:lang w:val="fr-FR"/>
        </w:rPr>
      </w:pPr>
      <w:r w:rsidRPr="00AD5F90">
        <w:rPr>
          <w:rFonts w:asciiTheme="majorBidi" w:hAnsiTheme="majorBidi" w:cstheme="majorBidi"/>
          <w:b/>
          <w:bCs/>
          <w:color w:val="000000"/>
          <w:lang w:val="fr-FR"/>
        </w:rPr>
        <w:t>Tableau</w:t>
      </w:r>
      <w:r>
        <w:rPr>
          <w:rFonts w:asciiTheme="majorBidi" w:hAnsiTheme="majorBidi" w:cstheme="majorBidi"/>
          <w:b/>
          <w:bCs/>
          <w:color w:val="000000"/>
          <w:lang w:val="fr-FR"/>
        </w:rPr>
        <w:t xml:space="preserve"> N°0</w:t>
      </w:r>
      <w:r w:rsidRPr="00AD5F90">
        <w:rPr>
          <w:rFonts w:asciiTheme="majorBidi" w:hAnsiTheme="majorBidi" w:cstheme="majorBidi"/>
          <w:b/>
          <w:bCs/>
          <w:color w:val="000000"/>
          <w:lang w:val="fr-FR"/>
        </w:rPr>
        <w:t xml:space="preserve">1 : </w:t>
      </w:r>
      <w:r w:rsidRPr="00720872">
        <w:rPr>
          <w:rFonts w:asciiTheme="majorBidi" w:hAnsiTheme="majorBidi" w:cstheme="majorBidi"/>
          <w:color w:val="000000"/>
          <w:lang w:val="fr-FR"/>
        </w:rPr>
        <w:t>Une synthèse sur les approches RH (anglo-saxonnes et françaises)</w:t>
      </w:r>
    </w:p>
    <w:tbl>
      <w:tblPr>
        <w:tblStyle w:val="Grilledutableau"/>
        <w:tblW w:w="0" w:type="auto"/>
        <w:tblLook w:val="04A0" w:firstRow="1" w:lastRow="0" w:firstColumn="1" w:lastColumn="0" w:noHBand="0" w:noVBand="1"/>
      </w:tblPr>
      <w:tblGrid>
        <w:gridCol w:w="1483"/>
        <w:gridCol w:w="3618"/>
        <w:gridCol w:w="3909"/>
      </w:tblGrid>
      <w:tr w:rsidR="00E772DD" w:rsidRPr="00AD5F90" w:rsidTr="002F5C80">
        <w:tc>
          <w:tcPr>
            <w:tcW w:w="0" w:type="auto"/>
            <w:shd w:val="clear" w:color="auto" w:fill="D8DCD1"/>
            <w:vAlign w:val="center"/>
            <w:hideMark/>
          </w:tcPr>
          <w:p w:rsidR="00E772DD" w:rsidRPr="00AD5F90" w:rsidRDefault="00E772DD" w:rsidP="002F5C80">
            <w:pPr>
              <w:spacing w:line="360" w:lineRule="auto"/>
              <w:jc w:val="center"/>
              <w:rPr>
                <w:rFonts w:asciiTheme="majorBidi" w:hAnsiTheme="majorBidi" w:cstheme="majorBidi"/>
                <w:b/>
                <w:bCs/>
                <w:color w:val="000000"/>
                <w:lang w:val="fr-FR"/>
              </w:rPr>
            </w:pPr>
            <w:r w:rsidRPr="00AD5F90">
              <w:rPr>
                <w:rFonts w:asciiTheme="majorBidi" w:hAnsiTheme="majorBidi" w:cstheme="majorBidi"/>
                <w:b/>
                <w:bCs/>
                <w:color w:val="000000"/>
                <w:lang w:val="fr-FR"/>
              </w:rPr>
              <w:t>Critères</w:t>
            </w:r>
          </w:p>
        </w:tc>
        <w:tc>
          <w:tcPr>
            <w:tcW w:w="0" w:type="auto"/>
            <w:shd w:val="clear" w:color="auto" w:fill="D8DCD1"/>
            <w:hideMark/>
          </w:tcPr>
          <w:p w:rsidR="00E772DD" w:rsidRPr="00AD5F90" w:rsidRDefault="00E772DD" w:rsidP="002F5C80">
            <w:pPr>
              <w:spacing w:line="360" w:lineRule="auto"/>
              <w:jc w:val="both"/>
              <w:rPr>
                <w:rFonts w:asciiTheme="majorBidi" w:hAnsiTheme="majorBidi" w:cstheme="majorBidi"/>
                <w:b/>
                <w:bCs/>
                <w:color w:val="000000"/>
                <w:lang w:val="fr-FR"/>
              </w:rPr>
            </w:pPr>
            <w:r w:rsidRPr="00AD5F90">
              <w:rPr>
                <w:rFonts w:asciiTheme="majorBidi" w:hAnsiTheme="majorBidi" w:cstheme="majorBidi"/>
                <w:b/>
                <w:bCs/>
                <w:color w:val="000000"/>
                <w:lang w:val="fr-FR"/>
              </w:rPr>
              <w:t>Approche anglo-saxonne</w:t>
            </w:r>
          </w:p>
        </w:tc>
        <w:tc>
          <w:tcPr>
            <w:tcW w:w="0" w:type="auto"/>
            <w:shd w:val="clear" w:color="auto" w:fill="D8DCD1"/>
            <w:hideMark/>
          </w:tcPr>
          <w:p w:rsidR="00E772DD" w:rsidRPr="00AD5F90" w:rsidRDefault="00E772DD" w:rsidP="002F5C80">
            <w:pPr>
              <w:spacing w:line="360" w:lineRule="auto"/>
              <w:jc w:val="both"/>
              <w:rPr>
                <w:rFonts w:asciiTheme="majorBidi" w:hAnsiTheme="majorBidi" w:cstheme="majorBidi"/>
                <w:b/>
                <w:bCs/>
                <w:color w:val="000000"/>
                <w:lang w:val="fr-FR"/>
              </w:rPr>
            </w:pPr>
            <w:r w:rsidRPr="00AD5F90">
              <w:rPr>
                <w:rFonts w:asciiTheme="majorBidi" w:hAnsiTheme="majorBidi" w:cstheme="majorBidi"/>
                <w:b/>
                <w:bCs/>
                <w:color w:val="000000"/>
                <w:lang w:val="fr-FR"/>
              </w:rPr>
              <w:t>Approche française</w:t>
            </w:r>
          </w:p>
        </w:tc>
      </w:tr>
      <w:tr w:rsidR="00E772DD" w:rsidRPr="00427D18" w:rsidTr="002F5C80">
        <w:tc>
          <w:tcPr>
            <w:tcW w:w="0" w:type="auto"/>
            <w:shd w:val="clear" w:color="auto" w:fill="D8DCD1"/>
            <w:vAlign w:val="center"/>
            <w:hideMark/>
          </w:tcPr>
          <w:p w:rsidR="00E772DD" w:rsidRPr="00AD5F90" w:rsidRDefault="00E772DD" w:rsidP="002F5C80">
            <w:pPr>
              <w:spacing w:line="360" w:lineRule="auto"/>
              <w:jc w:val="center"/>
              <w:rPr>
                <w:rFonts w:asciiTheme="majorBidi" w:hAnsiTheme="majorBidi" w:cstheme="majorBidi"/>
                <w:color w:val="000000"/>
                <w:lang w:val="fr-FR"/>
              </w:rPr>
            </w:pPr>
            <w:r w:rsidRPr="00AD5F90">
              <w:rPr>
                <w:rFonts w:asciiTheme="majorBidi" w:hAnsiTheme="majorBidi" w:cstheme="majorBidi"/>
                <w:b/>
                <w:bCs/>
                <w:color w:val="000000"/>
                <w:lang w:val="fr-FR"/>
              </w:rPr>
              <w:t>Temporalité</w:t>
            </w:r>
          </w:p>
        </w:tc>
        <w:tc>
          <w:tcPr>
            <w:tcW w:w="0" w:type="auto"/>
            <w:hideMark/>
          </w:tcPr>
          <w:p w:rsidR="00E772DD" w:rsidRPr="00AD5F90" w:rsidRDefault="00E772DD" w:rsidP="002F5C8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Vision critique et évolutive</w:t>
            </w:r>
          </w:p>
        </w:tc>
        <w:tc>
          <w:tcPr>
            <w:tcW w:w="0" w:type="auto"/>
            <w:hideMark/>
          </w:tcPr>
          <w:p w:rsidR="00E772DD" w:rsidRPr="00AD5F90" w:rsidRDefault="00E772DD" w:rsidP="002F5C8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Découpage historique en trois phases</w:t>
            </w:r>
          </w:p>
        </w:tc>
      </w:tr>
      <w:tr w:rsidR="00E772DD" w:rsidRPr="00427D18" w:rsidTr="002F5C80">
        <w:tc>
          <w:tcPr>
            <w:tcW w:w="0" w:type="auto"/>
            <w:shd w:val="clear" w:color="auto" w:fill="D8DCD1"/>
            <w:vAlign w:val="center"/>
            <w:hideMark/>
          </w:tcPr>
          <w:p w:rsidR="00E772DD" w:rsidRPr="00AD5F90" w:rsidRDefault="00E772DD" w:rsidP="002F5C80">
            <w:pPr>
              <w:spacing w:line="360" w:lineRule="auto"/>
              <w:jc w:val="center"/>
              <w:rPr>
                <w:rFonts w:asciiTheme="majorBidi" w:hAnsiTheme="majorBidi" w:cstheme="majorBidi"/>
                <w:color w:val="000000"/>
                <w:lang w:val="fr-FR"/>
              </w:rPr>
            </w:pPr>
            <w:r w:rsidRPr="00AD5F90">
              <w:rPr>
                <w:rFonts w:asciiTheme="majorBidi" w:hAnsiTheme="majorBidi" w:cstheme="majorBidi"/>
                <w:b/>
                <w:bCs/>
                <w:color w:val="000000"/>
                <w:lang w:val="fr-FR"/>
              </w:rPr>
              <w:t>Focalisation</w:t>
            </w:r>
          </w:p>
        </w:tc>
        <w:tc>
          <w:tcPr>
            <w:tcW w:w="0" w:type="auto"/>
            <w:hideMark/>
          </w:tcPr>
          <w:p w:rsidR="00E772DD" w:rsidRPr="00AD5F90" w:rsidRDefault="00E772DD" w:rsidP="002F5C8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Stratégie et impact des RH sur la performance (Ulrich)</w:t>
            </w:r>
          </w:p>
        </w:tc>
        <w:tc>
          <w:tcPr>
            <w:tcW w:w="0" w:type="auto"/>
            <w:hideMark/>
          </w:tcPr>
          <w:p w:rsidR="00E772DD" w:rsidRPr="00AD5F90" w:rsidRDefault="00E772DD" w:rsidP="002F5C8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Évolution de la fonction RH selon le contexte économique et social</w:t>
            </w:r>
          </w:p>
        </w:tc>
      </w:tr>
      <w:tr w:rsidR="00E772DD" w:rsidRPr="00427D18" w:rsidTr="002F5C80">
        <w:tc>
          <w:tcPr>
            <w:tcW w:w="0" w:type="auto"/>
            <w:shd w:val="clear" w:color="auto" w:fill="D8DCD1"/>
            <w:vAlign w:val="center"/>
            <w:hideMark/>
          </w:tcPr>
          <w:p w:rsidR="00E772DD" w:rsidRPr="00AD5F90" w:rsidRDefault="00E772DD" w:rsidP="002F5C80">
            <w:pPr>
              <w:spacing w:line="360" w:lineRule="auto"/>
              <w:jc w:val="center"/>
              <w:rPr>
                <w:rFonts w:asciiTheme="majorBidi" w:hAnsiTheme="majorBidi" w:cstheme="majorBidi"/>
                <w:color w:val="000000"/>
                <w:lang w:val="fr-FR"/>
              </w:rPr>
            </w:pPr>
            <w:r w:rsidRPr="00AD5F90">
              <w:rPr>
                <w:rFonts w:asciiTheme="majorBidi" w:hAnsiTheme="majorBidi" w:cstheme="majorBidi"/>
                <w:b/>
                <w:bCs/>
                <w:color w:val="000000"/>
                <w:lang w:val="fr-FR"/>
              </w:rPr>
              <w:t>Perspective</w:t>
            </w:r>
          </w:p>
        </w:tc>
        <w:tc>
          <w:tcPr>
            <w:tcW w:w="0" w:type="auto"/>
            <w:hideMark/>
          </w:tcPr>
          <w:p w:rsidR="00E772DD" w:rsidRPr="00AD5F90" w:rsidRDefault="00E772DD" w:rsidP="002F5C8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Comparaison des politiques RH entre les États-Unis et l’Europe</w:t>
            </w:r>
          </w:p>
        </w:tc>
        <w:tc>
          <w:tcPr>
            <w:tcW w:w="0" w:type="auto"/>
            <w:hideMark/>
          </w:tcPr>
          <w:p w:rsidR="00E772DD" w:rsidRPr="00AD5F90" w:rsidRDefault="00E772DD" w:rsidP="002F5C8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Typologie des modèles RH en France</w:t>
            </w:r>
          </w:p>
        </w:tc>
      </w:tr>
      <w:tr w:rsidR="00E772DD" w:rsidRPr="00427D18" w:rsidTr="002F5C80">
        <w:tc>
          <w:tcPr>
            <w:tcW w:w="0" w:type="auto"/>
            <w:shd w:val="clear" w:color="auto" w:fill="D8DCD1"/>
            <w:vAlign w:val="center"/>
            <w:hideMark/>
          </w:tcPr>
          <w:p w:rsidR="00E772DD" w:rsidRPr="00AD5F90" w:rsidRDefault="00E772DD" w:rsidP="002F5C80">
            <w:pPr>
              <w:spacing w:line="360" w:lineRule="auto"/>
              <w:jc w:val="center"/>
              <w:rPr>
                <w:rFonts w:asciiTheme="majorBidi" w:hAnsiTheme="majorBidi" w:cstheme="majorBidi"/>
                <w:color w:val="000000"/>
                <w:lang w:val="fr-FR"/>
              </w:rPr>
            </w:pPr>
            <w:r w:rsidRPr="00AD5F90">
              <w:rPr>
                <w:rFonts w:asciiTheme="majorBidi" w:hAnsiTheme="majorBidi" w:cstheme="majorBidi"/>
                <w:b/>
                <w:bCs/>
                <w:color w:val="000000"/>
                <w:lang w:val="fr-FR"/>
              </w:rPr>
              <w:t>Application</w:t>
            </w:r>
          </w:p>
        </w:tc>
        <w:tc>
          <w:tcPr>
            <w:tcW w:w="0" w:type="auto"/>
            <w:hideMark/>
          </w:tcPr>
          <w:p w:rsidR="00E772DD" w:rsidRPr="00AD5F90" w:rsidRDefault="00E772DD" w:rsidP="002F5C8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Influence mondiale des pratiques RH malgré des divergences de politique</w:t>
            </w:r>
          </w:p>
        </w:tc>
        <w:tc>
          <w:tcPr>
            <w:tcW w:w="0" w:type="auto"/>
            <w:hideMark/>
          </w:tcPr>
          <w:p w:rsidR="00E772DD" w:rsidRPr="00AD5F90" w:rsidRDefault="00E772DD" w:rsidP="002F5C8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Évolution interne à la France avec un impact des modèles managériaux historiques</w:t>
            </w:r>
          </w:p>
        </w:tc>
      </w:tr>
    </w:tbl>
    <w:p w:rsidR="00E772DD" w:rsidRPr="00AD5F90" w:rsidRDefault="00E772DD" w:rsidP="00AA15A0">
      <w:pPr>
        <w:pStyle w:val="NormalWeb"/>
        <w:spacing w:before="0" w:beforeAutospacing="0" w:after="240" w:afterAutospacing="0" w:line="360" w:lineRule="auto"/>
        <w:jc w:val="center"/>
        <w:rPr>
          <w:rFonts w:asciiTheme="majorBidi" w:hAnsiTheme="majorBidi" w:cstheme="majorBidi"/>
          <w:color w:val="000000"/>
          <w:lang w:val="fr-FR"/>
        </w:rPr>
      </w:pPr>
      <w:r w:rsidRPr="00A16730">
        <w:rPr>
          <w:rFonts w:asciiTheme="majorBidi" w:hAnsiTheme="majorBidi" w:cstheme="majorBidi"/>
          <w:b/>
          <w:bCs/>
          <w:color w:val="000000"/>
          <w:lang w:val="fr-FR"/>
        </w:rPr>
        <w:t>Source :</w:t>
      </w:r>
      <w:r w:rsidRPr="00AD5F90">
        <w:rPr>
          <w:rFonts w:asciiTheme="majorBidi" w:hAnsiTheme="majorBidi" w:cstheme="majorBidi"/>
          <w:color w:val="000000"/>
          <w:lang w:val="fr-FR"/>
        </w:rPr>
        <w:t xml:space="preserve"> </w:t>
      </w:r>
      <w:r w:rsidRPr="00AD5F90">
        <w:rPr>
          <w:rFonts w:asciiTheme="majorBidi" w:eastAsiaTheme="minorHAnsi" w:hAnsiTheme="majorBidi" w:cstheme="majorBidi"/>
          <w:color w:val="141413"/>
          <w:lang w:val="fr-FR"/>
        </w:rPr>
        <w:t xml:space="preserve">Dietrich, A., &amp; </w:t>
      </w:r>
      <w:proofErr w:type="spellStart"/>
      <w:r w:rsidRPr="00AD5F90">
        <w:rPr>
          <w:rFonts w:asciiTheme="majorBidi" w:eastAsiaTheme="minorHAnsi" w:hAnsiTheme="majorBidi" w:cstheme="majorBidi"/>
          <w:color w:val="141413"/>
          <w:lang w:val="fr-FR"/>
        </w:rPr>
        <w:t>Pigeyre</w:t>
      </w:r>
      <w:proofErr w:type="spellEnd"/>
      <w:r w:rsidRPr="00AD5F90">
        <w:rPr>
          <w:rFonts w:asciiTheme="majorBidi" w:eastAsiaTheme="minorHAnsi" w:hAnsiTheme="majorBidi" w:cstheme="majorBidi"/>
          <w:color w:val="141413"/>
          <w:lang w:val="fr-FR"/>
        </w:rPr>
        <w:t xml:space="preserve">, F. (2011). La gestion des ressources humaines. </w:t>
      </w:r>
      <w:proofErr w:type="spellStart"/>
      <w:r w:rsidRPr="00AD5F90">
        <w:rPr>
          <w:rFonts w:asciiTheme="majorBidi" w:eastAsiaTheme="minorHAnsi" w:hAnsiTheme="majorBidi" w:cstheme="majorBidi"/>
          <w:color w:val="141413"/>
          <w:lang w:val="fr-FR"/>
        </w:rPr>
        <w:t>LaDécouverte</w:t>
      </w:r>
      <w:proofErr w:type="spellEnd"/>
      <w:r w:rsidRPr="00AD5F90">
        <w:rPr>
          <w:rFonts w:asciiTheme="majorBidi" w:eastAsiaTheme="minorHAnsi" w:hAnsiTheme="majorBidi" w:cstheme="majorBidi"/>
          <w:color w:val="141413"/>
          <w:lang w:val="fr-FR"/>
        </w:rPr>
        <w:t>.</w:t>
      </w:r>
    </w:p>
    <w:p w:rsidR="00E772DD" w:rsidRPr="007B7581" w:rsidRDefault="00E772DD" w:rsidP="004D32AC">
      <w:pPr>
        <w:pStyle w:val="Titre2"/>
        <w:numPr>
          <w:ilvl w:val="1"/>
          <w:numId w:val="67"/>
        </w:numPr>
        <w:spacing w:line="360" w:lineRule="auto"/>
        <w:rPr>
          <w:rFonts w:asciiTheme="majorBidi" w:hAnsiTheme="majorBidi"/>
          <w:b/>
          <w:bCs/>
          <w:color w:val="000000" w:themeColor="text1"/>
          <w:sz w:val="24"/>
          <w:szCs w:val="24"/>
          <w:lang w:val="fr-FR"/>
        </w:rPr>
      </w:pPr>
      <w:bookmarkStart w:id="140" w:name="_Toc199714241"/>
      <w:bookmarkStart w:id="141" w:name="_Toc200486519"/>
      <w:bookmarkStart w:id="142" w:name="_Toc200635295"/>
      <w:bookmarkStart w:id="143" w:name="_Toc200635683"/>
      <w:bookmarkStart w:id="144" w:name="_Toc200636072"/>
      <w:bookmarkStart w:id="145" w:name="_Toc200755809"/>
      <w:r w:rsidRPr="007B7581">
        <w:rPr>
          <w:rFonts w:asciiTheme="majorBidi" w:hAnsiTheme="majorBidi"/>
          <w:b/>
          <w:bCs/>
          <w:color w:val="000000" w:themeColor="text1"/>
          <w:sz w:val="24"/>
          <w:szCs w:val="24"/>
          <w:lang w:val="fr-FR"/>
        </w:rPr>
        <w:t>Les théories des ressources humaines</w:t>
      </w:r>
      <w:bookmarkEnd w:id="140"/>
      <w:bookmarkEnd w:id="141"/>
      <w:bookmarkEnd w:id="142"/>
      <w:bookmarkEnd w:id="143"/>
      <w:bookmarkEnd w:id="144"/>
      <w:bookmarkEnd w:id="145"/>
      <w:r w:rsidRPr="007B7581">
        <w:rPr>
          <w:rFonts w:asciiTheme="majorBidi" w:hAnsiTheme="majorBidi"/>
          <w:b/>
          <w:bCs/>
          <w:color w:val="000000" w:themeColor="text1"/>
          <w:sz w:val="24"/>
          <w:szCs w:val="24"/>
          <w:lang w:val="fr-FR"/>
        </w:rPr>
        <w:t xml:space="preserve"> </w:t>
      </w:r>
    </w:p>
    <w:p w:rsidR="00E772DD" w:rsidRDefault="00E772DD" w:rsidP="007B7581">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théories des ressources humaines (RH) offrent des cadres pour gérer efficacement les individus au sein des organisations. Elles permettent de mieux appréhender le comportement des employés, leur motivation, ainsi que leur développement, tout en analysant les dynamiques organisationnelles. L'adoption de ces théories permet aux entreprises de formuler des stratégies qui répondent aux besoins des employés tout en atteignant les objectifs commerciaux, créant ainsi un environnement de travail optimal et productif.</w:t>
      </w:r>
      <w:r w:rsidRPr="00AD5F90">
        <w:rPr>
          <w:rStyle w:val="Appelnotedebasdep"/>
          <w:rFonts w:cstheme="majorBidi"/>
          <w:color w:val="000000"/>
          <w:lang w:val="fr-FR"/>
        </w:rPr>
        <w:footnoteReference w:id="25"/>
      </w:r>
    </w:p>
    <w:p w:rsidR="00E772DD" w:rsidRPr="00AD5F90" w:rsidRDefault="00E772DD" w:rsidP="00AA1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théories des ressources humaines jouent un rôle clé pour plusieurs raisons :</w:t>
      </w:r>
    </w:p>
    <w:p w:rsidR="00E772DD" w:rsidRPr="00AD5F90" w:rsidRDefault="00E772DD" w:rsidP="004D32AC">
      <w:pPr>
        <w:numPr>
          <w:ilvl w:val="0"/>
          <w:numId w:val="43"/>
        </w:numPr>
        <w:spacing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lastRenderedPageBreak/>
        <w:t>Fondation des pratiques RH</w:t>
      </w:r>
      <w:r w:rsidRPr="00AD5F90">
        <w:rPr>
          <w:rStyle w:val="apple-converted-space"/>
          <w:rFonts w:asciiTheme="majorBidi" w:hAnsiTheme="majorBidi" w:cstheme="majorBidi"/>
          <w:b/>
          <w:bCs/>
          <w:color w:val="000000"/>
          <w:lang w:val="fr-FR"/>
        </w:rPr>
        <w:t> </w:t>
      </w:r>
      <w:r w:rsidRPr="00AD5F90">
        <w:rPr>
          <w:rFonts w:asciiTheme="majorBidi" w:hAnsiTheme="majorBidi" w:cstheme="majorBidi"/>
          <w:b/>
          <w:bCs/>
          <w:color w:val="000000"/>
          <w:lang w:val="fr-FR"/>
        </w:rPr>
        <w:t>:</w:t>
      </w:r>
      <w:r w:rsidRPr="00AD5F90">
        <w:rPr>
          <w:rFonts w:asciiTheme="majorBidi" w:hAnsiTheme="majorBidi" w:cstheme="majorBidi"/>
          <w:color w:val="000000"/>
          <w:lang w:val="fr-FR"/>
        </w:rPr>
        <w:t xml:space="preserve"> Elles fournissent des bases théoriques solides pour élaborer des stratégies RH efficaces, garantissant ainsi que les pratiques sont alignées sur des principes validés par la recherche en management et comportement organisationnel.</w:t>
      </w:r>
      <w:r w:rsidRPr="00AD5F90">
        <w:rPr>
          <w:rStyle w:val="Appelnotedebasdep"/>
          <w:rFonts w:cstheme="majorBidi"/>
          <w:color w:val="000000"/>
          <w:lang w:val="fr-FR"/>
        </w:rPr>
        <w:footnoteReference w:id="26"/>
      </w:r>
    </w:p>
    <w:p w:rsidR="00E772DD" w:rsidRPr="00AD5F90" w:rsidRDefault="00E772DD" w:rsidP="004D32AC">
      <w:pPr>
        <w:numPr>
          <w:ilvl w:val="0"/>
          <w:numId w:val="43"/>
        </w:numPr>
        <w:spacing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Motivation et engagement des employés</w:t>
      </w:r>
      <w:r w:rsidRPr="00AD5F90">
        <w:rPr>
          <w:rStyle w:val="apple-converted-space"/>
          <w:rFonts w:asciiTheme="majorBidi" w:hAnsiTheme="majorBidi" w:cstheme="majorBidi"/>
          <w:b/>
          <w:bCs/>
          <w:color w:val="000000"/>
          <w:lang w:val="fr-FR"/>
        </w:rPr>
        <w:t> </w:t>
      </w:r>
      <w:r w:rsidRPr="00AD5F90">
        <w:rPr>
          <w:rFonts w:asciiTheme="majorBidi" w:hAnsiTheme="majorBidi" w:cstheme="majorBidi"/>
          <w:b/>
          <w:bCs/>
          <w:color w:val="000000"/>
          <w:lang w:val="fr-FR"/>
        </w:rPr>
        <w:t>:</w:t>
      </w:r>
      <w:r w:rsidRPr="00AD5F90">
        <w:rPr>
          <w:rFonts w:asciiTheme="majorBidi" w:hAnsiTheme="majorBidi" w:cstheme="majorBidi"/>
          <w:color w:val="000000"/>
          <w:lang w:val="fr-FR"/>
        </w:rPr>
        <w:t xml:space="preserve"> En analysant les facteurs qui influencent le comportement des employés, les responsables RH </w:t>
      </w:r>
      <w:proofErr w:type="gramStart"/>
      <w:r w:rsidRPr="00AD5F90">
        <w:rPr>
          <w:rFonts w:asciiTheme="majorBidi" w:hAnsiTheme="majorBidi" w:cstheme="majorBidi"/>
          <w:color w:val="000000"/>
          <w:lang w:val="fr-FR"/>
        </w:rPr>
        <w:t>peuvent</w:t>
      </w:r>
      <w:proofErr w:type="gramEnd"/>
      <w:r w:rsidRPr="00AD5F90">
        <w:rPr>
          <w:rFonts w:asciiTheme="majorBidi" w:hAnsiTheme="majorBidi" w:cstheme="majorBidi"/>
          <w:color w:val="000000"/>
          <w:lang w:val="fr-FR"/>
        </w:rPr>
        <w:t xml:space="preserve"> créer des programmes destinés à renforcer la motivation et l’engagement des équipes.</w:t>
      </w:r>
      <w:r w:rsidRPr="00AD5F90">
        <w:rPr>
          <w:rStyle w:val="Appelnotedebasdep"/>
          <w:rFonts w:cstheme="majorBidi"/>
          <w:color w:val="000000"/>
          <w:lang w:val="fr-FR"/>
        </w:rPr>
        <w:footnoteReference w:id="27"/>
      </w:r>
      <w:r w:rsidRPr="00AD5F90">
        <w:rPr>
          <w:rFonts w:asciiTheme="majorBidi" w:hAnsiTheme="majorBidi" w:cstheme="majorBidi"/>
          <w:color w:val="000000"/>
          <w:lang w:val="fr-FR"/>
        </w:rPr>
        <w:t xml:space="preserve"> </w:t>
      </w:r>
    </w:p>
    <w:p w:rsidR="00E772DD" w:rsidRPr="00AD5F90" w:rsidRDefault="00E772DD" w:rsidP="004D32AC">
      <w:pPr>
        <w:numPr>
          <w:ilvl w:val="0"/>
          <w:numId w:val="43"/>
        </w:numPr>
        <w:spacing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Performance organisationnelle</w:t>
      </w:r>
      <w:r w:rsidRPr="00AD5F90">
        <w:rPr>
          <w:rStyle w:val="apple-converted-space"/>
          <w:rFonts w:asciiTheme="majorBidi" w:hAnsiTheme="majorBidi" w:cstheme="majorBidi"/>
          <w:b/>
          <w:bCs/>
          <w:color w:val="000000"/>
          <w:lang w:val="fr-FR"/>
        </w:rPr>
        <w:t> </w:t>
      </w:r>
      <w:r w:rsidRPr="00AD5F90">
        <w:rPr>
          <w:rFonts w:asciiTheme="majorBidi" w:hAnsiTheme="majorBidi" w:cstheme="majorBidi"/>
          <w:b/>
          <w:bCs/>
          <w:color w:val="000000"/>
          <w:lang w:val="fr-FR"/>
        </w:rPr>
        <w:t>:</w:t>
      </w:r>
      <w:r w:rsidRPr="00AD5F90">
        <w:rPr>
          <w:rFonts w:asciiTheme="majorBidi" w:hAnsiTheme="majorBidi" w:cstheme="majorBidi"/>
          <w:color w:val="000000"/>
          <w:lang w:val="fr-FR"/>
        </w:rPr>
        <w:t xml:space="preserve"> Une application appropriée des théories RH contribue à améliorer la performance des organisations, à augmenter la satisfaction des employés et à favoriser un environnement de travail harmonieux.</w:t>
      </w:r>
      <w:r w:rsidRPr="00AD5F90">
        <w:rPr>
          <w:rStyle w:val="Appelnotedebasdep"/>
          <w:rFonts w:cstheme="majorBidi"/>
          <w:color w:val="000000"/>
          <w:lang w:val="fr-FR"/>
        </w:rPr>
        <w:footnoteReference w:id="28"/>
      </w:r>
      <w:r w:rsidRPr="00AD5F90">
        <w:rPr>
          <w:rFonts w:asciiTheme="majorBidi" w:hAnsiTheme="majorBidi" w:cstheme="majorBidi"/>
          <w:color w:val="000000"/>
          <w:lang w:val="fr-FR"/>
        </w:rPr>
        <w:t xml:space="preserve"> </w:t>
      </w:r>
    </w:p>
    <w:p w:rsidR="00E772DD" w:rsidRPr="00AD5F90" w:rsidRDefault="00E772DD" w:rsidP="004D32AC">
      <w:pPr>
        <w:numPr>
          <w:ilvl w:val="0"/>
          <w:numId w:val="43"/>
        </w:numPr>
        <w:spacing w:after="240" w:line="360" w:lineRule="auto"/>
        <w:jc w:val="both"/>
        <w:rPr>
          <w:rFonts w:asciiTheme="majorBidi" w:hAnsiTheme="majorBidi" w:cstheme="majorBidi"/>
          <w:b/>
          <w:bCs/>
          <w:color w:val="000000"/>
          <w:lang w:val="fr-FR"/>
        </w:rPr>
      </w:pPr>
      <w:r w:rsidRPr="00AD5F90">
        <w:rPr>
          <w:rStyle w:val="lev"/>
          <w:rFonts w:asciiTheme="majorBidi" w:hAnsiTheme="majorBidi"/>
          <w:color w:val="000000"/>
          <w:lang w:val="fr-FR"/>
        </w:rPr>
        <w:t>Adaptabilité aux changements</w:t>
      </w:r>
      <w:r w:rsidRPr="00AD5F90">
        <w:rPr>
          <w:rStyle w:val="apple-converted-space"/>
          <w:rFonts w:asciiTheme="majorBidi" w:hAnsiTheme="majorBidi" w:cstheme="majorBidi"/>
          <w:b/>
          <w:bCs/>
          <w:color w:val="000000"/>
          <w:lang w:val="fr-FR"/>
        </w:rPr>
        <w:t> </w:t>
      </w:r>
      <w:r w:rsidRPr="00AD5F90">
        <w:rPr>
          <w:rFonts w:asciiTheme="majorBidi" w:hAnsiTheme="majorBidi" w:cstheme="majorBidi"/>
          <w:b/>
          <w:bCs/>
          <w:color w:val="000000"/>
          <w:lang w:val="fr-FR"/>
        </w:rPr>
        <w:t xml:space="preserve">: </w:t>
      </w:r>
      <w:r w:rsidRPr="00AD5F90">
        <w:rPr>
          <w:rFonts w:asciiTheme="majorBidi" w:hAnsiTheme="majorBidi" w:cstheme="majorBidi"/>
          <w:color w:val="000000"/>
          <w:lang w:val="fr-FR"/>
        </w:rPr>
        <w:t>Ces théories aident les entreprises à s’adapter aux transformations du monde du travail et aux défis économiques, garantissant ainsi leur pérennité et compétitivité sur le long terme.</w:t>
      </w:r>
      <w:r w:rsidRPr="00AD5F90">
        <w:rPr>
          <w:rStyle w:val="Appelnotedebasdep"/>
          <w:rFonts w:cstheme="majorBidi"/>
          <w:b/>
          <w:bCs/>
          <w:color w:val="000000"/>
          <w:lang w:val="fr-FR"/>
        </w:rPr>
        <w:footnoteReference w:id="29"/>
      </w:r>
    </w:p>
    <w:p w:rsidR="00E772DD" w:rsidRPr="007B7581" w:rsidRDefault="00E772DD" w:rsidP="004D32AC">
      <w:pPr>
        <w:pStyle w:val="Titre3"/>
        <w:numPr>
          <w:ilvl w:val="2"/>
          <w:numId w:val="67"/>
        </w:numPr>
        <w:spacing w:after="0" w:afterAutospacing="0" w:line="360" w:lineRule="auto"/>
        <w:rPr>
          <w:rStyle w:val="lev"/>
          <w:b/>
          <w:bCs/>
          <w:i/>
          <w:iCs/>
          <w:color w:val="000000"/>
          <w:sz w:val="24"/>
          <w:szCs w:val="24"/>
          <w:lang w:val="fr-FR"/>
        </w:rPr>
      </w:pPr>
      <w:bookmarkStart w:id="151" w:name="_Toc199714242"/>
      <w:bookmarkStart w:id="152" w:name="_Toc200486520"/>
      <w:bookmarkStart w:id="153" w:name="_Toc200635296"/>
      <w:bookmarkStart w:id="154" w:name="_Toc200635684"/>
      <w:bookmarkStart w:id="155" w:name="_Toc200636073"/>
      <w:bookmarkStart w:id="156" w:name="_Toc200755810"/>
      <w:r w:rsidRPr="007B7581">
        <w:rPr>
          <w:rStyle w:val="lev"/>
          <w:b/>
          <w:bCs/>
          <w:color w:val="000000"/>
          <w:sz w:val="24"/>
          <w:szCs w:val="24"/>
          <w:lang w:val="fr-FR"/>
        </w:rPr>
        <w:t>Théories fondamentales des ressources humaines</w:t>
      </w:r>
      <w:bookmarkEnd w:id="151"/>
      <w:bookmarkEnd w:id="152"/>
      <w:bookmarkEnd w:id="153"/>
      <w:bookmarkEnd w:id="154"/>
      <w:bookmarkEnd w:id="155"/>
      <w:bookmarkEnd w:id="156"/>
    </w:p>
    <w:p w:rsidR="00E772DD" w:rsidRPr="00314136" w:rsidRDefault="00E772DD" w:rsidP="007B7581">
      <w:pPr>
        <w:spacing w:line="360" w:lineRule="auto"/>
        <w:jc w:val="both"/>
        <w:rPr>
          <w:lang w:val="fr-FR"/>
        </w:rPr>
      </w:pPr>
      <w:r w:rsidRPr="00314136">
        <w:rPr>
          <w:lang w:val="fr-FR"/>
        </w:rPr>
        <w:t>Les fondements de la gestion des ressources humaines reposent sur plusieurs théories développées au fil du temps. Ces approches permettent d'expliquer les relations entre l’organisation et les individus, ainsi que les mécanismes qui influencent la motivation, la performance et la gestion du personnel.</w:t>
      </w:r>
    </w:p>
    <w:p w:rsidR="00E772DD" w:rsidRPr="00AD5F90" w:rsidRDefault="00E772DD" w:rsidP="004D32AC">
      <w:pPr>
        <w:numPr>
          <w:ilvl w:val="0"/>
          <w:numId w:val="44"/>
        </w:numPr>
        <w:spacing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Théorie de la gestion scientifique (Taylorisme)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Cette approche, développée par Frederick Taylor, se concentre sur l’optimisation des tâches de travail pour améliorer l'efficacité organisationnelle. Elle repose sur l’analyse scientifique des tâches afin de déterminer la manière la plus productive de les réaliser. Le Taylorisme utilise la standardisation des processus et des méthodes de travail pour minimiser les inefficacités. De plus, il favorise l’utilisation d'incitations financières (primes, récompenses) comme leviers pour motiver les employés et maximiser leur productivité. L’objectif est d’atteindre une performance maximale grâce à une gestion rigoureuse et une division du travail.</w:t>
      </w:r>
      <w:r w:rsidRPr="00AD5F90">
        <w:rPr>
          <w:rStyle w:val="Appelnotedebasdep"/>
          <w:rFonts w:cstheme="majorBidi"/>
          <w:color w:val="000000"/>
          <w:lang w:val="fr-FR"/>
        </w:rPr>
        <w:footnoteReference w:id="30"/>
      </w:r>
      <w:r w:rsidRPr="00AD5F90">
        <w:rPr>
          <w:rFonts w:asciiTheme="majorBidi" w:hAnsiTheme="majorBidi" w:cstheme="majorBidi"/>
          <w:color w:val="000000"/>
          <w:lang w:val="fr-FR"/>
        </w:rPr>
        <w:t xml:space="preserve"> </w:t>
      </w:r>
    </w:p>
    <w:p w:rsidR="00E772DD" w:rsidRPr="00AD5F90" w:rsidRDefault="00E772DD" w:rsidP="004D32AC">
      <w:pPr>
        <w:numPr>
          <w:ilvl w:val="0"/>
          <w:numId w:val="44"/>
        </w:numPr>
        <w:spacing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Théorie des relations humaines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xml:space="preserve">: Cette théorie, influencée par les travaux de Elton Mayo, met l'accent sur l'importance des relations interpersonnelles et de la communication au sein de l’organisation. Contrairement au Taylorisme, qui se concentre sur l’efficacité des tâches, </w:t>
      </w:r>
      <w:r w:rsidRPr="00AD5F90">
        <w:rPr>
          <w:rFonts w:asciiTheme="majorBidi" w:hAnsiTheme="majorBidi" w:cstheme="majorBidi"/>
          <w:color w:val="000000"/>
          <w:lang w:val="fr-FR"/>
        </w:rPr>
        <w:lastRenderedPageBreak/>
        <w:t>la théorie des relations humaines reconnaît que le bien-être des employés joue un rôle crucial dans la dynamique de travail. Elle soutient que les employés sont plus motivés et productifs lorsqu'ils se sentent valorisés, écoutés, et impliqués dans des relations positives avec leurs collègues et supérieurs. Ainsi, la satisfaction au travail et les interactions sociales sont considérées comme des facteurs clés pour favoriser l'engagement et améliorer la performance.</w:t>
      </w:r>
      <w:r w:rsidRPr="00AD5F90">
        <w:rPr>
          <w:rStyle w:val="Appelnotedebasdep"/>
          <w:rFonts w:cstheme="majorBidi"/>
          <w:color w:val="000000"/>
          <w:lang w:val="fr-FR"/>
        </w:rPr>
        <w:footnoteReference w:id="31"/>
      </w:r>
      <w:r w:rsidRPr="00AD5F90">
        <w:rPr>
          <w:rFonts w:asciiTheme="majorBidi" w:hAnsiTheme="majorBidi" w:cstheme="majorBidi"/>
          <w:color w:val="000000"/>
          <w:lang w:val="fr-FR"/>
        </w:rPr>
        <w:t xml:space="preserve"> </w:t>
      </w:r>
    </w:p>
    <w:p w:rsidR="00E772DD" w:rsidRPr="00AD5F90" w:rsidRDefault="00E772DD" w:rsidP="004D32AC">
      <w:pPr>
        <w:numPr>
          <w:ilvl w:val="0"/>
          <w:numId w:val="44"/>
        </w:numPr>
        <w:spacing w:after="240"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Théorie X et Y</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Cette théorie distingue deux styles managériaux : l’un, axé sur une supervision stricte des employés jugés peu motivés (Théorie X), et l’autre, favorisant l’autonomie et la responsabilité des employés (Théorie Y).</w:t>
      </w:r>
      <w:r w:rsidRPr="00AD5F90">
        <w:rPr>
          <w:rStyle w:val="Appelnotedebasdep"/>
          <w:rFonts w:cstheme="majorBidi"/>
          <w:color w:val="000000"/>
          <w:lang w:val="fr-FR"/>
        </w:rPr>
        <w:footnoteReference w:id="32"/>
      </w:r>
    </w:p>
    <w:p w:rsidR="00E772DD" w:rsidRPr="00AD5F90" w:rsidRDefault="00E772DD" w:rsidP="00A16730">
      <w:pPr>
        <w:spacing w:line="360" w:lineRule="auto"/>
        <w:ind w:left="360"/>
        <w:jc w:val="center"/>
        <w:rPr>
          <w:rFonts w:asciiTheme="majorBidi" w:hAnsiTheme="majorBidi" w:cstheme="majorBidi"/>
          <w:color w:val="000000"/>
          <w:lang w:val="fr-FR"/>
        </w:rPr>
      </w:pPr>
      <w:r w:rsidRPr="00AD5F90">
        <w:rPr>
          <w:rStyle w:val="lev"/>
          <w:rFonts w:asciiTheme="majorBidi" w:hAnsiTheme="majorBidi" w:cstheme="majorBidi"/>
          <w:lang w:val="fr-FR"/>
        </w:rPr>
        <w:t>Tableau</w:t>
      </w:r>
      <w:r>
        <w:rPr>
          <w:rStyle w:val="lev"/>
          <w:rFonts w:asciiTheme="majorBidi" w:hAnsiTheme="majorBidi" w:cstheme="majorBidi"/>
          <w:lang w:val="fr-FR"/>
        </w:rPr>
        <w:t xml:space="preserve"> N°0</w:t>
      </w:r>
      <w:r w:rsidRPr="00AD5F90">
        <w:rPr>
          <w:rStyle w:val="lev"/>
          <w:rFonts w:asciiTheme="majorBidi" w:hAnsiTheme="majorBidi" w:cstheme="majorBidi"/>
          <w:lang w:val="fr-FR"/>
        </w:rPr>
        <w:t xml:space="preserve">2 : </w:t>
      </w:r>
      <w:r w:rsidRPr="00720872">
        <w:rPr>
          <w:rStyle w:val="lev"/>
          <w:rFonts w:asciiTheme="majorBidi" w:hAnsiTheme="majorBidi" w:cstheme="majorBidi"/>
          <w:b w:val="0"/>
          <w:bCs w:val="0"/>
          <w:lang w:val="fr-FR"/>
        </w:rPr>
        <w:t>Comparaison entre la Théorie X et la Théorie Y</w:t>
      </w:r>
    </w:p>
    <w:tbl>
      <w:tblPr>
        <w:tblStyle w:val="Grilledutableau"/>
        <w:tblW w:w="0" w:type="auto"/>
        <w:tblLook w:val="04A0" w:firstRow="1" w:lastRow="0" w:firstColumn="1" w:lastColumn="0" w:noHBand="0" w:noVBand="1"/>
      </w:tblPr>
      <w:tblGrid>
        <w:gridCol w:w="2257"/>
        <w:gridCol w:w="3234"/>
        <w:gridCol w:w="3519"/>
      </w:tblGrid>
      <w:tr w:rsidR="00E772DD" w:rsidRPr="00AD5F90" w:rsidTr="002F5C80">
        <w:tc>
          <w:tcPr>
            <w:tcW w:w="0" w:type="auto"/>
            <w:shd w:val="clear" w:color="auto" w:fill="D8DCD1"/>
            <w:vAlign w:val="center"/>
            <w:hideMark/>
          </w:tcPr>
          <w:p w:rsidR="00E772DD" w:rsidRPr="00AD5F90" w:rsidRDefault="00E772DD" w:rsidP="002F5C80">
            <w:pPr>
              <w:spacing w:line="360" w:lineRule="auto"/>
              <w:jc w:val="center"/>
              <w:rPr>
                <w:b/>
                <w:bCs/>
                <w:color w:val="000000"/>
                <w:lang w:val="fr-FR"/>
              </w:rPr>
            </w:pPr>
            <w:r w:rsidRPr="00AD5F90">
              <w:rPr>
                <w:b/>
                <w:bCs/>
                <w:color w:val="000000"/>
                <w:lang w:val="fr-FR"/>
              </w:rPr>
              <w:t>Critères</w:t>
            </w:r>
          </w:p>
        </w:tc>
        <w:tc>
          <w:tcPr>
            <w:tcW w:w="0" w:type="auto"/>
            <w:shd w:val="clear" w:color="auto" w:fill="D8DCD1"/>
            <w:vAlign w:val="center"/>
            <w:hideMark/>
          </w:tcPr>
          <w:p w:rsidR="00E772DD" w:rsidRPr="00AD5F90" w:rsidRDefault="00E772DD" w:rsidP="002F5C80">
            <w:pPr>
              <w:spacing w:line="360" w:lineRule="auto"/>
              <w:jc w:val="center"/>
              <w:rPr>
                <w:b/>
                <w:bCs/>
                <w:color w:val="000000"/>
                <w:lang w:val="fr-FR"/>
              </w:rPr>
            </w:pPr>
            <w:r w:rsidRPr="00AD5F90">
              <w:rPr>
                <w:b/>
                <w:bCs/>
                <w:color w:val="000000"/>
                <w:lang w:val="fr-FR"/>
              </w:rPr>
              <w:t>Théorie X</w:t>
            </w:r>
          </w:p>
        </w:tc>
        <w:tc>
          <w:tcPr>
            <w:tcW w:w="0" w:type="auto"/>
            <w:shd w:val="clear" w:color="auto" w:fill="D8DCD1"/>
            <w:vAlign w:val="center"/>
            <w:hideMark/>
          </w:tcPr>
          <w:p w:rsidR="00E772DD" w:rsidRPr="00AD5F90" w:rsidRDefault="00E772DD" w:rsidP="002F5C80">
            <w:pPr>
              <w:spacing w:line="360" w:lineRule="auto"/>
              <w:jc w:val="center"/>
              <w:rPr>
                <w:b/>
                <w:bCs/>
                <w:color w:val="000000"/>
                <w:lang w:val="fr-FR"/>
              </w:rPr>
            </w:pPr>
            <w:r w:rsidRPr="00AD5F90">
              <w:rPr>
                <w:b/>
                <w:bCs/>
                <w:color w:val="000000"/>
                <w:lang w:val="fr-FR"/>
              </w:rPr>
              <w:t>Théorie Y</w:t>
            </w:r>
          </w:p>
        </w:tc>
      </w:tr>
      <w:tr w:rsidR="00E772DD" w:rsidRPr="00427D18" w:rsidTr="002F5C80">
        <w:tc>
          <w:tcPr>
            <w:tcW w:w="0" w:type="auto"/>
            <w:shd w:val="clear" w:color="auto" w:fill="D8DCD1"/>
            <w:vAlign w:val="center"/>
            <w:hideMark/>
          </w:tcPr>
          <w:p w:rsidR="00E772DD" w:rsidRPr="00AD5F90" w:rsidRDefault="00E772DD" w:rsidP="002F5C80">
            <w:pPr>
              <w:spacing w:line="360" w:lineRule="auto"/>
              <w:jc w:val="center"/>
              <w:rPr>
                <w:color w:val="000000"/>
                <w:lang w:val="fr-FR"/>
              </w:rPr>
            </w:pPr>
            <w:r w:rsidRPr="00AD5F90">
              <w:rPr>
                <w:b/>
                <w:bCs/>
                <w:color w:val="000000"/>
                <w:lang w:val="fr-FR"/>
              </w:rPr>
              <w:t>Vision de l’employé</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L’individu est paresseux et évite le travail</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L’individu est motivé et aime son travail</w:t>
            </w:r>
          </w:p>
        </w:tc>
      </w:tr>
      <w:tr w:rsidR="00E772DD" w:rsidRPr="00427D18" w:rsidTr="002F5C80">
        <w:tc>
          <w:tcPr>
            <w:tcW w:w="0" w:type="auto"/>
            <w:shd w:val="clear" w:color="auto" w:fill="D8DCD1"/>
            <w:vAlign w:val="center"/>
            <w:hideMark/>
          </w:tcPr>
          <w:p w:rsidR="00E772DD" w:rsidRPr="00AD5F90" w:rsidRDefault="00E772DD" w:rsidP="002F5C80">
            <w:pPr>
              <w:spacing w:line="360" w:lineRule="auto"/>
              <w:jc w:val="center"/>
              <w:rPr>
                <w:color w:val="000000"/>
                <w:lang w:val="fr-FR"/>
              </w:rPr>
            </w:pPr>
            <w:r w:rsidRPr="00AD5F90">
              <w:rPr>
                <w:b/>
                <w:bCs/>
                <w:color w:val="000000"/>
                <w:lang w:val="fr-FR"/>
              </w:rPr>
              <w:t>Motivation</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Nécessite des contrôles stricts et des incitations externes</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Motivé par l’accomplissement personnel et l'autonomie</w:t>
            </w:r>
          </w:p>
        </w:tc>
      </w:tr>
      <w:tr w:rsidR="00E772DD" w:rsidRPr="00427D18" w:rsidTr="002F5C80">
        <w:tc>
          <w:tcPr>
            <w:tcW w:w="0" w:type="auto"/>
            <w:shd w:val="clear" w:color="auto" w:fill="D8DCD1"/>
            <w:vAlign w:val="center"/>
            <w:hideMark/>
          </w:tcPr>
          <w:p w:rsidR="00E772DD" w:rsidRPr="00AD5F90" w:rsidRDefault="00E772DD" w:rsidP="002F5C80">
            <w:pPr>
              <w:spacing w:line="360" w:lineRule="auto"/>
              <w:jc w:val="center"/>
              <w:rPr>
                <w:color w:val="000000"/>
                <w:lang w:val="fr-FR"/>
              </w:rPr>
            </w:pPr>
            <w:r w:rsidRPr="00AD5F90">
              <w:rPr>
                <w:b/>
                <w:bCs/>
                <w:color w:val="000000"/>
                <w:lang w:val="fr-FR"/>
              </w:rPr>
              <w:t>Style de management</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Autoritaire, directif</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Participatif, basé sur la confiance</w:t>
            </w:r>
          </w:p>
        </w:tc>
      </w:tr>
      <w:tr w:rsidR="00E772DD" w:rsidRPr="00AD5F90" w:rsidTr="002F5C80">
        <w:tc>
          <w:tcPr>
            <w:tcW w:w="0" w:type="auto"/>
            <w:shd w:val="clear" w:color="auto" w:fill="D8DCD1"/>
            <w:vAlign w:val="center"/>
            <w:hideMark/>
          </w:tcPr>
          <w:p w:rsidR="00E772DD" w:rsidRPr="00AD5F90" w:rsidRDefault="00E772DD" w:rsidP="002F5C80">
            <w:pPr>
              <w:spacing w:line="360" w:lineRule="auto"/>
              <w:jc w:val="center"/>
              <w:rPr>
                <w:color w:val="000000"/>
                <w:lang w:val="fr-FR"/>
              </w:rPr>
            </w:pPr>
            <w:r w:rsidRPr="00AD5F90">
              <w:rPr>
                <w:b/>
                <w:bCs/>
                <w:color w:val="000000"/>
                <w:lang w:val="fr-FR"/>
              </w:rPr>
              <w:t>Prise de décision</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Centralisée au niveau des dirigeants</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Décentralisée, favorisant la collaboration</w:t>
            </w:r>
          </w:p>
        </w:tc>
      </w:tr>
      <w:tr w:rsidR="00E772DD" w:rsidRPr="00427D18" w:rsidTr="002F5C80">
        <w:tc>
          <w:tcPr>
            <w:tcW w:w="0" w:type="auto"/>
            <w:shd w:val="clear" w:color="auto" w:fill="D8DCD1"/>
            <w:vAlign w:val="center"/>
            <w:hideMark/>
          </w:tcPr>
          <w:p w:rsidR="00E772DD" w:rsidRPr="00AD5F90" w:rsidRDefault="00E772DD" w:rsidP="002F5C80">
            <w:pPr>
              <w:spacing w:line="360" w:lineRule="auto"/>
              <w:jc w:val="center"/>
              <w:rPr>
                <w:color w:val="000000"/>
                <w:lang w:val="fr-FR"/>
              </w:rPr>
            </w:pPr>
            <w:r w:rsidRPr="00AD5F90">
              <w:rPr>
                <w:b/>
                <w:bCs/>
                <w:color w:val="000000"/>
                <w:lang w:val="fr-FR"/>
              </w:rPr>
              <w:t>Autonomie et responsabilité</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Faible, besoin de supervision constante</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Élevée, confiance dans la capacité des employés</w:t>
            </w:r>
          </w:p>
        </w:tc>
      </w:tr>
      <w:tr w:rsidR="00E772DD" w:rsidRPr="00AD5F90" w:rsidTr="002F5C80">
        <w:tc>
          <w:tcPr>
            <w:tcW w:w="0" w:type="auto"/>
            <w:shd w:val="clear" w:color="auto" w:fill="D8DCD1"/>
            <w:vAlign w:val="center"/>
            <w:hideMark/>
          </w:tcPr>
          <w:p w:rsidR="00E772DD" w:rsidRPr="00AD5F90" w:rsidRDefault="00E772DD" w:rsidP="002F5C80">
            <w:pPr>
              <w:spacing w:line="360" w:lineRule="auto"/>
              <w:jc w:val="center"/>
              <w:rPr>
                <w:color w:val="000000"/>
                <w:lang w:val="fr-FR"/>
              </w:rPr>
            </w:pPr>
            <w:r w:rsidRPr="00AD5F90">
              <w:rPr>
                <w:b/>
                <w:bCs/>
                <w:color w:val="000000"/>
                <w:lang w:val="fr-FR"/>
              </w:rPr>
              <w:t>Créativité et innovation</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Peu encouragées, obéissance requise</w:t>
            </w:r>
          </w:p>
        </w:tc>
        <w:tc>
          <w:tcPr>
            <w:tcW w:w="0" w:type="auto"/>
            <w:vAlign w:val="center"/>
            <w:hideMark/>
          </w:tcPr>
          <w:p w:rsidR="00E772DD" w:rsidRPr="00AD5F90" w:rsidRDefault="00E772DD" w:rsidP="002F5C80">
            <w:pPr>
              <w:spacing w:line="360" w:lineRule="auto"/>
              <w:jc w:val="center"/>
              <w:rPr>
                <w:color w:val="000000"/>
                <w:lang w:val="fr-FR"/>
              </w:rPr>
            </w:pPr>
            <w:r w:rsidRPr="00AD5F90">
              <w:rPr>
                <w:color w:val="000000"/>
                <w:lang w:val="fr-FR"/>
              </w:rPr>
              <w:t>Encouragées, favorise l’initiative individuelle</w:t>
            </w:r>
          </w:p>
        </w:tc>
      </w:tr>
    </w:tbl>
    <w:p w:rsidR="00E772DD" w:rsidRPr="00AD5F90" w:rsidRDefault="00E772DD" w:rsidP="00AA15A0">
      <w:pPr>
        <w:spacing w:after="240" w:line="360" w:lineRule="auto"/>
        <w:jc w:val="center"/>
        <w:rPr>
          <w:rFonts w:asciiTheme="majorBidi" w:hAnsiTheme="majorBidi" w:cstheme="majorBidi"/>
          <w:color w:val="000000"/>
          <w:lang w:val="fr-FR"/>
        </w:rPr>
      </w:pPr>
      <w:r w:rsidRPr="005F596E">
        <w:rPr>
          <w:rFonts w:asciiTheme="majorBidi" w:hAnsiTheme="majorBidi" w:cstheme="majorBidi"/>
          <w:b/>
          <w:bCs/>
          <w:color w:val="000000"/>
          <w:lang w:val="en-US"/>
        </w:rPr>
        <w:t>Source :</w:t>
      </w:r>
      <w:r w:rsidRPr="005B2A02">
        <w:rPr>
          <w:rFonts w:asciiTheme="majorBidi" w:hAnsiTheme="majorBidi" w:cstheme="majorBidi"/>
          <w:color w:val="000000"/>
          <w:lang w:val="en-US"/>
        </w:rPr>
        <w:t xml:space="preserve"> McGregor, D. (1960). The human side of enterprise. </w:t>
      </w:r>
      <w:r w:rsidRPr="00AD5F90">
        <w:rPr>
          <w:rFonts w:asciiTheme="majorBidi" w:hAnsiTheme="majorBidi" w:cstheme="majorBidi"/>
          <w:color w:val="000000"/>
          <w:lang w:val="fr-FR"/>
        </w:rPr>
        <w:t>McGraw-Hill.</w:t>
      </w:r>
    </w:p>
    <w:p w:rsidR="00E772DD" w:rsidRPr="007B7581" w:rsidRDefault="00E772DD" w:rsidP="004D32AC">
      <w:pPr>
        <w:pStyle w:val="Titre3"/>
        <w:numPr>
          <w:ilvl w:val="2"/>
          <w:numId w:val="67"/>
        </w:numPr>
        <w:spacing w:before="0" w:beforeAutospacing="0" w:after="0" w:afterAutospacing="0" w:line="360" w:lineRule="auto"/>
        <w:rPr>
          <w:rStyle w:val="lev"/>
          <w:rFonts w:asciiTheme="majorBidi" w:hAnsiTheme="majorBidi"/>
          <w:b/>
          <w:bCs/>
          <w:i/>
          <w:iCs/>
          <w:color w:val="000000"/>
          <w:sz w:val="24"/>
          <w:szCs w:val="24"/>
          <w:lang w:val="fr-FR"/>
        </w:rPr>
      </w:pPr>
      <w:bookmarkStart w:id="160" w:name="_Toc199714243"/>
      <w:bookmarkStart w:id="161" w:name="_Toc200486521"/>
      <w:bookmarkStart w:id="162" w:name="_Toc200635297"/>
      <w:bookmarkStart w:id="163" w:name="_Toc200635685"/>
      <w:bookmarkStart w:id="164" w:name="_Toc200636074"/>
      <w:bookmarkStart w:id="165" w:name="_Toc200755811"/>
      <w:r w:rsidRPr="007B7581">
        <w:rPr>
          <w:rStyle w:val="lev"/>
          <w:rFonts w:asciiTheme="majorBidi" w:hAnsiTheme="majorBidi"/>
          <w:b/>
          <w:bCs/>
          <w:color w:val="000000"/>
          <w:sz w:val="24"/>
          <w:szCs w:val="24"/>
          <w:lang w:val="fr-FR"/>
        </w:rPr>
        <w:t>Théories de la motivation</w:t>
      </w:r>
      <w:bookmarkEnd w:id="160"/>
      <w:bookmarkEnd w:id="161"/>
      <w:bookmarkEnd w:id="162"/>
      <w:bookmarkEnd w:id="163"/>
      <w:bookmarkEnd w:id="164"/>
      <w:bookmarkEnd w:id="165"/>
    </w:p>
    <w:p w:rsidR="00E772DD" w:rsidRPr="00314136" w:rsidRDefault="00E772DD" w:rsidP="007B7581">
      <w:pPr>
        <w:spacing w:line="360" w:lineRule="auto"/>
        <w:jc w:val="both"/>
        <w:rPr>
          <w:lang w:val="fr-FR"/>
        </w:rPr>
      </w:pPr>
      <w:r w:rsidRPr="00314136">
        <w:rPr>
          <w:lang w:val="fr-FR"/>
        </w:rPr>
        <w:t>La motivation au travail fait l’objet de plusieurs théories visant à expliquer les facteurs qui influencent l’engagement et la performance des individus.</w:t>
      </w:r>
    </w:p>
    <w:p w:rsidR="00E772DD" w:rsidRPr="00A16730" w:rsidRDefault="00E772DD" w:rsidP="004D32AC">
      <w:pPr>
        <w:numPr>
          <w:ilvl w:val="0"/>
          <w:numId w:val="45"/>
        </w:numPr>
        <w:spacing w:line="360" w:lineRule="auto"/>
        <w:jc w:val="both"/>
        <w:rPr>
          <w:rStyle w:val="lev"/>
          <w:rFonts w:asciiTheme="majorBidi" w:hAnsiTheme="majorBidi" w:cstheme="majorBidi"/>
          <w:b w:val="0"/>
          <w:bCs w:val="0"/>
          <w:color w:val="000000"/>
          <w:lang w:val="fr-FR"/>
        </w:rPr>
      </w:pPr>
      <w:r w:rsidRPr="00AD5F90">
        <w:rPr>
          <w:rStyle w:val="lev"/>
          <w:rFonts w:asciiTheme="majorBidi" w:hAnsiTheme="majorBidi"/>
          <w:color w:val="000000"/>
          <w:lang w:val="fr-FR"/>
        </w:rPr>
        <w:t>Pyramide des besoins de Maslow</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xml:space="preserve">: La pyramide des besoins de Maslow est une théorie qui classe les besoins humains en cinq niveaux hiérarchiques, allant des besoins fondamentaux aux aspirations plus élevées. Au bas de la pyramide se trouvent les besoins </w:t>
      </w:r>
      <w:r w:rsidRPr="00AD5F90">
        <w:rPr>
          <w:rFonts w:asciiTheme="majorBidi" w:hAnsiTheme="majorBidi" w:cstheme="majorBidi"/>
          <w:color w:val="000000"/>
          <w:lang w:val="fr-FR"/>
        </w:rPr>
        <w:lastRenderedPageBreak/>
        <w:t>physiologiques (nourriture, eau), suivis des besoins de sécurité . Ensuite, viennent les besoins sociaux (relations, appartenance à un groupe), puis les besoins d’estime (reconnaissance, respect des autres). Au sommet se trouve le besoin d'accomplissement personnel (réalisation de son potentiel, créativité). Maslow soutient que les individus sont motivés par l'accomplissement progressif de ces besoins, commençant par les plus fondamentaux et allant vers les plus élevés. Selon cette théorie, tant que les besoins inférieurs ne sont pas satisfaits, les individus ne chercheront pas à satisfaire ceux qui sont plus élevés.</w:t>
      </w:r>
      <w:r w:rsidRPr="00AD5F90">
        <w:rPr>
          <w:rStyle w:val="Appelnotedebasdep"/>
          <w:rFonts w:cstheme="majorBidi"/>
          <w:color w:val="000000"/>
          <w:lang w:val="fr-FR"/>
        </w:rPr>
        <w:footnoteReference w:id="33"/>
      </w:r>
    </w:p>
    <w:p w:rsidR="00E772DD" w:rsidRPr="00720872" w:rsidRDefault="00E772DD" w:rsidP="00AA15A0">
      <w:pPr>
        <w:spacing w:line="360" w:lineRule="auto"/>
        <w:jc w:val="center"/>
        <w:rPr>
          <w:rFonts w:asciiTheme="majorBidi" w:hAnsiTheme="majorBidi" w:cstheme="majorBidi"/>
          <w:color w:val="000000"/>
          <w:lang w:val="fr-FR"/>
        </w:rPr>
      </w:pPr>
      <w:r w:rsidRPr="00720872">
        <w:rPr>
          <w:rStyle w:val="lev"/>
          <w:rFonts w:asciiTheme="majorBidi" w:hAnsiTheme="majorBidi"/>
          <w:color w:val="000000"/>
          <w:lang w:val="fr-FR"/>
        </w:rPr>
        <w:t>Figure N°01 </w:t>
      </w:r>
      <w:r w:rsidRPr="00720872">
        <w:rPr>
          <w:lang w:val="fr-FR"/>
        </w:rPr>
        <w:t>: La pyramide de Maslow</w:t>
      </w:r>
    </w:p>
    <w:p w:rsidR="00E772DD" w:rsidRPr="00AD5F90" w:rsidRDefault="00E772DD" w:rsidP="00AA15A0">
      <w:pPr>
        <w:spacing w:line="360" w:lineRule="auto"/>
        <w:ind w:left="360"/>
        <w:jc w:val="center"/>
        <w:rPr>
          <w:lang w:val="fr-FR"/>
        </w:rPr>
      </w:pPr>
      <w:r w:rsidRPr="00AD5F90">
        <w:rPr>
          <w:lang w:val="fr-FR"/>
        </w:rPr>
        <w:fldChar w:fldCharType="begin"/>
      </w:r>
      <w:r w:rsidRPr="00AD5F90">
        <w:rPr>
          <w:lang w:val="fr-FR"/>
        </w:rPr>
        <w:instrText xml:space="preserve"> INCLUDEPICTURE "/Users/misha/Library/Group Containers/UBF8T346G9.ms/WebArchiveCopyPasteTempFiles/com.microsoft.Word/image-10.png" \* MERGEFORMATINET </w:instrText>
      </w:r>
      <w:r w:rsidRPr="00AD5F90">
        <w:rPr>
          <w:lang w:val="fr-FR"/>
        </w:rPr>
        <w:fldChar w:fldCharType="separate"/>
      </w:r>
      <w:r w:rsidRPr="00AD5F90">
        <w:rPr>
          <w:noProof/>
          <w:lang w:val="fr-FR"/>
        </w:rPr>
        <w:drawing>
          <wp:inline distT="0" distB="0" distL="0" distR="0" wp14:anchorId="16D23715" wp14:editId="1997D83A">
            <wp:extent cx="3552276" cy="3014804"/>
            <wp:effectExtent l="0" t="0" r="3810" b="0"/>
            <wp:docPr id="1464734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4783" cy="3033906"/>
                    </a:xfrm>
                    <a:prstGeom prst="rect">
                      <a:avLst/>
                    </a:prstGeom>
                    <a:noFill/>
                    <a:ln>
                      <a:noFill/>
                    </a:ln>
                  </pic:spPr>
                </pic:pic>
              </a:graphicData>
            </a:graphic>
          </wp:inline>
        </w:drawing>
      </w:r>
      <w:r w:rsidRPr="00AD5F90">
        <w:rPr>
          <w:lang w:val="fr-FR"/>
        </w:rPr>
        <w:fldChar w:fldCharType="end"/>
      </w:r>
    </w:p>
    <w:p w:rsidR="00E772DD" w:rsidRPr="00AD5F90" w:rsidRDefault="00E772DD" w:rsidP="00AA15A0">
      <w:pPr>
        <w:spacing w:after="240" w:line="360" w:lineRule="auto"/>
        <w:ind w:left="360"/>
        <w:jc w:val="center"/>
        <w:rPr>
          <w:rFonts w:asciiTheme="majorBidi" w:hAnsiTheme="majorBidi" w:cstheme="majorBidi"/>
          <w:color w:val="000000"/>
          <w:lang w:val="fr-FR"/>
        </w:rPr>
      </w:pPr>
      <w:r w:rsidRPr="00A16730">
        <w:rPr>
          <w:b/>
          <w:bCs/>
          <w:lang w:val="fr-FR"/>
        </w:rPr>
        <w:t>Source :</w:t>
      </w:r>
      <w:r w:rsidRPr="00AD5F90">
        <w:rPr>
          <w:b/>
          <w:bCs/>
          <w:lang w:val="fr-FR"/>
        </w:rPr>
        <w:t xml:space="preserve"> </w:t>
      </w:r>
      <w:proofErr w:type="spellStart"/>
      <w:r w:rsidRPr="00AD5F90">
        <w:rPr>
          <w:rStyle w:val="lev"/>
          <w:b w:val="0"/>
          <w:bCs w:val="0"/>
          <w:color w:val="000000"/>
          <w:lang w:val="fr-FR"/>
        </w:rPr>
        <w:t>Scribbr</w:t>
      </w:r>
      <w:proofErr w:type="spellEnd"/>
      <w:r w:rsidRPr="00AD5F90">
        <w:rPr>
          <w:rStyle w:val="lev"/>
          <w:b w:val="0"/>
          <w:bCs w:val="0"/>
          <w:color w:val="000000"/>
          <w:lang w:val="fr-FR"/>
        </w:rPr>
        <w:t>. (27</w:t>
      </w:r>
      <w:r w:rsidR="00C8394C">
        <w:rPr>
          <w:rStyle w:val="lev"/>
          <w:b w:val="0"/>
          <w:bCs w:val="0"/>
          <w:color w:val="000000"/>
          <w:lang w:val="fr-FR"/>
        </w:rPr>
        <w:t xml:space="preserve"> janvier 2020 </w:t>
      </w:r>
      <w:r w:rsidRPr="00AD5F90">
        <w:rPr>
          <w:rStyle w:val="lev"/>
          <w:b w:val="0"/>
          <w:bCs w:val="0"/>
          <w:color w:val="000000"/>
          <w:lang w:val="fr-FR"/>
        </w:rPr>
        <w:t xml:space="preserve">). Pyramide de Maslow : explication de la théorie des besoins. </w:t>
      </w:r>
      <w:proofErr w:type="spellStart"/>
      <w:r w:rsidRPr="00AD5F90">
        <w:rPr>
          <w:rStyle w:val="lev"/>
          <w:b w:val="0"/>
          <w:bCs w:val="0"/>
          <w:color w:val="000000"/>
          <w:lang w:val="fr-FR"/>
        </w:rPr>
        <w:t>Scribbr</w:t>
      </w:r>
      <w:proofErr w:type="spellEnd"/>
      <w:r w:rsidRPr="00AD5F90">
        <w:rPr>
          <w:rStyle w:val="lev"/>
          <w:b w:val="0"/>
          <w:bCs w:val="0"/>
          <w:color w:val="000000"/>
          <w:lang w:val="fr-FR"/>
        </w:rPr>
        <w:t xml:space="preserve">. </w:t>
      </w:r>
      <w:hyperlink r:id="rId20" w:tgtFrame="_new" w:history="1">
        <w:r w:rsidRPr="00AD5F90">
          <w:rPr>
            <w:rStyle w:val="Lienhypertexte"/>
            <w:rFonts w:eastAsiaTheme="majorEastAsia"/>
            <w:b/>
            <w:bCs/>
            <w:lang w:val="fr-FR"/>
          </w:rPr>
          <w:t>https://www.scribbr.fr/methodologie/pyramide-de-maslow/</w:t>
        </w:r>
      </w:hyperlink>
    </w:p>
    <w:p w:rsidR="00E772DD" w:rsidRPr="00AD5F90" w:rsidRDefault="00E772DD" w:rsidP="004D32AC">
      <w:pPr>
        <w:numPr>
          <w:ilvl w:val="0"/>
          <w:numId w:val="45"/>
        </w:numPr>
        <w:spacing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Théorie des deux facteurs de Herzberg</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w:t>
      </w:r>
      <w:r w:rsidRPr="00AD5F90">
        <w:rPr>
          <w:lang w:val="fr-FR"/>
        </w:rPr>
        <w:t xml:space="preserve"> </w:t>
      </w:r>
      <w:r w:rsidRPr="00AD5F90">
        <w:rPr>
          <w:rFonts w:asciiTheme="majorBidi" w:hAnsiTheme="majorBidi" w:cstheme="majorBidi"/>
          <w:color w:val="000000"/>
          <w:lang w:val="fr-FR"/>
        </w:rPr>
        <w:t xml:space="preserve">La théorie des deux facteurs de Herzberg explique que la satisfaction et l’engagement au travail dépendent de deux types de facteurs: les facteurs d’hygiène et les facteurs de motivation. Les facteurs d’hygiène, tels que les conditions de travail, le salaire et la sécurité de l’emploi, sont essentiels pour éviter l’insatisfaction, mais ne génèrent pas à eux seuls de la satisfaction. En revanche, les facteurs de motivation, comme la reconnaissance, les opportunités d’évolution et l’accomplissement de tâches significatives, favorisent l’engagement et la satisfaction durable. Herzberg met en avant l’importance de gérer à la fois les facteurs d’hygiène et de </w:t>
      </w:r>
      <w:r w:rsidRPr="00AD5F90">
        <w:rPr>
          <w:rFonts w:asciiTheme="majorBidi" w:hAnsiTheme="majorBidi" w:cstheme="majorBidi"/>
          <w:color w:val="000000"/>
          <w:lang w:val="fr-FR"/>
        </w:rPr>
        <w:lastRenderedPageBreak/>
        <w:t>stimuler les facteurs de motivation pour améliorer l’environnement de travail et la performance des employés.</w:t>
      </w:r>
      <w:r w:rsidRPr="00AD5F90">
        <w:rPr>
          <w:rStyle w:val="Appelnotedebasdep"/>
          <w:rFonts w:cstheme="majorBidi"/>
          <w:color w:val="000000"/>
          <w:lang w:val="fr-FR"/>
        </w:rPr>
        <w:footnoteReference w:id="34"/>
      </w:r>
    </w:p>
    <w:p w:rsidR="00E772DD" w:rsidRPr="00AD5F90" w:rsidRDefault="00E772DD" w:rsidP="004D32AC">
      <w:pPr>
        <w:numPr>
          <w:ilvl w:val="0"/>
          <w:numId w:val="45"/>
        </w:numPr>
        <w:spacing w:after="240"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Modèle AMO (Capacité, Motivation, Opportunité)</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Le modèle AMO propose que la performance des employés résulte de l’interaction de trois facteurs essentiels : la capacité, la motivation et les opportunités. La capacité fait référence aux compétences et aux qualifications des employés, qui doivent être adaptées aux exigences du poste. La motivation englobe l'engagement et le désir des employés de performer, influencés par des facteurs internes et externes comme la reconnaissance ou la rémunération. Enfin, les opportunités concernent les ressources et les conditions fournies par l’entreprise, telles que l'accès à la formation, les possibilités d'évolution de carrière ou un environnement de travail favorable. Selon ce modèle, pour maximiser la performance, il est crucial de s’assurer que ces trois éléments sont présents et optimisés simultanément dans l’organisation.</w:t>
      </w:r>
      <w:r w:rsidRPr="00AD5F90">
        <w:rPr>
          <w:rStyle w:val="Appelnotedebasdep"/>
          <w:rFonts w:cstheme="majorBidi"/>
          <w:color w:val="000000"/>
          <w:lang w:val="fr-FR"/>
        </w:rPr>
        <w:footnoteReference w:id="35"/>
      </w:r>
      <w:r w:rsidRPr="00AD5F90">
        <w:rPr>
          <w:rFonts w:asciiTheme="majorBidi" w:hAnsiTheme="majorBidi" w:cstheme="majorBidi"/>
          <w:color w:val="000000"/>
          <w:lang w:val="fr-FR"/>
        </w:rPr>
        <w:t xml:space="preserve"> </w:t>
      </w:r>
    </w:p>
    <w:p w:rsidR="00E772DD" w:rsidRPr="007B7581" w:rsidRDefault="00E772DD" w:rsidP="004D32AC">
      <w:pPr>
        <w:pStyle w:val="Titre3"/>
        <w:numPr>
          <w:ilvl w:val="2"/>
          <w:numId w:val="67"/>
        </w:numPr>
        <w:spacing w:after="0" w:afterAutospacing="0" w:line="360" w:lineRule="auto"/>
        <w:rPr>
          <w:rFonts w:cstheme="majorBidi"/>
          <w:b w:val="0"/>
          <w:bCs w:val="0"/>
          <w:sz w:val="24"/>
          <w:szCs w:val="24"/>
          <w:lang w:val="fr-FR"/>
        </w:rPr>
      </w:pPr>
      <w:bookmarkStart w:id="169" w:name="_Toc199714244"/>
      <w:bookmarkStart w:id="170" w:name="_Toc200486522"/>
      <w:bookmarkStart w:id="171" w:name="_Toc200635298"/>
      <w:bookmarkStart w:id="172" w:name="_Toc200635686"/>
      <w:bookmarkStart w:id="173" w:name="_Toc200636075"/>
      <w:bookmarkStart w:id="174" w:name="_Toc200755812"/>
      <w:r w:rsidRPr="007B7581">
        <w:rPr>
          <w:rStyle w:val="lev"/>
          <w:rFonts w:asciiTheme="majorBidi" w:hAnsiTheme="majorBidi"/>
          <w:b/>
          <w:bCs/>
          <w:color w:val="000000"/>
          <w:sz w:val="24"/>
          <w:szCs w:val="24"/>
          <w:lang w:val="fr-FR"/>
        </w:rPr>
        <w:t>Théorie du développement des ressources humaines</w:t>
      </w:r>
      <w:r w:rsidRPr="007B7581">
        <w:rPr>
          <w:rStyle w:val="apple-converted-space"/>
          <w:rFonts w:asciiTheme="majorBidi" w:hAnsiTheme="majorBidi" w:cstheme="majorBidi"/>
          <w:b w:val="0"/>
          <w:bCs w:val="0"/>
          <w:color w:val="000000"/>
          <w:sz w:val="24"/>
          <w:szCs w:val="24"/>
          <w:lang w:val="fr-FR"/>
        </w:rPr>
        <w:t> </w:t>
      </w:r>
      <w:r w:rsidRPr="007B7581">
        <w:rPr>
          <w:rFonts w:cstheme="majorBidi"/>
          <w:sz w:val="24"/>
          <w:szCs w:val="24"/>
          <w:lang w:val="fr-FR"/>
        </w:rPr>
        <w:t>:</w:t>
      </w:r>
      <w:bookmarkEnd w:id="169"/>
      <w:bookmarkEnd w:id="170"/>
      <w:bookmarkEnd w:id="171"/>
      <w:bookmarkEnd w:id="172"/>
      <w:bookmarkEnd w:id="173"/>
      <w:bookmarkEnd w:id="174"/>
      <w:r w:rsidRPr="007B7581">
        <w:rPr>
          <w:rFonts w:cstheme="majorBidi"/>
          <w:sz w:val="24"/>
          <w:szCs w:val="24"/>
          <w:lang w:val="fr-FR"/>
        </w:rPr>
        <w:t xml:space="preserve"> </w:t>
      </w:r>
    </w:p>
    <w:p w:rsidR="00E772DD" w:rsidRPr="00AD5F90" w:rsidRDefault="00E772DD" w:rsidP="007B7581">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Cette théorie met en avant l'importance de la formation continue et du développement personnel pour les employés. Elle considère que l'amélioration des compétences permet d'augmenter la performance et de renforcer la compétitivité de l'entreprise. En soutenant l'apprentissage et la progression des talents, l'organisation favorise l'innovation et contribue à sa réussite globale.</w:t>
      </w:r>
      <w:r w:rsidRPr="00AD5F90">
        <w:rPr>
          <w:rStyle w:val="Appelnotedebasdep"/>
          <w:rFonts w:cstheme="majorBidi"/>
          <w:color w:val="000000"/>
          <w:lang w:val="fr-FR"/>
        </w:rPr>
        <w:t xml:space="preserve"> </w:t>
      </w:r>
      <w:r w:rsidRPr="00AD5F90">
        <w:rPr>
          <w:rStyle w:val="Appelnotedebasdep"/>
          <w:rFonts w:cstheme="majorBidi"/>
          <w:color w:val="000000"/>
          <w:lang w:val="fr-FR"/>
        </w:rPr>
        <w:footnoteReference w:id="36"/>
      </w:r>
      <w:r w:rsidRPr="00AD5F90">
        <w:rPr>
          <w:rFonts w:asciiTheme="majorBidi" w:hAnsiTheme="majorBidi" w:cstheme="majorBidi"/>
          <w:color w:val="000000"/>
          <w:lang w:val="fr-FR"/>
        </w:rPr>
        <w:t xml:space="preserve"> </w:t>
      </w:r>
    </w:p>
    <w:p w:rsidR="00E772DD" w:rsidRPr="007B7581" w:rsidRDefault="00E772DD" w:rsidP="004D32AC">
      <w:pPr>
        <w:pStyle w:val="Titre3"/>
        <w:numPr>
          <w:ilvl w:val="2"/>
          <w:numId w:val="67"/>
        </w:numPr>
        <w:spacing w:after="0" w:afterAutospacing="0" w:line="360" w:lineRule="auto"/>
        <w:rPr>
          <w:rStyle w:val="lev"/>
          <w:rFonts w:asciiTheme="majorBidi" w:hAnsiTheme="majorBidi"/>
          <w:b/>
          <w:bCs/>
          <w:i/>
          <w:iCs/>
          <w:color w:val="000000"/>
          <w:sz w:val="24"/>
          <w:szCs w:val="24"/>
          <w:lang w:val="fr-FR"/>
        </w:rPr>
      </w:pPr>
      <w:bookmarkStart w:id="176" w:name="_Toc199714245"/>
      <w:bookmarkStart w:id="177" w:name="_Toc200486523"/>
      <w:bookmarkStart w:id="178" w:name="_Toc200635299"/>
      <w:bookmarkStart w:id="179" w:name="_Toc200635687"/>
      <w:bookmarkStart w:id="180" w:name="_Toc200636076"/>
      <w:bookmarkStart w:id="181" w:name="_Toc200755813"/>
      <w:r w:rsidRPr="007B7581">
        <w:rPr>
          <w:rStyle w:val="lev"/>
          <w:rFonts w:asciiTheme="majorBidi" w:hAnsiTheme="majorBidi"/>
          <w:b/>
          <w:bCs/>
          <w:color w:val="000000"/>
          <w:sz w:val="24"/>
          <w:szCs w:val="24"/>
          <w:lang w:val="fr-FR"/>
        </w:rPr>
        <w:t>Théories économiques basées sur les ressources</w:t>
      </w:r>
      <w:r w:rsidR="007B7581" w:rsidRPr="007B7581">
        <w:rPr>
          <w:rStyle w:val="lev"/>
          <w:rFonts w:asciiTheme="majorBidi" w:hAnsiTheme="majorBidi"/>
          <w:b/>
          <w:bCs/>
          <w:i/>
          <w:iCs/>
          <w:color w:val="000000"/>
          <w:sz w:val="24"/>
          <w:szCs w:val="24"/>
          <w:lang w:val="fr-FR"/>
        </w:rPr>
        <w:t> :</w:t>
      </w:r>
      <w:bookmarkEnd w:id="176"/>
      <w:bookmarkEnd w:id="177"/>
      <w:bookmarkEnd w:id="178"/>
      <w:bookmarkEnd w:id="179"/>
      <w:bookmarkEnd w:id="180"/>
      <w:bookmarkEnd w:id="181"/>
    </w:p>
    <w:p w:rsidR="00E772DD" w:rsidRPr="00314136" w:rsidRDefault="00E772DD" w:rsidP="007B7581">
      <w:pPr>
        <w:spacing w:line="360" w:lineRule="auto"/>
        <w:jc w:val="both"/>
        <w:rPr>
          <w:lang w:val="fr-FR"/>
        </w:rPr>
      </w:pPr>
      <w:r w:rsidRPr="00314136">
        <w:rPr>
          <w:lang w:val="fr-FR"/>
        </w:rPr>
        <w:t>Les théories économiques basées sur les ressources analysent l’entreprise à travers ses actifs stratégiques, dont les ressources humaines, considérées comme un levier de performance durable.</w:t>
      </w:r>
    </w:p>
    <w:p w:rsidR="00E772DD" w:rsidRPr="00AD5F90" w:rsidRDefault="00E772DD" w:rsidP="004D32AC">
      <w:pPr>
        <w:numPr>
          <w:ilvl w:val="0"/>
          <w:numId w:val="46"/>
        </w:numPr>
        <w:spacing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Théorie du capital humain</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Cette théorie considère les employés comme des atouts essentiels de l'organisation, en mettant l'accent sur leurs compétences et connaissances. Selon cette approche, les investissements dans la formation et le développement des employés augmentent leur valeur pour l'entreprise, contribuant directement à sa réussite et à sa compétitivité. En d’autres termes, les employés sont vus comme un capital qui génère des rendements pour l'organisation à travers leur expertise et leur productivité.</w:t>
      </w:r>
      <w:r w:rsidRPr="00AD5F90">
        <w:rPr>
          <w:rStyle w:val="Appelnotedebasdep"/>
          <w:rFonts w:cstheme="majorBidi"/>
          <w:color w:val="000000"/>
          <w:lang w:val="fr-FR"/>
        </w:rPr>
        <w:footnoteReference w:id="37"/>
      </w:r>
      <w:r w:rsidRPr="00AD5F90">
        <w:rPr>
          <w:rFonts w:asciiTheme="majorBidi" w:hAnsiTheme="majorBidi" w:cstheme="majorBidi"/>
          <w:color w:val="000000"/>
          <w:lang w:val="fr-FR"/>
        </w:rPr>
        <w:t xml:space="preserve"> </w:t>
      </w:r>
    </w:p>
    <w:p w:rsidR="00E772DD" w:rsidRPr="00AD5F90" w:rsidRDefault="00E772DD" w:rsidP="004D32AC">
      <w:pPr>
        <w:numPr>
          <w:ilvl w:val="0"/>
          <w:numId w:val="46"/>
        </w:numPr>
        <w:spacing w:after="240"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lastRenderedPageBreak/>
        <w:t>Théorie basée sur les ressources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Elle soutient que l’avantage compétitif d'une entreprise découle de l'accumulation et de l’exploitation stratégique de ses ressources uniques, dont les ressources humaines font partie intégrante. Selon cette théorie, les entreprises qui possèdent des ressources rares, inimitables et difficilement substituables (comme des talents ou une culture organisationnelle forte) sont mieux positionnées pour se distinguer de la concurrence et maintenir leur succès à long terme.</w:t>
      </w:r>
      <w:r w:rsidRPr="00AD5F90">
        <w:rPr>
          <w:rStyle w:val="Appelnotedebasdep"/>
          <w:rFonts w:cstheme="majorBidi"/>
          <w:color w:val="000000"/>
          <w:lang w:val="fr-FR"/>
        </w:rPr>
        <w:footnoteReference w:id="38"/>
      </w:r>
      <w:r w:rsidRPr="00AD5F90">
        <w:rPr>
          <w:rFonts w:asciiTheme="majorBidi" w:hAnsiTheme="majorBidi" w:cstheme="majorBidi"/>
          <w:color w:val="000000"/>
          <w:lang w:val="fr-FR"/>
        </w:rPr>
        <w:t xml:space="preserve"> </w:t>
      </w:r>
    </w:p>
    <w:p w:rsidR="00E772DD" w:rsidRPr="007B7581" w:rsidRDefault="00E772DD" w:rsidP="004D32AC">
      <w:pPr>
        <w:pStyle w:val="Titre3"/>
        <w:numPr>
          <w:ilvl w:val="2"/>
          <w:numId w:val="67"/>
        </w:numPr>
        <w:spacing w:after="0" w:afterAutospacing="0" w:line="360" w:lineRule="auto"/>
        <w:rPr>
          <w:rStyle w:val="lev"/>
          <w:rFonts w:asciiTheme="majorBidi" w:hAnsiTheme="majorBidi"/>
          <w:b/>
          <w:bCs/>
          <w:i/>
          <w:iCs/>
          <w:color w:val="000000"/>
          <w:sz w:val="24"/>
          <w:szCs w:val="24"/>
          <w:lang w:val="fr-FR"/>
        </w:rPr>
      </w:pPr>
      <w:bookmarkStart w:id="184" w:name="_Toc199714246"/>
      <w:bookmarkStart w:id="185" w:name="_Toc200486524"/>
      <w:bookmarkStart w:id="186" w:name="_Toc200635300"/>
      <w:bookmarkStart w:id="187" w:name="_Toc200635688"/>
      <w:bookmarkStart w:id="188" w:name="_Toc200636077"/>
      <w:bookmarkStart w:id="189" w:name="_Toc200755814"/>
      <w:r w:rsidRPr="007B7581">
        <w:rPr>
          <w:rStyle w:val="lev"/>
          <w:rFonts w:asciiTheme="majorBidi" w:hAnsiTheme="majorBidi"/>
          <w:b/>
          <w:bCs/>
          <w:color w:val="000000"/>
          <w:sz w:val="24"/>
          <w:szCs w:val="24"/>
          <w:lang w:val="fr-FR"/>
        </w:rPr>
        <w:t>Théories organisationnelles et systémiques</w:t>
      </w:r>
      <w:r w:rsidR="007B7581" w:rsidRPr="007B7581">
        <w:rPr>
          <w:rStyle w:val="lev"/>
          <w:rFonts w:asciiTheme="majorBidi" w:hAnsiTheme="majorBidi"/>
          <w:b/>
          <w:bCs/>
          <w:i/>
          <w:iCs/>
          <w:color w:val="000000"/>
          <w:sz w:val="24"/>
          <w:szCs w:val="24"/>
          <w:lang w:val="fr-FR"/>
        </w:rPr>
        <w:t> :</w:t>
      </w:r>
      <w:bookmarkEnd w:id="184"/>
      <w:bookmarkEnd w:id="185"/>
      <w:bookmarkEnd w:id="186"/>
      <w:bookmarkEnd w:id="187"/>
      <w:bookmarkEnd w:id="188"/>
      <w:bookmarkEnd w:id="189"/>
    </w:p>
    <w:p w:rsidR="00E772DD" w:rsidRPr="00314136" w:rsidRDefault="00E772DD" w:rsidP="007B7581">
      <w:pPr>
        <w:spacing w:line="360" w:lineRule="auto"/>
        <w:jc w:val="both"/>
        <w:rPr>
          <w:lang w:val="fr-FR"/>
        </w:rPr>
      </w:pPr>
      <w:r w:rsidRPr="00314136">
        <w:rPr>
          <w:lang w:val="fr-FR"/>
        </w:rPr>
        <w:t>Les théories organisationnelles et systémiques appréhendent l’entreprise comme un ensemble structuré d’éléments interconnectés, où les ressources humaines jouent un rôle central dans l’équilibre et la performance du système.</w:t>
      </w:r>
    </w:p>
    <w:p w:rsidR="00E772DD" w:rsidRPr="00AD5F90" w:rsidRDefault="00E772DD" w:rsidP="004D32AC">
      <w:pPr>
        <w:numPr>
          <w:ilvl w:val="0"/>
          <w:numId w:val="47"/>
        </w:numPr>
        <w:spacing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Théorie générale des systèmes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Cette théorie considère l'organisation comme un système complexe composé de multiples éléments interconnectés. Chaque fonction de l'entreprise, y compris la gestion des ressources humaines, doit être en harmonie avec les autres fonctions (finance, production, marketing, etc.). Les pratiques RH, telles que le recrutement, la formation ou la gestion des performances, doivent donc être alignées sur les objectifs et les stratégies globales de l'organisation pour garantir une efficacité optimale.</w:t>
      </w:r>
      <w:r w:rsidRPr="00AD5F90">
        <w:rPr>
          <w:rStyle w:val="Appelnotedebasdep"/>
          <w:rFonts w:cstheme="majorBidi"/>
          <w:color w:val="000000"/>
          <w:lang w:val="fr-FR"/>
        </w:rPr>
        <w:footnoteReference w:id="39"/>
      </w:r>
      <w:r w:rsidRPr="00AD5F90">
        <w:rPr>
          <w:rFonts w:asciiTheme="majorBidi" w:hAnsiTheme="majorBidi" w:cstheme="majorBidi"/>
          <w:color w:val="000000"/>
          <w:lang w:val="fr-FR"/>
        </w:rPr>
        <w:t xml:space="preserve"> </w:t>
      </w:r>
    </w:p>
    <w:p w:rsidR="00E772DD" w:rsidRPr="00AD5F90" w:rsidRDefault="00E772DD" w:rsidP="004D32AC">
      <w:pPr>
        <w:numPr>
          <w:ilvl w:val="0"/>
          <w:numId w:val="47"/>
        </w:numPr>
        <w:spacing w:after="240" w:line="360" w:lineRule="auto"/>
        <w:jc w:val="both"/>
        <w:rPr>
          <w:rFonts w:asciiTheme="majorBidi" w:hAnsiTheme="majorBidi" w:cstheme="majorBidi"/>
          <w:color w:val="000000"/>
          <w:lang w:val="fr-FR"/>
        </w:rPr>
      </w:pPr>
      <w:r w:rsidRPr="00AD5F90">
        <w:rPr>
          <w:rStyle w:val="lev"/>
          <w:rFonts w:asciiTheme="majorBidi" w:hAnsiTheme="majorBidi"/>
          <w:color w:val="000000"/>
          <w:lang w:val="fr-FR"/>
        </w:rPr>
        <w:t>Théorie de la contingence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xml:space="preserve">Contrairement à l’idée d’un modèle universel de gestion, cette théorie affirme que l’efficacité des pratiques RH dépend de facteurs contextuels spécifiques à chaque organisation. Cela inclut des éléments comme la taille de l'entreprise, sa structure, son environnement externe ou sa culture interne. Par conséquent, il n'existe pas de méthode unique qui fonctionne pour toutes les entreprises ; les pratiques RH </w:t>
      </w:r>
      <w:proofErr w:type="gramStart"/>
      <w:r w:rsidRPr="00AD5F90">
        <w:rPr>
          <w:rFonts w:asciiTheme="majorBidi" w:hAnsiTheme="majorBidi" w:cstheme="majorBidi"/>
          <w:color w:val="000000"/>
          <w:lang w:val="fr-FR"/>
        </w:rPr>
        <w:t>doivent</w:t>
      </w:r>
      <w:proofErr w:type="gramEnd"/>
      <w:r w:rsidRPr="00AD5F90">
        <w:rPr>
          <w:rFonts w:asciiTheme="majorBidi" w:hAnsiTheme="majorBidi" w:cstheme="majorBidi"/>
          <w:color w:val="000000"/>
          <w:lang w:val="fr-FR"/>
        </w:rPr>
        <w:t xml:space="preserve"> être adaptées aux particularités et aux besoins propres de chaque organisation.</w:t>
      </w:r>
      <w:r w:rsidRPr="00AD5F90">
        <w:rPr>
          <w:rStyle w:val="Appelnotedebasdep"/>
          <w:rFonts w:cstheme="majorBidi"/>
          <w:color w:val="000000"/>
          <w:lang w:val="fr-FR"/>
        </w:rPr>
        <w:footnoteReference w:id="40"/>
      </w:r>
      <w:r w:rsidRPr="00AD5F90">
        <w:rPr>
          <w:rFonts w:asciiTheme="majorBidi" w:hAnsiTheme="majorBidi" w:cstheme="majorBidi"/>
          <w:color w:val="000000"/>
          <w:lang w:val="fr-FR"/>
        </w:rPr>
        <w:t xml:space="preserve"> </w:t>
      </w:r>
    </w:p>
    <w:p w:rsidR="00E772DD" w:rsidRPr="00847F4A" w:rsidRDefault="00E772DD" w:rsidP="004D32AC">
      <w:pPr>
        <w:pStyle w:val="Titre1"/>
        <w:numPr>
          <w:ilvl w:val="0"/>
          <w:numId w:val="67"/>
        </w:numPr>
        <w:spacing w:line="360" w:lineRule="auto"/>
        <w:rPr>
          <w:rFonts w:asciiTheme="majorBidi" w:hAnsiTheme="majorBidi"/>
          <w:b/>
          <w:bCs/>
          <w:color w:val="000000" w:themeColor="text1"/>
          <w:sz w:val="24"/>
          <w:szCs w:val="24"/>
          <w:lang w:val="fr-FR"/>
        </w:rPr>
      </w:pPr>
      <w:bookmarkStart w:id="192" w:name="_Toc199714247"/>
      <w:bookmarkStart w:id="193" w:name="_Toc200486525"/>
      <w:bookmarkStart w:id="194" w:name="_Toc200635301"/>
      <w:bookmarkStart w:id="195" w:name="_Toc200635689"/>
      <w:bookmarkStart w:id="196" w:name="_Toc200636078"/>
      <w:bookmarkStart w:id="197" w:name="_Toc200755815"/>
      <w:r w:rsidRPr="00847F4A">
        <w:rPr>
          <w:rFonts w:asciiTheme="majorBidi" w:hAnsiTheme="majorBidi"/>
          <w:b/>
          <w:bCs/>
          <w:color w:val="000000" w:themeColor="text1"/>
          <w:sz w:val="24"/>
          <w:szCs w:val="24"/>
          <w:lang w:val="fr-FR"/>
        </w:rPr>
        <w:t>La gestion des ressources humaines au sein de l’entreprise</w:t>
      </w:r>
      <w:r w:rsidR="007B7581" w:rsidRPr="00847F4A">
        <w:rPr>
          <w:rFonts w:asciiTheme="majorBidi" w:hAnsiTheme="majorBidi"/>
          <w:b/>
          <w:bCs/>
          <w:color w:val="000000" w:themeColor="text1"/>
          <w:sz w:val="24"/>
          <w:szCs w:val="24"/>
          <w:lang w:val="fr-FR"/>
        </w:rPr>
        <w:t> :</w:t>
      </w:r>
      <w:bookmarkEnd w:id="192"/>
      <w:bookmarkEnd w:id="193"/>
      <w:bookmarkEnd w:id="194"/>
      <w:bookmarkEnd w:id="195"/>
      <w:bookmarkEnd w:id="196"/>
      <w:bookmarkEnd w:id="197"/>
    </w:p>
    <w:p w:rsidR="005F596E" w:rsidRPr="00AD5F90" w:rsidRDefault="00E772DD" w:rsidP="002F5C8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La gestion des ressources humaines joue un rôle clé dans un monde professionnel en constante mutation. Elle vise à exploiter pleinement le potentiel des employés en instaurant un environnement favorable à leur développement et à leur implication. En adoptant des pratiques </w:t>
      </w:r>
      <w:r w:rsidRPr="00AD5F90">
        <w:rPr>
          <w:rFonts w:asciiTheme="majorBidi" w:hAnsiTheme="majorBidi" w:cstheme="majorBidi"/>
          <w:color w:val="000000"/>
          <w:lang w:val="fr-FR"/>
        </w:rPr>
        <w:lastRenderedPageBreak/>
        <w:t>adaptées aux défis actuels, la GRH permet aux entreprises de surmonter les obstacles, d’innover et de progresser vers une performance optimale et un succès durable.</w:t>
      </w:r>
    </w:p>
    <w:p w:rsidR="00E772DD" w:rsidRPr="00AC75A0" w:rsidRDefault="00E772DD" w:rsidP="004D32AC">
      <w:pPr>
        <w:pStyle w:val="Titre2"/>
        <w:numPr>
          <w:ilvl w:val="1"/>
          <w:numId w:val="67"/>
        </w:numPr>
        <w:spacing w:line="360" w:lineRule="auto"/>
        <w:rPr>
          <w:rFonts w:asciiTheme="majorBidi" w:hAnsiTheme="majorBidi"/>
          <w:b/>
          <w:bCs/>
          <w:color w:val="000000" w:themeColor="text1"/>
          <w:sz w:val="24"/>
          <w:szCs w:val="24"/>
          <w:lang w:val="fr-FR"/>
        </w:rPr>
      </w:pPr>
      <w:bookmarkStart w:id="198" w:name="_Toc199714248"/>
      <w:bookmarkStart w:id="199" w:name="_Toc200486526"/>
      <w:bookmarkStart w:id="200" w:name="_Toc200635302"/>
      <w:bookmarkStart w:id="201" w:name="_Toc200635690"/>
      <w:bookmarkStart w:id="202" w:name="_Toc200636079"/>
      <w:bookmarkStart w:id="203" w:name="_Toc200755816"/>
      <w:r w:rsidRPr="00AC75A0">
        <w:rPr>
          <w:rFonts w:asciiTheme="majorBidi" w:hAnsiTheme="majorBidi"/>
          <w:b/>
          <w:bCs/>
          <w:color w:val="000000" w:themeColor="text1"/>
          <w:sz w:val="24"/>
          <w:szCs w:val="24"/>
          <w:lang w:val="fr-FR"/>
        </w:rPr>
        <w:t>Les missions de la GRH</w:t>
      </w:r>
      <w:r w:rsidR="007B7581" w:rsidRPr="00AC75A0">
        <w:rPr>
          <w:rFonts w:asciiTheme="majorBidi" w:hAnsiTheme="majorBidi"/>
          <w:b/>
          <w:bCs/>
          <w:color w:val="000000" w:themeColor="text1"/>
          <w:sz w:val="24"/>
          <w:szCs w:val="24"/>
          <w:lang w:val="fr-FR"/>
        </w:rPr>
        <w:t> :</w:t>
      </w:r>
      <w:bookmarkEnd w:id="198"/>
      <w:bookmarkEnd w:id="199"/>
      <w:bookmarkEnd w:id="200"/>
      <w:bookmarkEnd w:id="201"/>
      <w:bookmarkEnd w:id="202"/>
      <w:bookmarkEnd w:id="203"/>
    </w:p>
    <w:p w:rsidR="00E772DD" w:rsidRPr="00AD5F90" w:rsidRDefault="00E772DD" w:rsidP="00AC7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missions de la fonction RH peuvent être examinées selon deux axes : orientation sur le</w:t>
      </w:r>
    </w:p>
    <w:p w:rsidR="00E772DD" w:rsidRPr="00AD5F90" w:rsidRDefault="00E772DD" w:rsidP="00AA1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présent ou le futur, focalisation sur les hommes ou sur les processus</w:t>
      </w:r>
      <w:r>
        <w:rPr>
          <w:rFonts w:asciiTheme="majorBidi" w:hAnsiTheme="majorBidi" w:cstheme="majorBidi"/>
          <w:color w:val="000000"/>
          <w:lang w:val="fr-FR"/>
        </w:rPr>
        <w:t> .</w:t>
      </w:r>
    </w:p>
    <w:p w:rsidR="00E772DD" w:rsidRPr="00AC75A0" w:rsidRDefault="00E772DD" w:rsidP="004D32AC">
      <w:pPr>
        <w:pStyle w:val="Titre3"/>
        <w:numPr>
          <w:ilvl w:val="2"/>
          <w:numId w:val="67"/>
        </w:numPr>
        <w:spacing w:before="240" w:beforeAutospacing="0" w:after="0" w:afterAutospacing="0" w:line="360" w:lineRule="auto"/>
        <w:rPr>
          <w:rFonts w:cstheme="majorBidi"/>
          <w:b w:val="0"/>
          <w:bCs w:val="0"/>
          <w:sz w:val="24"/>
          <w:szCs w:val="24"/>
          <w:lang w:val="fr-FR"/>
        </w:rPr>
      </w:pPr>
      <w:bookmarkStart w:id="204" w:name="_Toc199714249"/>
      <w:bookmarkStart w:id="205" w:name="_Toc200486527"/>
      <w:bookmarkStart w:id="206" w:name="_Toc200635303"/>
      <w:bookmarkStart w:id="207" w:name="_Toc200635691"/>
      <w:bookmarkStart w:id="208" w:name="_Toc200636080"/>
      <w:bookmarkStart w:id="209" w:name="_Toc200755817"/>
      <w:r w:rsidRPr="00AC75A0">
        <w:rPr>
          <w:rStyle w:val="lev"/>
          <w:rFonts w:asciiTheme="majorBidi" w:eastAsiaTheme="majorEastAsia" w:hAnsiTheme="majorBidi"/>
          <w:b/>
          <w:bCs/>
          <w:color w:val="000000"/>
          <w:sz w:val="24"/>
          <w:szCs w:val="24"/>
          <w:lang w:val="fr-FR"/>
        </w:rPr>
        <w:t>L’optimisation de la gestion administrative</w:t>
      </w:r>
      <w:bookmarkEnd w:id="204"/>
      <w:bookmarkEnd w:id="205"/>
      <w:bookmarkEnd w:id="206"/>
      <w:bookmarkEnd w:id="207"/>
      <w:bookmarkEnd w:id="208"/>
      <w:bookmarkEnd w:id="209"/>
      <w:r w:rsidRPr="00AC75A0">
        <w:rPr>
          <w:rStyle w:val="lev"/>
          <w:rFonts w:asciiTheme="majorBidi" w:eastAsiaTheme="majorEastAsia" w:hAnsiTheme="majorBidi"/>
          <w:b/>
          <w:bCs/>
          <w:color w:val="000000"/>
          <w:sz w:val="24"/>
          <w:szCs w:val="24"/>
          <w:lang w:val="fr-FR"/>
        </w:rPr>
        <w:t xml:space="preserve"> </w:t>
      </w:r>
    </w:p>
    <w:p w:rsidR="00E772DD" w:rsidRDefault="00E772DD" w:rsidP="00AC7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des ressources humaines (GRH) s'oriente vers des modèles plus souples et décentralisés, ce qui permet une amélioration significative des processus administratifs. Les avancées technologiques et l'externalisation de certaines fonctions permettent aux équipes RH de se recentrer sur des activités à plus forte valeur ajoutée, tout en assurant une gestion efficace et transparente des informations relatives aux employés.</w:t>
      </w:r>
      <w:r w:rsidRPr="00AD5F90">
        <w:rPr>
          <w:rStyle w:val="Appelnotedebasdep"/>
          <w:rFonts w:cstheme="majorBidi"/>
          <w:color w:val="000000"/>
          <w:lang w:val="fr-FR"/>
        </w:rPr>
        <w:footnoteReference w:id="41"/>
      </w:r>
    </w:p>
    <w:p w:rsidR="00E772DD" w:rsidRPr="00AC75A0" w:rsidRDefault="00E772DD" w:rsidP="004D32AC">
      <w:pPr>
        <w:pStyle w:val="Titre3"/>
        <w:numPr>
          <w:ilvl w:val="2"/>
          <w:numId w:val="67"/>
        </w:numPr>
        <w:spacing w:after="0" w:afterAutospacing="0" w:line="360" w:lineRule="auto"/>
        <w:rPr>
          <w:rFonts w:cstheme="majorBidi"/>
          <w:b w:val="0"/>
          <w:bCs w:val="0"/>
          <w:sz w:val="24"/>
          <w:szCs w:val="24"/>
          <w:lang w:val="fr-FR"/>
        </w:rPr>
      </w:pPr>
      <w:bookmarkStart w:id="210" w:name="_Toc199714250"/>
      <w:bookmarkStart w:id="211" w:name="_Toc200486528"/>
      <w:bookmarkStart w:id="212" w:name="_Toc200635304"/>
      <w:bookmarkStart w:id="213" w:name="_Toc200635692"/>
      <w:bookmarkStart w:id="214" w:name="_Toc200636081"/>
      <w:bookmarkStart w:id="215" w:name="_Toc200755818"/>
      <w:r w:rsidRPr="00AC75A0">
        <w:rPr>
          <w:rStyle w:val="lev"/>
          <w:rFonts w:asciiTheme="majorBidi" w:eastAsiaTheme="majorEastAsia" w:hAnsiTheme="majorBidi"/>
          <w:b/>
          <w:bCs/>
          <w:color w:val="000000"/>
          <w:sz w:val="24"/>
          <w:szCs w:val="24"/>
          <w:lang w:val="fr-FR"/>
        </w:rPr>
        <w:t>La motivation et engagement du personnel</w:t>
      </w:r>
      <w:bookmarkEnd w:id="210"/>
      <w:bookmarkEnd w:id="211"/>
      <w:bookmarkEnd w:id="212"/>
      <w:bookmarkEnd w:id="213"/>
      <w:bookmarkEnd w:id="214"/>
      <w:bookmarkEnd w:id="215"/>
      <w:r w:rsidRPr="00AC75A0">
        <w:rPr>
          <w:rStyle w:val="lev"/>
          <w:rFonts w:asciiTheme="majorBidi" w:eastAsiaTheme="majorEastAsia" w:hAnsiTheme="majorBidi"/>
          <w:b/>
          <w:bCs/>
          <w:color w:val="000000"/>
          <w:sz w:val="24"/>
          <w:szCs w:val="24"/>
          <w:lang w:val="fr-FR"/>
        </w:rPr>
        <w:t xml:space="preserve"> </w:t>
      </w:r>
    </w:p>
    <w:p w:rsidR="00E772DD" w:rsidRPr="00AD5F90" w:rsidRDefault="00E772DD" w:rsidP="00AC75A0">
      <w:pPr>
        <w:pStyle w:val="NormalWeb"/>
        <w:spacing w:before="0" w:beforeAutospacing="0" w:after="240" w:afterAutospacing="0" w:line="360" w:lineRule="auto"/>
        <w:jc w:val="both"/>
        <w:rPr>
          <w:rStyle w:val="lev"/>
          <w:rFonts w:asciiTheme="majorBidi" w:eastAsiaTheme="majorEastAsia" w:hAnsiTheme="majorBidi"/>
          <w:b w:val="0"/>
          <w:bCs w:val="0"/>
          <w:color w:val="000000"/>
          <w:lang w:val="fr-FR"/>
        </w:rPr>
      </w:pPr>
      <w:r w:rsidRPr="00AD5F90">
        <w:rPr>
          <w:rFonts w:asciiTheme="majorBidi" w:hAnsiTheme="majorBidi" w:cstheme="majorBidi"/>
          <w:color w:val="000000"/>
          <w:lang w:val="fr-FR"/>
        </w:rPr>
        <w:t>Il est essentiel de considérer les employés comme des acteurs clés de la réussite de l'entreprise. Cela implique de répondre à leurs attentes en matière d'équité, de développement professionnel, de bien-être et d'éthique. En mettant en avant ces aspects, l'entreprise encourage l'engagement des salariés et mobilise leurs compétences de manière optimale, contribuant ainsi à une création de valeur durable.</w:t>
      </w:r>
      <w:r w:rsidRPr="00AD5F90">
        <w:rPr>
          <w:rStyle w:val="Appelnotedebasdep"/>
          <w:rFonts w:cstheme="majorBidi"/>
          <w:color w:val="000000"/>
          <w:lang w:val="fr-FR"/>
        </w:rPr>
        <w:footnoteReference w:id="42"/>
      </w:r>
    </w:p>
    <w:p w:rsidR="00E772DD" w:rsidRPr="00AC75A0" w:rsidRDefault="00E772DD" w:rsidP="004D32AC">
      <w:pPr>
        <w:pStyle w:val="Titre2"/>
        <w:numPr>
          <w:ilvl w:val="2"/>
          <w:numId w:val="67"/>
        </w:numPr>
        <w:spacing w:after="240"/>
        <w:rPr>
          <w:sz w:val="24"/>
          <w:szCs w:val="24"/>
          <w:lang w:val="fr-FR"/>
        </w:rPr>
      </w:pPr>
      <w:bookmarkStart w:id="217" w:name="_Toc199714251"/>
      <w:bookmarkStart w:id="218" w:name="_Toc200486529"/>
      <w:bookmarkStart w:id="219" w:name="_Toc200635305"/>
      <w:bookmarkStart w:id="220" w:name="_Toc200635693"/>
      <w:bookmarkStart w:id="221" w:name="_Toc200636082"/>
      <w:bookmarkStart w:id="222" w:name="_Toc200755819"/>
      <w:r w:rsidRPr="00AC75A0">
        <w:rPr>
          <w:rStyle w:val="lev"/>
          <w:rFonts w:asciiTheme="majorBidi" w:hAnsiTheme="majorBidi"/>
          <w:color w:val="000000"/>
          <w:sz w:val="24"/>
          <w:szCs w:val="24"/>
          <w:lang w:val="fr-FR"/>
        </w:rPr>
        <w:t>L’accompagnement de la transformation organisationnelle</w:t>
      </w:r>
      <w:bookmarkEnd w:id="217"/>
      <w:bookmarkEnd w:id="218"/>
      <w:bookmarkEnd w:id="219"/>
      <w:bookmarkEnd w:id="220"/>
      <w:bookmarkEnd w:id="221"/>
      <w:bookmarkEnd w:id="222"/>
      <w:r w:rsidRPr="00AC75A0">
        <w:rPr>
          <w:rStyle w:val="lev"/>
          <w:rFonts w:asciiTheme="majorBidi" w:hAnsiTheme="majorBidi"/>
          <w:color w:val="000000"/>
          <w:sz w:val="24"/>
          <w:szCs w:val="24"/>
          <w:lang w:val="fr-FR"/>
        </w:rPr>
        <w:t xml:space="preserve"> </w:t>
      </w:r>
    </w:p>
    <w:p w:rsidR="00E772DD" w:rsidRPr="00AD5F90" w:rsidRDefault="00E772DD" w:rsidP="00AA1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La fonction RH joue un rôle déterminant dans la gestion du changement, en préparant les collaborateurs à adopter de nouvelles pratiques plus performantes. </w:t>
      </w:r>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Elle intervient en amont pour instaurer une culture d'adaptabilité et soutenir les managers dans la mise en œuvre des transformations nécessaires à l'évolution de l'entreprise.</w:t>
      </w:r>
      <w:r w:rsidRPr="00AD5F90">
        <w:rPr>
          <w:rStyle w:val="Appelnotedebasdep"/>
          <w:rFonts w:cstheme="majorBidi"/>
          <w:color w:val="000000"/>
          <w:lang w:val="fr-FR"/>
        </w:rPr>
        <w:footnoteReference w:id="43"/>
      </w:r>
    </w:p>
    <w:p w:rsidR="00E772DD" w:rsidRPr="00AC75A0" w:rsidRDefault="00E772DD" w:rsidP="004D32AC">
      <w:pPr>
        <w:pStyle w:val="Titre3"/>
        <w:numPr>
          <w:ilvl w:val="2"/>
          <w:numId w:val="67"/>
        </w:numPr>
        <w:spacing w:after="0" w:afterAutospacing="0" w:line="360" w:lineRule="auto"/>
        <w:rPr>
          <w:rFonts w:cstheme="majorBidi"/>
          <w:b w:val="0"/>
          <w:bCs w:val="0"/>
          <w:sz w:val="24"/>
          <w:szCs w:val="24"/>
          <w:lang w:val="fr-FR"/>
        </w:rPr>
      </w:pPr>
      <w:bookmarkStart w:id="224" w:name="_Toc199714252"/>
      <w:bookmarkStart w:id="225" w:name="_Toc200486530"/>
      <w:bookmarkStart w:id="226" w:name="_Toc200635306"/>
      <w:bookmarkStart w:id="227" w:name="_Toc200635694"/>
      <w:bookmarkStart w:id="228" w:name="_Toc200636083"/>
      <w:bookmarkStart w:id="229" w:name="_Toc200755820"/>
      <w:r w:rsidRPr="00AC75A0">
        <w:rPr>
          <w:rStyle w:val="lev"/>
          <w:rFonts w:asciiTheme="majorBidi" w:eastAsiaTheme="majorEastAsia" w:hAnsiTheme="majorBidi"/>
          <w:b/>
          <w:bCs/>
          <w:color w:val="000000"/>
          <w:sz w:val="24"/>
          <w:szCs w:val="24"/>
          <w:lang w:val="fr-FR"/>
        </w:rPr>
        <w:t>L’alignement de la gestion des talents sur la stratégie globale</w:t>
      </w:r>
      <w:bookmarkEnd w:id="224"/>
      <w:bookmarkEnd w:id="225"/>
      <w:bookmarkEnd w:id="226"/>
      <w:bookmarkEnd w:id="227"/>
      <w:bookmarkEnd w:id="228"/>
      <w:bookmarkEnd w:id="229"/>
      <w:r w:rsidRPr="00AC75A0">
        <w:rPr>
          <w:rStyle w:val="lev"/>
          <w:rFonts w:asciiTheme="majorBidi" w:eastAsiaTheme="majorEastAsia" w:hAnsiTheme="majorBidi"/>
          <w:b/>
          <w:bCs/>
          <w:color w:val="000000"/>
          <w:sz w:val="24"/>
          <w:szCs w:val="24"/>
          <w:lang w:val="fr-FR"/>
        </w:rPr>
        <w:t xml:space="preserve"> </w:t>
      </w:r>
    </w:p>
    <w:p w:rsidR="00AC75A0" w:rsidRPr="00AD5F90" w:rsidRDefault="00E772DD" w:rsidP="005F596E">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Pour garantir une performance durable, la direction des ressources humaines doit anticiper les conséquences humaines des décisions stratégiques et éviter les approches à court terme qui </w:t>
      </w:r>
      <w:r w:rsidRPr="00AD5F90">
        <w:rPr>
          <w:rFonts w:asciiTheme="majorBidi" w:hAnsiTheme="majorBidi" w:cstheme="majorBidi"/>
          <w:color w:val="000000"/>
          <w:lang w:val="fr-FR"/>
        </w:rPr>
        <w:lastRenderedPageBreak/>
        <w:t>pourraient nuire à la pérennité de l'entreprise. En intégrant les dimensions économiques et sociales, elle contribue à un équilibre entre la croissance et le bien-être des employés.</w:t>
      </w:r>
      <w:r w:rsidRPr="00AD5F90">
        <w:rPr>
          <w:rStyle w:val="Appelnotedebasdep"/>
          <w:rFonts w:cstheme="majorBidi"/>
          <w:color w:val="000000"/>
          <w:lang w:val="fr-FR"/>
        </w:rPr>
        <w:footnoteReference w:id="44"/>
      </w:r>
    </w:p>
    <w:p w:rsidR="00E772DD" w:rsidRPr="00720872" w:rsidRDefault="00E772DD" w:rsidP="00AA15A0">
      <w:pPr>
        <w:pStyle w:val="NormalWeb"/>
        <w:spacing w:before="0" w:beforeAutospacing="0" w:after="240" w:afterAutospacing="0" w:line="360" w:lineRule="auto"/>
        <w:jc w:val="center"/>
        <w:rPr>
          <w:rFonts w:asciiTheme="majorBidi" w:hAnsiTheme="majorBidi" w:cstheme="majorBidi"/>
          <w:color w:val="000000"/>
          <w:lang w:val="fr-FR"/>
        </w:rPr>
      </w:pPr>
      <w:r w:rsidRPr="00AD5F90">
        <w:rPr>
          <w:rFonts w:asciiTheme="majorBidi" w:hAnsiTheme="majorBidi" w:cstheme="majorBidi"/>
          <w:b/>
          <w:bCs/>
          <w:color w:val="000000"/>
          <w:lang w:val="fr-FR"/>
        </w:rPr>
        <w:t xml:space="preserve">Figure </w:t>
      </w:r>
      <w:r>
        <w:rPr>
          <w:rFonts w:asciiTheme="majorBidi" w:hAnsiTheme="majorBidi" w:cstheme="majorBidi"/>
          <w:b/>
          <w:bCs/>
          <w:color w:val="000000"/>
          <w:lang w:val="fr-FR"/>
        </w:rPr>
        <w:t>N°0</w:t>
      </w:r>
      <w:r w:rsidRPr="00AD5F90">
        <w:rPr>
          <w:rFonts w:asciiTheme="majorBidi" w:hAnsiTheme="majorBidi" w:cstheme="majorBidi"/>
          <w:b/>
          <w:bCs/>
          <w:color w:val="000000"/>
          <w:lang w:val="fr-FR"/>
        </w:rPr>
        <w:t>2 :</w:t>
      </w:r>
      <w:r w:rsidRPr="00AD5F90">
        <w:rPr>
          <w:rFonts w:asciiTheme="majorBidi" w:hAnsiTheme="majorBidi" w:cstheme="majorBidi"/>
          <w:color w:val="000000"/>
          <w:lang w:val="fr-FR"/>
        </w:rPr>
        <w:t xml:space="preserve"> </w:t>
      </w:r>
      <w:r w:rsidRPr="00720872">
        <w:rPr>
          <w:rFonts w:asciiTheme="majorBidi" w:hAnsiTheme="majorBidi" w:cstheme="majorBidi"/>
          <w:color w:val="000000"/>
          <w:lang w:val="fr-FR"/>
        </w:rPr>
        <w:t>Les missions de la GRH</w:t>
      </w:r>
    </w:p>
    <w:p w:rsidR="00E772DD" w:rsidRPr="005B2A02" w:rsidRDefault="00E772DD" w:rsidP="00AD5F90">
      <w:pPr>
        <w:pStyle w:val="NormalWeb"/>
        <w:spacing w:before="0" w:beforeAutospacing="0" w:after="240" w:afterAutospacing="0" w:line="360" w:lineRule="auto"/>
        <w:jc w:val="center"/>
        <w:rPr>
          <w:rFonts w:asciiTheme="majorBidi" w:hAnsiTheme="majorBidi" w:cstheme="majorBidi"/>
          <w:color w:val="000000"/>
          <w:lang w:val="en-US"/>
        </w:rPr>
      </w:pPr>
      <w:r w:rsidRPr="00AD5F90">
        <w:rPr>
          <w:rFonts w:asciiTheme="majorBidi" w:hAnsiTheme="majorBidi" w:cstheme="majorBidi"/>
          <w:noProof/>
          <w:color w:val="000000"/>
          <w:lang w:val="fr-FR"/>
          <w14:ligatures w14:val="standardContextual"/>
        </w:rPr>
        <w:drawing>
          <wp:inline distT="0" distB="0" distL="0" distR="0" wp14:anchorId="714EFA5D" wp14:editId="7DE7C50E">
            <wp:extent cx="5452782" cy="2144395"/>
            <wp:effectExtent l="0" t="0" r="0" b="1905"/>
            <wp:docPr id="1623913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13080" name="Picture 1623913080"/>
                    <pic:cNvPicPr/>
                  </pic:nvPicPr>
                  <pic:blipFill rotWithShape="1">
                    <a:blip r:embed="rId21" cstate="print">
                      <a:extLst>
                        <a:ext uri="{28A0092B-C50C-407E-A947-70E740481C1C}">
                          <a14:useLocalDpi xmlns:a14="http://schemas.microsoft.com/office/drawing/2010/main" val="0"/>
                        </a:ext>
                      </a:extLst>
                    </a:blip>
                    <a:srcRect l="22740" t="32361" r="24585" b="30046"/>
                    <a:stretch/>
                  </pic:blipFill>
                  <pic:spPr bwMode="auto">
                    <a:xfrm>
                      <a:off x="0" y="0"/>
                      <a:ext cx="6053892" cy="2380791"/>
                    </a:xfrm>
                    <a:prstGeom prst="rect">
                      <a:avLst/>
                    </a:prstGeom>
                    <a:ln>
                      <a:noFill/>
                    </a:ln>
                    <a:extLst>
                      <a:ext uri="{53640926-AAD7-44D8-BBD7-CCE9431645EC}">
                        <a14:shadowObscured xmlns:a14="http://schemas.microsoft.com/office/drawing/2010/main"/>
                      </a:ext>
                    </a:extLst>
                  </pic:spPr>
                </pic:pic>
              </a:graphicData>
            </a:graphic>
          </wp:inline>
        </w:drawing>
      </w:r>
      <w:r w:rsidRPr="00A16730">
        <w:rPr>
          <w:rFonts w:asciiTheme="majorBidi" w:hAnsiTheme="majorBidi" w:cstheme="majorBidi"/>
          <w:b/>
          <w:bCs/>
          <w:color w:val="000000"/>
          <w:lang w:val="en-US"/>
        </w:rPr>
        <w:t>Source :</w:t>
      </w:r>
      <w:r w:rsidRPr="005B2A02">
        <w:rPr>
          <w:rFonts w:asciiTheme="majorBidi" w:hAnsiTheme="majorBidi" w:cstheme="majorBidi"/>
          <w:color w:val="000000"/>
          <w:lang w:val="en-US"/>
        </w:rPr>
        <w:t xml:space="preserve"> Ulrich, D. (1996). Human resource champions. Harvard Business School Press.</w:t>
      </w:r>
    </w:p>
    <w:p w:rsidR="00E772DD" w:rsidRPr="00AC75A0" w:rsidRDefault="00E772DD" w:rsidP="004D32AC">
      <w:pPr>
        <w:pStyle w:val="Titre2"/>
        <w:numPr>
          <w:ilvl w:val="1"/>
          <w:numId w:val="67"/>
        </w:numPr>
        <w:spacing w:line="360" w:lineRule="auto"/>
        <w:rPr>
          <w:rFonts w:asciiTheme="majorBidi" w:hAnsiTheme="majorBidi"/>
          <w:b/>
          <w:bCs/>
          <w:color w:val="000000" w:themeColor="text1"/>
          <w:sz w:val="24"/>
          <w:szCs w:val="24"/>
          <w:lang w:val="fr-FR"/>
        </w:rPr>
      </w:pPr>
      <w:bookmarkStart w:id="230" w:name="_Toc199714253"/>
      <w:bookmarkStart w:id="231" w:name="_Toc200486531"/>
      <w:bookmarkStart w:id="232" w:name="_Toc200635307"/>
      <w:bookmarkStart w:id="233" w:name="_Toc200635695"/>
      <w:bookmarkStart w:id="234" w:name="_Toc200636084"/>
      <w:bookmarkStart w:id="235" w:name="_Toc200755821"/>
      <w:r w:rsidRPr="00AC75A0">
        <w:rPr>
          <w:rFonts w:asciiTheme="majorBidi" w:hAnsiTheme="majorBidi"/>
          <w:b/>
          <w:bCs/>
          <w:color w:val="000000" w:themeColor="text1"/>
          <w:sz w:val="24"/>
          <w:szCs w:val="24"/>
          <w:lang w:val="fr-FR"/>
        </w:rPr>
        <w:t>Les objectifs de la GRH :</w:t>
      </w:r>
      <w:bookmarkEnd w:id="230"/>
      <w:bookmarkEnd w:id="231"/>
      <w:bookmarkEnd w:id="232"/>
      <w:bookmarkEnd w:id="233"/>
      <w:bookmarkEnd w:id="234"/>
      <w:bookmarkEnd w:id="235"/>
    </w:p>
    <w:p w:rsidR="00E772DD" w:rsidRPr="005B2A02" w:rsidRDefault="00E772DD" w:rsidP="00AC75A0">
      <w:pPr>
        <w:pStyle w:val="NormalWeb"/>
        <w:spacing w:before="0" w:beforeAutospacing="0" w:after="240" w:afterAutospacing="0" w:line="360" w:lineRule="auto"/>
        <w:jc w:val="both"/>
        <w:rPr>
          <w:rFonts w:asciiTheme="majorBidi" w:hAnsiTheme="majorBidi" w:cstheme="majorBidi"/>
          <w:color w:val="000000"/>
          <w:lang w:val="fr-FR"/>
        </w:rPr>
      </w:pPr>
      <w:r w:rsidRPr="005B2A02">
        <w:rPr>
          <w:rFonts w:asciiTheme="majorBidi" w:hAnsiTheme="majorBidi" w:cstheme="majorBidi"/>
          <w:color w:val="000000"/>
          <w:lang w:val="fr-FR"/>
        </w:rPr>
        <w:t>La gestion des ressources humaines (GRH) occupe une place centrale dans toute organisation, car elle vise à mobiliser efficacement le capital humain pour atteindre les objectifs stratégiques. Au-delà de la simple administration du personnel, la GRH poursuit des objectifs multiples, tant au niveau individuel qu'organisationnel. Ces objectifs reflètent la volonté d’optimiser la performance globale tout en favorisant le bien-être et le développement des employés.</w:t>
      </w:r>
    </w:p>
    <w:p w:rsidR="00E772DD" w:rsidRPr="00AD5F90" w:rsidRDefault="00E772DD" w:rsidP="004D32AC">
      <w:pPr>
        <w:numPr>
          <w:ilvl w:val="0"/>
          <w:numId w:val="4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Recrutement et sélection :</w:t>
      </w:r>
      <w:r w:rsidRPr="00AD5F90">
        <w:rPr>
          <w:rFonts w:asciiTheme="majorBidi" w:hAnsiTheme="majorBidi" w:cstheme="majorBidi"/>
          <w:color w:val="000000"/>
          <w:lang w:val="fr-FR"/>
        </w:rPr>
        <w:t> Dénicher les meilleurs talents pour bâtir une équipe performante.</w:t>
      </w:r>
    </w:p>
    <w:p w:rsidR="00E772DD" w:rsidRPr="00AD5F90" w:rsidRDefault="00E772DD" w:rsidP="004D32AC">
      <w:pPr>
        <w:numPr>
          <w:ilvl w:val="0"/>
          <w:numId w:val="4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Développement des compétences :</w:t>
      </w:r>
      <w:r w:rsidRPr="00AD5F90">
        <w:rPr>
          <w:rFonts w:asciiTheme="majorBidi" w:hAnsiTheme="majorBidi" w:cstheme="majorBidi"/>
          <w:color w:val="000000"/>
          <w:lang w:val="fr-FR"/>
        </w:rPr>
        <w:t> Investir dans le potentiel de chaque collaborateur pour assurer la croissance de l'entreprise.</w:t>
      </w:r>
    </w:p>
    <w:p w:rsidR="00E772DD" w:rsidRPr="00AD5F90" w:rsidRDefault="00E772DD" w:rsidP="004D32AC">
      <w:pPr>
        <w:numPr>
          <w:ilvl w:val="0"/>
          <w:numId w:val="4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Gestion de la performance :</w:t>
      </w:r>
      <w:r w:rsidRPr="00AD5F90">
        <w:rPr>
          <w:rFonts w:asciiTheme="majorBidi" w:hAnsiTheme="majorBidi" w:cstheme="majorBidi"/>
          <w:color w:val="000000"/>
          <w:lang w:val="fr-FR"/>
        </w:rPr>
        <w:t> Piloter la performance individuelle et collective pour atteindre les objectifs stratégiques.</w:t>
      </w:r>
    </w:p>
    <w:p w:rsidR="00E772DD" w:rsidRPr="00AD5F90" w:rsidRDefault="00E772DD" w:rsidP="004D32AC">
      <w:pPr>
        <w:numPr>
          <w:ilvl w:val="0"/>
          <w:numId w:val="4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Rémunération et avantages sociaux :</w:t>
      </w:r>
      <w:r w:rsidRPr="00AD5F90">
        <w:rPr>
          <w:rFonts w:asciiTheme="majorBidi" w:hAnsiTheme="majorBidi" w:cstheme="majorBidi"/>
          <w:color w:val="000000"/>
          <w:lang w:val="fr-FR"/>
        </w:rPr>
        <w:t> Créer un package attractif et équitable pour fidéliser les employés.</w:t>
      </w:r>
    </w:p>
    <w:p w:rsidR="00E772DD" w:rsidRPr="00AD5F90" w:rsidRDefault="00E772DD" w:rsidP="004D32AC">
      <w:pPr>
        <w:numPr>
          <w:ilvl w:val="0"/>
          <w:numId w:val="4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Climat organisationnel et culture d'entreprise :</w:t>
      </w:r>
      <w:r w:rsidRPr="00AD5F90">
        <w:rPr>
          <w:rFonts w:asciiTheme="majorBidi" w:hAnsiTheme="majorBidi" w:cstheme="majorBidi"/>
          <w:color w:val="000000"/>
          <w:lang w:val="fr-FR"/>
        </w:rPr>
        <w:t> Cultiver un environnement de travail où chacun se sent valorisé et motivé.</w:t>
      </w:r>
    </w:p>
    <w:p w:rsidR="00E772DD" w:rsidRPr="002F5C80" w:rsidRDefault="00E772DD" w:rsidP="004D32AC">
      <w:pPr>
        <w:numPr>
          <w:ilvl w:val="0"/>
          <w:numId w:val="40"/>
        </w:numPr>
        <w:spacing w:after="240"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lastRenderedPageBreak/>
        <w:t>Gestion des relations de travail :</w:t>
      </w:r>
      <w:r w:rsidRPr="00AD5F90">
        <w:rPr>
          <w:rFonts w:asciiTheme="majorBidi" w:hAnsiTheme="majorBidi" w:cstheme="majorBidi"/>
          <w:color w:val="000000"/>
          <w:lang w:val="fr-FR"/>
        </w:rPr>
        <w:t> Favoriser un dialogue constructif et prévenir les conflits pour maintenir un climat social harmonieux.</w:t>
      </w:r>
      <w:r w:rsidRPr="00AD5F90">
        <w:rPr>
          <w:rStyle w:val="Appelnotedebasdep"/>
          <w:rFonts w:cstheme="majorBidi"/>
          <w:color w:val="000000"/>
          <w:lang w:val="fr-FR"/>
        </w:rPr>
        <w:footnoteReference w:id="45"/>
      </w:r>
    </w:p>
    <w:p w:rsidR="00E772DD" w:rsidRPr="00AC75A0" w:rsidRDefault="00E772DD" w:rsidP="004D32AC">
      <w:pPr>
        <w:pStyle w:val="Titre2"/>
        <w:numPr>
          <w:ilvl w:val="1"/>
          <w:numId w:val="67"/>
        </w:numPr>
        <w:spacing w:line="360" w:lineRule="auto"/>
        <w:rPr>
          <w:rFonts w:asciiTheme="majorBidi" w:hAnsiTheme="majorBidi"/>
          <w:b/>
          <w:bCs/>
          <w:color w:val="000000" w:themeColor="text1"/>
          <w:sz w:val="24"/>
          <w:szCs w:val="24"/>
          <w:lang w:val="fr-FR"/>
        </w:rPr>
      </w:pPr>
      <w:bookmarkStart w:id="237" w:name="_Toc199714254"/>
      <w:bookmarkStart w:id="238" w:name="_Toc200486532"/>
      <w:bookmarkStart w:id="239" w:name="_Toc200635308"/>
      <w:bookmarkStart w:id="240" w:name="_Toc200635696"/>
      <w:bookmarkStart w:id="241" w:name="_Toc200636085"/>
      <w:bookmarkStart w:id="242" w:name="_Toc200755822"/>
      <w:r w:rsidRPr="00AC75A0">
        <w:rPr>
          <w:rFonts w:asciiTheme="majorBidi" w:hAnsiTheme="majorBidi"/>
          <w:b/>
          <w:bCs/>
          <w:color w:val="000000" w:themeColor="text1"/>
          <w:sz w:val="24"/>
          <w:szCs w:val="24"/>
          <w:lang w:val="fr-FR"/>
        </w:rPr>
        <w:t>L'impact de la GRH sur la performance des entreprises :</w:t>
      </w:r>
      <w:bookmarkEnd w:id="237"/>
      <w:bookmarkEnd w:id="238"/>
      <w:bookmarkEnd w:id="239"/>
      <w:bookmarkEnd w:id="240"/>
      <w:bookmarkEnd w:id="241"/>
      <w:bookmarkEnd w:id="242"/>
      <w:r w:rsidRPr="00AC75A0">
        <w:rPr>
          <w:rFonts w:asciiTheme="majorBidi" w:hAnsiTheme="majorBidi"/>
          <w:b/>
          <w:bCs/>
          <w:color w:val="000000" w:themeColor="text1"/>
          <w:sz w:val="24"/>
          <w:szCs w:val="24"/>
          <w:lang w:val="fr-FR"/>
        </w:rPr>
        <w:t xml:space="preserve"> </w:t>
      </w:r>
    </w:p>
    <w:p w:rsidR="00E772DD" w:rsidRPr="00AD5F90" w:rsidRDefault="00E772DD" w:rsidP="00AC75A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des ressources humaines (GRH) est un pilier fondamental de la réussite des entreprises, exerçant une influence déterminante sur leur performance à la fois organisationnelle et économique.</w:t>
      </w:r>
    </w:p>
    <w:p w:rsidR="00E772DD" w:rsidRPr="00AD5F90" w:rsidRDefault="00E772DD" w:rsidP="00AA15A0">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Sur le plan organisationnel, la GRH contribue à optimiser des aspects tels que la productivité, la qualité et l'innovation. Une gestion efficace des compétences et de la motivation des employés permet d'accroître leur productivité, tandis que des formations ciblées garantissent une qualité optimale des produits ou services. De plus, la GRH joue un rôle crucial dans la promotion d'un environnement de travail stimulant la créativité et, par conséquent, l'innovation, un facteur clé de différenciation et de compétitivité sur le marché. En ce qui concerne la performance économique, la GRH influe sur des indicateurs financiers et commerciaux tels que la rentabilité, la croissance du chiffre d'affaires, les parts de marché et la fidélisation de la clientèle. Une gestion rigoureuse des talents, associée à des politiques de rémunération attractives et à des stratégies de développement des compétences adaptées, permet d'améliorer ces indicateurs, assurant ainsi la pérennité et le succès de l'entreprise dans un environnement concurrentiel.</w:t>
      </w:r>
      <w:r w:rsidRPr="00AD5F90">
        <w:rPr>
          <w:rStyle w:val="Appelnotedebasdep"/>
          <w:rFonts w:cstheme="majorBidi"/>
          <w:color w:val="000000"/>
          <w:lang w:val="fr-FR"/>
        </w:rPr>
        <w:footnoteReference w:id="46"/>
      </w:r>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Les études sur l'impact des pratiques de GRH convergent sur l'importance de certaines d'entre elles pour la performance des entreprises. Le recrutement, la formation, l'évaluation des performances et la rémunération sont souvent cités comme des leviers essentiels. Ces pratiques peuvent être regroupées en deux catégories : les pratiques techniques, qui concernent la gestion administrative quotidienne des ressources humaines, et les pratiques stratégiques, qui visent à aligner la GRH sur les objectifs à long terme de l'organisation. Cependant, l'efficacité de ces pratiques ne dépend pas seulement de leur mise en œuvre isolée, mais aussi de leur intégration dans une vision stratégique globale. Une GRH performante est celle qui parvient à créer une synergie entre ces différentes pratiques, en les adaptant aux spécificités de l'entreprise et de son environnement. Au-delà de l'amélioration de la motivation et de l'engagement des employés, une GRH efficace contribue à optimiser la productivité, à favoriser l'innovation et à assurer une meilleure adaptation aux évolutions du marché. En ce sens, une gestion proactive des </w:t>
      </w:r>
      <w:r w:rsidRPr="00AD5F90">
        <w:rPr>
          <w:rFonts w:asciiTheme="majorBidi" w:hAnsiTheme="majorBidi" w:cstheme="majorBidi"/>
          <w:color w:val="000000"/>
          <w:lang w:val="fr-FR"/>
        </w:rPr>
        <w:lastRenderedPageBreak/>
        <w:t>talents et une politique de développement des compétences ambitieuse sont des facteurs clés de compétitivité et de pérennité pour les entreprises.</w:t>
      </w:r>
      <w:r w:rsidRPr="00AD5F90">
        <w:rPr>
          <w:rStyle w:val="Appelnotedebasdep"/>
          <w:rFonts w:cstheme="majorBidi"/>
          <w:color w:val="000000"/>
          <w:lang w:val="fr-FR"/>
        </w:rPr>
        <w:footnoteReference w:id="47"/>
      </w:r>
    </w:p>
    <w:p w:rsidR="00E772DD" w:rsidRPr="00AC75A0" w:rsidRDefault="00E772DD" w:rsidP="004D32AC">
      <w:pPr>
        <w:pStyle w:val="Titre2"/>
        <w:numPr>
          <w:ilvl w:val="1"/>
          <w:numId w:val="67"/>
        </w:numPr>
        <w:spacing w:line="360" w:lineRule="auto"/>
        <w:rPr>
          <w:rFonts w:asciiTheme="majorBidi" w:hAnsiTheme="majorBidi"/>
          <w:b/>
          <w:bCs/>
          <w:color w:val="000000" w:themeColor="text1"/>
          <w:sz w:val="24"/>
          <w:szCs w:val="24"/>
          <w:lang w:val="fr-FR"/>
        </w:rPr>
      </w:pPr>
      <w:bookmarkStart w:id="244" w:name="_Toc199714255"/>
      <w:bookmarkStart w:id="245" w:name="_Toc200486533"/>
      <w:bookmarkStart w:id="246" w:name="_Toc200635309"/>
      <w:bookmarkStart w:id="247" w:name="_Toc200635697"/>
      <w:bookmarkStart w:id="248" w:name="_Toc200636086"/>
      <w:bookmarkStart w:id="249" w:name="_Toc200755823"/>
      <w:r w:rsidRPr="00AC75A0">
        <w:rPr>
          <w:rFonts w:asciiTheme="majorBidi" w:hAnsiTheme="majorBidi"/>
          <w:b/>
          <w:bCs/>
          <w:color w:val="000000" w:themeColor="text1"/>
          <w:sz w:val="24"/>
          <w:szCs w:val="24"/>
          <w:lang w:val="fr-FR"/>
        </w:rPr>
        <w:t>La GRH comme levier stratégique (GSRH)</w:t>
      </w:r>
      <w:bookmarkEnd w:id="244"/>
      <w:bookmarkEnd w:id="245"/>
      <w:bookmarkEnd w:id="246"/>
      <w:bookmarkEnd w:id="247"/>
      <w:bookmarkEnd w:id="248"/>
      <w:bookmarkEnd w:id="249"/>
    </w:p>
    <w:p w:rsidR="00E772DD" w:rsidRPr="00AD5F90" w:rsidRDefault="00E772DD" w:rsidP="00AC7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stratégique des ressources humaines (GSRH) cherche à aligner les pratiques RH avec les objectifs stratégiques de l'organisation. En intégrant la théorie organisationnelle, la GRH peut devenir un levier puissant pour l'atteinte des objectifs à long terme de l'entreprise. Dans cette optique, la GRH doit se concentrer non seulement sur la gestion des employés au quotidien, mais aussi sur leur développement pour qu’ils contribuent activement à la réalisation des objectifs globaux de l'organisation. Cela inclut la gestion des talents, la formation continue, et l'amélioration de la productivité, dans le but d’assurer un avantage compétitif durable.</w:t>
      </w:r>
      <w:r w:rsidRPr="00AD5F90">
        <w:rPr>
          <w:rStyle w:val="Appelnotedebasdep"/>
          <w:rFonts w:cstheme="majorBidi"/>
          <w:color w:val="000000"/>
          <w:lang w:val="fr-FR"/>
        </w:rPr>
        <w:footnoteReference w:id="48"/>
      </w:r>
    </w:p>
    <w:p w:rsidR="00E772DD" w:rsidRPr="00AD5F90" w:rsidRDefault="00E772DD" w:rsidP="00AA1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La gestion stratégique des ressources humaines (GSRH)  joue un rôle crucial pour faire en sorte que les pratiques RH </w:t>
      </w:r>
      <w:proofErr w:type="gramStart"/>
      <w:r w:rsidRPr="00AD5F90">
        <w:rPr>
          <w:rFonts w:asciiTheme="majorBidi" w:hAnsiTheme="majorBidi" w:cstheme="majorBidi"/>
          <w:color w:val="000000"/>
          <w:lang w:val="fr-FR"/>
        </w:rPr>
        <w:t>soient</w:t>
      </w:r>
      <w:proofErr w:type="gramEnd"/>
      <w:r w:rsidRPr="00AD5F90">
        <w:rPr>
          <w:rFonts w:asciiTheme="majorBidi" w:hAnsiTheme="majorBidi" w:cstheme="majorBidi"/>
          <w:color w:val="000000"/>
          <w:lang w:val="fr-FR"/>
        </w:rPr>
        <w:t xml:space="preserve"> en harmonie avec les objectifs à long terme d'une organisation. En intégrant des théories organisationnelles, la GRH devient un outil essentiel pour améliorer la performance globale de l'entreprise. </w:t>
      </w:r>
    </w:p>
    <w:p w:rsidR="00E772DD" w:rsidRPr="00AD5F90" w:rsidRDefault="00E772DD" w:rsidP="004D32AC">
      <w:pPr>
        <w:pStyle w:val="NormalWeb"/>
        <w:numPr>
          <w:ilvl w:val="0"/>
          <w:numId w:val="42"/>
        </w:numPr>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D'après </w:t>
      </w:r>
      <w:proofErr w:type="spellStart"/>
      <w:r w:rsidRPr="00AD5F90">
        <w:rPr>
          <w:rFonts w:asciiTheme="majorBidi" w:hAnsiTheme="majorBidi" w:cstheme="majorBidi"/>
          <w:color w:val="000000"/>
          <w:lang w:val="fr-FR"/>
        </w:rPr>
        <w:t>Boxall</w:t>
      </w:r>
      <w:proofErr w:type="spellEnd"/>
      <w:r w:rsidRPr="00AD5F90">
        <w:rPr>
          <w:rFonts w:asciiTheme="majorBidi" w:hAnsiTheme="majorBidi" w:cstheme="majorBidi"/>
          <w:color w:val="000000"/>
          <w:lang w:val="fr-FR"/>
        </w:rPr>
        <w:t xml:space="preserve"> et Purcell (2016), cette approche ne se limite pas à gérer efficacement les employés, mais vise à optimiser les compétences et les talents pour atteindre les objectifs stratégiques de l’organisation. Ainsi, la GRH est perçue comme une fonction stratégique qui contribue à la performance de l’entreprise en assurant une amélioration continue des compétences et en favorisant l’implication des collaborateurs.</w:t>
      </w:r>
      <w:r w:rsidRPr="00AD5F90">
        <w:rPr>
          <w:rStyle w:val="Appelnotedebasdep"/>
          <w:rFonts w:cstheme="majorBidi"/>
          <w:color w:val="000000"/>
          <w:lang w:val="fr-FR"/>
        </w:rPr>
        <w:footnoteReference w:id="49"/>
      </w:r>
    </w:p>
    <w:p w:rsidR="00E772DD" w:rsidRPr="00AD5F90" w:rsidRDefault="00E772DD" w:rsidP="004D32AC">
      <w:pPr>
        <w:pStyle w:val="NormalWeb"/>
        <w:numPr>
          <w:ilvl w:val="0"/>
          <w:numId w:val="42"/>
        </w:numPr>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Selon Torrington et al. (2014), la GRH doit gérer le développement des talents en proposant des formations adaptées aux besoins de l'organisation. Cela inclut la détection, la fidélisation et l’évolution des talents internes dans des postes stratégiques pour soutenir la croissance de l'entreprise à long terme. Une gestion efficace des talents améliore non seulement la productivité, mais renforce également la culture d'entreprise et favorise la fidélisation des employés, créant ainsi un avantage compétitif durable.</w:t>
      </w:r>
      <w:r w:rsidRPr="00AD5F90">
        <w:rPr>
          <w:rStyle w:val="Appelnotedebasdep"/>
          <w:rFonts w:cstheme="majorBidi"/>
          <w:color w:val="000000"/>
          <w:lang w:val="fr-FR"/>
        </w:rPr>
        <w:footnoteReference w:id="50"/>
      </w:r>
    </w:p>
    <w:p w:rsidR="00E772DD" w:rsidRPr="00AD5F90" w:rsidRDefault="00E772DD" w:rsidP="004D32AC">
      <w:pPr>
        <w:pStyle w:val="NormalWeb"/>
        <w:numPr>
          <w:ilvl w:val="0"/>
          <w:numId w:val="42"/>
        </w:numPr>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D’après Becker et </w:t>
      </w:r>
      <w:proofErr w:type="spellStart"/>
      <w:r w:rsidRPr="00AD5F90">
        <w:rPr>
          <w:rFonts w:asciiTheme="majorBidi" w:hAnsiTheme="majorBidi" w:cstheme="majorBidi"/>
          <w:color w:val="000000"/>
          <w:lang w:val="fr-FR"/>
        </w:rPr>
        <w:t>Huselid</w:t>
      </w:r>
      <w:proofErr w:type="spellEnd"/>
      <w:r w:rsidRPr="00AD5F90">
        <w:rPr>
          <w:rFonts w:asciiTheme="majorBidi" w:hAnsiTheme="majorBidi" w:cstheme="majorBidi"/>
          <w:color w:val="000000"/>
          <w:lang w:val="fr-FR"/>
        </w:rPr>
        <w:t xml:space="preserve"> (2006) affirment que l'alignement des pratiques RH avec les objectifs stratégiques de l'entreprise joue un rôle fondamental dans la performance </w:t>
      </w:r>
      <w:r w:rsidRPr="00AD5F90">
        <w:rPr>
          <w:rFonts w:asciiTheme="majorBidi" w:hAnsiTheme="majorBidi" w:cstheme="majorBidi"/>
          <w:color w:val="000000"/>
          <w:lang w:val="fr-FR"/>
        </w:rPr>
        <w:lastRenderedPageBreak/>
        <w:t>économique. En optimisant la gestion des ressources humaines, les entreprises peuvent accroître leur efficacité et solidifier leur position sur le marché. La GRH stratégique inclut des pratiques telles que la gestion des performances, la rémunération incitative et la planification de la succession, qui contribuent à une performance accrue en veillant à ce que les efforts individuels soutiennent les objectifs globaux de l’organisation.</w:t>
      </w:r>
      <w:r w:rsidRPr="00AD5F90">
        <w:rPr>
          <w:rStyle w:val="Appelnotedebasdep"/>
          <w:rFonts w:cstheme="majorBidi"/>
          <w:color w:val="000000"/>
          <w:lang w:val="fr-FR"/>
        </w:rPr>
        <w:footnoteReference w:id="51"/>
      </w:r>
    </w:p>
    <w:p w:rsidR="00E772DD"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stratégique des ressources humaines suit un cycle annuel structuré en plusieurs étapes visant à optimiser l'organisation et l'utilisation des effectifs. Elle débute par une phase d’orientation stratégique, où les objectifs globaux sont définis pour aligner les ressources humaines avec les priorités de l’entreprise. Ensuite, les actions à mener sont classées par ordre de priorité afin d’assurer une allocation efficace des moyens disponibles. Une planification détaillée est ensuite mise en place pour structurer les tâches et anticiper d’éventuels obstacles. Enfin, une étape d’évaluation et d’élaboration de rapports permet d’analyser les performances et d’ajuster les stratégies pour une amélioration continue. Cette démarche repose sur une coopération étroite entre les dirigeants, les spécialistes des ressources humaines et les responsables de la planification afin d’assurer une gestion proactive et efficiente des talents.</w:t>
      </w:r>
      <w:r w:rsidRPr="00AD5F90">
        <w:rPr>
          <w:rStyle w:val="Appelnotedebasdep"/>
          <w:rFonts w:cstheme="majorBidi"/>
          <w:color w:val="000000"/>
          <w:lang w:val="fr-FR"/>
        </w:rPr>
        <w:footnoteReference w:id="52"/>
      </w:r>
    </w:p>
    <w:p w:rsidR="00A16730" w:rsidRDefault="00A16730" w:rsidP="00AA15A0">
      <w:pPr>
        <w:pStyle w:val="NormalWeb"/>
        <w:spacing w:before="0" w:beforeAutospacing="0" w:after="240" w:afterAutospacing="0" w:line="360" w:lineRule="auto"/>
        <w:jc w:val="both"/>
        <w:rPr>
          <w:rFonts w:asciiTheme="majorBidi" w:hAnsiTheme="majorBidi" w:cstheme="majorBidi"/>
          <w:color w:val="000000"/>
          <w:lang w:val="fr-FR"/>
        </w:rPr>
      </w:pPr>
    </w:p>
    <w:p w:rsidR="00A16730" w:rsidRPr="00AD5F90" w:rsidRDefault="00A16730" w:rsidP="00AA15A0">
      <w:pPr>
        <w:pStyle w:val="NormalWeb"/>
        <w:spacing w:before="0" w:beforeAutospacing="0" w:after="240" w:afterAutospacing="0" w:line="360" w:lineRule="auto"/>
        <w:jc w:val="both"/>
        <w:rPr>
          <w:rFonts w:asciiTheme="majorBidi" w:hAnsiTheme="majorBidi" w:cstheme="majorBidi"/>
          <w:color w:val="000000"/>
          <w:lang w:val="fr-FR"/>
        </w:rPr>
      </w:pPr>
    </w:p>
    <w:p w:rsidR="00E772DD" w:rsidRPr="00720872" w:rsidRDefault="00A16730" w:rsidP="00A16730">
      <w:pPr>
        <w:pStyle w:val="NormalWeb"/>
        <w:spacing w:before="0" w:beforeAutospacing="0" w:after="240" w:afterAutospacing="0" w:line="360" w:lineRule="auto"/>
        <w:jc w:val="center"/>
        <w:rPr>
          <w:rFonts w:asciiTheme="majorBidi" w:hAnsiTheme="majorBidi" w:cstheme="majorBidi"/>
          <w:color w:val="000000"/>
          <w:lang w:val="fr-FR"/>
        </w:rPr>
      </w:pPr>
      <w:r w:rsidRPr="00AD5F90">
        <w:rPr>
          <w:rFonts w:asciiTheme="majorBidi" w:hAnsiTheme="majorBidi" w:cstheme="majorBidi"/>
          <w:noProof/>
          <w:color w:val="000000"/>
          <w:lang w:val="fr-FR"/>
          <w14:ligatures w14:val="standardContextual"/>
        </w:rPr>
        <w:lastRenderedPageBreak/>
        <w:drawing>
          <wp:anchor distT="0" distB="0" distL="114300" distR="114300" simplePos="0" relativeHeight="251675648" behindDoc="1" locked="0" layoutInCell="1" allowOverlap="1" wp14:anchorId="3F7FB348" wp14:editId="210D9B1D">
            <wp:simplePos x="0" y="0"/>
            <wp:positionH relativeFrom="column">
              <wp:posOffset>-510639</wp:posOffset>
            </wp:positionH>
            <wp:positionV relativeFrom="paragraph">
              <wp:posOffset>284876</wp:posOffset>
            </wp:positionV>
            <wp:extent cx="6449138" cy="4726380"/>
            <wp:effectExtent l="0" t="0" r="2540" b="0"/>
            <wp:wrapTight wrapText="bothSides">
              <wp:wrapPolygon edited="0">
                <wp:start x="0" y="0"/>
                <wp:lineTo x="0" y="21533"/>
                <wp:lineTo x="21566" y="21533"/>
                <wp:lineTo x="21566" y="0"/>
                <wp:lineTo x="0" y="0"/>
              </wp:wrapPolygon>
            </wp:wrapTight>
            <wp:docPr id="9582091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09127" name="Picture 958209127"/>
                    <pic:cNvPicPr/>
                  </pic:nvPicPr>
                  <pic:blipFill rotWithShape="1">
                    <a:blip r:embed="rId22" cstate="print">
                      <a:extLst>
                        <a:ext uri="{28A0092B-C50C-407E-A947-70E740481C1C}">
                          <a14:useLocalDpi xmlns:a14="http://schemas.microsoft.com/office/drawing/2010/main" val="0"/>
                        </a:ext>
                      </a:extLst>
                    </a:blip>
                    <a:srcRect l="16689" t="16143" r="18048" b="7327"/>
                    <a:stretch/>
                  </pic:blipFill>
                  <pic:spPr bwMode="auto">
                    <a:xfrm>
                      <a:off x="0" y="0"/>
                      <a:ext cx="6449138" cy="4726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72DD" w:rsidRPr="00AD5F90">
        <w:rPr>
          <w:rFonts w:asciiTheme="majorBidi" w:hAnsiTheme="majorBidi" w:cstheme="majorBidi"/>
          <w:b/>
          <w:bCs/>
          <w:color w:val="000000"/>
          <w:lang w:val="fr-FR"/>
        </w:rPr>
        <w:t>Figure </w:t>
      </w:r>
      <w:r w:rsidR="00E772DD">
        <w:rPr>
          <w:rFonts w:asciiTheme="majorBidi" w:hAnsiTheme="majorBidi" w:cstheme="majorBidi"/>
          <w:b/>
          <w:bCs/>
          <w:color w:val="000000"/>
          <w:lang w:val="fr-FR"/>
        </w:rPr>
        <w:t>N°0</w:t>
      </w:r>
      <w:r w:rsidR="00E772DD" w:rsidRPr="00AD5F90">
        <w:rPr>
          <w:rFonts w:asciiTheme="majorBidi" w:hAnsiTheme="majorBidi" w:cstheme="majorBidi"/>
          <w:b/>
          <w:bCs/>
          <w:color w:val="000000"/>
          <w:lang w:val="fr-FR"/>
        </w:rPr>
        <w:t xml:space="preserve">3 : </w:t>
      </w:r>
      <w:r w:rsidR="00E772DD" w:rsidRPr="00720872">
        <w:rPr>
          <w:rFonts w:asciiTheme="majorBidi" w:hAnsiTheme="majorBidi" w:cstheme="majorBidi"/>
          <w:color w:val="000000"/>
          <w:lang w:val="fr-FR"/>
        </w:rPr>
        <w:t>Calendrier et cycle annuel de la planification des RH</w:t>
      </w:r>
    </w:p>
    <w:p w:rsidR="00E772DD" w:rsidRPr="00E772DD" w:rsidRDefault="00E772DD" w:rsidP="006D6D93">
      <w:pPr>
        <w:spacing w:after="240" w:line="360" w:lineRule="auto"/>
        <w:jc w:val="center"/>
        <w:rPr>
          <w:rFonts w:asciiTheme="majorBidi" w:hAnsiTheme="majorBidi" w:cstheme="majorBidi"/>
          <w:color w:val="000000"/>
        </w:rPr>
      </w:pPr>
      <w:r w:rsidRPr="005F596E">
        <w:rPr>
          <w:rFonts w:asciiTheme="majorBidi" w:hAnsiTheme="majorBidi" w:cstheme="majorBidi"/>
          <w:b/>
          <w:bCs/>
          <w:color w:val="000000"/>
          <w:lang w:val="fr-FR"/>
        </w:rPr>
        <w:t>Source :</w:t>
      </w:r>
      <w:r w:rsidRPr="00AD5F90">
        <w:rPr>
          <w:rFonts w:asciiTheme="majorBidi" w:hAnsiTheme="majorBidi" w:cstheme="majorBidi"/>
          <w:color w:val="000000"/>
          <w:lang w:val="fr-FR"/>
        </w:rPr>
        <w:t xml:space="preserve"> </w:t>
      </w:r>
      <w:r w:rsidRPr="000C39FC">
        <w:rPr>
          <w:rFonts w:asciiTheme="majorBidi" w:hAnsiTheme="majorBidi" w:cstheme="majorBidi"/>
          <w:color w:val="000000"/>
          <w:lang w:val="fr-FR"/>
        </w:rPr>
        <w:t>Organisation mondiale des douanes. (2023). Cadre de principes et de pratiques de l’OMD sur le professionnalisme en douane (p. 1</w:t>
      </w:r>
      <w:r>
        <w:rPr>
          <w:rFonts w:asciiTheme="majorBidi" w:hAnsiTheme="majorBidi" w:cstheme="majorBidi"/>
          <w:color w:val="000000"/>
          <w:lang w:val="fr-FR"/>
        </w:rPr>
        <w:t>6</w:t>
      </w:r>
      <w:r w:rsidRPr="000C39FC">
        <w:rPr>
          <w:rFonts w:asciiTheme="majorBidi" w:hAnsiTheme="majorBidi" w:cstheme="majorBidi"/>
          <w:color w:val="000000"/>
          <w:lang w:val="fr-FR"/>
        </w:rPr>
        <w:t xml:space="preserve">). </w:t>
      </w:r>
      <w:hyperlink r:id="rId23" w:history="1">
        <w:r w:rsidRPr="00E772DD">
          <w:rPr>
            <w:rStyle w:val="Lienhypertexte"/>
            <w:rFonts w:asciiTheme="majorBidi" w:eastAsiaTheme="majorEastAsia" w:hAnsiTheme="majorBidi"/>
          </w:rPr>
          <w:t>https://www.wcoomd.org/-/media/wco/public/fr/pdf/topics/capacity-building/activities-and-programmes/people-development/framework-fr.pdf?la=fr</w:t>
        </w:r>
      </w:hyperlink>
    </w:p>
    <w:p w:rsidR="00E772DD" w:rsidRPr="00AC75A0" w:rsidRDefault="00E772DD" w:rsidP="004D32AC">
      <w:pPr>
        <w:pStyle w:val="Titre2"/>
        <w:numPr>
          <w:ilvl w:val="1"/>
          <w:numId w:val="67"/>
        </w:numPr>
        <w:spacing w:line="360" w:lineRule="auto"/>
        <w:rPr>
          <w:rFonts w:asciiTheme="majorBidi" w:hAnsiTheme="majorBidi"/>
          <w:b/>
          <w:bCs/>
          <w:color w:val="000000" w:themeColor="text1"/>
          <w:sz w:val="24"/>
          <w:szCs w:val="24"/>
          <w:lang w:val="fr-FR"/>
        </w:rPr>
      </w:pPr>
      <w:bookmarkStart w:id="255" w:name="_Toc199714256"/>
      <w:bookmarkStart w:id="256" w:name="_Toc200486534"/>
      <w:bookmarkStart w:id="257" w:name="_Toc200635310"/>
      <w:bookmarkStart w:id="258" w:name="_Toc200635698"/>
      <w:bookmarkStart w:id="259" w:name="_Toc200636087"/>
      <w:bookmarkStart w:id="260" w:name="_Toc200755824"/>
      <w:r w:rsidRPr="00AC75A0">
        <w:rPr>
          <w:rFonts w:asciiTheme="majorBidi" w:hAnsiTheme="majorBidi"/>
          <w:b/>
          <w:bCs/>
          <w:color w:val="000000" w:themeColor="text1"/>
          <w:sz w:val="24"/>
          <w:szCs w:val="24"/>
          <w:lang w:val="fr-FR"/>
        </w:rPr>
        <w:t>Les enjeux actuels de la GRH dans un contexte globalisé</w:t>
      </w:r>
      <w:bookmarkEnd w:id="255"/>
      <w:bookmarkEnd w:id="256"/>
      <w:bookmarkEnd w:id="257"/>
      <w:bookmarkEnd w:id="258"/>
      <w:bookmarkEnd w:id="259"/>
      <w:bookmarkEnd w:id="260"/>
    </w:p>
    <w:p w:rsidR="00E772DD" w:rsidRPr="00E95B93" w:rsidRDefault="00E772DD" w:rsidP="00AC75A0">
      <w:pPr>
        <w:spacing w:after="240" w:line="360" w:lineRule="auto"/>
        <w:jc w:val="both"/>
        <w:rPr>
          <w:rFonts w:asciiTheme="majorBidi" w:hAnsiTheme="majorBidi" w:cstheme="majorBidi"/>
          <w:color w:val="000000"/>
          <w:lang w:val="fr-FR"/>
        </w:rPr>
      </w:pPr>
      <w:r w:rsidRPr="00E95B93">
        <w:rPr>
          <w:rFonts w:asciiTheme="majorBidi" w:hAnsiTheme="majorBidi" w:cstheme="majorBidi"/>
          <w:color w:val="000000"/>
          <w:lang w:val="fr-FR"/>
        </w:rPr>
        <w:t>La mondialisation transforme en profondeur la gestion des ressources humaines, en imposant de nouveaux défis liés à la diversité, à la mobilité internationale et à l’évolution rapide des technologies. Dans ce contexte, la GRH doit s’adapter pour répondre efficacement aux enjeux actuels des organisations.</w:t>
      </w:r>
    </w:p>
    <w:p w:rsidR="00E772DD" w:rsidRPr="00AC75A0" w:rsidRDefault="00E772DD" w:rsidP="004D32AC">
      <w:pPr>
        <w:pStyle w:val="Titre3"/>
        <w:numPr>
          <w:ilvl w:val="2"/>
          <w:numId w:val="67"/>
        </w:numPr>
        <w:spacing w:before="0" w:beforeAutospacing="0" w:after="0" w:afterAutospacing="0" w:line="360" w:lineRule="auto"/>
        <w:rPr>
          <w:sz w:val="24"/>
          <w:szCs w:val="24"/>
          <w:lang w:val="fr-FR"/>
        </w:rPr>
      </w:pPr>
      <w:bookmarkStart w:id="261" w:name="_Toc199714257"/>
      <w:bookmarkStart w:id="262" w:name="_Toc200486535"/>
      <w:bookmarkStart w:id="263" w:name="_Toc200635311"/>
      <w:bookmarkStart w:id="264" w:name="_Toc200635699"/>
      <w:bookmarkStart w:id="265" w:name="_Toc200636088"/>
      <w:bookmarkStart w:id="266" w:name="_Toc200755825"/>
      <w:r w:rsidRPr="00AC75A0">
        <w:rPr>
          <w:sz w:val="24"/>
          <w:szCs w:val="24"/>
          <w:lang w:val="fr-FR"/>
        </w:rPr>
        <w:t>Adaptation à la mondialisation</w:t>
      </w:r>
      <w:bookmarkEnd w:id="261"/>
      <w:bookmarkEnd w:id="262"/>
      <w:bookmarkEnd w:id="263"/>
      <w:bookmarkEnd w:id="264"/>
      <w:bookmarkEnd w:id="265"/>
      <w:bookmarkEnd w:id="266"/>
    </w:p>
    <w:p w:rsidR="00E772DD" w:rsidRPr="00AD5F90" w:rsidRDefault="00E772DD" w:rsidP="00AC75A0">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La mondialisation a profondément transformé le monde du travail, créant un environnement complexe et interconnecté. Les entreprises doivent désormais gérer des équipes multiculturelles, souvent dispersées à travers le globe. Cela requiert une grande flexibilité et </w:t>
      </w:r>
      <w:r w:rsidRPr="00AD5F90">
        <w:rPr>
          <w:rFonts w:asciiTheme="majorBidi" w:hAnsiTheme="majorBidi" w:cstheme="majorBidi"/>
          <w:color w:val="000000"/>
          <w:lang w:val="fr-FR"/>
        </w:rPr>
        <w:lastRenderedPageBreak/>
        <w:t>adaptabilité de la part des départements RH, qui doivent mettre en place des pratiques de gestion tenant compte des différences culturelles, des langues, des fuseaux horaires et des réglementations locales. La communication interculturelle devient essentielle pour assurer la cohésion et la performance de ces équipes.</w:t>
      </w:r>
      <w:r w:rsidRPr="00AD5F90">
        <w:rPr>
          <w:rStyle w:val="Appelnotedebasdep"/>
          <w:rFonts w:cstheme="majorBidi"/>
          <w:color w:val="000000"/>
          <w:lang w:val="fr-FR"/>
        </w:rPr>
        <w:footnoteReference w:id="53"/>
      </w:r>
    </w:p>
    <w:p w:rsidR="00E772DD" w:rsidRPr="00AC75A0" w:rsidRDefault="00E772DD" w:rsidP="004D32AC">
      <w:pPr>
        <w:pStyle w:val="Titre3"/>
        <w:numPr>
          <w:ilvl w:val="2"/>
          <w:numId w:val="67"/>
        </w:numPr>
        <w:spacing w:before="0" w:beforeAutospacing="0" w:after="0" w:afterAutospacing="0" w:line="360" w:lineRule="auto"/>
        <w:rPr>
          <w:sz w:val="24"/>
          <w:szCs w:val="24"/>
          <w:lang w:val="fr-FR"/>
        </w:rPr>
      </w:pPr>
      <w:bookmarkStart w:id="268" w:name="_Toc199714258"/>
      <w:bookmarkStart w:id="269" w:name="_Toc200486536"/>
      <w:bookmarkStart w:id="270" w:name="_Toc200635312"/>
      <w:bookmarkStart w:id="271" w:name="_Toc200635700"/>
      <w:bookmarkStart w:id="272" w:name="_Toc200636089"/>
      <w:bookmarkStart w:id="273" w:name="_Toc200755826"/>
      <w:r w:rsidRPr="00AC75A0">
        <w:rPr>
          <w:sz w:val="24"/>
          <w:szCs w:val="24"/>
          <w:lang w:val="fr-FR"/>
        </w:rPr>
        <w:t>Gestion de la diversité</w:t>
      </w:r>
      <w:bookmarkEnd w:id="268"/>
      <w:bookmarkEnd w:id="269"/>
      <w:bookmarkEnd w:id="270"/>
      <w:bookmarkEnd w:id="271"/>
      <w:bookmarkEnd w:id="272"/>
      <w:bookmarkEnd w:id="273"/>
    </w:p>
    <w:p w:rsidR="00E772DD" w:rsidRPr="00AD5F90" w:rsidRDefault="00E772DD" w:rsidP="00AC75A0">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diversité au sein des entreprises, qu'elle soit culturelle, générationnelle ou liée au genre, est un enjeu majeur pour les RH. Il est impératif de créer un environnement de travail inclusif où chaque employé se sent valorisé et respecté, quelles que soient ses différences. Cela implique de mettre en place des politiques et des pratiques qui favorisent l'égalité des chances, luttent contre les discriminations et encouragent la collaboration entre des personnes de différents horizons. Une gestion efficace de la diversité est un facteur clé de succès pour attirer et retenir les talents, stimuler l'innovation et améliorer la performance globale de l'entreprise.</w:t>
      </w:r>
      <w:r w:rsidRPr="00AD5F90">
        <w:rPr>
          <w:rStyle w:val="Appelnotedebasdep"/>
          <w:rFonts w:cstheme="majorBidi"/>
          <w:color w:val="000000"/>
          <w:lang w:val="fr-FR"/>
        </w:rPr>
        <w:footnoteReference w:id="54"/>
      </w:r>
    </w:p>
    <w:p w:rsidR="00E772DD" w:rsidRPr="00AC75A0" w:rsidRDefault="00E772DD" w:rsidP="004D32AC">
      <w:pPr>
        <w:pStyle w:val="Titre3"/>
        <w:numPr>
          <w:ilvl w:val="2"/>
          <w:numId w:val="67"/>
        </w:numPr>
        <w:spacing w:after="0" w:afterAutospacing="0" w:line="360" w:lineRule="auto"/>
        <w:rPr>
          <w:sz w:val="24"/>
          <w:szCs w:val="24"/>
          <w:lang w:val="fr-FR"/>
        </w:rPr>
      </w:pPr>
      <w:bookmarkStart w:id="275" w:name="_Toc199714259"/>
      <w:bookmarkStart w:id="276" w:name="_Toc200486537"/>
      <w:bookmarkStart w:id="277" w:name="_Toc200635313"/>
      <w:bookmarkStart w:id="278" w:name="_Toc200635701"/>
      <w:bookmarkStart w:id="279" w:name="_Toc200636090"/>
      <w:bookmarkStart w:id="280" w:name="_Toc200755827"/>
      <w:r w:rsidRPr="00AC75A0">
        <w:rPr>
          <w:sz w:val="24"/>
          <w:szCs w:val="24"/>
          <w:lang w:val="fr-FR"/>
        </w:rPr>
        <w:t>Technologie et digitalisation</w:t>
      </w:r>
      <w:bookmarkEnd w:id="275"/>
      <w:bookmarkEnd w:id="276"/>
      <w:bookmarkEnd w:id="277"/>
      <w:bookmarkEnd w:id="278"/>
      <w:bookmarkEnd w:id="279"/>
      <w:bookmarkEnd w:id="280"/>
    </w:p>
    <w:p w:rsidR="00E772DD" w:rsidRPr="00AD5F90" w:rsidRDefault="00E772DD" w:rsidP="00AC75A0">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transformation numérique a profondément modifié le rôle des départements RH. Les technologies offrent de nouvelles opportunités pour optimiser les processus, de la gestion de la performance au recrutement en passant par la formation. Les outils numériques facilitent la gestion des talents, la communication interne, l'analyse des données RH et l'automatisation des tâches administratives. Les professionnels des RH doivent maîtriser ces outils et les intégrer dans leurs pratiques pour améliorer l'efficacité et la pertinence de leurs actions.</w:t>
      </w:r>
      <w:r w:rsidRPr="00AD5F90">
        <w:rPr>
          <w:rStyle w:val="Appelnotedebasdep"/>
          <w:rFonts w:cstheme="majorBidi"/>
          <w:color w:val="000000"/>
          <w:lang w:val="fr-FR"/>
        </w:rPr>
        <w:footnoteReference w:id="55"/>
      </w:r>
    </w:p>
    <w:p w:rsidR="00E772DD" w:rsidRPr="00AC75A0" w:rsidRDefault="00E772DD" w:rsidP="004D32AC">
      <w:pPr>
        <w:pStyle w:val="Titre3"/>
        <w:numPr>
          <w:ilvl w:val="2"/>
          <w:numId w:val="67"/>
        </w:numPr>
        <w:spacing w:after="0" w:afterAutospacing="0" w:line="360" w:lineRule="auto"/>
        <w:rPr>
          <w:sz w:val="24"/>
          <w:szCs w:val="24"/>
          <w:lang w:val="fr-FR"/>
        </w:rPr>
      </w:pPr>
      <w:bookmarkStart w:id="282" w:name="_Toc199714260"/>
      <w:bookmarkStart w:id="283" w:name="_Toc200486538"/>
      <w:bookmarkStart w:id="284" w:name="_Toc200635314"/>
      <w:bookmarkStart w:id="285" w:name="_Toc200635702"/>
      <w:bookmarkStart w:id="286" w:name="_Toc200636091"/>
      <w:bookmarkStart w:id="287" w:name="_Toc200755828"/>
      <w:r w:rsidRPr="00AC75A0">
        <w:rPr>
          <w:sz w:val="24"/>
          <w:szCs w:val="24"/>
          <w:lang w:val="fr-FR"/>
        </w:rPr>
        <w:t>Développement des compétences</w:t>
      </w:r>
      <w:bookmarkEnd w:id="282"/>
      <w:bookmarkEnd w:id="283"/>
      <w:bookmarkEnd w:id="284"/>
      <w:bookmarkEnd w:id="285"/>
      <w:bookmarkEnd w:id="286"/>
      <w:bookmarkEnd w:id="287"/>
    </w:p>
    <w:p w:rsidR="00E772DD" w:rsidRPr="00AD5F90" w:rsidRDefault="00E772DD" w:rsidP="00AC75A0">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Dans un monde en constante évolution, où les compétences deviennent rapidement obsolètes, le développement des compétences est un enjeu crucial pour les entreprises. Il est essentiel d'investir dans la formation continue des employés pour leur permettre de rester compétitifs et de s'adapter aux changements technologiques et économiques. Les entreprises doivent identifier les besoins en compétences, mettre en place des programmes de formation adaptés et encourager l'apprentissage tout au long de la carrière. Le développement des compétences </w:t>
      </w:r>
      <w:r w:rsidRPr="00AD5F90">
        <w:rPr>
          <w:rFonts w:asciiTheme="majorBidi" w:hAnsiTheme="majorBidi" w:cstheme="majorBidi"/>
          <w:color w:val="000000"/>
          <w:lang w:val="fr-FR"/>
        </w:rPr>
        <w:lastRenderedPageBreak/>
        <w:t>est un levier essentiel pour améliorer la performance individuelle et collective, et pour assurer la pérennité de l'entreprise.</w:t>
      </w:r>
      <w:r w:rsidRPr="00AD5F90">
        <w:rPr>
          <w:rStyle w:val="Appelnotedebasdep"/>
          <w:rFonts w:cstheme="majorBidi"/>
          <w:color w:val="000000"/>
          <w:lang w:val="fr-FR"/>
        </w:rPr>
        <w:footnoteReference w:id="56"/>
      </w:r>
    </w:p>
    <w:p w:rsidR="00E772DD" w:rsidRPr="00AC75A0" w:rsidRDefault="00E772DD" w:rsidP="004D32AC">
      <w:pPr>
        <w:pStyle w:val="Titre3"/>
        <w:numPr>
          <w:ilvl w:val="2"/>
          <w:numId w:val="67"/>
        </w:numPr>
        <w:spacing w:before="0" w:beforeAutospacing="0" w:after="0" w:afterAutospacing="0" w:line="360" w:lineRule="auto"/>
        <w:rPr>
          <w:sz w:val="24"/>
          <w:szCs w:val="24"/>
          <w:lang w:val="fr-FR"/>
        </w:rPr>
      </w:pPr>
      <w:bookmarkStart w:id="289" w:name="_Toc199714261"/>
      <w:bookmarkStart w:id="290" w:name="_Toc200486539"/>
      <w:bookmarkStart w:id="291" w:name="_Toc200635315"/>
      <w:bookmarkStart w:id="292" w:name="_Toc200635703"/>
      <w:bookmarkStart w:id="293" w:name="_Toc200636092"/>
      <w:bookmarkStart w:id="294" w:name="_Toc200755829"/>
      <w:r w:rsidRPr="00AC75A0">
        <w:rPr>
          <w:sz w:val="24"/>
          <w:szCs w:val="24"/>
          <w:lang w:val="fr-FR"/>
        </w:rPr>
        <w:t>Gestion de la performance et de la motivation</w:t>
      </w:r>
      <w:bookmarkEnd w:id="289"/>
      <w:bookmarkEnd w:id="290"/>
      <w:bookmarkEnd w:id="291"/>
      <w:bookmarkEnd w:id="292"/>
      <w:bookmarkEnd w:id="293"/>
      <w:bookmarkEnd w:id="294"/>
    </w:p>
    <w:p w:rsidR="00E772DD" w:rsidRPr="00AD5F90" w:rsidRDefault="00E772DD" w:rsidP="00AC75A0">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 la performance et de la motivation des employés est un enjeu central pour les RH. Il ne s'agit pas seulement d'évaluer la performance, mais aussi de créer un environnement de travail où les employés se sentent valorisés, reconnus et motivés à donner le meilleur d'eux-mêmes. Cela implique de mettre en place des systèmes d'évaluation transparents et équitables, de fixer des objectifs clairs et réalisables, d'offrir des opportunités de développement de carrière, de reconnaître et de récompenser les contributions individuelles et collectives, et de favoriser une culture d'entreprise positive et engageante.</w:t>
      </w:r>
      <w:r w:rsidRPr="00AD5F90">
        <w:rPr>
          <w:rStyle w:val="Appelnotedebasdep"/>
          <w:rFonts w:cstheme="majorBidi"/>
          <w:color w:val="000000"/>
          <w:lang w:val="fr-FR"/>
        </w:rPr>
        <w:footnoteReference w:id="57"/>
      </w:r>
    </w:p>
    <w:p w:rsidR="00E772DD" w:rsidRPr="00EA6951" w:rsidRDefault="00E772DD" w:rsidP="004D32AC">
      <w:pPr>
        <w:pStyle w:val="Titre3"/>
        <w:numPr>
          <w:ilvl w:val="2"/>
          <w:numId w:val="67"/>
        </w:numPr>
        <w:spacing w:after="0" w:afterAutospacing="0" w:line="360" w:lineRule="auto"/>
        <w:rPr>
          <w:sz w:val="24"/>
          <w:szCs w:val="24"/>
          <w:lang w:val="fr-FR"/>
        </w:rPr>
      </w:pPr>
      <w:bookmarkStart w:id="296" w:name="_Toc199714262"/>
      <w:bookmarkStart w:id="297" w:name="_Toc200486540"/>
      <w:bookmarkStart w:id="298" w:name="_Toc200635316"/>
      <w:bookmarkStart w:id="299" w:name="_Toc200635704"/>
      <w:bookmarkStart w:id="300" w:name="_Toc200636093"/>
      <w:bookmarkStart w:id="301" w:name="_Toc200755830"/>
      <w:r w:rsidRPr="00EA6951">
        <w:rPr>
          <w:sz w:val="24"/>
          <w:szCs w:val="24"/>
          <w:lang w:val="fr-FR"/>
        </w:rPr>
        <w:t>Conformité législative et éthique</w:t>
      </w:r>
      <w:bookmarkEnd w:id="296"/>
      <w:bookmarkEnd w:id="297"/>
      <w:bookmarkEnd w:id="298"/>
      <w:bookmarkEnd w:id="299"/>
      <w:bookmarkEnd w:id="300"/>
      <w:bookmarkEnd w:id="301"/>
    </w:p>
    <w:p w:rsidR="00E772DD" w:rsidRPr="00AD5F90" w:rsidRDefault="00E772DD" w:rsidP="00EA6951">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des ressources humaines dans un contexte globalisé implique de naviguer dans un environnement juridique et éthique complexe. Les entreprises doivent respecter les lois et réglementations du travail de chaque pays où elles opèrent, ce qui peut être un défi compte tenu de la diversité des législations. Elles doivent également adopter une approche éthique de la gestion de leurs employés, en respectant les droits humains, les normes sociales et environnementales. La conformité législative et éthique est essentielle pour éviter les risques juridiques et réputationnels, et pour construire une relation de confiance avec les employés, les clients et les autres parties prenantes.</w:t>
      </w:r>
      <w:r w:rsidRPr="00AD5F90">
        <w:rPr>
          <w:rStyle w:val="Appelnotedebasdep"/>
          <w:rFonts w:cstheme="majorBidi"/>
          <w:color w:val="000000"/>
          <w:lang w:val="fr-FR"/>
        </w:rPr>
        <w:footnoteReference w:id="58"/>
      </w:r>
    </w:p>
    <w:p w:rsidR="00E772DD" w:rsidRPr="00EA6951" w:rsidRDefault="00E772DD" w:rsidP="004D32AC">
      <w:pPr>
        <w:pStyle w:val="Titre3"/>
        <w:numPr>
          <w:ilvl w:val="1"/>
          <w:numId w:val="67"/>
        </w:numPr>
        <w:spacing w:after="0" w:afterAutospacing="0" w:line="360" w:lineRule="auto"/>
        <w:rPr>
          <w:sz w:val="24"/>
          <w:szCs w:val="24"/>
          <w:lang w:val="fr-FR"/>
        </w:rPr>
      </w:pPr>
      <w:bookmarkStart w:id="303" w:name="_Toc199714263"/>
      <w:bookmarkStart w:id="304" w:name="_Toc200486541"/>
      <w:bookmarkStart w:id="305" w:name="_Toc200635317"/>
      <w:bookmarkStart w:id="306" w:name="_Toc200635705"/>
      <w:bookmarkStart w:id="307" w:name="_Toc200636094"/>
      <w:bookmarkStart w:id="308" w:name="_Toc200755831"/>
      <w:r w:rsidRPr="00EA6951">
        <w:rPr>
          <w:sz w:val="24"/>
          <w:szCs w:val="24"/>
          <w:lang w:val="fr-FR"/>
        </w:rPr>
        <w:t>L’éthique et la responsabilité sociale dans la gestion des ressources humaines (GRH)</w:t>
      </w:r>
      <w:bookmarkEnd w:id="303"/>
      <w:bookmarkEnd w:id="304"/>
      <w:bookmarkEnd w:id="305"/>
      <w:bookmarkEnd w:id="306"/>
      <w:bookmarkEnd w:id="307"/>
      <w:bookmarkEnd w:id="308"/>
    </w:p>
    <w:p w:rsidR="00E772DD" w:rsidRDefault="00E772DD" w:rsidP="00EA6951">
      <w:pPr>
        <w:pStyle w:val="NormalWeb"/>
        <w:spacing w:before="0" w:beforeAutospacing="0" w:after="240" w:afterAutospacing="0" w:line="360" w:lineRule="auto"/>
        <w:jc w:val="both"/>
        <w:rPr>
          <w:rFonts w:asciiTheme="majorBidi" w:hAnsiTheme="majorBidi" w:cstheme="majorBidi"/>
          <w:color w:val="000000"/>
          <w:lang w:val="fr-FR"/>
        </w:rPr>
      </w:pPr>
      <w:r w:rsidRPr="00E95B93">
        <w:rPr>
          <w:rFonts w:asciiTheme="majorBidi" w:hAnsiTheme="majorBidi" w:cstheme="majorBidi"/>
          <w:color w:val="000000"/>
          <w:lang w:val="fr-FR"/>
        </w:rPr>
        <w:t>Dans un contexte où les attentes sociétales évoluent, l’intégration de l’éthique et de la responsabilité sociale devient une dimension essentielle de la gestion des ressources humaines. Elle vise à concilier performance organisationnelle, respect des valeurs humaines et engagement envers le bien-être collectif.</w:t>
      </w:r>
    </w:p>
    <w:p w:rsidR="00EA6951" w:rsidRPr="00E95B93" w:rsidRDefault="00EA6951" w:rsidP="00EA6951">
      <w:pPr>
        <w:pStyle w:val="NormalWeb"/>
        <w:spacing w:before="0" w:beforeAutospacing="0" w:after="240" w:afterAutospacing="0" w:line="360" w:lineRule="auto"/>
        <w:jc w:val="both"/>
        <w:rPr>
          <w:rFonts w:asciiTheme="majorBidi" w:hAnsiTheme="majorBidi" w:cstheme="majorBidi"/>
          <w:color w:val="000000"/>
          <w:lang w:val="fr-FR"/>
        </w:rPr>
      </w:pPr>
    </w:p>
    <w:p w:rsidR="00E772DD" w:rsidRPr="00EA6951" w:rsidRDefault="00E772DD" w:rsidP="004D32AC">
      <w:pPr>
        <w:pStyle w:val="Titre3"/>
        <w:numPr>
          <w:ilvl w:val="2"/>
          <w:numId w:val="67"/>
        </w:numPr>
        <w:spacing w:after="0" w:afterAutospacing="0" w:line="360" w:lineRule="auto"/>
        <w:rPr>
          <w:sz w:val="20"/>
          <w:szCs w:val="20"/>
          <w:lang w:val="fr-FR"/>
        </w:rPr>
      </w:pPr>
      <w:bookmarkStart w:id="309" w:name="_Toc199714264"/>
      <w:bookmarkStart w:id="310" w:name="_Toc200486542"/>
      <w:bookmarkStart w:id="311" w:name="_Toc200635318"/>
      <w:bookmarkStart w:id="312" w:name="_Toc200635706"/>
      <w:bookmarkStart w:id="313" w:name="_Toc200636095"/>
      <w:bookmarkStart w:id="314" w:name="_Toc200755832"/>
      <w:r w:rsidRPr="00EA6951">
        <w:rPr>
          <w:sz w:val="24"/>
          <w:szCs w:val="24"/>
          <w:lang w:val="fr-FR"/>
        </w:rPr>
        <w:lastRenderedPageBreak/>
        <w:t>L'éthique dans la gestion des ressources humaines : un impératif pour des organisations responsables</w:t>
      </w:r>
      <w:bookmarkEnd w:id="309"/>
      <w:bookmarkEnd w:id="310"/>
      <w:bookmarkEnd w:id="311"/>
      <w:bookmarkEnd w:id="312"/>
      <w:bookmarkEnd w:id="313"/>
      <w:bookmarkEnd w:id="314"/>
    </w:p>
    <w:p w:rsidR="00E772DD" w:rsidRPr="00AD5F90" w:rsidRDefault="00E772DD" w:rsidP="00AA15A0">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des ressources humaines (GRH) est intrinsèquement liée à des considérations éthiques. En effet, les décisions prises dans ce domaine ont un impact direct sur le bien-être des employés et sur la réputation de l'organisation. L'éthique en GRH ne se limite pas au respect des lois et des règlements ; elle englobe un ensemble de valeurs et de principes qui guident les actions des gestionnaires. Parmi ces valeurs, on peut citer l'équité, la transparence, le respect de la vie privée et la lutte contre la discrimination. L'équité implique de traiter tous les employés de manière juste et impartiale, sans tenir compte de leur origine, de leur sexe, de leur âge ou de toute autre caractéristique personnelle. La transparence exige que les décisions soient prises de manière ouverte et que les employés soient informés des raisons qui les sous-tendent. Le respect de la vie privée implique de protéger les informations personnelles des employés et de ne pas les utiliser à des fins autres que celles pour lesquelles elles ont été collectées. La lutte contre la discrimination implique de créer un environnement de travail inclusif où chacun se sent valorisé et respecté. Une GRH éthique est essentielle pour instaurer un climat de confiance et de respect au sein de l'organisation. Elle contribue à améliorer la satisfaction et l'engagement des employés, ce qui se traduit par une augmentation de la productivité et de la performance. De plus, une organisation qui se soucie de l'éthique est perçue de manière plus positive par le public, ce qui renforce son image de marque et sa réputation.</w:t>
      </w:r>
      <w:r w:rsidRPr="00AD5F90">
        <w:rPr>
          <w:rStyle w:val="Appelnotedebasdep"/>
          <w:rFonts w:cstheme="majorBidi"/>
          <w:color w:val="000000"/>
          <w:lang w:val="fr-FR"/>
        </w:rPr>
        <w:footnoteReference w:id="59"/>
      </w:r>
    </w:p>
    <w:p w:rsidR="00E772DD" w:rsidRPr="00EA6951" w:rsidRDefault="00E772DD" w:rsidP="004D32AC">
      <w:pPr>
        <w:pStyle w:val="Titre3"/>
        <w:numPr>
          <w:ilvl w:val="2"/>
          <w:numId w:val="67"/>
        </w:numPr>
        <w:spacing w:after="0" w:afterAutospacing="0" w:line="360" w:lineRule="auto"/>
        <w:rPr>
          <w:rFonts w:cstheme="majorBidi"/>
          <w:b w:val="0"/>
          <w:bCs w:val="0"/>
          <w:sz w:val="24"/>
          <w:szCs w:val="24"/>
          <w:lang w:val="fr-FR"/>
        </w:rPr>
      </w:pPr>
      <w:bookmarkStart w:id="316" w:name="_Toc199714265"/>
      <w:bookmarkStart w:id="317" w:name="_Toc200486543"/>
      <w:bookmarkStart w:id="318" w:name="_Toc200635319"/>
      <w:bookmarkStart w:id="319" w:name="_Toc200635707"/>
      <w:bookmarkStart w:id="320" w:name="_Toc200636096"/>
      <w:bookmarkStart w:id="321" w:name="_Toc200755833"/>
      <w:r w:rsidRPr="00EA6951">
        <w:rPr>
          <w:rStyle w:val="lev"/>
          <w:rFonts w:asciiTheme="majorBidi" w:eastAsiaTheme="majorEastAsia" w:hAnsiTheme="majorBidi"/>
          <w:b/>
          <w:bCs/>
          <w:color w:val="000000"/>
          <w:sz w:val="24"/>
          <w:szCs w:val="24"/>
          <w:lang w:val="fr-FR"/>
        </w:rPr>
        <w:t>La responsabilité sociale en GRH : un levier pour une gestion des ressources humaines durable et éthique</w:t>
      </w:r>
      <w:bookmarkEnd w:id="316"/>
      <w:bookmarkEnd w:id="317"/>
      <w:bookmarkEnd w:id="318"/>
      <w:bookmarkEnd w:id="319"/>
      <w:bookmarkEnd w:id="320"/>
      <w:bookmarkEnd w:id="321"/>
    </w:p>
    <w:p w:rsidR="00E772DD" w:rsidRPr="00AD5F90" w:rsidRDefault="00E772DD" w:rsidP="00EA6951">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Dans le contexte actuel de mondialisation, les entreprises sont de plus en plus conscientes de l'importance d'intégrer des considérations sociales et environnementales dans leurs pratiques de gestion des ressources humaines (GRH). La responsabilité sociale en GRH se traduit par un engagement à prendre en compte les impacts de ses décisions sur la société et l'environnement, tout en respectant les normes éthiques et légales. Cela implique d'adopter une approche responsable dans tous les aspects de la gestion du personnel, depuis le recrutement et la formation jusqu'à la rémunération et la gestion des carrières. Les entreprises socialement responsables s'efforcent de promouvoir la diversité et l'inclusion, de protéger les droits des employés, de réduire les inégalités au travail, de favoriser le bien-être de leurs salariés, et de s'impliquer dans des initiatives communautaires et environnementales. En adoptant une telle </w:t>
      </w:r>
      <w:r w:rsidRPr="00AD5F90">
        <w:rPr>
          <w:rFonts w:asciiTheme="majorBidi" w:hAnsiTheme="majorBidi" w:cstheme="majorBidi"/>
          <w:color w:val="000000"/>
          <w:lang w:val="fr-FR"/>
        </w:rPr>
        <w:lastRenderedPageBreak/>
        <w:t>démarche, les entreprises peuvent améliorer leur image de marque, renforcer l'engagement de leurs employés, et contribuer à un environnement de travail plus sain et plus équitable. De plus, il a été démontré que la responsabilité sociale en GRH peut avoir un impact positif sur la performance globale de l'organisation.</w:t>
      </w:r>
      <w:r w:rsidRPr="00AD5F90">
        <w:rPr>
          <w:rStyle w:val="Appelnotedebasdep"/>
          <w:rFonts w:cstheme="majorBidi"/>
          <w:color w:val="000000"/>
          <w:lang w:val="fr-FR"/>
        </w:rPr>
        <w:footnoteReference w:id="60"/>
      </w:r>
    </w:p>
    <w:p w:rsidR="00E772DD" w:rsidRPr="00102A03" w:rsidRDefault="00E772DD" w:rsidP="00102A03">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Becker et </w:t>
      </w:r>
      <w:proofErr w:type="spellStart"/>
      <w:r w:rsidRPr="00AD5F90">
        <w:rPr>
          <w:rFonts w:asciiTheme="majorBidi" w:hAnsiTheme="majorBidi" w:cstheme="majorBidi"/>
          <w:color w:val="000000"/>
          <w:lang w:val="fr-FR"/>
        </w:rPr>
        <w:t>Huselid</w:t>
      </w:r>
      <w:proofErr w:type="spellEnd"/>
      <w:r w:rsidRPr="00AD5F90">
        <w:rPr>
          <w:rFonts w:asciiTheme="majorBidi" w:hAnsiTheme="majorBidi" w:cstheme="majorBidi"/>
          <w:color w:val="000000"/>
          <w:lang w:val="fr-FR"/>
        </w:rPr>
        <w:t xml:space="preserve"> affirment que l'alignement des pratiques RH avec les objectifs stratégiques de l'entreprise joue un rôle fondamental dans la performance économique. En optimisant la gestion des ressources humaines, les entreprises peuvent accroître leur efficacité et solidifier leur position sur le marché. La GRH stratégique inclut des pratiques telles que la gestion des performances, la rémunération incitative et la planification de la succession, qui contribuent à une performance accrue en veillant à ce que les efforts individuels soutiennent les objectifs globaux de l’organisation.</w:t>
      </w:r>
      <w:r w:rsidRPr="00AD5F90">
        <w:rPr>
          <w:rStyle w:val="Appelnotedebasdep"/>
          <w:rFonts w:cstheme="majorBidi"/>
          <w:color w:val="000000"/>
          <w:lang w:val="fr-FR"/>
        </w:rPr>
        <w:footnoteReference w:id="61"/>
      </w:r>
    </w:p>
    <w:p w:rsidR="00E772DD" w:rsidRPr="00EA6951" w:rsidRDefault="00E772DD" w:rsidP="004D32AC">
      <w:pPr>
        <w:pStyle w:val="Titre3"/>
        <w:numPr>
          <w:ilvl w:val="2"/>
          <w:numId w:val="67"/>
        </w:numPr>
        <w:spacing w:after="0" w:afterAutospacing="0" w:line="360" w:lineRule="auto"/>
        <w:rPr>
          <w:sz w:val="24"/>
          <w:szCs w:val="24"/>
          <w:lang w:val="fr-FR"/>
        </w:rPr>
      </w:pPr>
      <w:bookmarkStart w:id="323" w:name="_Toc199714266"/>
      <w:bookmarkStart w:id="324" w:name="_Toc200486544"/>
      <w:bookmarkStart w:id="325" w:name="_Toc200635320"/>
      <w:bookmarkStart w:id="326" w:name="_Toc200635708"/>
      <w:bookmarkStart w:id="327" w:name="_Toc200636097"/>
      <w:bookmarkStart w:id="328" w:name="_Toc200755834"/>
      <w:r w:rsidRPr="00EA6951">
        <w:rPr>
          <w:sz w:val="24"/>
          <w:szCs w:val="24"/>
          <w:lang w:val="fr-FR"/>
        </w:rPr>
        <w:t>L’interdépendance entre l’éthique et la responsabilité sociale en gestion des ressources humaines</w:t>
      </w:r>
      <w:bookmarkEnd w:id="323"/>
      <w:bookmarkEnd w:id="324"/>
      <w:bookmarkEnd w:id="325"/>
      <w:bookmarkEnd w:id="326"/>
      <w:bookmarkEnd w:id="327"/>
      <w:bookmarkEnd w:id="328"/>
    </w:p>
    <w:p w:rsidR="00E772DD" w:rsidRPr="00AD5F90" w:rsidRDefault="00E772DD" w:rsidP="00AA1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L’éthique et la responsabilité sociale en gestion des ressources humaines (GRH) sont deux notions complémentaires qui visent à garantir une gestion juste et durable du capital humain. Une GRH fondée sur l’éthique repose sur des principes fondamentaux comme l’équité, la transparence et le respect des droits des employés. La responsabilité sociale, quant à elle, va au-delà en intégrant les conséquences des décisions managériales sur la société et l’environnement, ce qui permet aux entreprises de renforcer leur engagement social et de promouvoir des pratiques durables.</w:t>
      </w:r>
      <w:r w:rsidRPr="00AD5F90">
        <w:rPr>
          <w:rStyle w:val="Appelnotedebasdep"/>
          <w:rFonts w:cstheme="majorBidi"/>
          <w:color w:val="000000"/>
          <w:lang w:val="fr-FR"/>
        </w:rPr>
        <w:footnoteReference w:id="62"/>
      </w:r>
    </w:p>
    <w:p w:rsidR="00E772DD" w:rsidRPr="00AD5F90" w:rsidRDefault="00E772DD" w:rsidP="00AA1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Mettre en place une approche éthique en GRH contribue directement à l’amélioration de la responsabilité sociale de l’entreprise. Cela passe notamment par la création d’un cadre de travail équitable où les droits des employés sont protégés, et où la diversité et l’inclusion sont encouragées. Ces principes ne relèvent pas uniquement d’une obligation morale, mais constituent également des leviers stratégiques pour améliorer la réputation et l’image de l’organisation. De plus, les entreprises qui s’engagent dans des pratiques de responsabilité </w:t>
      </w:r>
      <w:r w:rsidRPr="00AD5F90">
        <w:rPr>
          <w:rFonts w:asciiTheme="majorBidi" w:hAnsiTheme="majorBidi" w:cstheme="majorBidi"/>
          <w:color w:val="000000"/>
          <w:lang w:val="fr-FR"/>
        </w:rPr>
        <w:lastRenderedPageBreak/>
        <w:t>sociale adoptent généralement des politiques éthiques strictes dans les domaines du recrutement, de la rémunération et de la gestion des compétences.</w:t>
      </w:r>
      <w:r w:rsidRPr="00AD5F90">
        <w:rPr>
          <w:rStyle w:val="Appelnotedebasdep"/>
          <w:rFonts w:cstheme="majorBidi"/>
          <w:color w:val="000000"/>
          <w:lang w:val="fr-FR"/>
        </w:rPr>
        <w:footnoteReference w:id="63"/>
      </w:r>
    </w:p>
    <w:p w:rsidR="00E772DD" w:rsidRPr="00AD5F90" w:rsidRDefault="00E772DD" w:rsidP="00AA15A0">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Inversement, une forte implication dans la responsabilité sociale influence positivement les comportements éthiques des gestionnaires et des employés. En développant des initiatives visant à améliorer le bien-être des salariés, à respecter les normes environnementales et à soutenir des projets communautaires, les entreprises instaurent une culture organisationnelle fondée sur des valeurs éthiques solides. Cette démarche contribue à accroître la satisfaction et l’engagement des employés, tout en consolidant une image positive auprès des parties prenantes.</w:t>
      </w:r>
      <w:r w:rsidRPr="00AD5F90">
        <w:rPr>
          <w:rStyle w:val="Appelnotedebasdep"/>
          <w:rFonts w:cstheme="majorBidi"/>
          <w:color w:val="000000"/>
          <w:lang w:val="fr-FR"/>
        </w:rPr>
        <w:footnoteReference w:id="64"/>
      </w:r>
      <w:r w:rsidRPr="00AD5F90">
        <w:rPr>
          <w:rFonts w:asciiTheme="majorBidi" w:hAnsiTheme="majorBidi" w:cstheme="majorBidi"/>
          <w:color w:val="000000"/>
          <w:lang w:val="fr-FR"/>
        </w:rPr>
        <w:t xml:space="preserve"> </w:t>
      </w:r>
    </w:p>
    <w:p w:rsidR="00E772DD" w:rsidRDefault="00E772DD" w:rsidP="00D17D97">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En somme, éthique et responsabilité sociale en GRH sont indissociables, car elles s’enrichissent mutuellement pour créer un cadre de travail plus équilibré, inclusif et performant. Cette synergie permet non seulement d’améliorer la compétitivité et la durabilité des organisations, mais aussi de répondre aux attentes croissantes des parties prenantes en matière de gouvernance responsable.</w:t>
      </w:r>
    </w:p>
    <w:p w:rsidR="00E772DD" w:rsidRDefault="00E772DD" w:rsidP="00586215">
      <w:pPr>
        <w:spacing w:line="360" w:lineRule="auto"/>
        <w:jc w:val="both"/>
        <w:rPr>
          <w:rFonts w:asciiTheme="majorBidi" w:hAnsiTheme="majorBidi" w:cstheme="majorBidi"/>
          <w:color w:val="000000"/>
          <w:lang w:val="fr-FR"/>
        </w:rPr>
      </w:pPr>
      <w:r w:rsidRPr="00D17D97">
        <w:rPr>
          <w:rFonts w:asciiTheme="majorBidi" w:hAnsiTheme="majorBidi" w:cstheme="majorBidi"/>
          <w:color w:val="000000"/>
          <w:lang w:val="fr-FR"/>
        </w:rPr>
        <w:t>Cette première section a permis de mettre en lumière les fondements théoriques et pratiques de la gestion des ressources humaines (GRH), en abordant à la fois son historique, son évolution, ainsi que ses modèles et théories sous-jacents. L’évolution de la GRH, depuis ses premières formes jusqu’aux approches modernes, a montré l’importance de cette fonction dans la gestion du capital humain au sein des organisations. De même, la définition des missions, des objectifs et de l'impact de la GRH sur la performance des entreprises a souligné son rôle stratégique dans le succès organisationnel.</w:t>
      </w:r>
    </w:p>
    <w:p w:rsidR="00E772DD" w:rsidRDefault="00E772DD" w:rsidP="00586215">
      <w:pPr>
        <w:spacing w:line="360" w:lineRule="auto"/>
        <w:jc w:val="both"/>
        <w:rPr>
          <w:rFonts w:asciiTheme="majorBidi" w:hAnsiTheme="majorBidi" w:cstheme="majorBidi"/>
          <w:color w:val="000000"/>
          <w:lang w:val="fr-FR"/>
        </w:rPr>
      </w:pPr>
    </w:p>
    <w:p w:rsidR="00E772DD" w:rsidRDefault="00E772DD" w:rsidP="00586215">
      <w:pPr>
        <w:spacing w:line="360" w:lineRule="auto"/>
        <w:jc w:val="both"/>
        <w:rPr>
          <w:rFonts w:asciiTheme="majorBidi" w:hAnsiTheme="majorBidi" w:cstheme="majorBidi"/>
          <w:color w:val="000000"/>
          <w:lang w:val="fr-FR"/>
        </w:rPr>
      </w:pPr>
    </w:p>
    <w:p w:rsidR="00E772DD" w:rsidRDefault="00E772DD" w:rsidP="00586215">
      <w:pPr>
        <w:spacing w:line="360" w:lineRule="auto"/>
        <w:jc w:val="both"/>
        <w:rPr>
          <w:rFonts w:asciiTheme="majorBidi" w:hAnsiTheme="majorBidi" w:cstheme="majorBidi"/>
          <w:color w:val="000000"/>
          <w:lang w:val="fr-FR"/>
        </w:rPr>
      </w:pPr>
    </w:p>
    <w:p w:rsidR="00E772DD" w:rsidRDefault="00E772DD" w:rsidP="00586215">
      <w:pPr>
        <w:spacing w:line="360" w:lineRule="auto"/>
        <w:jc w:val="both"/>
        <w:rPr>
          <w:rFonts w:asciiTheme="majorBidi" w:hAnsiTheme="majorBidi" w:cstheme="majorBidi"/>
          <w:color w:val="000000"/>
          <w:lang w:val="fr-FR"/>
        </w:rPr>
      </w:pPr>
    </w:p>
    <w:p w:rsidR="00E772DD" w:rsidRDefault="00E772DD" w:rsidP="00586215">
      <w:pPr>
        <w:spacing w:line="360" w:lineRule="auto"/>
        <w:jc w:val="both"/>
        <w:rPr>
          <w:rFonts w:asciiTheme="majorBidi" w:hAnsiTheme="majorBidi" w:cstheme="majorBidi"/>
          <w:color w:val="000000"/>
          <w:lang w:val="fr-FR"/>
        </w:rPr>
      </w:pPr>
    </w:p>
    <w:p w:rsidR="00E772DD" w:rsidRDefault="00E772DD" w:rsidP="00586215">
      <w:pPr>
        <w:spacing w:line="360" w:lineRule="auto"/>
        <w:jc w:val="both"/>
        <w:rPr>
          <w:rFonts w:asciiTheme="majorBidi" w:hAnsiTheme="majorBidi" w:cstheme="majorBidi"/>
          <w:color w:val="000000"/>
          <w:lang w:val="fr-FR"/>
        </w:rPr>
      </w:pPr>
    </w:p>
    <w:p w:rsidR="00E772DD" w:rsidRDefault="00E772DD" w:rsidP="00586215">
      <w:pPr>
        <w:spacing w:line="360" w:lineRule="auto"/>
        <w:jc w:val="both"/>
        <w:rPr>
          <w:rFonts w:asciiTheme="majorBidi" w:hAnsiTheme="majorBidi" w:cstheme="majorBidi"/>
          <w:color w:val="000000"/>
          <w:lang w:val="fr-FR"/>
        </w:rPr>
      </w:pPr>
    </w:p>
    <w:p w:rsidR="005F596E" w:rsidRDefault="005F596E" w:rsidP="00194E42">
      <w:pPr>
        <w:pStyle w:val="Titre3"/>
        <w:rPr>
          <w:rStyle w:val="lev"/>
          <w:b/>
          <w:bCs/>
          <w:sz w:val="28"/>
          <w:szCs w:val="28"/>
        </w:rPr>
      </w:pPr>
    </w:p>
    <w:p w:rsidR="00E772DD" w:rsidRPr="00194E42" w:rsidRDefault="00E772DD" w:rsidP="00194E42">
      <w:pPr>
        <w:pStyle w:val="Titre3"/>
        <w:rPr>
          <w:rStyle w:val="lev"/>
          <w:b/>
          <w:bCs/>
          <w:sz w:val="28"/>
          <w:szCs w:val="28"/>
        </w:rPr>
      </w:pPr>
      <w:bookmarkStart w:id="331" w:name="_Toc200486545"/>
      <w:bookmarkStart w:id="332" w:name="_Toc200635321"/>
      <w:bookmarkStart w:id="333" w:name="_Toc200635709"/>
      <w:bookmarkStart w:id="334" w:name="_Toc200636098"/>
      <w:bookmarkStart w:id="335" w:name="_Toc200755835"/>
      <w:r w:rsidRPr="00194E42">
        <w:rPr>
          <w:rStyle w:val="lev"/>
          <w:b/>
          <w:bCs/>
          <w:sz w:val="28"/>
          <w:szCs w:val="28"/>
        </w:rPr>
        <w:lastRenderedPageBreak/>
        <w:t>Section 2 : Les fonctions et enjeux stratégiques de la GRH</w:t>
      </w:r>
      <w:bookmarkEnd w:id="331"/>
      <w:bookmarkEnd w:id="332"/>
      <w:bookmarkEnd w:id="333"/>
      <w:bookmarkEnd w:id="334"/>
      <w:bookmarkEnd w:id="335"/>
    </w:p>
    <w:p w:rsidR="00E772DD" w:rsidRPr="00AD5F90" w:rsidRDefault="00E772DD" w:rsidP="00261513">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des ressources humaines joue un rôle central dans la performance des entreprises en assurant le recrutement, la formation, la gestion des compétences, la rémunération et l’évolution professionnelle des employés. Ces fonctions traditionnelles permettent aux organisations d’optimiser leurs talents et d’assurer leur compétitivité sur le marché.</w:t>
      </w:r>
    </w:p>
    <w:p w:rsidR="00E772DD" w:rsidRPr="00AD5F90" w:rsidRDefault="00E772DD" w:rsidP="00261513">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Cependant, le monde du travail évolue rapidement, et la GRH doit désormais relever de</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nouveaux défis</w:t>
      </w:r>
      <w:r w:rsidRPr="00AD5F90">
        <w:rPr>
          <w:rFonts w:asciiTheme="majorBidi" w:hAnsiTheme="majorBidi" w:cstheme="majorBidi"/>
          <w:color w:val="000000"/>
          <w:lang w:val="fr-FR"/>
        </w:rPr>
        <w:t>. Les attentes des employés changent : la quête de sens au travail, l’équilibre entre vie professionnelle et personnelle et le bien-être des salariés sont devenus des préoccupations majeures. De plus, les entreprises font face à une</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pénurie de talents</w:t>
      </w:r>
      <w:r w:rsidRPr="00AD5F90">
        <w:rPr>
          <w:rFonts w:asciiTheme="majorBidi" w:hAnsiTheme="majorBidi" w:cstheme="majorBidi"/>
          <w:b/>
          <w:bCs/>
          <w:color w:val="000000"/>
          <w:lang w:val="fr-FR"/>
        </w:rPr>
        <w:t>,</w:t>
      </w:r>
      <w:r w:rsidRPr="00AD5F90">
        <w:rPr>
          <w:rFonts w:asciiTheme="majorBidi" w:hAnsiTheme="majorBidi" w:cstheme="majorBidi"/>
          <w:color w:val="000000"/>
          <w:lang w:val="fr-FR"/>
        </w:rPr>
        <w:t xml:space="preserve"> à un</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turnover accru</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et à la nécessité d’adapter leurs stratégies pour fidéliser leurs collaborateurs.</w:t>
      </w:r>
    </w:p>
    <w:p w:rsidR="00E772DD" w:rsidRPr="00AD5F90" w:rsidRDefault="00E772DD" w:rsidP="00261513">
      <w:p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Cette section explore les fonctions clés de la gestion des ressources humaines ainsi que les enjeux actuels auxquels elle est confrontée.</w:t>
      </w:r>
    </w:p>
    <w:p w:rsidR="00E772DD" w:rsidRPr="00EA6951" w:rsidRDefault="00E772DD" w:rsidP="004D32AC">
      <w:pPr>
        <w:pStyle w:val="Titre1"/>
        <w:numPr>
          <w:ilvl w:val="1"/>
          <w:numId w:val="40"/>
        </w:numPr>
        <w:spacing w:line="360" w:lineRule="auto"/>
        <w:rPr>
          <w:rFonts w:asciiTheme="majorBidi" w:hAnsiTheme="majorBidi"/>
          <w:b/>
          <w:bCs/>
          <w:color w:val="000000" w:themeColor="text1"/>
          <w:sz w:val="24"/>
          <w:szCs w:val="24"/>
        </w:rPr>
      </w:pPr>
      <w:bookmarkStart w:id="336" w:name="_Toc199714268"/>
      <w:bookmarkStart w:id="337" w:name="_Toc200486546"/>
      <w:bookmarkStart w:id="338" w:name="_Toc200635322"/>
      <w:bookmarkStart w:id="339" w:name="_Toc200635710"/>
      <w:bookmarkStart w:id="340" w:name="_Toc200636099"/>
      <w:bookmarkStart w:id="341" w:name="_Toc200755836"/>
      <w:r w:rsidRPr="00EA6951">
        <w:rPr>
          <w:rFonts w:asciiTheme="majorBidi" w:hAnsiTheme="majorBidi"/>
          <w:b/>
          <w:bCs/>
          <w:color w:val="000000" w:themeColor="text1"/>
          <w:sz w:val="24"/>
          <w:szCs w:val="24"/>
        </w:rPr>
        <w:t xml:space="preserve">Les </w:t>
      </w:r>
      <w:proofErr w:type="spellStart"/>
      <w:r w:rsidRPr="00EA6951">
        <w:rPr>
          <w:rFonts w:asciiTheme="majorBidi" w:hAnsiTheme="majorBidi"/>
          <w:b/>
          <w:bCs/>
          <w:color w:val="000000" w:themeColor="text1"/>
          <w:sz w:val="24"/>
          <w:szCs w:val="24"/>
        </w:rPr>
        <w:t>fonctions</w:t>
      </w:r>
      <w:proofErr w:type="spellEnd"/>
      <w:r w:rsidRPr="00EA6951">
        <w:rPr>
          <w:rFonts w:asciiTheme="majorBidi" w:hAnsiTheme="majorBidi"/>
          <w:b/>
          <w:bCs/>
          <w:color w:val="000000" w:themeColor="text1"/>
          <w:sz w:val="24"/>
          <w:szCs w:val="24"/>
        </w:rPr>
        <w:t xml:space="preserve"> de la GRH</w:t>
      </w:r>
      <w:bookmarkEnd w:id="336"/>
      <w:bookmarkEnd w:id="337"/>
      <w:bookmarkEnd w:id="338"/>
      <w:bookmarkEnd w:id="339"/>
      <w:bookmarkEnd w:id="340"/>
      <w:bookmarkEnd w:id="341"/>
    </w:p>
    <w:p w:rsidR="00E772DD" w:rsidRPr="0007711A" w:rsidRDefault="00E772DD" w:rsidP="00EA6951">
      <w:pPr>
        <w:spacing w:line="360" w:lineRule="auto"/>
        <w:jc w:val="both"/>
        <w:rPr>
          <w:rFonts w:asciiTheme="majorBidi" w:hAnsiTheme="majorBidi" w:cstheme="majorBidi"/>
          <w:lang w:val="fr-FR"/>
        </w:rPr>
      </w:pPr>
      <w:r w:rsidRPr="0007711A">
        <w:rPr>
          <w:rFonts w:asciiTheme="majorBidi" w:hAnsiTheme="majorBidi" w:cstheme="majorBidi"/>
          <w:lang w:val="fr-FR"/>
        </w:rPr>
        <w:t>La gestion des ressources humaines (GRH) regroupe un ensemble de fonctions et de responsabilités qui visent à optimiser l’utilisation du capital humain au sein de l’organisation. Ces fonctions sont au cœur de la stratégie de l’entreprise, car elles contribuent directement à la performance organisationnelle et à la gestion des talents.</w:t>
      </w:r>
    </w:p>
    <w:p w:rsidR="00E772DD" w:rsidRPr="00EA6951" w:rsidRDefault="00E772DD" w:rsidP="004D32AC">
      <w:pPr>
        <w:pStyle w:val="Titre2"/>
        <w:numPr>
          <w:ilvl w:val="1"/>
          <w:numId w:val="183"/>
        </w:numPr>
        <w:spacing w:line="360" w:lineRule="auto"/>
        <w:rPr>
          <w:rFonts w:asciiTheme="majorBidi" w:hAnsiTheme="majorBidi"/>
          <w:b/>
          <w:bCs/>
          <w:color w:val="000000" w:themeColor="text1"/>
          <w:sz w:val="24"/>
          <w:szCs w:val="24"/>
          <w:lang w:val="fr-FR"/>
        </w:rPr>
      </w:pPr>
      <w:bookmarkStart w:id="342" w:name="_Toc199714269"/>
      <w:bookmarkStart w:id="343" w:name="_Toc200486547"/>
      <w:bookmarkStart w:id="344" w:name="_Toc200635323"/>
      <w:bookmarkStart w:id="345" w:name="_Toc200635711"/>
      <w:bookmarkStart w:id="346" w:name="_Toc200636100"/>
      <w:bookmarkStart w:id="347" w:name="_Toc200755837"/>
      <w:r w:rsidRPr="00EA6951">
        <w:rPr>
          <w:rFonts w:asciiTheme="majorBidi" w:hAnsiTheme="majorBidi"/>
          <w:b/>
          <w:bCs/>
          <w:color w:val="000000" w:themeColor="text1"/>
          <w:sz w:val="24"/>
          <w:szCs w:val="24"/>
          <w:lang w:val="fr-FR"/>
        </w:rPr>
        <w:t>Le recrutement</w:t>
      </w:r>
      <w:bookmarkEnd w:id="342"/>
      <w:bookmarkEnd w:id="343"/>
      <w:bookmarkEnd w:id="344"/>
      <w:bookmarkEnd w:id="345"/>
      <w:bookmarkEnd w:id="346"/>
      <w:bookmarkEnd w:id="347"/>
    </w:p>
    <w:p w:rsidR="00E772DD" w:rsidRPr="00AD5F90" w:rsidRDefault="00E772DD" w:rsidP="00EA6951">
      <w:pPr>
        <w:spacing w:line="360" w:lineRule="auto"/>
        <w:jc w:val="both"/>
        <w:rPr>
          <w:rFonts w:asciiTheme="majorBidi" w:hAnsiTheme="majorBidi" w:cstheme="majorBidi"/>
          <w:lang w:val="fr-FR"/>
        </w:rPr>
      </w:pPr>
      <w:r w:rsidRPr="00AD5F90">
        <w:rPr>
          <w:rFonts w:asciiTheme="majorBidi" w:hAnsiTheme="majorBidi" w:cstheme="majorBidi"/>
          <w:lang w:val="fr-FR"/>
        </w:rPr>
        <w:t>Le recrutement est une fonction clé de la gestion des ressources humaines, marquant le début du lien entre l’entreprise et ses employés. Il consiste à mettre en œuvre des actions pour identifier les candidats répondant aux besoins d’un poste donné</w:t>
      </w:r>
      <w:r w:rsidRPr="00AD5F90">
        <w:rPr>
          <w:rStyle w:val="Appelnotedebasdep"/>
          <w:lang w:val="fr-FR"/>
        </w:rPr>
        <w:footnoteReference w:id="65"/>
      </w:r>
      <w:r w:rsidRPr="00AD5F90">
        <w:rPr>
          <w:rFonts w:asciiTheme="majorBidi" w:hAnsiTheme="majorBidi" w:cstheme="majorBidi"/>
          <w:lang w:val="fr-FR"/>
        </w:rPr>
        <w:t>.</w:t>
      </w:r>
    </w:p>
    <w:p w:rsidR="00E772DD" w:rsidRPr="00AD5F90" w:rsidRDefault="00E772DD" w:rsidP="00AA15A0">
      <w:pPr>
        <w:spacing w:line="360" w:lineRule="auto"/>
        <w:jc w:val="both"/>
        <w:rPr>
          <w:rFonts w:asciiTheme="majorBidi" w:hAnsiTheme="majorBidi" w:cstheme="majorBidi"/>
          <w:lang w:val="fr-FR"/>
        </w:rPr>
      </w:pPr>
      <w:r w:rsidRPr="00AD5F90">
        <w:rPr>
          <w:rFonts w:asciiTheme="majorBidi" w:hAnsiTheme="majorBidi" w:cstheme="majorBidi"/>
          <w:lang w:val="fr-FR"/>
        </w:rPr>
        <w:t>Les principales tâches incluent :</w:t>
      </w:r>
    </w:p>
    <w:p w:rsidR="00E772DD" w:rsidRPr="00AD5F90" w:rsidRDefault="00E772DD" w:rsidP="004D32AC">
      <w:pPr>
        <w:pStyle w:val="Paragraphedeliste"/>
        <w:numPr>
          <w:ilvl w:val="0"/>
          <w:numId w:val="48"/>
        </w:numPr>
        <w:spacing w:line="360" w:lineRule="auto"/>
        <w:jc w:val="both"/>
        <w:rPr>
          <w:rFonts w:asciiTheme="majorBidi" w:hAnsiTheme="majorBidi" w:cstheme="majorBidi"/>
          <w:lang w:val="fr-FR"/>
        </w:rPr>
      </w:pPr>
      <w:r w:rsidRPr="00AD5F90">
        <w:rPr>
          <w:rFonts w:asciiTheme="majorBidi" w:hAnsiTheme="majorBidi" w:cstheme="majorBidi"/>
          <w:lang w:val="fr-FR"/>
        </w:rPr>
        <w:t>Gérer l’ensemble du processus, de l’analyse du poste à la sélection des candidats ;</w:t>
      </w:r>
    </w:p>
    <w:p w:rsidR="00E772DD" w:rsidRPr="00AD5F90" w:rsidRDefault="00E772DD" w:rsidP="004D32AC">
      <w:pPr>
        <w:pStyle w:val="Paragraphedeliste"/>
        <w:numPr>
          <w:ilvl w:val="0"/>
          <w:numId w:val="48"/>
        </w:numPr>
        <w:spacing w:line="360" w:lineRule="auto"/>
        <w:jc w:val="both"/>
        <w:rPr>
          <w:rFonts w:asciiTheme="majorBidi" w:hAnsiTheme="majorBidi" w:cstheme="majorBidi"/>
          <w:lang w:val="fr-FR"/>
        </w:rPr>
      </w:pPr>
      <w:r w:rsidRPr="00AD5F90">
        <w:rPr>
          <w:rFonts w:asciiTheme="majorBidi" w:hAnsiTheme="majorBidi" w:cstheme="majorBidi"/>
          <w:lang w:val="fr-FR"/>
        </w:rPr>
        <w:t>Rédiger les contrats types et évaluer les dérogations possibles ;</w:t>
      </w:r>
    </w:p>
    <w:p w:rsidR="00E772DD" w:rsidRPr="00AD5F90" w:rsidRDefault="00E772DD" w:rsidP="004D32AC">
      <w:pPr>
        <w:pStyle w:val="Paragraphedeliste"/>
        <w:numPr>
          <w:ilvl w:val="0"/>
          <w:numId w:val="48"/>
        </w:numPr>
        <w:spacing w:line="360" w:lineRule="auto"/>
        <w:jc w:val="both"/>
        <w:rPr>
          <w:rFonts w:asciiTheme="majorBidi" w:hAnsiTheme="majorBidi" w:cstheme="majorBidi"/>
          <w:lang w:val="fr-FR"/>
        </w:rPr>
      </w:pPr>
      <w:r w:rsidRPr="00AD5F90">
        <w:rPr>
          <w:rFonts w:asciiTheme="majorBidi" w:hAnsiTheme="majorBidi" w:cstheme="majorBidi"/>
          <w:lang w:val="fr-FR"/>
        </w:rPr>
        <w:t>Accueillir les nouveaux employés et suivre leur adaptation en période d’essai</w:t>
      </w:r>
      <w:r w:rsidRPr="00AD5F90">
        <w:rPr>
          <w:rStyle w:val="Appelnotedebasdep"/>
          <w:lang w:val="fr-FR"/>
        </w:rPr>
        <w:footnoteReference w:id="66"/>
      </w:r>
      <w:r w:rsidRPr="00AD5F90">
        <w:rPr>
          <w:rFonts w:asciiTheme="majorBidi" w:hAnsiTheme="majorBidi" w:cstheme="majorBidi"/>
          <w:lang w:val="fr-FR"/>
        </w:rPr>
        <w:t>.</w:t>
      </w:r>
    </w:p>
    <w:p w:rsidR="00E772DD" w:rsidRPr="00AD5F90" w:rsidRDefault="00E772DD" w:rsidP="00AA15A0">
      <w:pPr>
        <w:spacing w:line="360" w:lineRule="auto"/>
        <w:jc w:val="both"/>
        <w:rPr>
          <w:rFonts w:asciiTheme="majorBidi" w:hAnsiTheme="majorBidi" w:cstheme="majorBidi"/>
          <w:lang w:val="fr-FR"/>
        </w:rPr>
      </w:pPr>
      <w:r w:rsidRPr="00AD5F90">
        <w:rPr>
          <w:rFonts w:asciiTheme="majorBidi" w:hAnsiTheme="majorBidi" w:cstheme="majorBidi"/>
          <w:lang w:val="fr-FR"/>
        </w:rPr>
        <w:t>La politique de recrutement regroupe les décisions et actions permettant d’anticiper et de pourvoir les postes nécessaires à l’entreprise. Elle s’intègre dans la gestion prévisionnelle des emplois et des compétences ainsi que dans la stratégie RH et globale de l’organisation</w:t>
      </w:r>
      <w:r w:rsidRPr="00AD5F90">
        <w:rPr>
          <w:rStyle w:val="Appelnotedebasdep"/>
          <w:lang w:val="fr-FR"/>
        </w:rPr>
        <w:footnoteReference w:id="67"/>
      </w:r>
      <w:r w:rsidRPr="00AD5F90">
        <w:rPr>
          <w:rFonts w:asciiTheme="majorBidi" w:hAnsiTheme="majorBidi" w:cstheme="majorBidi"/>
          <w:lang w:val="fr-FR"/>
        </w:rPr>
        <w:t>.</w:t>
      </w:r>
    </w:p>
    <w:p w:rsidR="00E772DD" w:rsidRPr="00EA6951" w:rsidRDefault="00E772DD" w:rsidP="004D32AC">
      <w:pPr>
        <w:pStyle w:val="Titre3"/>
        <w:numPr>
          <w:ilvl w:val="1"/>
          <w:numId w:val="183"/>
        </w:numPr>
        <w:spacing w:after="0" w:afterAutospacing="0" w:line="360" w:lineRule="auto"/>
        <w:rPr>
          <w:sz w:val="24"/>
          <w:szCs w:val="24"/>
          <w:lang w:val="fr-FR"/>
        </w:rPr>
      </w:pPr>
      <w:bookmarkStart w:id="348" w:name="_Toc199714270"/>
      <w:bookmarkStart w:id="349" w:name="_Toc200486548"/>
      <w:bookmarkStart w:id="350" w:name="_Toc200635324"/>
      <w:bookmarkStart w:id="351" w:name="_Toc200635712"/>
      <w:bookmarkStart w:id="352" w:name="_Toc200636101"/>
      <w:bookmarkStart w:id="353" w:name="_Toc200755838"/>
      <w:r w:rsidRPr="00EA6951">
        <w:rPr>
          <w:sz w:val="24"/>
          <w:szCs w:val="24"/>
          <w:lang w:val="fr-FR"/>
        </w:rPr>
        <w:lastRenderedPageBreak/>
        <w:t>La formation</w:t>
      </w:r>
      <w:bookmarkEnd w:id="348"/>
      <w:bookmarkEnd w:id="349"/>
      <w:bookmarkEnd w:id="350"/>
      <w:bookmarkEnd w:id="351"/>
      <w:bookmarkEnd w:id="352"/>
      <w:bookmarkEnd w:id="353"/>
      <w:r w:rsidRPr="00EA6951">
        <w:rPr>
          <w:sz w:val="24"/>
          <w:szCs w:val="24"/>
          <w:lang w:val="fr-FR"/>
        </w:rPr>
        <w:t xml:space="preserve"> </w:t>
      </w:r>
    </w:p>
    <w:p w:rsidR="00E772DD" w:rsidRPr="00AD5F90" w:rsidRDefault="00E772DD" w:rsidP="00EA6951">
      <w:pPr>
        <w:spacing w:line="360" w:lineRule="auto"/>
        <w:jc w:val="both"/>
        <w:rPr>
          <w:rFonts w:asciiTheme="majorBidi" w:hAnsiTheme="majorBidi" w:cstheme="majorBidi"/>
          <w:lang w:val="fr-FR"/>
        </w:rPr>
      </w:pPr>
      <w:r w:rsidRPr="00AD5F90">
        <w:rPr>
          <w:rFonts w:asciiTheme="majorBidi" w:hAnsiTheme="majorBidi" w:cstheme="majorBidi"/>
          <w:lang w:val="fr-FR"/>
        </w:rPr>
        <w:t>La formation regroupe un ensemble d’actions, de moyens et de techniques permettant aux salariés d’améliorer leurs connaissances, compétences et attitudes afin d’atteindre les objectifs organisationnels et individuels. Elle constitue un investissement stratégique visant à adapter et renforcer les qualifications professionnelles.</w:t>
      </w:r>
    </w:p>
    <w:p w:rsidR="00E772DD" w:rsidRPr="00AD5F90" w:rsidRDefault="00E772DD" w:rsidP="00AA15A0">
      <w:pPr>
        <w:spacing w:line="360" w:lineRule="auto"/>
        <w:jc w:val="both"/>
        <w:rPr>
          <w:rFonts w:asciiTheme="majorBidi" w:hAnsiTheme="majorBidi" w:cstheme="majorBidi"/>
          <w:lang w:val="fr-FR"/>
        </w:rPr>
      </w:pPr>
      <w:r w:rsidRPr="00AD5F90">
        <w:rPr>
          <w:rFonts w:asciiTheme="majorBidi" w:hAnsiTheme="majorBidi" w:cstheme="majorBidi"/>
          <w:lang w:val="fr-FR"/>
        </w:rPr>
        <w:t>Les principales étapes sont :</w:t>
      </w:r>
    </w:p>
    <w:p w:rsidR="00E772DD" w:rsidRPr="00AD5F90" w:rsidRDefault="00E772DD" w:rsidP="004D32AC">
      <w:pPr>
        <w:pStyle w:val="Paragraphedeliste"/>
        <w:numPr>
          <w:ilvl w:val="0"/>
          <w:numId w:val="49"/>
        </w:numPr>
        <w:spacing w:line="360" w:lineRule="auto"/>
        <w:jc w:val="both"/>
        <w:rPr>
          <w:rFonts w:asciiTheme="majorBidi" w:hAnsiTheme="majorBidi" w:cstheme="majorBidi"/>
          <w:lang w:val="fr-FR"/>
        </w:rPr>
      </w:pPr>
      <w:r w:rsidRPr="00AD5F90">
        <w:rPr>
          <w:rFonts w:asciiTheme="majorBidi" w:hAnsiTheme="majorBidi" w:cstheme="majorBidi"/>
          <w:lang w:val="fr-FR"/>
        </w:rPr>
        <w:t>Élaboration du plan de formation,</w:t>
      </w:r>
    </w:p>
    <w:p w:rsidR="00E772DD" w:rsidRPr="00AD5F90" w:rsidRDefault="00E772DD" w:rsidP="004D32AC">
      <w:pPr>
        <w:pStyle w:val="Paragraphedeliste"/>
        <w:numPr>
          <w:ilvl w:val="0"/>
          <w:numId w:val="49"/>
        </w:numPr>
        <w:spacing w:line="360" w:lineRule="auto"/>
        <w:jc w:val="both"/>
        <w:rPr>
          <w:rFonts w:asciiTheme="majorBidi" w:hAnsiTheme="majorBidi" w:cstheme="majorBidi"/>
          <w:lang w:val="fr-FR"/>
        </w:rPr>
      </w:pPr>
      <w:r w:rsidRPr="00AD5F90">
        <w:rPr>
          <w:rFonts w:asciiTheme="majorBidi" w:hAnsiTheme="majorBidi" w:cstheme="majorBidi"/>
          <w:lang w:val="fr-FR"/>
        </w:rPr>
        <w:t>Identification des besoins,</w:t>
      </w:r>
    </w:p>
    <w:p w:rsidR="00E772DD" w:rsidRPr="00AD5F90" w:rsidRDefault="00E772DD" w:rsidP="004D32AC">
      <w:pPr>
        <w:pStyle w:val="Paragraphedeliste"/>
        <w:numPr>
          <w:ilvl w:val="0"/>
          <w:numId w:val="49"/>
        </w:numPr>
        <w:spacing w:line="360" w:lineRule="auto"/>
        <w:jc w:val="both"/>
        <w:rPr>
          <w:rFonts w:asciiTheme="majorBidi" w:hAnsiTheme="majorBidi" w:cstheme="majorBidi"/>
          <w:lang w:val="fr-FR"/>
        </w:rPr>
      </w:pPr>
      <w:r w:rsidRPr="00AD5F90">
        <w:rPr>
          <w:rFonts w:asciiTheme="majorBidi" w:hAnsiTheme="majorBidi" w:cstheme="majorBidi"/>
          <w:lang w:val="fr-FR"/>
        </w:rPr>
        <w:t>Mise en œuvre des actions,</w:t>
      </w:r>
    </w:p>
    <w:p w:rsidR="00E772DD" w:rsidRPr="00AD5F90" w:rsidRDefault="00E772DD" w:rsidP="004D32AC">
      <w:pPr>
        <w:pStyle w:val="Paragraphedeliste"/>
        <w:numPr>
          <w:ilvl w:val="0"/>
          <w:numId w:val="49"/>
        </w:numPr>
        <w:spacing w:line="360" w:lineRule="auto"/>
        <w:jc w:val="both"/>
        <w:rPr>
          <w:rFonts w:asciiTheme="majorBidi" w:hAnsiTheme="majorBidi" w:cstheme="majorBidi"/>
          <w:lang w:val="fr-FR"/>
        </w:rPr>
      </w:pPr>
      <w:r w:rsidRPr="00AD5F90">
        <w:rPr>
          <w:rFonts w:asciiTheme="majorBidi" w:hAnsiTheme="majorBidi" w:cstheme="majorBidi"/>
          <w:lang w:val="fr-FR"/>
        </w:rPr>
        <w:t>Évaluation des résultats</w:t>
      </w:r>
      <w:r w:rsidRPr="00AD5F90">
        <w:rPr>
          <w:rStyle w:val="Appelnotedebasdep"/>
          <w:lang w:val="fr-FR"/>
        </w:rPr>
        <w:footnoteReference w:id="68"/>
      </w:r>
      <w:r w:rsidRPr="00AD5F90">
        <w:rPr>
          <w:rFonts w:asciiTheme="majorBidi" w:hAnsiTheme="majorBidi" w:cstheme="majorBidi"/>
          <w:lang w:val="fr-FR"/>
        </w:rPr>
        <w:t>.</w:t>
      </w:r>
    </w:p>
    <w:p w:rsidR="00E772DD" w:rsidRPr="00AD5F90" w:rsidRDefault="00E772DD" w:rsidP="00AA15A0">
      <w:pPr>
        <w:spacing w:line="360" w:lineRule="auto"/>
        <w:jc w:val="both"/>
        <w:rPr>
          <w:rFonts w:asciiTheme="majorBidi" w:hAnsiTheme="majorBidi" w:cstheme="majorBidi"/>
          <w:lang w:val="fr-FR"/>
        </w:rPr>
      </w:pPr>
      <w:r w:rsidRPr="00AD5F90">
        <w:rPr>
          <w:rFonts w:asciiTheme="majorBidi" w:hAnsiTheme="majorBidi" w:cstheme="majorBidi"/>
          <w:lang w:val="fr-FR"/>
        </w:rPr>
        <w:t>Depuis les années 70, la formation a pris une place centrale dans le management des ressources humaines, devenant un levier clé de compétitivité pour les entreprises.</w:t>
      </w:r>
    </w:p>
    <w:p w:rsidR="00E772DD" w:rsidRPr="00C36F78" w:rsidRDefault="00E772DD" w:rsidP="004D32AC">
      <w:pPr>
        <w:pStyle w:val="Titre3"/>
        <w:numPr>
          <w:ilvl w:val="1"/>
          <w:numId w:val="183"/>
        </w:numPr>
        <w:spacing w:after="0" w:afterAutospacing="0" w:line="360" w:lineRule="auto"/>
        <w:rPr>
          <w:sz w:val="24"/>
          <w:szCs w:val="24"/>
        </w:rPr>
      </w:pPr>
      <w:bookmarkStart w:id="354" w:name="_Toc199714271"/>
      <w:bookmarkStart w:id="355" w:name="_Toc200486549"/>
      <w:bookmarkStart w:id="356" w:name="_Toc200635325"/>
      <w:bookmarkStart w:id="357" w:name="_Toc200635713"/>
      <w:bookmarkStart w:id="358" w:name="_Toc200636102"/>
      <w:bookmarkStart w:id="359" w:name="_Toc200755839"/>
      <w:r w:rsidRPr="00C36F78">
        <w:rPr>
          <w:sz w:val="24"/>
          <w:szCs w:val="24"/>
        </w:rPr>
        <w:t>La gestion prévisionnelle des emplois et des compétences (GPEC)</w:t>
      </w:r>
      <w:bookmarkEnd w:id="354"/>
      <w:bookmarkEnd w:id="355"/>
      <w:bookmarkEnd w:id="356"/>
      <w:bookmarkEnd w:id="357"/>
      <w:bookmarkEnd w:id="358"/>
      <w:bookmarkEnd w:id="359"/>
    </w:p>
    <w:p w:rsidR="00E772DD" w:rsidRPr="00AD5F90" w:rsidRDefault="00E772DD" w:rsidP="00C36F78">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Prévisionnelle des Emplois et des Compétences (GPEC) est une démarche stratégique visant à aligner les besoins en ressources humaines d'une entreprise avec ses objectifs à moyen et long terme. Elle permet d'anticiper les évolutions des métiers et des compétences pour maintenir une adéquation optimale entre les postes et les talents disponibles. Pour ce faire, diverses méthodes et outils sont mobilisés afin de diagnostiquer, planifier et développer les compétences au sein de l'organisation.</w:t>
      </w:r>
    </w:p>
    <w:p w:rsidR="00E772DD" w:rsidRPr="00AD5F90" w:rsidRDefault="00E772DD" w:rsidP="006072BB">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GPEC consiste en la conception, la mise en œuvre et le suivi de politiques et plans d’action cohérents pour anticiper les évolutions des emplois et des compétences. Elle repose sur un modèle préventif visant à accompagner les salariés dans leur développement professionnel</w:t>
      </w:r>
      <w:r w:rsidRPr="00AD5F90">
        <w:rPr>
          <w:rStyle w:val="Appelnotedebasdep"/>
          <w:rFonts w:eastAsiaTheme="majorEastAsia"/>
          <w:color w:val="000000"/>
          <w:lang w:val="fr-FR"/>
        </w:rPr>
        <w:footnoteReference w:id="69"/>
      </w:r>
      <w:r w:rsidRPr="00AD5F90">
        <w:rPr>
          <w:rFonts w:asciiTheme="majorBidi" w:hAnsiTheme="majorBidi" w:cstheme="majorBidi"/>
          <w:color w:val="000000"/>
          <w:lang w:val="fr-FR"/>
        </w:rPr>
        <w:t>.</w:t>
      </w:r>
    </w:p>
    <w:p w:rsidR="005F596E" w:rsidRPr="00AD5F90" w:rsidRDefault="00E772DD" w:rsidP="005F596E">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Elle permet à l’entreprise de disposer des compétences nécessaires en tout temps, d’anticiper les mutations du marché et d’optimiser son efficacité tout en maîtrisant les coûts d’adaptation. Son objectif est de réduire les écarts entre les besoins en ressources humaines et les effectifs disponibles, en cohérence avec la stratégie de l’entreprise.</w:t>
      </w:r>
    </w:p>
    <w:p w:rsidR="00E772DD" w:rsidRPr="00C36F78" w:rsidRDefault="00E772DD" w:rsidP="004D32AC">
      <w:pPr>
        <w:pStyle w:val="Titre3"/>
        <w:numPr>
          <w:ilvl w:val="2"/>
          <w:numId w:val="183"/>
        </w:numPr>
        <w:spacing w:after="0" w:afterAutospacing="0" w:line="360" w:lineRule="auto"/>
        <w:rPr>
          <w:sz w:val="24"/>
          <w:szCs w:val="24"/>
          <w:lang w:val="fr-FR"/>
        </w:rPr>
      </w:pPr>
      <w:bookmarkStart w:id="360" w:name="_Toc199714272"/>
      <w:bookmarkStart w:id="361" w:name="_Toc200486550"/>
      <w:bookmarkStart w:id="362" w:name="_Toc200635326"/>
      <w:bookmarkStart w:id="363" w:name="_Toc200635714"/>
      <w:bookmarkStart w:id="364" w:name="_Toc200636103"/>
      <w:bookmarkStart w:id="365" w:name="_Toc200755840"/>
      <w:r w:rsidRPr="00C36F78">
        <w:rPr>
          <w:sz w:val="24"/>
          <w:szCs w:val="24"/>
          <w:lang w:val="fr-FR"/>
        </w:rPr>
        <w:t>Les objectifs de la GPEC</w:t>
      </w:r>
      <w:bookmarkEnd w:id="360"/>
      <w:bookmarkEnd w:id="361"/>
      <w:bookmarkEnd w:id="362"/>
      <w:bookmarkEnd w:id="363"/>
      <w:bookmarkEnd w:id="364"/>
      <w:bookmarkEnd w:id="365"/>
    </w:p>
    <w:p w:rsidR="00E772DD" w:rsidRPr="00153DAD" w:rsidRDefault="00E772DD" w:rsidP="00C36F78">
      <w:pPr>
        <w:pStyle w:val="NormalWeb"/>
        <w:spacing w:before="0" w:beforeAutospacing="0" w:after="0" w:afterAutospacing="0" w:line="360" w:lineRule="auto"/>
        <w:jc w:val="both"/>
        <w:rPr>
          <w:rFonts w:asciiTheme="majorBidi" w:hAnsiTheme="majorBidi" w:cstheme="majorBidi"/>
          <w:color w:val="000000"/>
          <w:lang w:val="fr-FR"/>
        </w:rPr>
      </w:pPr>
      <w:r w:rsidRPr="00153DAD">
        <w:rPr>
          <w:rFonts w:asciiTheme="majorBidi" w:hAnsiTheme="majorBidi" w:cstheme="majorBidi"/>
          <w:color w:val="000000"/>
          <w:lang w:val="fr-FR"/>
        </w:rPr>
        <w:t>Parmi les objectifs de la GPEC, on peut citer :</w:t>
      </w:r>
    </w:p>
    <w:p w:rsidR="00E772DD" w:rsidRPr="00AD5F90" w:rsidRDefault="00E772DD" w:rsidP="004D32AC">
      <w:pPr>
        <w:numPr>
          <w:ilvl w:val="0"/>
          <w:numId w:val="5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lastRenderedPageBreak/>
        <w:t>Anticipation des besoins en compétences</w:t>
      </w:r>
      <w:r w:rsidRPr="00AD5F90">
        <w:rPr>
          <w:rFonts w:asciiTheme="majorBidi" w:hAnsiTheme="majorBidi" w:cstheme="majorBidi"/>
          <w:color w:val="000000"/>
          <w:lang w:val="fr-FR"/>
        </w:rPr>
        <w:t> : identifier les compétences nécessaires pour répondre aux évolutions stratégiques et technologiques de l'entreprise.</w:t>
      </w:r>
    </w:p>
    <w:p w:rsidR="00E772DD" w:rsidRPr="00AD5F90" w:rsidRDefault="00E772DD" w:rsidP="004D32AC">
      <w:pPr>
        <w:numPr>
          <w:ilvl w:val="0"/>
          <w:numId w:val="5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Adaptation des ressources humaines</w:t>
      </w:r>
      <w:r w:rsidRPr="00AD5F90">
        <w:rPr>
          <w:rFonts w:asciiTheme="majorBidi" w:hAnsiTheme="majorBidi" w:cstheme="majorBidi"/>
          <w:color w:val="000000"/>
          <w:lang w:val="fr-FR"/>
        </w:rPr>
        <w:t> : harmoniser les compétences des employés avec les exigences des postes actuels et futurs.</w:t>
      </w:r>
    </w:p>
    <w:p w:rsidR="00E772DD" w:rsidRPr="00AD5F90" w:rsidRDefault="00E772DD" w:rsidP="004D32AC">
      <w:pPr>
        <w:numPr>
          <w:ilvl w:val="0"/>
          <w:numId w:val="5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Alignement stratégique</w:t>
      </w:r>
      <w:r w:rsidRPr="00AD5F90">
        <w:rPr>
          <w:rFonts w:asciiTheme="majorBidi" w:hAnsiTheme="majorBidi" w:cstheme="majorBidi"/>
          <w:color w:val="000000"/>
          <w:lang w:val="fr-FR"/>
        </w:rPr>
        <w:t> : assurer que les politiques et outils développés par la direction des ressources humaines permettent d'atteindre les objectifs stratégiques de l'entreprise.</w:t>
      </w:r>
    </w:p>
    <w:p w:rsidR="00E772DD" w:rsidRPr="00AD5F90" w:rsidRDefault="00E772DD" w:rsidP="004D32AC">
      <w:pPr>
        <w:numPr>
          <w:ilvl w:val="0"/>
          <w:numId w:val="5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Gestion proactive des carrières</w:t>
      </w:r>
      <w:r w:rsidRPr="00AD5F90">
        <w:rPr>
          <w:rFonts w:asciiTheme="majorBidi" w:hAnsiTheme="majorBidi" w:cstheme="majorBidi"/>
          <w:color w:val="000000"/>
          <w:lang w:val="fr-FR"/>
        </w:rPr>
        <w:t> : faciliter la mobilité interne et le développement professionnel des salariés pour répondre aux besoins organisationnels.</w:t>
      </w:r>
    </w:p>
    <w:p w:rsidR="00E772DD" w:rsidRPr="00AD5F90" w:rsidRDefault="00E772DD" w:rsidP="004D32AC">
      <w:pPr>
        <w:numPr>
          <w:ilvl w:val="0"/>
          <w:numId w:val="5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Prévention des déséquilibres</w:t>
      </w:r>
      <w:r w:rsidRPr="00AD5F90">
        <w:rPr>
          <w:rFonts w:asciiTheme="majorBidi" w:hAnsiTheme="majorBidi" w:cstheme="majorBidi"/>
          <w:color w:val="000000"/>
          <w:lang w:val="fr-FR"/>
        </w:rPr>
        <w:t> : éviter les pénuries ou les excédents de compétences en planifiant les recrutements et les formations de manière proactive.</w:t>
      </w:r>
    </w:p>
    <w:p w:rsidR="00E772DD" w:rsidRPr="00AD5F90" w:rsidRDefault="00E772DD" w:rsidP="004D32AC">
      <w:pPr>
        <w:numPr>
          <w:ilvl w:val="0"/>
          <w:numId w:val="5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Amélioration de l'employabilité</w:t>
      </w:r>
      <w:r w:rsidRPr="00AD5F90">
        <w:rPr>
          <w:rFonts w:asciiTheme="majorBidi" w:hAnsiTheme="majorBidi" w:cstheme="majorBidi"/>
          <w:color w:val="000000"/>
          <w:lang w:val="fr-FR"/>
        </w:rPr>
        <w:t> : développer les compétences des employés pour renforcer leur adaptabilité et leur performance au sein de l'entreprise</w:t>
      </w:r>
      <w:r w:rsidRPr="00AD5F90">
        <w:rPr>
          <w:rStyle w:val="Appelnotedebasdep"/>
          <w:color w:val="000000"/>
          <w:lang w:val="fr-FR"/>
        </w:rPr>
        <w:footnoteReference w:id="70"/>
      </w:r>
      <w:r w:rsidRPr="00AD5F90">
        <w:rPr>
          <w:rFonts w:asciiTheme="majorBidi" w:hAnsiTheme="majorBidi" w:cstheme="majorBidi"/>
          <w:color w:val="000000"/>
          <w:lang w:val="fr-FR"/>
        </w:rPr>
        <w:t>.</w:t>
      </w:r>
    </w:p>
    <w:p w:rsidR="00E772DD" w:rsidRPr="00C36F78" w:rsidRDefault="00E772DD" w:rsidP="004D32AC">
      <w:pPr>
        <w:pStyle w:val="Titre3"/>
        <w:numPr>
          <w:ilvl w:val="2"/>
          <w:numId w:val="183"/>
        </w:numPr>
        <w:spacing w:after="0" w:afterAutospacing="0" w:line="360" w:lineRule="auto"/>
        <w:rPr>
          <w:sz w:val="24"/>
          <w:szCs w:val="24"/>
          <w:lang w:val="fr-FR"/>
        </w:rPr>
      </w:pPr>
      <w:bookmarkStart w:id="366" w:name="_Toc199714273"/>
      <w:bookmarkStart w:id="367" w:name="_Toc200486551"/>
      <w:bookmarkStart w:id="368" w:name="_Toc200635327"/>
      <w:bookmarkStart w:id="369" w:name="_Toc200635715"/>
      <w:bookmarkStart w:id="370" w:name="_Toc200636104"/>
      <w:bookmarkStart w:id="371" w:name="_Toc200755841"/>
      <w:r w:rsidRPr="00C36F78">
        <w:rPr>
          <w:sz w:val="24"/>
          <w:szCs w:val="24"/>
          <w:lang w:val="fr-FR"/>
        </w:rPr>
        <w:t>Les tâches de la GPEC</w:t>
      </w:r>
      <w:bookmarkEnd w:id="366"/>
      <w:bookmarkEnd w:id="367"/>
      <w:bookmarkEnd w:id="368"/>
      <w:bookmarkEnd w:id="369"/>
      <w:bookmarkEnd w:id="370"/>
      <w:bookmarkEnd w:id="371"/>
    </w:p>
    <w:p w:rsidR="00E772DD" w:rsidRPr="00AD5F90" w:rsidRDefault="00E772DD" w:rsidP="006072BB">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GPEC intervient dans :</w:t>
      </w:r>
    </w:p>
    <w:p w:rsidR="00E772DD" w:rsidRPr="00AD5F90" w:rsidRDefault="00E772DD" w:rsidP="004D32AC">
      <w:pPr>
        <w:pStyle w:val="Paragraphedeliste"/>
        <w:numPr>
          <w:ilvl w:val="0"/>
          <w:numId w:val="51"/>
        </w:num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L’élaboration d’une stratégie globale ou sectorielle.</w:t>
      </w:r>
    </w:p>
    <w:p w:rsidR="00E772DD" w:rsidRPr="00AD5F90" w:rsidRDefault="00E772DD" w:rsidP="004D32AC">
      <w:pPr>
        <w:pStyle w:val="Paragraphedeliste"/>
        <w:numPr>
          <w:ilvl w:val="0"/>
          <w:numId w:val="51"/>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L’instauration d’une veille continue.</w:t>
      </w:r>
    </w:p>
    <w:p w:rsidR="00E772DD" w:rsidRPr="00AD5F90" w:rsidRDefault="00E772DD" w:rsidP="004D32AC">
      <w:pPr>
        <w:pStyle w:val="Paragraphedeliste"/>
        <w:numPr>
          <w:ilvl w:val="0"/>
          <w:numId w:val="51"/>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L’adaptation et l’ajustement permanents.</w:t>
      </w:r>
    </w:p>
    <w:p w:rsidR="00E772DD" w:rsidRPr="00AD5F90" w:rsidRDefault="00E772DD" w:rsidP="004D32AC">
      <w:pPr>
        <w:pStyle w:val="Paragraphedeliste"/>
        <w:numPr>
          <w:ilvl w:val="0"/>
          <w:numId w:val="51"/>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planification des recrutements, promotions et départs.</w:t>
      </w:r>
    </w:p>
    <w:p w:rsidR="00E772DD" w:rsidRPr="00AD5F90" w:rsidRDefault="00E772DD" w:rsidP="004D32AC">
      <w:pPr>
        <w:pStyle w:val="Paragraphedeliste"/>
        <w:numPr>
          <w:ilvl w:val="0"/>
          <w:numId w:val="51"/>
        </w:num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du plan de formation et du budget RH</w:t>
      </w:r>
      <w:r w:rsidR="00EC661E">
        <w:rPr>
          <w:rFonts w:asciiTheme="majorBidi" w:hAnsiTheme="majorBidi" w:cstheme="majorBidi"/>
          <w:color w:val="000000"/>
          <w:lang w:val="fr-FR"/>
        </w:rPr>
        <w:t>.</w:t>
      </w:r>
      <w:r w:rsidRPr="00AD5F90">
        <w:rPr>
          <w:rStyle w:val="Appelnotedebasdep"/>
          <w:color w:val="000000"/>
          <w:lang w:val="fr-FR"/>
        </w:rPr>
        <w:footnoteReference w:id="71"/>
      </w:r>
    </w:p>
    <w:p w:rsidR="00E772DD" w:rsidRPr="00AD5F90" w:rsidRDefault="00E772DD" w:rsidP="007262AF">
      <w:pPr>
        <w:pStyle w:val="Paragraphedeliste"/>
        <w:jc w:val="both"/>
        <w:rPr>
          <w:rFonts w:asciiTheme="majorBidi" w:hAnsiTheme="majorBidi" w:cstheme="majorBidi"/>
          <w:color w:val="000000"/>
          <w:lang w:val="fr-FR"/>
        </w:rPr>
      </w:pPr>
    </w:p>
    <w:p w:rsidR="00E772DD" w:rsidRPr="00C36F78" w:rsidRDefault="00E772DD" w:rsidP="004D32AC">
      <w:pPr>
        <w:pStyle w:val="Titre3"/>
        <w:numPr>
          <w:ilvl w:val="2"/>
          <w:numId w:val="183"/>
        </w:numPr>
        <w:spacing w:after="0" w:afterAutospacing="0" w:line="360" w:lineRule="auto"/>
        <w:rPr>
          <w:sz w:val="24"/>
          <w:szCs w:val="24"/>
          <w:lang w:val="fr-FR"/>
        </w:rPr>
      </w:pPr>
      <w:bookmarkStart w:id="372" w:name="_Toc199714274"/>
      <w:bookmarkStart w:id="373" w:name="_Toc200486552"/>
      <w:bookmarkStart w:id="374" w:name="_Toc200635328"/>
      <w:bookmarkStart w:id="375" w:name="_Toc200635716"/>
      <w:bookmarkStart w:id="376" w:name="_Toc200636105"/>
      <w:bookmarkStart w:id="377" w:name="_Toc200755842"/>
      <w:r w:rsidRPr="00C36F78">
        <w:rPr>
          <w:sz w:val="24"/>
          <w:szCs w:val="24"/>
          <w:lang w:val="fr-FR"/>
        </w:rPr>
        <w:t>Méthodes et outils de la GPEC</w:t>
      </w:r>
      <w:bookmarkEnd w:id="372"/>
      <w:bookmarkEnd w:id="373"/>
      <w:bookmarkEnd w:id="374"/>
      <w:bookmarkEnd w:id="375"/>
      <w:bookmarkEnd w:id="376"/>
      <w:bookmarkEnd w:id="377"/>
    </w:p>
    <w:p w:rsidR="00E772DD" w:rsidRPr="0061744D" w:rsidRDefault="00E772DD" w:rsidP="0061744D">
      <w:pPr>
        <w:spacing w:after="100" w:afterAutospacing="1" w:line="360" w:lineRule="auto"/>
        <w:jc w:val="both"/>
        <w:rPr>
          <w:rFonts w:asciiTheme="majorBidi" w:hAnsiTheme="majorBidi" w:cstheme="majorBidi"/>
          <w:color w:val="000000"/>
          <w:lang w:val="fr-FR"/>
        </w:rPr>
      </w:pPr>
      <w:r w:rsidRPr="0061744D">
        <w:rPr>
          <w:rFonts w:asciiTheme="majorBidi" w:hAnsiTheme="majorBidi" w:cstheme="majorBidi"/>
          <w:color w:val="000000"/>
          <w:lang w:val="fr-FR"/>
        </w:rPr>
        <w:t>La mise en œuvre de la Gestion Prévisionnelle des Emplois et des Compétences (GPEC) repose sur un ensemble de méthodes et d’outils spécifiques qui permettent d’anticiper les évolutions des métiers, d’identifier les écarts de compétences et d’orienter les actions RH en conséquence.</w:t>
      </w:r>
    </w:p>
    <w:p w:rsidR="00E772DD" w:rsidRPr="00C36F78" w:rsidRDefault="00E772DD" w:rsidP="004D32AC">
      <w:pPr>
        <w:pStyle w:val="Titre3"/>
        <w:numPr>
          <w:ilvl w:val="3"/>
          <w:numId w:val="183"/>
        </w:numPr>
        <w:spacing w:after="0" w:afterAutospacing="0" w:line="360" w:lineRule="auto"/>
        <w:rPr>
          <w:sz w:val="24"/>
          <w:szCs w:val="24"/>
          <w:lang w:val="fr-FR"/>
        </w:rPr>
      </w:pPr>
      <w:bookmarkStart w:id="378" w:name="_Toc199714275"/>
      <w:bookmarkStart w:id="379" w:name="_Toc200486553"/>
      <w:bookmarkStart w:id="380" w:name="_Toc200635329"/>
      <w:bookmarkStart w:id="381" w:name="_Toc200635717"/>
      <w:bookmarkStart w:id="382" w:name="_Toc200636106"/>
      <w:bookmarkStart w:id="383" w:name="_Toc200755843"/>
      <w:r w:rsidRPr="00C36F78">
        <w:rPr>
          <w:sz w:val="24"/>
          <w:szCs w:val="24"/>
          <w:lang w:val="fr-FR"/>
        </w:rPr>
        <w:t>Méthodes de la GPEC</w:t>
      </w:r>
      <w:bookmarkEnd w:id="378"/>
      <w:bookmarkEnd w:id="379"/>
      <w:bookmarkEnd w:id="380"/>
      <w:bookmarkEnd w:id="381"/>
      <w:bookmarkEnd w:id="382"/>
      <w:bookmarkEnd w:id="383"/>
    </w:p>
    <w:p w:rsidR="00E772DD" w:rsidRPr="00AD5F90" w:rsidRDefault="00E772DD" w:rsidP="004D32AC">
      <w:pPr>
        <w:pStyle w:val="NormalWeb"/>
        <w:numPr>
          <w:ilvl w:val="0"/>
          <w:numId w:val="58"/>
        </w:numPr>
        <w:spacing w:before="0" w:beforeAutospacing="0"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Analyse des emplois et des compétences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xml:space="preserve">: Cette méthode consiste à dresser un état des lieux détaillé des postes existants et des compétences associées. Elle permet d'identifier les écarts entre les compétences actuelles et celles requises pour atteindre les objectifs </w:t>
      </w:r>
      <w:r w:rsidRPr="00AD5F90">
        <w:rPr>
          <w:rFonts w:asciiTheme="majorBidi" w:hAnsiTheme="majorBidi" w:cstheme="majorBidi"/>
          <w:color w:val="000000"/>
          <w:lang w:val="fr-FR"/>
        </w:rPr>
        <w:lastRenderedPageBreak/>
        <w:t>stratégiques de l'entreprise. Cette analyse est essentielle pour anticiper les besoins en formation ou en recrutement .</w:t>
      </w:r>
    </w:p>
    <w:p w:rsidR="00E772DD" w:rsidRPr="00AD5F90" w:rsidRDefault="00E772DD" w:rsidP="004D32AC">
      <w:pPr>
        <w:pStyle w:val="NormalWeb"/>
        <w:numPr>
          <w:ilvl w:val="0"/>
          <w:numId w:val="58"/>
        </w:numPr>
        <w:spacing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Projection des emplois et des compétences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Il s'agit de prévoir les évolutions futures des métiers et des compétences en fonction des tendances du marché, des avancées technologiques et des orientations stratégiques de l'entreprise. Cette anticipation facilite la mise en place de plans d'action adaptés pour répondre aux défis à venir (</w:t>
      </w:r>
      <w:proofErr w:type="spellStart"/>
      <w:r w:rsidRPr="00AD5F90">
        <w:rPr>
          <w:rFonts w:asciiTheme="majorBidi" w:hAnsiTheme="majorBidi" w:cstheme="majorBidi"/>
          <w:color w:val="000000"/>
          <w:lang w:val="fr-FR"/>
        </w:rPr>
        <w:t>Eurecia</w:t>
      </w:r>
      <w:proofErr w:type="spellEnd"/>
      <w:r w:rsidRPr="00AD5F90">
        <w:rPr>
          <w:rFonts w:asciiTheme="majorBidi" w:hAnsiTheme="majorBidi" w:cstheme="majorBidi"/>
          <w:color w:val="000000"/>
          <w:lang w:val="fr-FR"/>
        </w:rPr>
        <w:t>, 2023)</w:t>
      </w:r>
      <w:r w:rsidRPr="00AD5F90">
        <w:rPr>
          <w:rStyle w:val="Appelnotedebasdep"/>
          <w:rFonts w:eastAsiaTheme="majorEastAsia"/>
          <w:color w:val="000000"/>
          <w:lang w:val="fr-FR"/>
        </w:rPr>
        <w:footnoteReference w:id="72"/>
      </w:r>
      <w:r w:rsidRPr="00AD5F90">
        <w:rPr>
          <w:rFonts w:asciiTheme="majorBidi" w:hAnsiTheme="majorBidi" w:cstheme="majorBidi"/>
          <w:color w:val="000000"/>
          <w:lang w:val="fr-FR"/>
        </w:rPr>
        <w:t>.</w:t>
      </w:r>
    </w:p>
    <w:p w:rsidR="00E772DD" w:rsidRPr="00AD5F90" w:rsidRDefault="00E772DD" w:rsidP="004D32AC">
      <w:pPr>
        <w:pStyle w:val="NormalWeb"/>
        <w:numPr>
          <w:ilvl w:val="0"/>
          <w:numId w:val="58"/>
        </w:numPr>
        <w:spacing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Planification des ressources humaines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Cette méthode vise à élaborer des plans d'action pour ajuster les effectifs et les compétences en fonction des besoins prévisionnels. Elle inclut des actions telles que le recrutement, la formation, la mobilité interne ou encore la gestion des carrières pour aligner les ressources humaines sur les objectifs de l'entreprise</w:t>
      </w:r>
      <w:r w:rsidR="00EC661E">
        <w:rPr>
          <w:rFonts w:asciiTheme="majorBidi" w:hAnsiTheme="majorBidi" w:cstheme="majorBidi"/>
          <w:color w:val="000000"/>
          <w:lang w:val="fr-FR"/>
        </w:rPr>
        <w:t>.</w:t>
      </w:r>
      <w:r w:rsidRPr="00AD5F90">
        <w:rPr>
          <w:rStyle w:val="Appelnotedebasdep"/>
          <w:rFonts w:eastAsiaTheme="majorEastAsia"/>
          <w:color w:val="000000"/>
          <w:lang w:val="fr-FR"/>
        </w:rPr>
        <w:footnoteReference w:id="73"/>
      </w:r>
    </w:p>
    <w:p w:rsidR="00E772DD" w:rsidRPr="00C36F78" w:rsidRDefault="00E772DD" w:rsidP="004D32AC">
      <w:pPr>
        <w:pStyle w:val="Titre3"/>
        <w:numPr>
          <w:ilvl w:val="3"/>
          <w:numId w:val="183"/>
        </w:numPr>
        <w:spacing w:after="0" w:afterAutospacing="0" w:line="360" w:lineRule="auto"/>
        <w:rPr>
          <w:sz w:val="24"/>
          <w:szCs w:val="24"/>
          <w:lang w:val="fr-FR"/>
        </w:rPr>
      </w:pPr>
      <w:bookmarkStart w:id="384" w:name="_Toc199714276"/>
      <w:bookmarkStart w:id="385" w:name="_Toc200486554"/>
      <w:bookmarkStart w:id="386" w:name="_Toc200635330"/>
      <w:bookmarkStart w:id="387" w:name="_Toc200635718"/>
      <w:bookmarkStart w:id="388" w:name="_Toc200636107"/>
      <w:bookmarkStart w:id="389" w:name="_Toc200755844"/>
      <w:r w:rsidRPr="00C36F78">
        <w:rPr>
          <w:sz w:val="24"/>
          <w:szCs w:val="24"/>
          <w:lang w:val="fr-FR"/>
        </w:rPr>
        <w:t>Outils de la GPEC</w:t>
      </w:r>
      <w:bookmarkEnd w:id="384"/>
      <w:bookmarkEnd w:id="385"/>
      <w:bookmarkEnd w:id="386"/>
      <w:bookmarkEnd w:id="387"/>
      <w:bookmarkEnd w:id="388"/>
      <w:bookmarkEnd w:id="389"/>
    </w:p>
    <w:p w:rsidR="00E772DD" w:rsidRPr="00AD5F90" w:rsidRDefault="00E772DD" w:rsidP="004D32AC">
      <w:pPr>
        <w:pStyle w:val="NormalWeb"/>
        <w:numPr>
          <w:ilvl w:val="0"/>
          <w:numId w:val="57"/>
        </w:numPr>
        <w:spacing w:before="0" w:beforeAutospacing="0"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Fiches de poste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Ces documents détaillent les missions, responsabilités et compétences requises pour chaque position au sein de l'entreprise. Ils servent de référence pour le recrutement, l'évaluation des performances et la définition des besoins en formation.</w:t>
      </w:r>
    </w:p>
    <w:p w:rsidR="00E772DD" w:rsidRPr="00AD5F90" w:rsidRDefault="00E772DD" w:rsidP="004D32AC">
      <w:pPr>
        <w:pStyle w:val="NormalWeb"/>
        <w:numPr>
          <w:ilvl w:val="0"/>
          <w:numId w:val="57"/>
        </w:numPr>
        <w:spacing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Cartographie des compétences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Cet outil offre une visualisation des compétences disponibles et nécessaires au sein de l'organisation. Il facilite l'identification des écarts de compétences et la mise en place de plans de développement adaptés (</w:t>
      </w:r>
      <w:proofErr w:type="spellStart"/>
      <w:r w:rsidRPr="00AD5F90">
        <w:rPr>
          <w:rFonts w:asciiTheme="majorBidi" w:hAnsiTheme="majorBidi" w:cstheme="majorBidi"/>
          <w:color w:val="000000"/>
          <w:lang w:val="fr-FR"/>
        </w:rPr>
        <w:t>Appvizer</w:t>
      </w:r>
      <w:proofErr w:type="spellEnd"/>
      <w:r w:rsidRPr="00AD5F90">
        <w:rPr>
          <w:rFonts w:asciiTheme="majorBidi" w:hAnsiTheme="majorBidi" w:cstheme="majorBidi"/>
          <w:color w:val="000000"/>
          <w:lang w:val="fr-FR"/>
        </w:rPr>
        <w:t>, 2022)</w:t>
      </w:r>
      <w:r w:rsidRPr="00AD5F90">
        <w:rPr>
          <w:rStyle w:val="Appelnotedebasdep"/>
          <w:rFonts w:eastAsiaTheme="majorEastAsia"/>
          <w:color w:val="000000"/>
          <w:lang w:val="fr-FR"/>
        </w:rPr>
        <w:footnoteReference w:id="74"/>
      </w:r>
      <w:r w:rsidRPr="00AD5F90">
        <w:rPr>
          <w:rFonts w:asciiTheme="majorBidi" w:hAnsiTheme="majorBidi" w:cstheme="majorBidi"/>
          <w:color w:val="000000"/>
          <w:lang w:val="fr-FR"/>
        </w:rPr>
        <w:t>.</w:t>
      </w:r>
    </w:p>
    <w:p w:rsidR="00E772DD" w:rsidRPr="00AD5F90" w:rsidRDefault="00E772DD" w:rsidP="004D32AC">
      <w:pPr>
        <w:pStyle w:val="NormalWeb"/>
        <w:numPr>
          <w:ilvl w:val="0"/>
          <w:numId w:val="57"/>
        </w:numPr>
        <w:spacing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Référentiel des compétences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Il s'agit d'un document regroupant l'ensemble des compétences requises pour les différents métiers de l'entreprise. Ce référentiel sert de base pour les évaluations, les formations et les parcours professionnels.</w:t>
      </w:r>
    </w:p>
    <w:p w:rsidR="00E772DD" w:rsidRPr="00AD5F90" w:rsidRDefault="00E772DD" w:rsidP="004D32AC">
      <w:pPr>
        <w:pStyle w:val="NormalWeb"/>
        <w:numPr>
          <w:ilvl w:val="0"/>
          <w:numId w:val="57"/>
        </w:numPr>
        <w:spacing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Organigramme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Représentation schématique de la structure de l'entreprise, l'organigramme illustre les relations hiérarchiques et fonctionnelles entre les différents postes. Il est essentiel pour comprendre la répartition des rôles et responsabilités au sein de l'organisation</w:t>
      </w:r>
      <w:r w:rsidR="00EC661E">
        <w:rPr>
          <w:rFonts w:asciiTheme="majorBidi" w:hAnsiTheme="majorBidi" w:cstheme="majorBidi"/>
          <w:color w:val="000000"/>
          <w:lang w:val="fr-FR"/>
        </w:rPr>
        <w:t>.</w:t>
      </w:r>
      <w:r w:rsidRPr="00AD5F90">
        <w:rPr>
          <w:rStyle w:val="Appelnotedebasdep"/>
          <w:rFonts w:eastAsiaTheme="majorEastAsia"/>
          <w:color w:val="000000"/>
          <w:lang w:val="fr-FR"/>
        </w:rPr>
        <w:footnoteReference w:id="75"/>
      </w:r>
    </w:p>
    <w:p w:rsidR="00E772DD" w:rsidRPr="00AD5F90" w:rsidRDefault="00E772DD" w:rsidP="004D32AC">
      <w:pPr>
        <w:pStyle w:val="NormalWeb"/>
        <w:numPr>
          <w:ilvl w:val="0"/>
          <w:numId w:val="57"/>
        </w:numPr>
        <w:spacing w:after="0" w:afterAutospacing="0"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Logiciels de gestion des talents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Ces outils numériques permettent de centraliser et de gérer efficacement les informations relatives aux compétences, aux formations et aux parcours professionnels des employés. Ils facilitent le suivi et l'optimisation des ressources humaines en temps réel</w:t>
      </w:r>
      <w:r w:rsidR="00EC661E">
        <w:rPr>
          <w:rFonts w:asciiTheme="majorBidi" w:hAnsiTheme="majorBidi" w:cstheme="majorBidi"/>
          <w:color w:val="000000"/>
          <w:lang w:val="fr-FR"/>
        </w:rPr>
        <w:t>.</w:t>
      </w:r>
    </w:p>
    <w:p w:rsidR="00E772DD" w:rsidRPr="00AD5F90" w:rsidRDefault="00E772DD" w:rsidP="0061744D">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lastRenderedPageBreak/>
        <w:t>En combinant ces méthodes et outils, la GPEC offre une approche structurée pour anticiper et accompagner les évolutions des emplois et des compétences, assurant ainsi la compétitivité et la pérennité de l'entreprise.</w:t>
      </w:r>
    </w:p>
    <w:p w:rsidR="00E772DD" w:rsidRPr="00C36F78" w:rsidRDefault="00E772DD" w:rsidP="004D32AC">
      <w:pPr>
        <w:pStyle w:val="Titre3"/>
        <w:numPr>
          <w:ilvl w:val="1"/>
          <w:numId w:val="183"/>
        </w:numPr>
        <w:spacing w:after="0" w:afterAutospacing="0" w:line="360" w:lineRule="auto"/>
        <w:rPr>
          <w:sz w:val="24"/>
          <w:szCs w:val="24"/>
          <w:lang w:val="fr-FR"/>
        </w:rPr>
      </w:pPr>
      <w:bookmarkStart w:id="390" w:name="_Toc199714277"/>
      <w:bookmarkStart w:id="391" w:name="_Toc200486555"/>
      <w:bookmarkStart w:id="392" w:name="_Toc200635331"/>
      <w:bookmarkStart w:id="393" w:name="_Toc200635719"/>
      <w:bookmarkStart w:id="394" w:name="_Toc200636108"/>
      <w:bookmarkStart w:id="395" w:name="_Toc200755845"/>
      <w:r w:rsidRPr="00C36F78">
        <w:rPr>
          <w:sz w:val="24"/>
          <w:szCs w:val="24"/>
          <w:lang w:val="fr-FR"/>
        </w:rPr>
        <w:t>La rémunération</w:t>
      </w:r>
      <w:bookmarkEnd w:id="390"/>
      <w:bookmarkEnd w:id="391"/>
      <w:bookmarkEnd w:id="392"/>
      <w:bookmarkEnd w:id="393"/>
      <w:bookmarkEnd w:id="394"/>
      <w:bookmarkEnd w:id="395"/>
    </w:p>
    <w:p w:rsidR="00E772DD" w:rsidRPr="00AD5F90" w:rsidRDefault="00E772DD" w:rsidP="00C36F78">
      <w:pPr>
        <w:spacing w:after="240" w:line="360" w:lineRule="auto"/>
        <w:jc w:val="both"/>
        <w:rPr>
          <w:rFonts w:asciiTheme="majorBidi" w:hAnsiTheme="majorBidi" w:cstheme="majorBidi"/>
          <w:lang w:val="fr-FR"/>
        </w:rPr>
      </w:pPr>
      <w:r w:rsidRPr="00AD5F90">
        <w:rPr>
          <w:rFonts w:asciiTheme="majorBidi" w:hAnsiTheme="majorBidi" w:cstheme="majorBidi"/>
          <w:lang w:val="fr-FR"/>
        </w:rPr>
        <w:t>Dans le monde entier, toute activité professionnelle, individuelle ou collective, est compensée par une rémunération, qu'elle soit directe ou indirecte.</w:t>
      </w:r>
    </w:p>
    <w:p w:rsidR="00E772DD" w:rsidRPr="00AD5F90" w:rsidRDefault="00E772DD" w:rsidP="008C0AFC">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rémunération englobe tous les avantages accordés par l’employeur à ses employés. Elle comprend un salaire de base, fixé par la loi ou par une grille salariale tenant compte de la taille et des performances de l’organisation. De plus, les avantages sociaux occupent une place croissante dans la rémunération globale. En d’autres termes, elle représente la somme versée en échange du travail, des compétences et des performances des employés</w:t>
      </w:r>
      <w:r w:rsidRPr="00AD5F90">
        <w:rPr>
          <w:rStyle w:val="Appelnotedebasdep"/>
          <w:rFonts w:eastAsiaTheme="majorEastAsia"/>
          <w:color w:val="000000"/>
          <w:lang w:val="fr-FR"/>
        </w:rPr>
        <w:footnoteReference w:id="76"/>
      </w:r>
      <w:r w:rsidRPr="00AD5F90">
        <w:rPr>
          <w:rFonts w:asciiTheme="majorBidi" w:hAnsiTheme="majorBidi" w:cstheme="majorBidi"/>
          <w:color w:val="000000"/>
          <w:lang w:val="fr-FR"/>
        </w:rPr>
        <w:t>.</w:t>
      </w:r>
    </w:p>
    <w:p w:rsidR="00E772DD" w:rsidRPr="00AD5F90" w:rsidRDefault="00E772DD" w:rsidP="007E664C">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Selon THEVENET, M., DEJOUX, C. et al. (2015), la rémunération regroupe « le salaire ou le traitement ordinaire de base et tous les autres avantages et accessoires payés, directement ou indirectement, en espèces ou en nature, par l’employeur au travailleur »</w:t>
      </w:r>
      <w:r w:rsidRPr="00AD5F90">
        <w:rPr>
          <w:rStyle w:val="Appelnotedebasdep"/>
          <w:rFonts w:eastAsiaTheme="majorEastAsia"/>
          <w:color w:val="000000"/>
          <w:lang w:val="fr-FR"/>
        </w:rPr>
        <w:footnoteReference w:id="77"/>
      </w:r>
      <w:r w:rsidRPr="00AD5F90">
        <w:rPr>
          <w:rFonts w:asciiTheme="majorBidi" w:hAnsiTheme="majorBidi" w:cstheme="majorBidi"/>
          <w:color w:val="000000"/>
          <w:lang w:val="fr-FR"/>
        </w:rPr>
        <w:t>. Ainsi, elle couvre l’ensemble des rétributions perçues en contrepartie de la contribution du salarié.</w:t>
      </w:r>
    </w:p>
    <w:p w:rsidR="007E664C" w:rsidRDefault="007E664C" w:rsidP="007E664C">
      <w:pPr>
        <w:pStyle w:val="NormalWeb"/>
        <w:spacing w:line="360" w:lineRule="auto"/>
        <w:jc w:val="center"/>
        <w:rPr>
          <w:rFonts w:asciiTheme="majorBidi" w:hAnsiTheme="majorBidi" w:cstheme="majorBidi"/>
          <w:color w:val="000000"/>
          <w:lang w:val="fr-FR"/>
        </w:rPr>
      </w:pPr>
      <w:r w:rsidRPr="00041AE7">
        <w:rPr>
          <w:rFonts w:asciiTheme="majorBidi" w:hAnsiTheme="majorBidi" w:cstheme="majorBidi"/>
          <w:b/>
          <w:bCs/>
          <w:noProof/>
          <w:lang w:val="fr-FR"/>
        </w:rPr>
        <w:drawing>
          <wp:anchor distT="0" distB="0" distL="114300" distR="114300" simplePos="0" relativeHeight="251676672" behindDoc="0" locked="0" layoutInCell="1" allowOverlap="1" wp14:anchorId="220465BA" wp14:editId="1DBF6145">
            <wp:simplePos x="0" y="0"/>
            <wp:positionH relativeFrom="column">
              <wp:posOffset>-464969</wp:posOffset>
            </wp:positionH>
            <wp:positionV relativeFrom="paragraph">
              <wp:posOffset>387985</wp:posOffset>
            </wp:positionV>
            <wp:extent cx="6424930" cy="2161540"/>
            <wp:effectExtent l="0" t="0" r="0" b="0"/>
            <wp:wrapTopAndBottom/>
            <wp:docPr id="73504125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r w:rsidR="00E772DD" w:rsidRPr="00AD5F90">
        <w:rPr>
          <w:rFonts w:asciiTheme="majorBidi" w:hAnsiTheme="majorBidi" w:cstheme="majorBidi"/>
          <w:b/>
          <w:bCs/>
          <w:color w:val="000000"/>
          <w:lang w:val="fr-FR"/>
        </w:rPr>
        <w:t xml:space="preserve">Figure </w:t>
      </w:r>
      <w:r w:rsidR="00E772DD">
        <w:rPr>
          <w:rFonts w:asciiTheme="majorBidi" w:hAnsiTheme="majorBidi" w:cstheme="majorBidi"/>
          <w:b/>
          <w:bCs/>
          <w:color w:val="000000"/>
          <w:lang w:val="fr-FR"/>
        </w:rPr>
        <w:t>N°0</w:t>
      </w:r>
      <w:r w:rsidR="00E772DD" w:rsidRPr="00AD5F90">
        <w:rPr>
          <w:rFonts w:asciiTheme="majorBidi" w:hAnsiTheme="majorBidi" w:cstheme="majorBidi"/>
          <w:b/>
          <w:bCs/>
          <w:color w:val="000000"/>
          <w:lang w:val="fr-FR"/>
        </w:rPr>
        <w:t>4 :</w:t>
      </w:r>
      <w:r w:rsidR="00E772DD" w:rsidRPr="00AD5F90">
        <w:rPr>
          <w:rFonts w:asciiTheme="majorBidi" w:hAnsiTheme="majorBidi" w:cstheme="majorBidi"/>
          <w:color w:val="000000"/>
          <w:lang w:val="fr-FR"/>
        </w:rPr>
        <w:t xml:space="preserve"> </w:t>
      </w:r>
      <w:r w:rsidR="00E772DD">
        <w:rPr>
          <w:rFonts w:asciiTheme="majorBidi" w:hAnsiTheme="majorBidi" w:cstheme="majorBidi"/>
          <w:color w:val="000000"/>
          <w:lang w:val="fr-FR"/>
        </w:rPr>
        <w:t>L</w:t>
      </w:r>
      <w:r w:rsidR="00E772DD" w:rsidRPr="00720872">
        <w:rPr>
          <w:rFonts w:asciiTheme="majorBidi" w:hAnsiTheme="majorBidi" w:cstheme="majorBidi"/>
          <w:color w:val="000000"/>
          <w:lang w:val="fr-FR"/>
        </w:rPr>
        <w:t>es caractéristiques d’un bon système de rémunération</w:t>
      </w:r>
    </w:p>
    <w:p w:rsidR="007E664C" w:rsidRDefault="00E772DD" w:rsidP="007E664C">
      <w:pPr>
        <w:pStyle w:val="NormalWeb"/>
        <w:spacing w:line="360" w:lineRule="auto"/>
        <w:jc w:val="center"/>
        <w:rPr>
          <w:rStyle w:val="Lienhypertexte"/>
          <w:rFonts w:asciiTheme="majorBidi" w:eastAsiaTheme="majorEastAsia" w:hAnsiTheme="majorBidi"/>
          <w:lang w:val="fr-FR"/>
        </w:rPr>
      </w:pPr>
      <w:r w:rsidRPr="00041AE7">
        <w:rPr>
          <w:rFonts w:asciiTheme="majorBidi" w:hAnsiTheme="majorBidi" w:cstheme="majorBidi"/>
          <w:b/>
          <w:bCs/>
          <w:color w:val="000000"/>
          <w:lang w:val="fr-FR"/>
        </w:rPr>
        <w:t>Source :</w:t>
      </w:r>
      <w:r w:rsidRPr="00AD5F90">
        <w:rPr>
          <w:rFonts w:asciiTheme="majorBidi" w:hAnsiTheme="majorBidi" w:cstheme="majorBidi"/>
          <w:color w:val="000000"/>
          <w:lang w:val="fr-FR"/>
        </w:rPr>
        <w:t xml:space="preserve"> BESSOUH, N., &amp; Mir, A. (2020). Système de Rémunération et Management de la Performance des Entreprises Algériennes. </w:t>
      </w:r>
      <w:r w:rsidRPr="00AD5F90">
        <w:rPr>
          <w:rFonts w:asciiTheme="majorBidi" w:hAnsiTheme="majorBidi" w:cstheme="majorBidi"/>
          <w:color w:val="000000"/>
          <w:rtl/>
          <w:lang w:val="fr-FR"/>
        </w:rPr>
        <w:t>معارف, 15(</w:t>
      </w:r>
      <w:proofErr w:type="gramStart"/>
      <w:r w:rsidRPr="00AD5F90">
        <w:rPr>
          <w:rFonts w:asciiTheme="majorBidi" w:hAnsiTheme="majorBidi" w:cstheme="majorBidi"/>
          <w:color w:val="000000"/>
          <w:rtl/>
          <w:lang w:val="fr-FR"/>
        </w:rPr>
        <w:t>2),</w:t>
      </w:r>
      <w:proofErr w:type="gramEnd"/>
      <w:r w:rsidRPr="00AD5F90">
        <w:rPr>
          <w:rFonts w:asciiTheme="majorBidi" w:hAnsiTheme="majorBidi" w:cstheme="majorBidi"/>
          <w:color w:val="000000"/>
          <w:rtl/>
          <w:lang w:val="fr-FR"/>
        </w:rPr>
        <w:t xml:space="preserve"> 202-218</w:t>
      </w:r>
      <w:r w:rsidRPr="00AD5F90">
        <w:rPr>
          <w:rFonts w:asciiTheme="majorBidi" w:hAnsiTheme="majorBidi" w:cstheme="majorBidi"/>
          <w:color w:val="000000"/>
          <w:lang w:val="fr-FR"/>
        </w:rPr>
        <w:t xml:space="preserve">. </w:t>
      </w:r>
      <w:hyperlink r:id="rId29" w:history="1">
        <w:r w:rsidRPr="00A97F72">
          <w:rPr>
            <w:rStyle w:val="Lienhypertexte"/>
            <w:rFonts w:asciiTheme="majorBidi" w:eastAsiaTheme="majorEastAsia" w:hAnsiTheme="majorBidi"/>
            <w:lang w:val="fr-FR"/>
          </w:rPr>
          <w:t>https://asjp.cerist.dz/en/article/142113</w:t>
        </w:r>
      </w:hyperlink>
    </w:p>
    <w:p w:rsidR="007E664C" w:rsidRDefault="007E664C" w:rsidP="007E664C">
      <w:pPr>
        <w:pStyle w:val="Titre3"/>
        <w:spacing w:after="0" w:afterAutospacing="0" w:line="360" w:lineRule="auto"/>
        <w:rPr>
          <w:sz w:val="24"/>
          <w:szCs w:val="24"/>
          <w:lang w:val="fr-FR"/>
        </w:rPr>
      </w:pPr>
      <w:bookmarkStart w:id="396" w:name="_Toc199714278"/>
    </w:p>
    <w:p w:rsidR="00E772DD" w:rsidRPr="00C36F78" w:rsidRDefault="00E772DD" w:rsidP="004D32AC">
      <w:pPr>
        <w:pStyle w:val="Titre3"/>
        <w:numPr>
          <w:ilvl w:val="2"/>
          <w:numId w:val="183"/>
        </w:numPr>
        <w:spacing w:after="0" w:afterAutospacing="0" w:line="360" w:lineRule="auto"/>
        <w:rPr>
          <w:sz w:val="24"/>
          <w:szCs w:val="24"/>
          <w:lang w:val="fr-FR"/>
        </w:rPr>
      </w:pPr>
      <w:bookmarkStart w:id="397" w:name="_Toc200486556"/>
      <w:bookmarkStart w:id="398" w:name="_Toc200635332"/>
      <w:bookmarkStart w:id="399" w:name="_Toc200635720"/>
      <w:bookmarkStart w:id="400" w:name="_Toc200636109"/>
      <w:bookmarkStart w:id="401" w:name="_Toc200755846"/>
      <w:r w:rsidRPr="00C36F78">
        <w:rPr>
          <w:sz w:val="24"/>
          <w:szCs w:val="24"/>
          <w:lang w:val="fr-FR"/>
        </w:rPr>
        <w:lastRenderedPageBreak/>
        <w:t>Les composantes de la rémunération</w:t>
      </w:r>
      <w:bookmarkEnd w:id="396"/>
      <w:bookmarkEnd w:id="397"/>
      <w:bookmarkEnd w:id="398"/>
      <w:bookmarkEnd w:id="399"/>
      <w:bookmarkEnd w:id="400"/>
      <w:bookmarkEnd w:id="401"/>
    </w:p>
    <w:p w:rsidR="00E772DD" w:rsidRPr="00AD5F90" w:rsidRDefault="00E772DD" w:rsidP="007E664C">
      <w:p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rémunération comprend deux éléments principaux : le salaire de base et les compléments de salaire, incluant notamment les avantages en nature.</w:t>
      </w:r>
    </w:p>
    <w:p w:rsidR="00E772DD" w:rsidRPr="00C36F78" w:rsidRDefault="00E772DD" w:rsidP="004D32AC">
      <w:pPr>
        <w:pStyle w:val="Titre3"/>
        <w:numPr>
          <w:ilvl w:val="3"/>
          <w:numId w:val="183"/>
        </w:numPr>
        <w:spacing w:after="0" w:afterAutospacing="0" w:line="360" w:lineRule="auto"/>
        <w:rPr>
          <w:sz w:val="24"/>
          <w:szCs w:val="24"/>
          <w:lang w:val="fr-FR"/>
        </w:rPr>
      </w:pPr>
      <w:bookmarkStart w:id="402" w:name="_Toc199685108"/>
      <w:bookmarkStart w:id="403" w:name="_Toc199714279"/>
      <w:bookmarkStart w:id="404" w:name="_Toc200486557"/>
      <w:bookmarkStart w:id="405" w:name="_Toc200635333"/>
      <w:bookmarkStart w:id="406" w:name="_Toc200635721"/>
      <w:bookmarkStart w:id="407" w:name="_Toc200636110"/>
      <w:bookmarkStart w:id="408" w:name="_Toc200755847"/>
      <w:r w:rsidRPr="00C36F78">
        <w:rPr>
          <w:sz w:val="24"/>
          <w:szCs w:val="24"/>
          <w:lang w:val="fr-FR"/>
        </w:rPr>
        <w:t>Le salaire de base</w:t>
      </w:r>
      <w:bookmarkEnd w:id="402"/>
      <w:bookmarkEnd w:id="403"/>
      <w:bookmarkEnd w:id="404"/>
      <w:bookmarkEnd w:id="405"/>
      <w:bookmarkEnd w:id="406"/>
      <w:bookmarkEnd w:id="407"/>
      <w:bookmarkEnd w:id="408"/>
    </w:p>
    <w:p w:rsidR="00E772DD" w:rsidRPr="00AD5F90" w:rsidRDefault="00E772DD" w:rsidP="00C36F78">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salaire de base constitue la partie fixe de la rémunération. En principe, il est déterminé par l'employeur, soit unilatéralement, soit en accord avec le salarié dans le cadre du contrat de travail. Son calcul repose généralement sur le temps de travail effectué ou sur les tâches réalisées. Il doit impérativement respecter les seuils légaux ou conventionnels en vigueur.</w:t>
      </w:r>
    </w:p>
    <w:p w:rsidR="00E772DD" w:rsidRPr="00AD5F90" w:rsidRDefault="00E772DD" w:rsidP="007262AF">
      <w:p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majorité des employés perçoivent un salaire mensuel fixe, indépendamment du nombre de jours ouvrés dans le mois. Toutefois, certaines catégories de travailleurs, comme les employés à domicile, les saisonniers, les intermittents et les intérimaires, ne sont pas soumises à cette mensualisation. Leur rémunération est alors déterminée en fonction du nombre d’heures réellement travaillées au cours du mois</w:t>
      </w:r>
      <w:r w:rsidR="00C36F78">
        <w:rPr>
          <w:rFonts w:asciiTheme="majorBidi" w:hAnsiTheme="majorBidi" w:cstheme="majorBidi"/>
          <w:color w:val="000000"/>
          <w:lang w:val="fr-FR"/>
        </w:rPr>
        <w:t>.</w:t>
      </w:r>
      <w:r w:rsidRPr="00AD5F90">
        <w:rPr>
          <w:rStyle w:val="Appelnotedebasdep"/>
          <w:color w:val="000000"/>
          <w:lang w:val="fr-FR"/>
        </w:rPr>
        <w:footnoteReference w:id="78"/>
      </w:r>
    </w:p>
    <w:p w:rsidR="00E772DD" w:rsidRPr="00C36F78" w:rsidRDefault="00E772DD" w:rsidP="004D32AC">
      <w:pPr>
        <w:pStyle w:val="Titre3"/>
        <w:numPr>
          <w:ilvl w:val="3"/>
          <w:numId w:val="183"/>
        </w:numPr>
        <w:spacing w:before="0" w:beforeAutospacing="0" w:after="0" w:afterAutospacing="0" w:line="360" w:lineRule="auto"/>
        <w:rPr>
          <w:sz w:val="24"/>
          <w:szCs w:val="24"/>
          <w:lang w:val="fr-FR"/>
        </w:rPr>
      </w:pPr>
      <w:bookmarkStart w:id="409" w:name="_Toc199685109"/>
      <w:bookmarkStart w:id="410" w:name="_Toc199714280"/>
      <w:bookmarkStart w:id="411" w:name="_Toc200486558"/>
      <w:bookmarkStart w:id="412" w:name="_Toc200635334"/>
      <w:bookmarkStart w:id="413" w:name="_Toc200635722"/>
      <w:bookmarkStart w:id="414" w:name="_Toc200636111"/>
      <w:bookmarkStart w:id="415" w:name="_Toc200755848"/>
      <w:r w:rsidRPr="00C36F78">
        <w:rPr>
          <w:sz w:val="24"/>
          <w:szCs w:val="24"/>
          <w:lang w:val="fr-FR"/>
        </w:rPr>
        <w:t>Les avantages sociaux</w:t>
      </w:r>
      <w:bookmarkEnd w:id="409"/>
      <w:bookmarkEnd w:id="410"/>
      <w:bookmarkEnd w:id="411"/>
      <w:bookmarkEnd w:id="412"/>
      <w:bookmarkEnd w:id="413"/>
      <w:bookmarkEnd w:id="414"/>
      <w:bookmarkEnd w:id="415"/>
      <w:r w:rsidRPr="00C36F78">
        <w:rPr>
          <w:sz w:val="24"/>
          <w:szCs w:val="24"/>
          <w:lang w:val="fr-FR"/>
        </w:rPr>
        <w:t xml:space="preserve"> </w:t>
      </w:r>
    </w:p>
    <w:p w:rsidR="00E772DD" w:rsidRPr="00AD5F90" w:rsidRDefault="00E772DD" w:rsidP="00C36F78">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avantages sociaux sont des prestations non monétaires fournies aux employés pour améliorer leur bien-être et leur satisfaction au travail. Ils sont considérés comme un levier stratégique pour attirer et fidéliser les talents tout en optimisant la performance des salariés</w:t>
      </w:r>
      <w:r w:rsidR="00C36F78">
        <w:rPr>
          <w:rFonts w:asciiTheme="majorBidi" w:hAnsiTheme="majorBidi" w:cstheme="majorBidi"/>
          <w:color w:val="000000"/>
          <w:lang w:val="fr-FR"/>
        </w:rPr>
        <w:t>.</w:t>
      </w:r>
      <w:r w:rsidRPr="00AD5F90">
        <w:rPr>
          <w:rStyle w:val="Appelnotedebasdep"/>
          <w:color w:val="000000"/>
          <w:lang w:val="fr-FR"/>
        </w:rPr>
        <w:footnoteReference w:id="79"/>
      </w:r>
      <w:r w:rsidRPr="00AD5F90">
        <w:rPr>
          <w:rFonts w:asciiTheme="majorBidi" w:hAnsiTheme="majorBidi" w:cstheme="majorBidi"/>
          <w:color w:val="000000"/>
          <w:lang w:val="fr-FR"/>
        </w:rPr>
        <w:t xml:space="preserve"> Ces avantages varient selon les politiques des entreprises et les contextes économiques et sociaux.</w:t>
      </w:r>
    </w:p>
    <w:p w:rsidR="00E772DD" w:rsidRPr="00AD5F90" w:rsidRDefault="00E772DD" w:rsidP="004D32AC">
      <w:pPr>
        <w:pStyle w:val="Paragraphedeliste"/>
        <w:numPr>
          <w:ilvl w:val="0"/>
          <w:numId w:val="64"/>
        </w:numPr>
        <w:spacing w:line="360" w:lineRule="auto"/>
        <w:jc w:val="both"/>
        <w:outlineLvl w:val="2"/>
        <w:rPr>
          <w:rFonts w:asciiTheme="majorBidi" w:hAnsiTheme="majorBidi" w:cstheme="majorBidi"/>
          <w:b/>
          <w:bCs/>
          <w:color w:val="000000"/>
          <w:lang w:val="fr-FR"/>
        </w:rPr>
      </w:pPr>
      <w:bookmarkStart w:id="416" w:name="_Toc199685110"/>
      <w:bookmarkStart w:id="417" w:name="_Toc199685859"/>
      <w:bookmarkStart w:id="418" w:name="_Toc199712778"/>
      <w:bookmarkStart w:id="419" w:name="_Toc199713900"/>
      <w:bookmarkStart w:id="420" w:name="_Toc199714281"/>
      <w:bookmarkStart w:id="421" w:name="_Toc200486559"/>
      <w:bookmarkStart w:id="422" w:name="_Toc200635335"/>
      <w:bookmarkStart w:id="423" w:name="_Toc200635723"/>
      <w:bookmarkStart w:id="424" w:name="_Toc200636112"/>
      <w:bookmarkStart w:id="425" w:name="_Toc200754623"/>
      <w:bookmarkStart w:id="426" w:name="_Toc200755012"/>
      <w:bookmarkStart w:id="427" w:name="_Toc200755849"/>
      <w:r w:rsidRPr="00AD5F90">
        <w:rPr>
          <w:rFonts w:asciiTheme="majorBidi" w:hAnsiTheme="majorBidi" w:cstheme="majorBidi"/>
          <w:b/>
          <w:bCs/>
          <w:color w:val="000000"/>
          <w:lang w:val="fr-FR"/>
        </w:rPr>
        <w:t>Les avantages financiers</w:t>
      </w:r>
      <w:bookmarkEnd w:id="416"/>
      <w:bookmarkEnd w:id="417"/>
      <w:bookmarkEnd w:id="418"/>
      <w:bookmarkEnd w:id="419"/>
      <w:bookmarkEnd w:id="420"/>
      <w:bookmarkEnd w:id="421"/>
      <w:bookmarkEnd w:id="422"/>
      <w:bookmarkEnd w:id="423"/>
      <w:bookmarkEnd w:id="424"/>
      <w:bookmarkEnd w:id="425"/>
      <w:bookmarkEnd w:id="426"/>
      <w:bookmarkEnd w:id="427"/>
    </w:p>
    <w:p w:rsidR="00E772DD" w:rsidRPr="00AD5F90" w:rsidRDefault="00E772DD" w:rsidP="007E664C">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avantages financiers constituent des </w:t>
      </w:r>
      <w:r w:rsidRPr="00AD5F90">
        <w:rPr>
          <w:rFonts w:asciiTheme="majorBidi" w:hAnsiTheme="majorBidi" w:cstheme="majorBidi"/>
          <w:b/>
          <w:bCs/>
          <w:color w:val="000000"/>
          <w:lang w:val="fr-FR"/>
        </w:rPr>
        <w:t>rémunérations complémentaires</w:t>
      </w:r>
      <w:r w:rsidRPr="00AD5F90">
        <w:rPr>
          <w:rFonts w:asciiTheme="majorBidi" w:hAnsiTheme="majorBidi" w:cstheme="majorBidi"/>
          <w:color w:val="000000"/>
          <w:lang w:val="fr-FR"/>
        </w:rPr>
        <w:t> destinées à motiver les employés et à récompenser leurs performances. Ils prennent différentes formes et ont pour objectif de renforcer l'engagement et la productivité des salariés</w:t>
      </w:r>
      <w:r w:rsidR="007E664C">
        <w:rPr>
          <w:rFonts w:asciiTheme="majorBidi" w:hAnsiTheme="majorBidi" w:cstheme="majorBidi"/>
          <w:color w:val="000000"/>
          <w:lang w:val="fr-FR"/>
        </w:rPr>
        <w:t>.</w:t>
      </w:r>
      <w:r w:rsidRPr="00AD5F90">
        <w:rPr>
          <w:rStyle w:val="Appelnotedebasdep"/>
          <w:color w:val="000000"/>
          <w:lang w:val="fr-FR"/>
        </w:rPr>
        <w:footnoteReference w:id="80"/>
      </w:r>
    </w:p>
    <w:p w:rsidR="00E772DD" w:rsidRPr="00AD5F90" w:rsidRDefault="00E772DD" w:rsidP="004D32AC">
      <w:pPr>
        <w:pStyle w:val="Paragraphedeliste"/>
        <w:numPr>
          <w:ilvl w:val="0"/>
          <w:numId w:val="63"/>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Les primes et bonus</w:t>
      </w:r>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Les primes et bonus sont des montants versés aux employés en complément de leur salaire fixe. Ces avantages peuvent être basés sur la performance individuelle, les résultats collectifs ou des événements spécifiques. Par exemple, une prime de rendement est accordée aux salariés qui </w:t>
      </w:r>
      <w:r w:rsidRPr="00AD5F90">
        <w:rPr>
          <w:rFonts w:asciiTheme="majorBidi" w:hAnsiTheme="majorBidi" w:cstheme="majorBidi"/>
          <w:color w:val="000000"/>
          <w:lang w:val="fr-FR"/>
        </w:rPr>
        <w:lastRenderedPageBreak/>
        <w:t>atteignent ou dépassent leurs objectifs annuels, tandis qu’une prime exceptionnelle peut être versée à l’occasion des fêtes de fin d’année</w:t>
      </w:r>
      <w:r w:rsidRPr="00AD5F90">
        <w:rPr>
          <w:rStyle w:val="Appelnotedebasdep"/>
          <w:color w:val="000000"/>
          <w:lang w:val="fr-FR"/>
        </w:rPr>
        <w:footnoteReference w:id="81"/>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62"/>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La participation aux bénéfices</w:t>
      </w:r>
    </w:p>
    <w:p w:rsidR="00E772DD" w:rsidRPr="00AD5F90" w:rsidRDefault="00E772DD" w:rsidP="007E664C">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participation aux bénéfices est une redistribution d’une partie des gains de l’entreprise aux employés. Ce système permet d’impliquer financièrement les travailleurs dans la réussite de l’organisation. Par exemple, une entreprise peut décider de verser un pourcentage des profits à ses salariés sous forme de dividendes ou d’un versement exceptionnel en fin d’exercice</w:t>
      </w:r>
      <w:r w:rsidRPr="00AD5F90">
        <w:rPr>
          <w:rStyle w:val="Appelnotedebasdep"/>
          <w:color w:val="000000"/>
          <w:lang w:val="fr-FR"/>
        </w:rPr>
        <w:footnoteReference w:id="82"/>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61"/>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L’épargne salariale</w:t>
      </w:r>
    </w:p>
    <w:p w:rsidR="00E772DD" w:rsidRPr="00AD5F90" w:rsidRDefault="00E772DD" w:rsidP="008B3C84">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L’épargne salariale permet aux employés d’investir une partie de leur rémunération dans des plans d’épargne soutenus par l’entreprise. Ce dispositif, souvent encouragé par des incitations fiscales, permet aux travailleurs de préparer leur avenir financier tout en bénéficiant d’un abondement de la part de leur employeur (Kaplan &amp; Norton, 2016, p. 158)</w:t>
      </w:r>
      <w:r w:rsidRPr="00AD5F90">
        <w:rPr>
          <w:rStyle w:val="Appelnotedebasdep"/>
          <w:color w:val="000000"/>
          <w:lang w:val="fr-FR"/>
        </w:rPr>
        <w:footnoteReference w:id="83"/>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64"/>
        </w:numPr>
        <w:spacing w:line="360" w:lineRule="auto"/>
        <w:jc w:val="both"/>
        <w:outlineLvl w:val="2"/>
        <w:rPr>
          <w:rFonts w:asciiTheme="majorBidi" w:hAnsiTheme="majorBidi" w:cstheme="majorBidi"/>
          <w:b/>
          <w:bCs/>
          <w:color w:val="000000"/>
          <w:lang w:val="fr-FR"/>
        </w:rPr>
      </w:pPr>
      <w:bookmarkStart w:id="428" w:name="_Toc199685111"/>
      <w:bookmarkStart w:id="429" w:name="_Toc199685860"/>
      <w:bookmarkStart w:id="430" w:name="_Toc199712779"/>
      <w:bookmarkStart w:id="431" w:name="_Toc199713901"/>
      <w:bookmarkStart w:id="432" w:name="_Toc199714282"/>
      <w:bookmarkStart w:id="433" w:name="_Toc200486560"/>
      <w:bookmarkStart w:id="434" w:name="_Toc200635336"/>
      <w:bookmarkStart w:id="435" w:name="_Toc200635724"/>
      <w:bookmarkStart w:id="436" w:name="_Toc200636113"/>
      <w:bookmarkStart w:id="437" w:name="_Toc200754624"/>
      <w:bookmarkStart w:id="438" w:name="_Toc200755013"/>
      <w:bookmarkStart w:id="439" w:name="_Toc200755850"/>
      <w:r w:rsidRPr="00AD5F90">
        <w:rPr>
          <w:rFonts w:asciiTheme="majorBidi" w:hAnsiTheme="majorBidi" w:cstheme="majorBidi"/>
          <w:b/>
          <w:bCs/>
          <w:color w:val="000000"/>
          <w:lang w:val="fr-FR"/>
        </w:rPr>
        <w:t>Les avantages en nature</w:t>
      </w:r>
      <w:bookmarkEnd w:id="428"/>
      <w:bookmarkEnd w:id="429"/>
      <w:bookmarkEnd w:id="430"/>
      <w:bookmarkEnd w:id="431"/>
      <w:bookmarkEnd w:id="432"/>
      <w:bookmarkEnd w:id="433"/>
      <w:bookmarkEnd w:id="434"/>
      <w:bookmarkEnd w:id="435"/>
      <w:bookmarkEnd w:id="436"/>
      <w:bookmarkEnd w:id="437"/>
      <w:bookmarkEnd w:id="438"/>
      <w:bookmarkEnd w:id="439"/>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avantages en nature sont des biens ou services mis à disposition des employés sans échange monétaire direct. Ils visent à faciliter la vie quotidienne des salariés et à renforcer leur engagement professionnel</w:t>
      </w:r>
      <w:r w:rsidRPr="00AD5F90">
        <w:rPr>
          <w:rStyle w:val="Appelnotedebasdep"/>
          <w:color w:val="000000"/>
          <w:lang w:val="fr-FR"/>
        </w:rPr>
        <w:footnoteReference w:id="84"/>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Le véhicule de fonction</w:t>
      </w:r>
    </w:p>
    <w:p w:rsidR="00E772DD" w:rsidRPr="00AD5F90" w:rsidRDefault="00E772DD" w:rsidP="00E16C5A">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Un véhicule de fonction est un moyen de transport fourni par l’entreprise à ses employés pour leurs déplacements professionnels et parfois personnels. Il s’agit d’un avantage significatif, notamment pour les cadres et les commerciaux, car il réduit les coûts de transport et améliore la mobilité des salariés</w:t>
      </w:r>
      <w:r w:rsidRPr="00AD5F90">
        <w:rPr>
          <w:rStyle w:val="Appelnotedebasdep"/>
          <w:color w:val="000000"/>
          <w:lang w:val="fr-FR"/>
        </w:rPr>
        <w:footnoteReference w:id="85"/>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Le logement de fonction</w:t>
      </w:r>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logement de fonction est une résidence mise à disposition par l’employeur, souvent dans des zones où le coût du logement est élevé. Ce dispositif est particulièrement utilisé dans les secteurs nécessitant une présence constante sur site, comme l’hôtellerie, la sécurité ou l’éducation</w:t>
      </w:r>
      <w:r w:rsidR="00993196">
        <w:rPr>
          <w:rFonts w:asciiTheme="majorBidi" w:hAnsiTheme="majorBidi" w:cstheme="majorBidi"/>
          <w:color w:val="000000"/>
          <w:lang w:val="fr-FR"/>
        </w:rPr>
        <w:t>.</w:t>
      </w:r>
      <w:r w:rsidRPr="00AD5F90">
        <w:rPr>
          <w:rStyle w:val="Appelnotedebasdep"/>
          <w:color w:val="000000"/>
          <w:lang w:val="fr-FR"/>
        </w:rPr>
        <w:footnoteReference w:id="86"/>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lastRenderedPageBreak/>
        <w:t>Les repas subventionnés</w:t>
      </w:r>
    </w:p>
    <w:p w:rsidR="00E772DD" w:rsidRPr="00AD5F90" w:rsidRDefault="00E772DD" w:rsidP="007E664C">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repas subventionnés prennent la forme de cantines d’entreprise, de tickets restaurant ou de remboursements partiels des frais de restauration. Ce type d’avantage aide à alléger les dépenses alimentaires des employés et à favoriser un cadre de travail plus convivial (Schmidt &amp; Rosenberg, 2014, p. 144)</w:t>
      </w:r>
      <w:r w:rsidRPr="00AD5F90">
        <w:rPr>
          <w:rStyle w:val="Appelnotedebasdep"/>
          <w:color w:val="000000"/>
          <w:lang w:val="fr-FR"/>
        </w:rPr>
        <w:footnoteReference w:id="87"/>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64"/>
        </w:numPr>
        <w:spacing w:line="360" w:lineRule="auto"/>
        <w:jc w:val="both"/>
        <w:outlineLvl w:val="2"/>
        <w:rPr>
          <w:rFonts w:asciiTheme="majorBidi" w:hAnsiTheme="majorBidi" w:cstheme="majorBidi"/>
          <w:b/>
          <w:bCs/>
          <w:color w:val="000000"/>
          <w:lang w:val="fr-FR"/>
        </w:rPr>
      </w:pPr>
      <w:bookmarkStart w:id="440" w:name="_Toc199685112"/>
      <w:bookmarkStart w:id="441" w:name="_Toc199685861"/>
      <w:bookmarkStart w:id="442" w:name="_Toc199712780"/>
      <w:bookmarkStart w:id="443" w:name="_Toc199713902"/>
      <w:bookmarkStart w:id="444" w:name="_Toc199714283"/>
      <w:bookmarkStart w:id="445" w:name="_Toc200486561"/>
      <w:bookmarkStart w:id="446" w:name="_Toc200635337"/>
      <w:bookmarkStart w:id="447" w:name="_Toc200635725"/>
      <w:bookmarkStart w:id="448" w:name="_Toc200636114"/>
      <w:bookmarkStart w:id="449" w:name="_Toc200754625"/>
      <w:bookmarkStart w:id="450" w:name="_Toc200755014"/>
      <w:bookmarkStart w:id="451" w:name="_Toc200755851"/>
      <w:r w:rsidRPr="00AD5F90">
        <w:rPr>
          <w:rFonts w:asciiTheme="majorBidi" w:hAnsiTheme="majorBidi" w:cstheme="majorBidi"/>
          <w:b/>
          <w:bCs/>
          <w:color w:val="000000"/>
          <w:lang w:val="fr-FR"/>
        </w:rPr>
        <w:t>Les avantages liés au bien-être</w:t>
      </w:r>
      <w:bookmarkEnd w:id="440"/>
      <w:bookmarkEnd w:id="441"/>
      <w:bookmarkEnd w:id="442"/>
      <w:bookmarkEnd w:id="443"/>
      <w:bookmarkEnd w:id="444"/>
      <w:bookmarkEnd w:id="445"/>
      <w:bookmarkEnd w:id="446"/>
      <w:bookmarkEnd w:id="447"/>
      <w:bookmarkEnd w:id="448"/>
      <w:bookmarkEnd w:id="449"/>
      <w:bookmarkEnd w:id="450"/>
      <w:bookmarkEnd w:id="451"/>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Les avantages liés au bien-être visent à améliorer la qualité de vie des salariés en réduisant le stress et en favorisant un meilleur équilibre entre vie professionnelle et personnelle </w:t>
      </w:r>
      <w:r w:rsidRPr="00AD5F90">
        <w:rPr>
          <w:rStyle w:val="Appelnotedebasdep"/>
          <w:color w:val="000000"/>
          <w:lang w:val="fr-FR"/>
        </w:rPr>
        <w:footnoteReference w:id="88"/>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La mutuelle d’entreprise</w:t>
      </w:r>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La mutuelle d’entreprise permet aux employés de bénéficier d’une couverture santé complémentaire, souvent financée en partie par l’employeur. Elle prend en charge les frais médicaux, les consultations spécialisées et parfois les soins dentaires ou optiques. Ce dispositif contribue à la sécurité financière des employés en réduisant leurs dépenses de santé </w:t>
      </w:r>
      <w:r w:rsidRPr="00AD5F90">
        <w:rPr>
          <w:rStyle w:val="Appelnotedebasdep"/>
          <w:color w:val="000000"/>
          <w:lang w:val="fr-FR"/>
        </w:rPr>
        <w:footnoteReference w:id="89"/>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La crèche d’entreprise</w:t>
      </w:r>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crèche d’entreprise est un service de garde d’enfants mis en place pour les employés ayant des responsabilités familiales. Ce type d’avantage permet de concilier vie professionnelle et parentalité en réduisant le stress lié à la recherche d’un mode de garde adapté</w:t>
      </w:r>
      <w:r w:rsidR="00993196">
        <w:rPr>
          <w:rFonts w:asciiTheme="majorBidi" w:hAnsiTheme="majorBidi" w:cstheme="majorBidi"/>
          <w:color w:val="000000"/>
          <w:lang w:val="fr-FR"/>
        </w:rPr>
        <w:t>.</w:t>
      </w:r>
      <w:r w:rsidRPr="00AD5F90">
        <w:rPr>
          <w:rFonts w:asciiTheme="majorBidi" w:hAnsiTheme="majorBidi" w:cstheme="majorBidi"/>
          <w:color w:val="000000"/>
          <w:lang w:val="fr-FR"/>
        </w:rPr>
        <w:t xml:space="preserve"> </w:t>
      </w:r>
      <w:r w:rsidRPr="00AD5F90">
        <w:rPr>
          <w:rStyle w:val="Appelnotedebasdep"/>
          <w:color w:val="000000"/>
          <w:lang w:val="fr-FR"/>
        </w:rPr>
        <w:footnoteReference w:id="90"/>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Les congés supplémentaires</w:t>
      </w:r>
    </w:p>
    <w:p w:rsidR="00E772DD" w:rsidRDefault="00E772DD" w:rsidP="00C36F78">
      <w:p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Certaines entreprises accordent des jours de congé supplémentaires aux salariés en fonction de leur ancienneté ou de leur situation personnelle. Par exemple, des congés pour événements familiaux, des congés sabbatiques ou des journées dédiées à des actions bénévoles sont de plus en plus intégrés dans les politiques RH modernes</w:t>
      </w:r>
      <w:r w:rsidR="007E664C">
        <w:rPr>
          <w:rFonts w:asciiTheme="majorBidi" w:hAnsiTheme="majorBidi" w:cstheme="majorBidi"/>
          <w:color w:val="000000"/>
          <w:lang w:val="fr-FR"/>
        </w:rPr>
        <w:t>.</w:t>
      </w:r>
      <w:r w:rsidRPr="00AD5F90">
        <w:rPr>
          <w:rStyle w:val="Appelnotedebasdep"/>
          <w:color w:val="000000"/>
          <w:lang w:val="fr-FR"/>
        </w:rPr>
        <w:footnoteReference w:id="91"/>
      </w:r>
    </w:p>
    <w:p w:rsidR="007E664C" w:rsidRDefault="007E664C" w:rsidP="00C36F78">
      <w:pPr>
        <w:spacing w:after="100" w:afterAutospacing="1" w:line="360" w:lineRule="auto"/>
        <w:jc w:val="both"/>
        <w:rPr>
          <w:rFonts w:asciiTheme="majorBidi" w:hAnsiTheme="majorBidi" w:cstheme="majorBidi"/>
          <w:color w:val="000000"/>
          <w:lang w:val="fr-FR"/>
        </w:rPr>
      </w:pPr>
    </w:p>
    <w:p w:rsidR="007E664C" w:rsidRDefault="007E664C" w:rsidP="00C36F78">
      <w:pPr>
        <w:spacing w:after="100" w:afterAutospacing="1" w:line="360" w:lineRule="auto"/>
        <w:jc w:val="both"/>
        <w:rPr>
          <w:rFonts w:asciiTheme="majorBidi" w:hAnsiTheme="majorBidi" w:cstheme="majorBidi"/>
          <w:color w:val="000000"/>
          <w:lang w:val="fr-FR"/>
        </w:rPr>
      </w:pPr>
    </w:p>
    <w:p w:rsidR="007E664C" w:rsidRPr="00AD5F90" w:rsidRDefault="007E664C" w:rsidP="007E664C">
      <w:pPr>
        <w:spacing w:line="360" w:lineRule="auto"/>
        <w:jc w:val="both"/>
        <w:rPr>
          <w:rFonts w:asciiTheme="majorBidi" w:hAnsiTheme="majorBidi" w:cstheme="majorBidi"/>
          <w:color w:val="000000"/>
          <w:lang w:val="fr-FR"/>
        </w:rPr>
      </w:pPr>
    </w:p>
    <w:p w:rsidR="007E664C" w:rsidRPr="007E664C" w:rsidRDefault="00E772DD" w:rsidP="004D32AC">
      <w:pPr>
        <w:pStyle w:val="Paragraphedeliste"/>
        <w:numPr>
          <w:ilvl w:val="0"/>
          <w:numId w:val="64"/>
        </w:numPr>
        <w:spacing w:line="360" w:lineRule="auto"/>
        <w:jc w:val="both"/>
        <w:outlineLvl w:val="2"/>
        <w:rPr>
          <w:rFonts w:asciiTheme="majorBidi" w:hAnsiTheme="majorBidi" w:cstheme="majorBidi"/>
          <w:b/>
          <w:bCs/>
          <w:color w:val="000000"/>
          <w:lang w:val="fr-FR"/>
        </w:rPr>
      </w:pPr>
      <w:bookmarkStart w:id="452" w:name="_Toc199685113"/>
      <w:bookmarkStart w:id="453" w:name="_Toc199685862"/>
      <w:bookmarkStart w:id="454" w:name="_Toc199712781"/>
      <w:bookmarkStart w:id="455" w:name="_Toc199713903"/>
      <w:bookmarkStart w:id="456" w:name="_Toc199714284"/>
      <w:bookmarkStart w:id="457" w:name="_Toc200486562"/>
      <w:bookmarkStart w:id="458" w:name="_Toc200635338"/>
      <w:bookmarkStart w:id="459" w:name="_Toc200635726"/>
      <w:bookmarkStart w:id="460" w:name="_Toc200636115"/>
      <w:bookmarkStart w:id="461" w:name="_Toc200754626"/>
      <w:bookmarkStart w:id="462" w:name="_Toc200755015"/>
      <w:bookmarkStart w:id="463" w:name="_Toc200755852"/>
      <w:r w:rsidRPr="00AD5F90">
        <w:rPr>
          <w:rFonts w:asciiTheme="majorBidi" w:hAnsiTheme="majorBidi" w:cstheme="majorBidi"/>
          <w:b/>
          <w:bCs/>
          <w:color w:val="000000"/>
          <w:lang w:val="fr-FR"/>
        </w:rPr>
        <w:lastRenderedPageBreak/>
        <w:t>Les avantages liés à la flexibilité</w:t>
      </w:r>
      <w:bookmarkEnd w:id="452"/>
      <w:bookmarkEnd w:id="453"/>
      <w:bookmarkEnd w:id="454"/>
      <w:bookmarkEnd w:id="455"/>
      <w:bookmarkEnd w:id="456"/>
      <w:bookmarkEnd w:id="457"/>
      <w:bookmarkEnd w:id="458"/>
      <w:bookmarkEnd w:id="459"/>
      <w:bookmarkEnd w:id="460"/>
      <w:bookmarkEnd w:id="461"/>
      <w:bookmarkEnd w:id="462"/>
      <w:bookmarkEnd w:id="463"/>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avantages liés à la flexibilité permettent aux employés d’adapter leur rythme de travail en fonction de leurs besoins, ce qui améliore leur satisfaction et leur productivité</w:t>
      </w:r>
      <w:r w:rsidR="00993196">
        <w:rPr>
          <w:rFonts w:asciiTheme="majorBidi" w:hAnsiTheme="majorBidi" w:cstheme="majorBidi"/>
          <w:color w:val="000000"/>
          <w:lang w:val="fr-FR"/>
        </w:rPr>
        <w:t>.</w:t>
      </w:r>
      <w:r w:rsidRPr="00AD5F90">
        <w:rPr>
          <w:rStyle w:val="Appelnotedebasdep"/>
          <w:color w:val="000000"/>
          <w:lang w:val="fr-FR"/>
        </w:rPr>
        <w:footnoteReference w:id="92"/>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Le télétravail</w:t>
      </w:r>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télétravail permet aux employés de travailler à distance tout en conservant une certaine autonomie dans la gestion de leurs tâches. Ce mode de travail est particulièrement apprécié pour la réduction du temps de trajet, l’amélioration de la concentration et la diminution du stress quotidien</w:t>
      </w:r>
      <w:r w:rsidR="00993196">
        <w:rPr>
          <w:rFonts w:asciiTheme="majorBidi" w:hAnsiTheme="majorBidi" w:cstheme="majorBidi"/>
          <w:color w:val="000000"/>
          <w:lang w:val="fr-FR"/>
        </w:rPr>
        <w:t>.</w:t>
      </w:r>
      <w:r w:rsidRPr="00AD5F90">
        <w:rPr>
          <w:rStyle w:val="Appelnotedebasdep"/>
          <w:color w:val="000000"/>
          <w:lang w:val="fr-FR"/>
        </w:rPr>
        <w:footnoteReference w:id="93"/>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Les horaires aménagés</w:t>
      </w:r>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horaires aménagés offrent aux salariés la possibilité de commencer et terminer leur journée de travail selon leurs préférences, dans une certaine limite fixée par l’entreprise. Par exemple, un employé peut choisir de travailler de 7 h à 15 h au lieu du traditionnel 9 h - 17 h, ce qui lui permet de mieux organiser sa journée</w:t>
      </w:r>
      <w:r w:rsidR="00993196">
        <w:rPr>
          <w:rFonts w:asciiTheme="majorBidi" w:hAnsiTheme="majorBidi" w:cstheme="majorBidi"/>
          <w:color w:val="000000"/>
          <w:lang w:val="fr-FR"/>
        </w:rPr>
        <w:t>.</w:t>
      </w:r>
      <w:r w:rsidRPr="00AD5F90">
        <w:rPr>
          <w:rStyle w:val="Appelnotedebasdep"/>
          <w:color w:val="000000"/>
          <w:lang w:val="fr-FR"/>
        </w:rPr>
        <w:footnoteReference w:id="94"/>
      </w:r>
    </w:p>
    <w:p w:rsidR="00E772DD" w:rsidRPr="00AD5F90" w:rsidRDefault="00E772DD" w:rsidP="004D32AC">
      <w:pPr>
        <w:pStyle w:val="Paragraphedeliste"/>
        <w:numPr>
          <w:ilvl w:val="0"/>
          <w:numId w:val="60"/>
        </w:numPr>
        <w:spacing w:line="360" w:lineRule="auto"/>
        <w:jc w:val="both"/>
        <w:outlineLvl w:val="3"/>
        <w:rPr>
          <w:rFonts w:asciiTheme="majorBidi" w:hAnsiTheme="majorBidi" w:cstheme="majorBidi"/>
          <w:b/>
          <w:bCs/>
          <w:color w:val="000000"/>
          <w:lang w:val="fr-FR"/>
        </w:rPr>
      </w:pPr>
      <w:r w:rsidRPr="00AD5F90">
        <w:rPr>
          <w:rFonts w:asciiTheme="majorBidi" w:hAnsiTheme="majorBidi" w:cstheme="majorBidi"/>
          <w:b/>
          <w:bCs/>
          <w:color w:val="000000"/>
          <w:lang w:val="fr-FR"/>
        </w:rPr>
        <w:t>La semaine de quatre jours</w:t>
      </w:r>
    </w:p>
    <w:p w:rsidR="00E772DD" w:rsidRPr="00AD5F90" w:rsidRDefault="00E772DD" w:rsidP="008B3C84">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Certaines entreprises expérimentent la semaine de quatre jours, où les salariés travaillent 32 heures au lieu de 40, tout en conservant leur salaire. Ce dispositif a montré des effets positifs sur la motivation et l’efficacité des employés, tout en réduisant le taux d’absentéisme (Baumard, 2021, p. 225)</w:t>
      </w:r>
      <w:r w:rsidRPr="00AD5F90">
        <w:rPr>
          <w:rStyle w:val="Appelnotedebasdep"/>
          <w:color w:val="000000"/>
          <w:lang w:val="fr-FR"/>
        </w:rPr>
        <w:footnoteReference w:id="95"/>
      </w:r>
      <w:r w:rsidRPr="00AD5F90">
        <w:rPr>
          <w:rFonts w:asciiTheme="majorBidi" w:hAnsiTheme="majorBidi" w:cstheme="majorBidi"/>
          <w:color w:val="000000"/>
          <w:lang w:val="fr-FR"/>
        </w:rPr>
        <w:t>.</w:t>
      </w:r>
    </w:p>
    <w:p w:rsidR="00E772DD" w:rsidRPr="00754166" w:rsidRDefault="00E772DD" w:rsidP="00754166">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avantages sociaux jouent un rôle fondamental dans la gestion des ressources humaines. En complément de la rémunération de base, ils permettent d’améliorer le bien-être des salariés, de réduire le turnover et d’accroître la performance globale de l’entreprise. Pour être efficaces, ces avantages doivent être adaptés aux attentes des employés et aux spécificités de chaque secteur d’activité (Armstrong, 2019, p. 312)</w:t>
      </w:r>
      <w:r w:rsidRPr="00AD5F90">
        <w:rPr>
          <w:rStyle w:val="Appelnotedebasdep"/>
          <w:color w:val="000000"/>
          <w:lang w:val="fr-FR"/>
        </w:rPr>
        <w:footnoteReference w:id="96"/>
      </w:r>
      <w:r w:rsidRPr="00AD5F90">
        <w:rPr>
          <w:rFonts w:asciiTheme="majorBidi" w:hAnsiTheme="majorBidi" w:cstheme="majorBidi"/>
          <w:color w:val="000000"/>
          <w:lang w:val="fr-FR"/>
        </w:rPr>
        <w:t>.</w:t>
      </w:r>
    </w:p>
    <w:p w:rsidR="00E772DD" w:rsidRPr="00C36F78" w:rsidRDefault="00E772DD" w:rsidP="004D32AC">
      <w:pPr>
        <w:pStyle w:val="Titre3"/>
        <w:numPr>
          <w:ilvl w:val="2"/>
          <w:numId w:val="183"/>
        </w:numPr>
        <w:spacing w:after="0" w:afterAutospacing="0" w:line="360" w:lineRule="auto"/>
        <w:rPr>
          <w:sz w:val="24"/>
          <w:szCs w:val="24"/>
          <w:lang w:val="fr-FR"/>
        </w:rPr>
      </w:pPr>
      <w:bookmarkStart w:id="464" w:name="_Toc199714285"/>
      <w:bookmarkStart w:id="465" w:name="_Toc200486563"/>
      <w:bookmarkStart w:id="466" w:name="_Toc200635339"/>
      <w:bookmarkStart w:id="467" w:name="_Toc200635727"/>
      <w:bookmarkStart w:id="468" w:name="_Toc200636116"/>
      <w:bookmarkStart w:id="469" w:name="_Toc200755853"/>
      <w:r w:rsidRPr="00C36F78">
        <w:rPr>
          <w:sz w:val="24"/>
          <w:szCs w:val="24"/>
          <w:lang w:val="fr-FR"/>
        </w:rPr>
        <w:t>L’importance de la rémunération</w:t>
      </w:r>
      <w:bookmarkEnd w:id="464"/>
      <w:bookmarkEnd w:id="465"/>
      <w:bookmarkEnd w:id="466"/>
      <w:bookmarkEnd w:id="467"/>
      <w:bookmarkEnd w:id="468"/>
      <w:bookmarkEnd w:id="469"/>
    </w:p>
    <w:p w:rsidR="00E772DD" w:rsidRPr="00AD5F90" w:rsidRDefault="00E772DD" w:rsidP="004D32AC">
      <w:pPr>
        <w:pStyle w:val="Paragraphedeliste"/>
        <w:numPr>
          <w:ilvl w:val="0"/>
          <w:numId w:val="53"/>
        </w:numPr>
        <w:spacing w:line="360" w:lineRule="auto"/>
        <w:jc w:val="both"/>
        <w:rPr>
          <w:rFonts w:asciiTheme="majorBidi" w:hAnsiTheme="majorBidi" w:cstheme="majorBidi"/>
          <w:lang w:val="fr-FR"/>
        </w:rPr>
      </w:pPr>
      <w:r w:rsidRPr="00AD5F90">
        <w:rPr>
          <w:rFonts w:asciiTheme="majorBidi" w:hAnsiTheme="majorBidi" w:cstheme="majorBidi"/>
          <w:b/>
          <w:bCs/>
          <w:lang w:val="fr-FR"/>
        </w:rPr>
        <w:t>Motivation et performance des employés</w:t>
      </w:r>
      <w:r w:rsidRPr="00AD5F90">
        <w:rPr>
          <w:rFonts w:asciiTheme="majorBidi" w:hAnsiTheme="majorBidi" w:cstheme="majorBidi"/>
          <w:lang w:val="fr-FR"/>
        </w:rPr>
        <w:t> : Une politique de rémunération équitable et compétitive est essentielle pour motiver les employés et améliorer leur performance. Elle contribue également à attirer et retenir les talents nécessaires au succès de l'organisation.</w:t>
      </w:r>
    </w:p>
    <w:p w:rsidR="00E772DD" w:rsidRPr="00AD5F90" w:rsidRDefault="00E772DD" w:rsidP="004D32AC">
      <w:pPr>
        <w:pStyle w:val="Paragraphedeliste"/>
        <w:numPr>
          <w:ilvl w:val="0"/>
          <w:numId w:val="53"/>
        </w:numPr>
        <w:spacing w:before="100" w:beforeAutospacing="1" w:after="100" w:afterAutospacing="1" w:line="360" w:lineRule="auto"/>
        <w:jc w:val="both"/>
        <w:rPr>
          <w:rFonts w:asciiTheme="majorBidi" w:hAnsiTheme="majorBidi" w:cstheme="majorBidi"/>
          <w:lang w:val="fr-FR"/>
        </w:rPr>
      </w:pPr>
      <w:r w:rsidRPr="00AD5F90">
        <w:rPr>
          <w:rFonts w:asciiTheme="majorBidi" w:hAnsiTheme="majorBidi" w:cstheme="majorBidi"/>
          <w:b/>
          <w:bCs/>
          <w:lang w:val="fr-FR"/>
        </w:rPr>
        <w:lastRenderedPageBreak/>
        <w:t>Équité interne et satisfaction professionnelle</w:t>
      </w:r>
      <w:r w:rsidRPr="00AD5F90">
        <w:rPr>
          <w:rFonts w:asciiTheme="majorBidi" w:hAnsiTheme="majorBidi" w:cstheme="majorBidi"/>
          <w:lang w:val="fr-FR"/>
        </w:rPr>
        <w:t> : Un système de rémunération bien conçu favorise l'équité interne, ce qui renforce la satisfaction professionnelle et l'engagement des employés envers l'entreprise.</w:t>
      </w:r>
    </w:p>
    <w:p w:rsidR="00E772DD" w:rsidRPr="00AD5F90" w:rsidRDefault="00E772DD" w:rsidP="004D32AC">
      <w:pPr>
        <w:pStyle w:val="Paragraphedeliste"/>
        <w:numPr>
          <w:ilvl w:val="0"/>
          <w:numId w:val="53"/>
        </w:numPr>
        <w:spacing w:before="100" w:beforeAutospacing="1" w:after="100" w:afterAutospacing="1" w:line="360" w:lineRule="auto"/>
        <w:jc w:val="both"/>
        <w:rPr>
          <w:rFonts w:asciiTheme="majorBidi" w:hAnsiTheme="majorBidi" w:cstheme="majorBidi"/>
          <w:lang w:val="fr-FR"/>
        </w:rPr>
      </w:pPr>
      <w:r w:rsidRPr="00AD5F90">
        <w:rPr>
          <w:rFonts w:asciiTheme="majorBidi" w:hAnsiTheme="majorBidi" w:cstheme="majorBidi"/>
          <w:b/>
          <w:bCs/>
          <w:lang w:val="fr-FR"/>
        </w:rPr>
        <w:t>Attraction et rétention des talents</w:t>
      </w:r>
      <w:r w:rsidRPr="00AD5F90">
        <w:rPr>
          <w:rFonts w:asciiTheme="majorBidi" w:hAnsiTheme="majorBidi" w:cstheme="majorBidi"/>
          <w:lang w:val="fr-FR"/>
        </w:rPr>
        <w:t> : Une politique de rémunération attractive est un levier stratégique pour attirer de nouveaux talents et fidéliser les employés compétents, réduisant ainsi le turnover et les coûts associés au recrutement</w:t>
      </w:r>
      <w:r w:rsidRPr="00AD5F90">
        <w:rPr>
          <w:rStyle w:val="Appelnotedebasdep"/>
          <w:lang w:val="fr-FR"/>
        </w:rPr>
        <w:footnoteReference w:id="97"/>
      </w:r>
      <w:r w:rsidRPr="00AD5F90">
        <w:rPr>
          <w:rFonts w:asciiTheme="majorBidi" w:hAnsiTheme="majorBidi" w:cstheme="majorBidi"/>
          <w:lang w:val="fr-FR"/>
        </w:rPr>
        <w:t>.</w:t>
      </w:r>
    </w:p>
    <w:p w:rsidR="00E772DD" w:rsidRPr="00AD5F90" w:rsidRDefault="00E772DD" w:rsidP="004D32AC">
      <w:pPr>
        <w:pStyle w:val="Paragraphedeliste"/>
        <w:numPr>
          <w:ilvl w:val="0"/>
          <w:numId w:val="53"/>
        </w:numPr>
        <w:spacing w:before="100" w:beforeAutospacing="1" w:after="100" w:afterAutospacing="1" w:line="360" w:lineRule="auto"/>
        <w:jc w:val="both"/>
        <w:rPr>
          <w:rFonts w:asciiTheme="majorBidi" w:hAnsiTheme="majorBidi" w:cstheme="majorBidi"/>
          <w:lang w:val="fr-FR"/>
        </w:rPr>
      </w:pPr>
      <w:r w:rsidRPr="00AD5F90">
        <w:rPr>
          <w:rFonts w:asciiTheme="majorBidi" w:hAnsiTheme="majorBidi" w:cstheme="majorBidi"/>
          <w:b/>
          <w:bCs/>
          <w:lang w:val="fr-FR"/>
        </w:rPr>
        <w:t>Alignement avec les objectifs organisationnels</w:t>
      </w:r>
      <w:r w:rsidRPr="00AD5F90">
        <w:rPr>
          <w:rFonts w:asciiTheme="majorBidi" w:hAnsiTheme="majorBidi" w:cstheme="majorBidi"/>
          <w:lang w:val="fr-FR"/>
        </w:rPr>
        <w:t> : L'audit des systèmes de rémunération permet de s'assurer que les politiques salariales sont en adéquation avec les objectifs stratégiques de l'entreprise, favorisant ainsi une performance globale accrue</w:t>
      </w:r>
      <w:r w:rsidRPr="00AD5F90">
        <w:rPr>
          <w:rStyle w:val="Appelnotedebasdep"/>
          <w:lang w:val="fr-FR"/>
        </w:rPr>
        <w:footnoteReference w:id="98"/>
      </w:r>
      <w:r w:rsidRPr="00AD5F90">
        <w:rPr>
          <w:rFonts w:asciiTheme="majorBidi" w:hAnsiTheme="majorBidi" w:cstheme="majorBidi"/>
          <w:lang w:val="fr-FR"/>
        </w:rPr>
        <w:t>.</w:t>
      </w:r>
    </w:p>
    <w:p w:rsidR="00E772DD" w:rsidRPr="00C36F78" w:rsidRDefault="00E772DD" w:rsidP="004D32AC">
      <w:pPr>
        <w:pStyle w:val="Titre3"/>
        <w:numPr>
          <w:ilvl w:val="1"/>
          <w:numId w:val="183"/>
        </w:numPr>
        <w:spacing w:after="0" w:afterAutospacing="0" w:line="360" w:lineRule="auto"/>
        <w:rPr>
          <w:sz w:val="24"/>
          <w:szCs w:val="24"/>
          <w:lang w:val="fr-FR"/>
        </w:rPr>
      </w:pPr>
      <w:bookmarkStart w:id="470" w:name="_Toc199714286"/>
      <w:bookmarkStart w:id="471" w:name="_Toc200486564"/>
      <w:bookmarkStart w:id="472" w:name="_Toc200635340"/>
      <w:bookmarkStart w:id="473" w:name="_Toc200635728"/>
      <w:bookmarkStart w:id="474" w:name="_Toc200636117"/>
      <w:bookmarkStart w:id="475" w:name="_Toc200755854"/>
      <w:r w:rsidRPr="00C36F78">
        <w:rPr>
          <w:sz w:val="24"/>
          <w:szCs w:val="24"/>
          <w:lang w:val="fr-FR"/>
        </w:rPr>
        <w:t>La gestion des carrières</w:t>
      </w:r>
      <w:bookmarkEnd w:id="470"/>
      <w:bookmarkEnd w:id="471"/>
      <w:bookmarkEnd w:id="472"/>
      <w:bookmarkEnd w:id="473"/>
      <w:bookmarkEnd w:id="474"/>
      <w:bookmarkEnd w:id="475"/>
    </w:p>
    <w:p w:rsidR="00E772DD" w:rsidRPr="00AD5F90" w:rsidRDefault="00E772DD" w:rsidP="00C36F78">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PERETTI (2001) définit la gestion des carrières comme « un ensemble d’actions conduites par une organisation pour organiser la progression interne des employés, planifier leur évolution et les inciter à prendre en main la gestion de leur parcours professionnel »</w:t>
      </w:r>
      <w:r w:rsidRPr="00AD5F90">
        <w:rPr>
          <w:rStyle w:val="Appelnotedebasdep"/>
          <w:rFonts w:eastAsiaTheme="majorEastAsia"/>
          <w:color w:val="000000"/>
          <w:lang w:val="fr-FR"/>
        </w:rPr>
        <w:footnoteReference w:id="99"/>
      </w:r>
      <w:r w:rsidRPr="00AD5F90">
        <w:rPr>
          <w:rFonts w:asciiTheme="majorBidi" w:hAnsiTheme="majorBidi" w:cstheme="majorBidi"/>
          <w:color w:val="000000"/>
          <w:lang w:val="fr-FR"/>
        </w:rPr>
        <w:t>. Elle correspond également à l’ensemble des étapes marquant la trajectoire professionnelle d’un individu</w:t>
      </w:r>
      <w:r w:rsidRPr="00AD5F90">
        <w:rPr>
          <w:rStyle w:val="Appelnotedebasdep"/>
          <w:rFonts w:eastAsiaTheme="majorEastAsia"/>
          <w:color w:val="000000"/>
          <w:lang w:val="fr-FR"/>
        </w:rPr>
        <w:footnoteReference w:id="100"/>
      </w:r>
      <w:r w:rsidRPr="00AD5F90">
        <w:rPr>
          <w:rFonts w:asciiTheme="majorBidi" w:hAnsiTheme="majorBidi" w:cstheme="majorBidi"/>
          <w:color w:val="000000"/>
          <w:lang w:val="fr-FR"/>
        </w:rPr>
        <w:t>.</w:t>
      </w:r>
    </w:p>
    <w:p w:rsidR="00E772DD" w:rsidRPr="00C36F78" w:rsidRDefault="00E772DD" w:rsidP="004D32AC">
      <w:pPr>
        <w:pStyle w:val="Titre3"/>
        <w:numPr>
          <w:ilvl w:val="2"/>
          <w:numId w:val="183"/>
        </w:numPr>
        <w:spacing w:after="0" w:afterAutospacing="0" w:line="360" w:lineRule="auto"/>
        <w:rPr>
          <w:sz w:val="24"/>
          <w:szCs w:val="24"/>
          <w:lang w:val="fr-FR"/>
        </w:rPr>
      </w:pPr>
      <w:bookmarkStart w:id="476" w:name="_Toc199714287"/>
      <w:bookmarkStart w:id="477" w:name="_Toc200486565"/>
      <w:bookmarkStart w:id="478" w:name="_Toc200635341"/>
      <w:bookmarkStart w:id="479" w:name="_Toc200635729"/>
      <w:bookmarkStart w:id="480" w:name="_Toc200636118"/>
      <w:bookmarkStart w:id="481" w:name="_Toc200755855"/>
      <w:r w:rsidRPr="00C36F78">
        <w:rPr>
          <w:sz w:val="24"/>
          <w:szCs w:val="24"/>
          <w:lang w:val="fr-FR"/>
        </w:rPr>
        <w:t>Outils de</w:t>
      </w:r>
      <w:r w:rsidR="00C36F78">
        <w:rPr>
          <w:sz w:val="24"/>
          <w:szCs w:val="24"/>
          <w:lang w:val="fr-FR"/>
        </w:rPr>
        <w:t xml:space="preserve"> la</w:t>
      </w:r>
      <w:r w:rsidRPr="00C36F78">
        <w:rPr>
          <w:sz w:val="24"/>
          <w:szCs w:val="24"/>
          <w:lang w:val="fr-FR"/>
        </w:rPr>
        <w:t xml:space="preserve"> gestion des carrières</w:t>
      </w:r>
      <w:bookmarkEnd w:id="476"/>
      <w:bookmarkEnd w:id="477"/>
      <w:bookmarkEnd w:id="478"/>
      <w:bookmarkEnd w:id="479"/>
      <w:bookmarkEnd w:id="480"/>
      <w:bookmarkEnd w:id="481"/>
    </w:p>
    <w:p w:rsidR="00E772DD" w:rsidRPr="00AD5F90" w:rsidRDefault="00E772DD" w:rsidP="00C36F78">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des carrières repose sur l'utilisation de divers outils, qui peuvent être classés en deux grandes catégories : les outils individuels et les outils organisationnels.</w:t>
      </w:r>
    </w:p>
    <w:p w:rsidR="00E772DD" w:rsidRPr="00AD5F90" w:rsidRDefault="00E772DD" w:rsidP="004D32AC">
      <w:pPr>
        <w:pStyle w:val="Titre4"/>
        <w:numPr>
          <w:ilvl w:val="0"/>
          <w:numId w:val="54"/>
        </w:numPr>
        <w:tabs>
          <w:tab w:val="num" w:pos="360"/>
        </w:tabs>
        <w:spacing w:line="360" w:lineRule="auto"/>
        <w:ind w:left="360"/>
        <w:jc w:val="both"/>
        <w:rPr>
          <w:rFonts w:asciiTheme="majorBidi" w:hAnsiTheme="majorBidi"/>
          <w:b/>
          <w:bCs/>
          <w:i w:val="0"/>
          <w:iCs w:val="0"/>
          <w:color w:val="000000"/>
          <w:lang w:val="fr-FR"/>
        </w:rPr>
      </w:pPr>
      <w:r w:rsidRPr="00AD5F90">
        <w:rPr>
          <w:rFonts w:asciiTheme="majorBidi" w:hAnsiTheme="majorBidi"/>
          <w:b/>
          <w:bCs/>
          <w:i w:val="0"/>
          <w:iCs w:val="0"/>
          <w:color w:val="000000"/>
          <w:lang w:val="fr-FR"/>
        </w:rPr>
        <w:t>Les outils individuels</w:t>
      </w:r>
    </w:p>
    <w:p w:rsidR="00E772DD" w:rsidRPr="00AD5F90" w:rsidRDefault="00E772DD" w:rsidP="008C0AFC">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Chaque salarié doit être conscient de l'importance de prendre en main sa propre trajectoire professionnelle, en anticipant différentes situations, y compris les périodes de transition et les éventuels obstacles.</w:t>
      </w:r>
    </w:p>
    <w:p w:rsidR="00E772DD" w:rsidRDefault="00E772DD" w:rsidP="00153DAD">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tableau ci-dessous propose une liste non exhaustive d’outils individuels qui favorisent l’évolution de carrière :</w:t>
      </w:r>
    </w:p>
    <w:p w:rsidR="007E664C" w:rsidRDefault="007E664C" w:rsidP="00153DAD">
      <w:pPr>
        <w:pStyle w:val="NormalWeb"/>
        <w:spacing w:before="0" w:beforeAutospacing="0" w:after="0" w:afterAutospacing="0" w:line="360" w:lineRule="auto"/>
        <w:jc w:val="both"/>
        <w:rPr>
          <w:rFonts w:asciiTheme="majorBidi" w:hAnsiTheme="majorBidi" w:cstheme="majorBidi"/>
          <w:color w:val="000000"/>
          <w:lang w:val="fr-FR"/>
        </w:rPr>
      </w:pPr>
    </w:p>
    <w:p w:rsidR="007E664C" w:rsidRDefault="007E664C" w:rsidP="00153DAD">
      <w:pPr>
        <w:pStyle w:val="NormalWeb"/>
        <w:spacing w:before="0" w:beforeAutospacing="0" w:after="0" w:afterAutospacing="0" w:line="360" w:lineRule="auto"/>
        <w:jc w:val="both"/>
        <w:rPr>
          <w:rFonts w:asciiTheme="majorBidi" w:hAnsiTheme="majorBidi" w:cstheme="majorBidi"/>
          <w:color w:val="000000"/>
          <w:lang w:val="fr-FR"/>
        </w:rPr>
      </w:pPr>
    </w:p>
    <w:p w:rsidR="007E664C" w:rsidRPr="00AD5F90" w:rsidRDefault="007E664C" w:rsidP="00153DAD">
      <w:pPr>
        <w:pStyle w:val="NormalWeb"/>
        <w:spacing w:before="0" w:beforeAutospacing="0" w:after="0" w:afterAutospacing="0" w:line="360" w:lineRule="auto"/>
        <w:jc w:val="both"/>
        <w:rPr>
          <w:rFonts w:asciiTheme="majorBidi" w:hAnsiTheme="majorBidi" w:cstheme="majorBidi"/>
          <w:color w:val="000000"/>
          <w:lang w:val="fr-FR"/>
        </w:rPr>
      </w:pPr>
    </w:p>
    <w:p w:rsidR="00E772DD" w:rsidRPr="00AD5F90" w:rsidRDefault="00E772DD" w:rsidP="008C0AFC">
      <w:pPr>
        <w:pStyle w:val="NormalWeb"/>
        <w:spacing w:before="0" w:beforeAutospacing="0" w:after="0" w:afterAutospacing="0" w:line="360" w:lineRule="auto"/>
        <w:jc w:val="center"/>
        <w:rPr>
          <w:rFonts w:asciiTheme="majorBidi" w:hAnsiTheme="majorBidi" w:cstheme="majorBidi"/>
          <w:b/>
          <w:bCs/>
          <w:color w:val="000000"/>
          <w:lang w:val="fr-FR"/>
        </w:rPr>
      </w:pPr>
      <w:r w:rsidRPr="00AD5F90">
        <w:rPr>
          <w:rStyle w:val="lev"/>
          <w:rFonts w:asciiTheme="majorBidi" w:hAnsiTheme="majorBidi" w:cstheme="majorBidi"/>
          <w:color w:val="000000"/>
          <w:lang w:val="fr-FR"/>
        </w:rPr>
        <w:lastRenderedPageBreak/>
        <w:t>Tableau</w:t>
      </w:r>
      <w:r>
        <w:rPr>
          <w:rStyle w:val="lev"/>
          <w:rFonts w:asciiTheme="majorBidi" w:hAnsiTheme="majorBidi" w:cstheme="majorBidi"/>
          <w:color w:val="000000"/>
          <w:lang w:val="fr-FR"/>
        </w:rPr>
        <w:t xml:space="preserve"> N°0</w:t>
      </w:r>
      <w:r w:rsidRPr="00AD5F90">
        <w:rPr>
          <w:rStyle w:val="lev"/>
          <w:rFonts w:asciiTheme="majorBidi" w:hAnsiTheme="majorBidi" w:cstheme="majorBidi"/>
          <w:color w:val="000000"/>
          <w:lang w:val="fr-FR"/>
        </w:rPr>
        <w:t xml:space="preserve">3 : </w:t>
      </w:r>
      <w:r w:rsidRPr="00720872">
        <w:rPr>
          <w:rStyle w:val="lev"/>
          <w:rFonts w:asciiTheme="majorBidi" w:hAnsiTheme="majorBidi" w:cstheme="majorBidi"/>
          <w:b w:val="0"/>
          <w:bCs w:val="0"/>
          <w:color w:val="000000"/>
          <w:lang w:val="fr-FR"/>
        </w:rPr>
        <w:t>Les outils individuels de la gestion des carrières</w:t>
      </w:r>
    </w:p>
    <w:tbl>
      <w:tblPr>
        <w:tblStyle w:val="Grilledutableau"/>
        <w:tblW w:w="0" w:type="auto"/>
        <w:tblLook w:val="04A0" w:firstRow="1" w:lastRow="0" w:firstColumn="1" w:lastColumn="0" w:noHBand="0" w:noVBand="1"/>
      </w:tblPr>
      <w:tblGrid>
        <w:gridCol w:w="2102"/>
        <w:gridCol w:w="6908"/>
      </w:tblGrid>
      <w:tr w:rsidR="00E772DD" w:rsidRPr="00AD5F90" w:rsidTr="002F5C80">
        <w:tc>
          <w:tcPr>
            <w:tcW w:w="0" w:type="auto"/>
            <w:shd w:val="clear" w:color="auto" w:fill="D8DCD1"/>
            <w:vAlign w:val="center"/>
            <w:hideMark/>
          </w:tcPr>
          <w:p w:rsidR="00E772DD" w:rsidRPr="00AD5F90" w:rsidRDefault="00E772DD" w:rsidP="00586215">
            <w:pPr>
              <w:spacing w:line="360" w:lineRule="auto"/>
              <w:jc w:val="center"/>
              <w:rPr>
                <w:rFonts w:asciiTheme="majorBidi" w:hAnsiTheme="majorBidi" w:cstheme="majorBidi"/>
                <w:b/>
                <w:bCs/>
                <w:color w:val="000000"/>
                <w:lang w:val="fr-FR"/>
              </w:rPr>
            </w:pPr>
            <w:r w:rsidRPr="00AD5F90">
              <w:rPr>
                <w:rStyle w:val="lev"/>
                <w:rFonts w:asciiTheme="majorBidi" w:hAnsiTheme="majorBidi" w:cstheme="majorBidi"/>
                <w:color w:val="000000"/>
                <w:lang w:val="fr-FR"/>
              </w:rPr>
              <w:t>Outils</w:t>
            </w:r>
          </w:p>
        </w:tc>
        <w:tc>
          <w:tcPr>
            <w:tcW w:w="0" w:type="auto"/>
            <w:shd w:val="clear" w:color="auto" w:fill="D8DCD1"/>
            <w:hideMark/>
          </w:tcPr>
          <w:p w:rsidR="00E772DD" w:rsidRPr="00AD5F90" w:rsidRDefault="00E772DD" w:rsidP="00106567">
            <w:pPr>
              <w:spacing w:line="360" w:lineRule="auto"/>
              <w:jc w:val="both"/>
              <w:rPr>
                <w:rFonts w:asciiTheme="majorBidi" w:hAnsiTheme="majorBidi" w:cstheme="majorBidi"/>
                <w:b/>
                <w:bCs/>
                <w:color w:val="000000"/>
                <w:lang w:val="fr-FR"/>
              </w:rPr>
            </w:pPr>
            <w:r w:rsidRPr="00AD5F90">
              <w:rPr>
                <w:rStyle w:val="lev"/>
                <w:rFonts w:asciiTheme="majorBidi" w:hAnsiTheme="majorBidi" w:cstheme="majorBidi"/>
                <w:color w:val="000000"/>
                <w:lang w:val="fr-FR"/>
              </w:rPr>
              <w:t>Actions à entreprendre</w:t>
            </w:r>
          </w:p>
        </w:tc>
      </w:tr>
      <w:tr w:rsidR="00E772DD" w:rsidRPr="00427D18" w:rsidTr="002F5C80">
        <w:tc>
          <w:tcPr>
            <w:tcW w:w="0" w:type="auto"/>
            <w:shd w:val="clear" w:color="auto" w:fill="D8DCD1"/>
            <w:vAlign w:val="center"/>
            <w:hideMark/>
          </w:tcPr>
          <w:p w:rsidR="00E772DD" w:rsidRPr="00AD5F90" w:rsidRDefault="00E772DD" w:rsidP="00586215">
            <w:pPr>
              <w:spacing w:line="360" w:lineRule="auto"/>
              <w:jc w:val="center"/>
              <w:rPr>
                <w:rFonts w:asciiTheme="majorBidi" w:hAnsiTheme="majorBidi" w:cstheme="majorBidi"/>
                <w:b/>
                <w:bCs/>
                <w:color w:val="000000"/>
                <w:lang w:val="fr-FR"/>
              </w:rPr>
            </w:pPr>
            <w:r w:rsidRPr="00AD5F90">
              <w:rPr>
                <w:rStyle w:val="lev"/>
                <w:rFonts w:asciiTheme="majorBidi" w:hAnsiTheme="majorBidi" w:cstheme="majorBidi"/>
                <w:color w:val="000000"/>
                <w:lang w:val="fr-FR"/>
              </w:rPr>
              <w:t>La formation</w:t>
            </w:r>
          </w:p>
        </w:tc>
        <w:tc>
          <w:tcPr>
            <w:tcW w:w="0" w:type="auto"/>
            <w:hideMark/>
          </w:tcPr>
          <w:p w:rsidR="00E772DD" w:rsidRPr="00AD5F90" w:rsidRDefault="00E772DD" w:rsidP="00EC661E">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Suivre des formations adaptées à son développement professionnel.</w:t>
            </w:r>
            <w:r w:rsidRPr="00AD5F90">
              <w:rPr>
                <w:rFonts w:asciiTheme="majorBidi" w:hAnsiTheme="majorBidi" w:cstheme="majorBidi"/>
                <w:color w:val="000000"/>
                <w:lang w:val="fr-FR"/>
              </w:rPr>
              <w:br/>
              <w:t>- Explorer diverses ressources pédagogiques pour acquérir de nouvelles compétences.</w:t>
            </w:r>
          </w:p>
        </w:tc>
      </w:tr>
      <w:tr w:rsidR="00E772DD" w:rsidRPr="00427D18" w:rsidTr="002F5C80">
        <w:tc>
          <w:tcPr>
            <w:tcW w:w="0" w:type="auto"/>
            <w:shd w:val="clear" w:color="auto" w:fill="D8DCD1"/>
            <w:vAlign w:val="center"/>
            <w:hideMark/>
          </w:tcPr>
          <w:p w:rsidR="00E772DD" w:rsidRPr="00AD5F90" w:rsidRDefault="00E772DD" w:rsidP="00586215">
            <w:pPr>
              <w:spacing w:line="360" w:lineRule="auto"/>
              <w:jc w:val="center"/>
              <w:rPr>
                <w:rFonts w:asciiTheme="majorBidi" w:hAnsiTheme="majorBidi" w:cstheme="majorBidi"/>
                <w:color w:val="000000"/>
                <w:lang w:val="fr-FR"/>
              </w:rPr>
            </w:pPr>
            <w:r w:rsidRPr="00AD5F90">
              <w:rPr>
                <w:rStyle w:val="lev"/>
                <w:rFonts w:asciiTheme="majorBidi" w:hAnsiTheme="majorBidi" w:cstheme="majorBidi"/>
                <w:color w:val="000000"/>
                <w:lang w:val="fr-FR"/>
              </w:rPr>
              <w:t>La créativité</w:t>
            </w:r>
          </w:p>
        </w:tc>
        <w:tc>
          <w:tcPr>
            <w:tcW w:w="0" w:type="auto"/>
            <w:hideMark/>
          </w:tcPr>
          <w:p w:rsidR="00E772DD" w:rsidRPr="00AD5F90" w:rsidRDefault="00E772DD" w:rsidP="00EC661E">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-S’impliquer dans des projets innovants.</w:t>
            </w:r>
            <w:r w:rsidRPr="00AD5F90">
              <w:rPr>
                <w:rFonts w:asciiTheme="majorBidi" w:hAnsiTheme="majorBidi" w:cstheme="majorBidi"/>
                <w:color w:val="000000"/>
                <w:lang w:val="fr-FR"/>
              </w:rPr>
              <w:br/>
              <w:t>-</w:t>
            </w:r>
            <w:r w:rsidR="00EC661E">
              <w:rPr>
                <w:rFonts w:asciiTheme="majorBidi" w:hAnsiTheme="majorBidi" w:cstheme="majorBidi"/>
                <w:color w:val="000000"/>
                <w:lang w:val="fr-FR"/>
              </w:rPr>
              <w:t xml:space="preserve"> </w:t>
            </w:r>
            <w:r w:rsidRPr="00AD5F90">
              <w:rPr>
                <w:rFonts w:asciiTheme="majorBidi" w:hAnsiTheme="majorBidi" w:cstheme="majorBidi"/>
                <w:color w:val="000000"/>
                <w:lang w:val="fr-FR"/>
              </w:rPr>
              <w:t>Accepter les défis et les prises de risque.</w:t>
            </w:r>
            <w:r w:rsidRPr="00AD5F90">
              <w:rPr>
                <w:rFonts w:asciiTheme="majorBidi" w:hAnsiTheme="majorBidi" w:cstheme="majorBidi"/>
                <w:color w:val="000000"/>
                <w:lang w:val="fr-FR"/>
              </w:rPr>
              <w:br/>
              <w:t>- Rechercher l'originalité et la reconnaissance professionnelle.</w:t>
            </w:r>
          </w:p>
        </w:tc>
      </w:tr>
      <w:tr w:rsidR="00E772DD" w:rsidRPr="00427D18" w:rsidTr="002F5C80">
        <w:tc>
          <w:tcPr>
            <w:tcW w:w="0" w:type="auto"/>
            <w:shd w:val="clear" w:color="auto" w:fill="D8DCD1"/>
            <w:vAlign w:val="center"/>
            <w:hideMark/>
          </w:tcPr>
          <w:p w:rsidR="00E772DD" w:rsidRPr="00AD5F90" w:rsidRDefault="00E772DD" w:rsidP="00D77B02">
            <w:pPr>
              <w:spacing w:line="360" w:lineRule="auto"/>
              <w:jc w:val="center"/>
              <w:rPr>
                <w:rFonts w:asciiTheme="majorBidi" w:hAnsiTheme="majorBidi" w:cstheme="majorBidi"/>
                <w:color w:val="000000"/>
                <w:lang w:val="fr-FR"/>
              </w:rPr>
            </w:pPr>
            <w:r w:rsidRPr="00AD5F90">
              <w:rPr>
                <w:rStyle w:val="lev"/>
                <w:rFonts w:asciiTheme="majorBidi" w:hAnsiTheme="majorBidi" w:cstheme="majorBidi"/>
                <w:color w:val="000000"/>
                <w:lang w:val="fr-FR"/>
              </w:rPr>
              <w:t>L’autonomie</w:t>
            </w:r>
          </w:p>
        </w:tc>
        <w:tc>
          <w:tcPr>
            <w:tcW w:w="0" w:type="auto"/>
            <w:hideMark/>
          </w:tcPr>
          <w:p w:rsidR="00E772DD" w:rsidRPr="00EC661E" w:rsidRDefault="00EC661E" w:rsidP="00EC661E">
            <w:pPr>
              <w:spacing w:line="360" w:lineRule="auto"/>
              <w:jc w:val="both"/>
              <w:rPr>
                <w:rFonts w:asciiTheme="majorBidi" w:hAnsiTheme="majorBidi" w:cstheme="majorBidi"/>
                <w:color w:val="000000"/>
                <w:lang w:val="fr-FR"/>
              </w:rPr>
            </w:pPr>
            <w:r w:rsidRPr="00EC661E">
              <w:rPr>
                <w:rFonts w:asciiTheme="majorBidi" w:hAnsiTheme="majorBidi" w:cstheme="majorBidi"/>
                <w:color w:val="000000"/>
                <w:lang w:val="fr-FR"/>
              </w:rPr>
              <w:t>-</w:t>
            </w:r>
            <w:r>
              <w:rPr>
                <w:rFonts w:asciiTheme="majorBidi" w:hAnsiTheme="majorBidi" w:cstheme="majorBidi"/>
                <w:color w:val="000000"/>
                <w:lang w:val="fr-FR"/>
              </w:rPr>
              <w:t xml:space="preserve"> </w:t>
            </w:r>
            <w:r w:rsidR="00E772DD" w:rsidRPr="00EC661E">
              <w:rPr>
                <w:rFonts w:asciiTheme="majorBidi" w:hAnsiTheme="majorBidi" w:cstheme="majorBidi"/>
                <w:color w:val="000000"/>
                <w:lang w:val="fr-FR"/>
              </w:rPr>
              <w:t>Privilégier des postes offrant une plus grande liberté organisationnelle.</w:t>
            </w:r>
            <w:r w:rsidR="00E772DD" w:rsidRPr="00EC661E">
              <w:rPr>
                <w:rFonts w:asciiTheme="majorBidi" w:hAnsiTheme="majorBidi" w:cstheme="majorBidi"/>
                <w:color w:val="000000"/>
                <w:lang w:val="fr-FR"/>
              </w:rPr>
              <w:br/>
              <w:t>- Opter pour des horaires de travail flexibles permettant une meilleure indépendance.</w:t>
            </w:r>
          </w:p>
        </w:tc>
      </w:tr>
      <w:tr w:rsidR="00E772DD" w:rsidRPr="00427D18" w:rsidTr="002F5C80">
        <w:tc>
          <w:tcPr>
            <w:tcW w:w="0" w:type="auto"/>
            <w:shd w:val="clear" w:color="auto" w:fill="D8DCD1"/>
            <w:vAlign w:val="center"/>
            <w:hideMark/>
          </w:tcPr>
          <w:p w:rsidR="00E772DD" w:rsidRPr="00AD5F90" w:rsidRDefault="00E772DD" w:rsidP="00586215">
            <w:pPr>
              <w:spacing w:line="360" w:lineRule="auto"/>
              <w:jc w:val="center"/>
              <w:rPr>
                <w:rFonts w:asciiTheme="majorBidi" w:hAnsiTheme="majorBidi" w:cstheme="majorBidi"/>
                <w:color w:val="000000"/>
                <w:lang w:val="fr-FR"/>
              </w:rPr>
            </w:pPr>
            <w:r w:rsidRPr="00AD5F90">
              <w:rPr>
                <w:rStyle w:val="lev"/>
                <w:rFonts w:asciiTheme="majorBidi" w:hAnsiTheme="majorBidi" w:cstheme="majorBidi"/>
                <w:color w:val="000000"/>
                <w:lang w:val="fr-FR"/>
              </w:rPr>
              <w:t>La gestion du temps</w:t>
            </w:r>
          </w:p>
        </w:tc>
        <w:tc>
          <w:tcPr>
            <w:tcW w:w="0" w:type="auto"/>
            <w:hideMark/>
          </w:tcPr>
          <w:p w:rsidR="00E772DD" w:rsidRPr="00AD5F90" w:rsidRDefault="00E772DD" w:rsidP="00106567">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Améliorer ses compétences en gestion du temps et établir des priorités.</w:t>
            </w:r>
            <w:r w:rsidRPr="00AD5F90">
              <w:rPr>
                <w:rFonts w:asciiTheme="majorBidi" w:hAnsiTheme="majorBidi" w:cstheme="majorBidi"/>
                <w:color w:val="000000"/>
                <w:lang w:val="fr-FR"/>
              </w:rPr>
              <w:br/>
              <w:t>- Adopter une approche structurée et disciplinée dans son activité professionnelle.</w:t>
            </w:r>
          </w:p>
        </w:tc>
      </w:tr>
    </w:tbl>
    <w:p w:rsidR="00E772DD" w:rsidRPr="008B3C84" w:rsidRDefault="00E772DD" w:rsidP="00966535">
      <w:pPr>
        <w:pStyle w:val="NormalWeb"/>
        <w:spacing w:line="360" w:lineRule="auto"/>
        <w:jc w:val="center"/>
        <w:rPr>
          <w:rFonts w:asciiTheme="majorBidi" w:hAnsiTheme="majorBidi" w:cstheme="majorBidi"/>
          <w:color w:val="000000"/>
          <w:lang w:val="fr-FR"/>
        </w:rPr>
      </w:pPr>
      <w:r w:rsidRPr="00851420">
        <w:rPr>
          <w:rStyle w:val="lev"/>
          <w:rFonts w:asciiTheme="majorBidi" w:hAnsiTheme="majorBidi" w:cstheme="majorBidi"/>
          <w:color w:val="000000"/>
          <w:lang w:val="fr-FR"/>
        </w:rPr>
        <w:t>Source</w:t>
      </w:r>
      <w:r w:rsidRPr="00851420">
        <w:rPr>
          <w:rStyle w:val="apple-converted-space"/>
          <w:rFonts w:asciiTheme="majorBidi" w:hAnsiTheme="majorBidi" w:cstheme="majorBidi"/>
          <w:color w:val="000000"/>
          <w:lang w:val="fr-FR"/>
        </w:rPr>
        <w:t> </w:t>
      </w:r>
      <w:r w:rsidRPr="008B3C84">
        <w:rPr>
          <w:rFonts w:asciiTheme="majorBidi" w:hAnsiTheme="majorBidi" w:cstheme="majorBidi"/>
          <w:b/>
          <w:bCs/>
          <w:color w:val="000000"/>
          <w:lang w:val="fr-FR"/>
        </w:rPr>
        <w:t>:</w:t>
      </w:r>
      <w:r w:rsidRPr="008B3C84">
        <w:rPr>
          <w:rFonts w:asciiTheme="majorBidi" w:hAnsiTheme="majorBidi" w:cstheme="majorBidi"/>
          <w:color w:val="000000"/>
          <w:lang w:val="fr-FR"/>
        </w:rPr>
        <w:t xml:space="preserve"> </w:t>
      </w:r>
      <w:r w:rsidR="00966535" w:rsidRPr="005F596E">
        <w:rPr>
          <w:rFonts w:asciiTheme="majorBidi" w:hAnsiTheme="majorBidi" w:cstheme="majorBidi"/>
          <w:color w:val="000000"/>
        </w:rPr>
        <w:t>Benbouza, S. &amp; Ouchen, R. (2023).</w:t>
      </w:r>
      <w:r w:rsidR="00966535" w:rsidRPr="00966535">
        <w:rPr>
          <w:rFonts w:asciiTheme="majorBidi" w:hAnsiTheme="majorBidi" w:cstheme="majorBidi"/>
          <w:color w:val="000000"/>
        </w:rPr>
        <w:t> L’impact du système d’information des ressources humaines (SIRH) sur la performance de la fonction RH – Cas de l’entreprise portuaire DJEN DJEN – Jijel. </w:t>
      </w:r>
      <w:r w:rsidR="00966535" w:rsidRPr="00966535">
        <w:rPr>
          <w:rFonts w:asciiTheme="majorBidi" w:hAnsiTheme="majorBidi" w:cstheme="majorBidi"/>
          <w:i/>
          <w:iCs/>
          <w:color w:val="000000"/>
        </w:rPr>
        <w:t>Revue Tabnah des études scientifiques académiques</w:t>
      </w:r>
      <w:r w:rsidR="00966535" w:rsidRPr="00966535">
        <w:rPr>
          <w:rFonts w:asciiTheme="majorBidi" w:hAnsiTheme="majorBidi" w:cstheme="majorBidi"/>
          <w:color w:val="000000"/>
        </w:rPr>
        <w:t>, 6(2), 1746–1766</w:t>
      </w:r>
      <w:r w:rsidRPr="008B3C84">
        <w:rPr>
          <w:rFonts w:asciiTheme="majorBidi" w:hAnsiTheme="majorBidi" w:cstheme="majorBidi"/>
          <w:color w:val="000000"/>
          <w:lang w:val="fr-FR"/>
        </w:rPr>
        <w:t>.</w:t>
      </w:r>
    </w:p>
    <w:p w:rsidR="00E772DD" w:rsidRDefault="00E772DD" w:rsidP="004D32AC">
      <w:pPr>
        <w:pStyle w:val="Titre4"/>
        <w:numPr>
          <w:ilvl w:val="0"/>
          <w:numId w:val="54"/>
        </w:numPr>
        <w:tabs>
          <w:tab w:val="num" w:pos="360"/>
        </w:tabs>
        <w:spacing w:line="360" w:lineRule="auto"/>
        <w:ind w:left="360"/>
        <w:jc w:val="both"/>
        <w:rPr>
          <w:rFonts w:asciiTheme="majorBidi" w:hAnsiTheme="majorBidi"/>
          <w:b/>
          <w:bCs/>
          <w:i w:val="0"/>
          <w:iCs w:val="0"/>
          <w:color w:val="000000"/>
          <w:lang w:val="fr-FR"/>
        </w:rPr>
      </w:pPr>
      <w:r w:rsidRPr="00AD5F90">
        <w:rPr>
          <w:rFonts w:asciiTheme="majorBidi" w:hAnsiTheme="majorBidi"/>
          <w:b/>
          <w:bCs/>
          <w:i w:val="0"/>
          <w:iCs w:val="0"/>
          <w:color w:val="000000"/>
          <w:lang w:val="fr-FR"/>
        </w:rPr>
        <w:t>Les outils organisationnels</w:t>
      </w:r>
    </w:p>
    <w:p w:rsidR="00E772DD" w:rsidRPr="00153DAD" w:rsidRDefault="00E772DD" w:rsidP="00153DAD">
      <w:pPr>
        <w:spacing w:line="360" w:lineRule="auto"/>
        <w:jc w:val="both"/>
        <w:rPr>
          <w:lang w:val="fr-FR"/>
        </w:rPr>
      </w:pPr>
      <w:r w:rsidRPr="00153DAD">
        <w:rPr>
          <w:lang w:val="fr-FR"/>
        </w:rPr>
        <w:t>Parmi les leviers mobilisés pour optimiser la gestion des ressources humaines, les outils organisationnels occupent une place essentielle. Ils permettent de structurer les processus, de clarifier les rôles et de favoriser l’efficacité collective.</w:t>
      </w:r>
    </w:p>
    <w:p w:rsidR="00E772DD" w:rsidRPr="00AD5F90" w:rsidRDefault="00E772DD" w:rsidP="004D32AC">
      <w:pPr>
        <w:pStyle w:val="Titre5"/>
        <w:numPr>
          <w:ilvl w:val="0"/>
          <w:numId w:val="55"/>
        </w:numPr>
        <w:spacing w:line="360" w:lineRule="auto"/>
        <w:jc w:val="both"/>
        <w:rPr>
          <w:rFonts w:asciiTheme="majorBidi" w:hAnsiTheme="majorBidi"/>
          <w:b/>
          <w:bCs/>
          <w:color w:val="000000"/>
          <w:lang w:val="fr-FR"/>
        </w:rPr>
      </w:pPr>
      <w:r w:rsidRPr="00AD5F90">
        <w:rPr>
          <w:rFonts w:asciiTheme="majorBidi" w:hAnsiTheme="majorBidi"/>
          <w:b/>
          <w:bCs/>
          <w:color w:val="000000"/>
          <w:lang w:val="fr-FR"/>
        </w:rPr>
        <w:t>La mobilité :</w:t>
      </w:r>
    </w:p>
    <w:p w:rsidR="00E772DD" w:rsidRPr="00AD5F90" w:rsidRDefault="00E772DD" w:rsidP="008C0AFC">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mobilité représente un changement de poste ou d’environnement professionnel, constituant un levier essentiel dans la gestion des carrières.  Elle peut se manifester sous différentes formes:</w:t>
      </w:r>
    </w:p>
    <w:p w:rsidR="00E772DD" w:rsidRPr="00AD5F90" w:rsidRDefault="00E772DD" w:rsidP="004D32AC">
      <w:pPr>
        <w:numPr>
          <w:ilvl w:val="0"/>
          <w:numId w:val="52"/>
        </w:numPr>
        <w:spacing w:before="100" w:beforeAutospacing="1"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Mobilité verticale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elle se traduit par une évolution hiérarchique pouvant être ascendante (promotion à un poste supérieur) ou descendante (rétrogradation).</w:t>
      </w:r>
    </w:p>
    <w:p w:rsidR="00E772DD" w:rsidRPr="00AD5F90" w:rsidRDefault="00E772DD" w:rsidP="004D32AC">
      <w:pPr>
        <w:numPr>
          <w:ilvl w:val="0"/>
          <w:numId w:val="52"/>
        </w:numPr>
        <w:spacing w:before="100" w:beforeAutospacing="1"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Mobilité horizontale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 type de mobilité encourage les employés à explorer d'autres fonctions, métiers ou niveaux hiérarchiques au sein de l'organisation.</w:t>
      </w:r>
    </w:p>
    <w:p w:rsidR="00E772DD" w:rsidRPr="00AD5F90" w:rsidRDefault="00E772DD" w:rsidP="004D32AC">
      <w:pPr>
        <w:numPr>
          <w:ilvl w:val="0"/>
          <w:numId w:val="52"/>
        </w:numPr>
        <w:spacing w:before="100" w:beforeAutospacing="1"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lastRenderedPageBreak/>
        <w:t>Mobilité géographique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elle concerne le déplacement d’un salarié vers un autre site ou une autre région tout en conservant les mêmes responsabilités professionnelles</w:t>
      </w:r>
      <w:r w:rsidRPr="00AD5F90">
        <w:rPr>
          <w:rStyle w:val="Appelnotedebasdep"/>
          <w:color w:val="000000"/>
          <w:lang w:val="fr-FR"/>
        </w:rPr>
        <w:footnoteReference w:id="101"/>
      </w:r>
      <w:r w:rsidRPr="00AD5F90">
        <w:rPr>
          <w:rFonts w:asciiTheme="majorBidi" w:hAnsiTheme="majorBidi" w:cstheme="majorBidi"/>
          <w:color w:val="000000"/>
          <w:lang w:val="fr-FR"/>
        </w:rPr>
        <w:t>.</w:t>
      </w:r>
    </w:p>
    <w:p w:rsidR="00E772DD" w:rsidRPr="00C36F78" w:rsidRDefault="00E772DD" w:rsidP="004D32AC">
      <w:pPr>
        <w:pStyle w:val="Titre3"/>
        <w:numPr>
          <w:ilvl w:val="2"/>
          <w:numId w:val="183"/>
        </w:numPr>
        <w:spacing w:after="0" w:afterAutospacing="0" w:line="360" w:lineRule="auto"/>
        <w:rPr>
          <w:sz w:val="24"/>
          <w:szCs w:val="24"/>
          <w:lang w:val="fr-FR"/>
        </w:rPr>
      </w:pPr>
      <w:bookmarkStart w:id="482" w:name="_Toc199714288"/>
      <w:bookmarkStart w:id="483" w:name="_Toc200486566"/>
      <w:bookmarkStart w:id="484" w:name="_Toc200635342"/>
      <w:bookmarkStart w:id="485" w:name="_Toc200635730"/>
      <w:bookmarkStart w:id="486" w:name="_Toc200636119"/>
      <w:bookmarkStart w:id="487" w:name="_Toc200755856"/>
      <w:r w:rsidRPr="00C36F78">
        <w:rPr>
          <w:sz w:val="24"/>
          <w:szCs w:val="24"/>
          <w:lang w:val="fr-FR"/>
        </w:rPr>
        <w:t>Les étapes de la gestion des carrières</w:t>
      </w:r>
      <w:bookmarkEnd w:id="482"/>
      <w:bookmarkEnd w:id="483"/>
      <w:bookmarkEnd w:id="484"/>
      <w:bookmarkEnd w:id="485"/>
      <w:bookmarkEnd w:id="486"/>
      <w:bookmarkEnd w:id="487"/>
      <w:r w:rsidRPr="00C36F78">
        <w:rPr>
          <w:sz w:val="24"/>
          <w:szCs w:val="24"/>
          <w:lang w:val="fr-FR"/>
        </w:rPr>
        <w:t xml:space="preserve">  </w:t>
      </w:r>
    </w:p>
    <w:p w:rsidR="00E772DD" w:rsidRDefault="00E772DD" w:rsidP="00C36F78">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 carrière repose sur trois étapes fondamentales :</w:t>
      </w:r>
      <w:r w:rsidRPr="00992ABF">
        <w:rPr>
          <w:lang w:val="fr-FR"/>
        </w:rPr>
        <w:t xml:space="preserve"> </w:t>
      </w:r>
      <w:r>
        <w:rPr>
          <w:rFonts w:asciiTheme="majorBidi" w:hAnsiTheme="majorBidi" w:cstheme="majorBidi"/>
          <w:color w:val="000000"/>
          <w:lang w:val="fr-FR"/>
        </w:rPr>
        <w:t>é</w:t>
      </w:r>
      <w:r w:rsidRPr="00992ABF">
        <w:rPr>
          <w:rFonts w:asciiTheme="majorBidi" w:hAnsiTheme="majorBidi" w:cstheme="majorBidi"/>
          <w:color w:val="000000"/>
          <w:lang w:val="fr-FR"/>
        </w:rPr>
        <w:t>laboration du référentiel de compétences</w:t>
      </w:r>
      <w:r>
        <w:rPr>
          <w:rFonts w:asciiTheme="majorBidi" w:hAnsiTheme="majorBidi" w:cstheme="majorBidi"/>
          <w:color w:val="000000"/>
          <w:lang w:val="fr-FR"/>
        </w:rPr>
        <w:t>, é</w:t>
      </w:r>
      <w:r w:rsidRPr="00992ABF">
        <w:rPr>
          <w:rFonts w:asciiTheme="majorBidi" w:hAnsiTheme="majorBidi" w:cstheme="majorBidi"/>
          <w:color w:val="000000"/>
          <w:lang w:val="fr-FR"/>
        </w:rPr>
        <w:t>valuation des compétences internes</w:t>
      </w:r>
      <w:r>
        <w:rPr>
          <w:rFonts w:asciiTheme="majorBidi" w:hAnsiTheme="majorBidi" w:cstheme="majorBidi"/>
          <w:color w:val="000000"/>
          <w:lang w:val="fr-FR"/>
        </w:rPr>
        <w:t>, r</w:t>
      </w:r>
      <w:r w:rsidRPr="00992ABF">
        <w:rPr>
          <w:rFonts w:asciiTheme="majorBidi" w:hAnsiTheme="majorBidi" w:cstheme="majorBidi"/>
          <w:color w:val="000000"/>
          <w:lang w:val="fr-FR"/>
        </w:rPr>
        <w:t>enforcement des compétences</w:t>
      </w:r>
      <w:r>
        <w:rPr>
          <w:rFonts w:asciiTheme="majorBidi" w:hAnsiTheme="majorBidi" w:cstheme="majorBidi"/>
          <w:color w:val="000000"/>
          <w:lang w:val="fr-FR"/>
        </w:rPr>
        <w:t>.</w:t>
      </w:r>
      <w:r w:rsidRPr="00992ABF">
        <w:rPr>
          <w:lang w:val="fr-FR"/>
        </w:rPr>
        <w:t xml:space="preserve"> </w:t>
      </w:r>
      <w:r w:rsidRPr="00992ABF">
        <w:rPr>
          <w:rFonts w:asciiTheme="majorBidi" w:hAnsiTheme="majorBidi" w:cstheme="majorBidi"/>
          <w:color w:val="000000"/>
          <w:lang w:val="fr-FR"/>
        </w:rPr>
        <w:t>Ces étapes permettent de garantir une gestion fluide et efficace des parcours professionnels au sein de l'entreprise.</w:t>
      </w:r>
    </w:p>
    <w:p w:rsidR="00E772DD" w:rsidRDefault="00E772DD" w:rsidP="00153DAD">
      <w:pPr>
        <w:pStyle w:val="NormalWeb"/>
        <w:spacing w:before="0" w:beforeAutospacing="0" w:line="360" w:lineRule="auto"/>
        <w:jc w:val="center"/>
        <w:rPr>
          <w:rFonts w:asciiTheme="majorBidi" w:hAnsiTheme="majorBidi" w:cstheme="majorBidi"/>
          <w:color w:val="000000"/>
          <w:lang w:val="fr-FR"/>
        </w:rPr>
      </w:pPr>
      <w:r w:rsidRPr="00153DAD">
        <w:rPr>
          <w:rFonts w:asciiTheme="majorBidi" w:hAnsiTheme="majorBidi" w:cstheme="majorBidi"/>
          <w:b/>
          <w:bCs/>
          <w:color w:val="000000"/>
          <w:lang w:val="fr-FR"/>
        </w:rPr>
        <w:t>Figure N°05 :</w:t>
      </w:r>
      <w:r>
        <w:rPr>
          <w:rFonts w:asciiTheme="majorBidi" w:hAnsiTheme="majorBidi" w:cstheme="majorBidi"/>
          <w:color w:val="000000"/>
          <w:lang w:val="fr-FR"/>
        </w:rPr>
        <w:t xml:space="preserve"> </w:t>
      </w:r>
      <w:r w:rsidRPr="000B09C7">
        <w:rPr>
          <w:rFonts w:asciiTheme="majorBidi" w:hAnsiTheme="majorBidi" w:cstheme="majorBidi"/>
          <w:color w:val="000000"/>
          <w:lang w:val="fr-FR"/>
        </w:rPr>
        <w:t>Le processus de gestion des carrières en trois étapes</w:t>
      </w:r>
    </w:p>
    <w:p w:rsidR="00E772DD" w:rsidRDefault="00E772DD" w:rsidP="000B09C7">
      <w:pPr>
        <w:pStyle w:val="NormalWeb"/>
        <w:spacing w:before="0" w:beforeAutospacing="0" w:line="360" w:lineRule="auto"/>
        <w:jc w:val="both"/>
        <w:rPr>
          <w:rFonts w:asciiTheme="majorBidi" w:hAnsiTheme="majorBidi" w:cstheme="majorBidi"/>
          <w:color w:val="000000"/>
          <w:lang w:val="fr-FR"/>
        </w:rPr>
      </w:pPr>
      <w:r>
        <w:rPr>
          <w:rFonts w:asciiTheme="majorBidi" w:hAnsiTheme="majorBidi" w:cstheme="majorBidi"/>
          <w:noProof/>
          <w:color w:val="000000"/>
          <w:lang w:val="fr-FR"/>
          <w14:ligatures w14:val="standardContextual"/>
        </w:rPr>
        <w:drawing>
          <wp:inline distT="0" distB="0" distL="0" distR="0">
            <wp:extent cx="5854065" cy="2269706"/>
            <wp:effectExtent l="0" t="38100" r="0" b="0"/>
            <wp:docPr id="10358311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E772DD" w:rsidRPr="000B09C7" w:rsidRDefault="00E772DD" w:rsidP="00153DAD">
      <w:pPr>
        <w:pStyle w:val="NormalWeb"/>
        <w:spacing w:before="0" w:beforeAutospacing="0" w:line="360" w:lineRule="auto"/>
        <w:jc w:val="center"/>
        <w:rPr>
          <w:rFonts w:asciiTheme="majorBidi" w:hAnsiTheme="majorBidi" w:cstheme="majorBidi"/>
          <w:color w:val="000000"/>
          <w:lang w:val="fr-FR"/>
        </w:rPr>
      </w:pPr>
      <w:r w:rsidRPr="00A16730">
        <w:rPr>
          <w:rFonts w:asciiTheme="majorBidi" w:hAnsiTheme="majorBidi" w:cstheme="majorBidi"/>
          <w:b/>
          <w:bCs/>
          <w:color w:val="000000"/>
          <w:lang w:val="fr-FR"/>
        </w:rPr>
        <w:t>Source :</w:t>
      </w:r>
      <w:r>
        <w:rPr>
          <w:rFonts w:asciiTheme="majorBidi" w:hAnsiTheme="majorBidi" w:cstheme="majorBidi"/>
          <w:color w:val="000000"/>
          <w:lang w:val="fr-FR"/>
        </w:rPr>
        <w:t xml:space="preserve"> </w:t>
      </w:r>
      <w:proofErr w:type="spellStart"/>
      <w:r w:rsidRPr="000B09C7">
        <w:rPr>
          <w:rFonts w:asciiTheme="majorBidi" w:hAnsiTheme="majorBidi" w:cstheme="majorBidi"/>
          <w:color w:val="000000"/>
          <w:lang w:val="fr-FR"/>
        </w:rPr>
        <w:t>Appvizer</w:t>
      </w:r>
      <w:proofErr w:type="spellEnd"/>
      <w:r w:rsidRPr="000B09C7">
        <w:rPr>
          <w:rFonts w:asciiTheme="majorBidi" w:hAnsiTheme="majorBidi" w:cstheme="majorBidi"/>
          <w:color w:val="000000"/>
          <w:lang w:val="fr-FR"/>
        </w:rPr>
        <w:t xml:space="preserve">. (2025). La gestion des carrières en entreprise : GPEC, référentiels de compétences et plans de formation. </w:t>
      </w:r>
      <w:proofErr w:type="spellStart"/>
      <w:r w:rsidRPr="000B09C7">
        <w:rPr>
          <w:rFonts w:asciiTheme="majorBidi" w:hAnsiTheme="majorBidi" w:cstheme="majorBidi"/>
          <w:color w:val="000000"/>
          <w:lang w:val="fr-FR"/>
        </w:rPr>
        <w:t>Appvizer</w:t>
      </w:r>
      <w:proofErr w:type="spellEnd"/>
      <w:r w:rsidRPr="000B09C7">
        <w:rPr>
          <w:rFonts w:asciiTheme="majorBidi" w:hAnsiTheme="majorBidi" w:cstheme="majorBidi"/>
          <w:color w:val="000000"/>
          <w:lang w:val="fr-FR"/>
        </w:rPr>
        <w:t>. Récupéré de https://www.appvizer.fr/magazine/ressources-humaines/systeme-dinformation-rh-sirh/gestion-des-carrieres</w:t>
      </w:r>
    </w:p>
    <w:p w:rsidR="00E772DD" w:rsidRPr="00AD5F90" w:rsidRDefault="00E772DD" w:rsidP="00AA15A0">
      <w:pPr>
        <w:pStyle w:val="Titre4"/>
        <w:spacing w:line="360" w:lineRule="auto"/>
        <w:jc w:val="both"/>
        <w:rPr>
          <w:rFonts w:asciiTheme="majorBidi" w:hAnsiTheme="majorBidi"/>
          <w:color w:val="000000"/>
          <w:lang w:val="fr-FR"/>
        </w:rPr>
      </w:pPr>
      <w:r w:rsidRPr="00AD5F90">
        <w:rPr>
          <w:rFonts w:asciiTheme="majorBidi" w:hAnsiTheme="majorBidi"/>
          <w:b/>
          <w:bCs/>
          <w:i w:val="0"/>
          <w:iCs w:val="0"/>
          <w:color w:val="000000"/>
          <w:lang w:val="fr-FR"/>
        </w:rPr>
        <w:t>Étape 1</w:t>
      </w:r>
      <w:r w:rsidRPr="00AD5F90">
        <w:rPr>
          <w:rFonts w:asciiTheme="majorBidi" w:hAnsiTheme="majorBidi"/>
          <w:i w:val="0"/>
          <w:iCs w:val="0"/>
          <w:color w:val="000000"/>
          <w:lang w:val="fr-FR"/>
        </w:rPr>
        <w:t xml:space="preserve"> : Élaboration du référentiel de compétences</w:t>
      </w:r>
    </w:p>
    <w:p w:rsidR="00E772DD" w:rsidRPr="00AD5F90" w:rsidRDefault="00E772DD" w:rsidP="008C0AFC">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première étape consiste à analyser les besoins de l’entreprise en définissant les emplois stratégiques nécessaires à son bon fonctionnement et à son développement. Il s'agit d'identifier les compétences requises, qu'elles soient techniques, comportementales ou liées à la gestion.</w:t>
      </w:r>
    </w:p>
    <w:p w:rsidR="00E772DD" w:rsidRPr="00AD5F90" w:rsidRDefault="00E772DD" w:rsidP="00AA15A0">
      <w:pPr>
        <w:pStyle w:val="Titre4"/>
        <w:spacing w:line="360" w:lineRule="auto"/>
        <w:jc w:val="both"/>
        <w:rPr>
          <w:rFonts w:asciiTheme="majorBidi" w:hAnsiTheme="majorBidi"/>
          <w:i w:val="0"/>
          <w:iCs w:val="0"/>
          <w:color w:val="000000"/>
          <w:lang w:val="fr-FR"/>
        </w:rPr>
      </w:pPr>
      <w:r w:rsidRPr="00AD5F90">
        <w:rPr>
          <w:rFonts w:asciiTheme="majorBidi" w:hAnsiTheme="majorBidi"/>
          <w:b/>
          <w:bCs/>
          <w:i w:val="0"/>
          <w:iCs w:val="0"/>
          <w:color w:val="000000"/>
          <w:lang w:val="fr-FR"/>
        </w:rPr>
        <w:t>Étape 2</w:t>
      </w:r>
      <w:r w:rsidRPr="00AD5F90">
        <w:rPr>
          <w:rFonts w:asciiTheme="majorBidi" w:hAnsiTheme="majorBidi"/>
          <w:i w:val="0"/>
          <w:iCs w:val="0"/>
          <w:color w:val="000000"/>
          <w:lang w:val="fr-FR"/>
        </w:rPr>
        <w:t xml:space="preserve"> : Évaluation des compétences internes</w:t>
      </w:r>
    </w:p>
    <w:p w:rsidR="00E772DD" w:rsidRPr="00AD5F90" w:rsidRDefault="00E772DD" w:rsidP="008C0AFC">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Ce processus s’effectue tout au long de l’année, de manière individualisée, à travers des entretiens professionnels et des évaluations régulières. L’objectif est de mesurer les </w:t>
      </w:r>
      <w:r w:rsidRPr="00AD5F90">
        <w:rPr>
          <w:rFonts w:asciiTheme="majorBidi" w:hAnsiTheme="majorBidi" w:cstheme="majorBidi"/>
          <w:color w:val="000000"/>
          <w:lang w:val="fr-FR"/>
        </w:rPr>
        <w:lastRenderedPageBreak/>
        <w:t>compétences des employés, de repérer les besoins en formation et d’explorer les opportunités de mobilité. On distingue :</w:t>
      </w:r>
    </w:p>
    <w:p w:rsidR="00E772DD" w:rsidRPr="00AD5F90" w:rsidRDefault="00E772DD" w:rsidP="004D32AC">
      <w:pPr>
        <w:pStyle w:val="Paragraphedeliste"/>
        <w:numPr>
          <w:ilvl w:val="0"/>
          <w:numId w:val="59"/>
        </w:numPr>
        <w:spacing w:before="100" w:beforeAutospacing="1" w:after="100" w:afterAutospacing="1" w:line="360" w:lineRule="auto"/>
        <w:jc w:val="both"/>
        <w:outlineLvl w:val="2"/>
        <w:rPr>
          <w:rFonts w:asciiTheme="majorBidi" w:hAnsiTheme="majorBidi" w:cstheme="majorBidi"/>
          <w:b/>
          <w:bCs/>
          <w:color w:val="000000"/>
          <w:lang w:val="fr-FR"/>
        </w:rPr>
      </w:pPr>
      <w:bookmarkStart w:id="488" w:name="_Toc199685114"/>
      <w:bookmarkStart w:id="489" w:name="_Toc199685863"/>
      <w:bookmarkStart w:id="490" w:name="_Toc199712786"/>
      <w:bookmarkStart w:id="491" w:name="_Toc199713908"/>
      <w:bookmarkStart w:id="492" w:name="_Toc199714289"/>
      <w:bookmarkStart w:id="493" w:name="_Toc200486567"/>
      <w:bookmarkStart w:id="494" w:name="_Toc200635343"/>
      <w:bookmarkStart w:id="495" w:name="_Toc200635731"/>
      <w:bookmarkStart w:id="496" w:name="_Toc200636120"/>
      <w:bookmarkStart w:id="497" w:name="_Toc200754631"/>
      <w:bookmarkStart w:id="498" w:name="_Toc200755020"/>
      <w:bookmarkStart w:id="499" w:name="_Toc200755857"/>
      <w:r w:rsidRPr="00AD5F90">
        <w:rPr>
          <w:rFonts w:asciiTheme="majorBidi" w:hAnsiTheme="majorBidi" w:cstheme="majorBidi"/>
          <w:b/>
          <w:bCs/>
          <w:color w:val="000000"/>
          <w:lang w:val="fr-FR"/>
        </w:rPr>
        <w:t xml:space="preserve">L’entretien annuel d’évaluation : </w:t>
      </w:r>
      <w:r w:rsidRPr="00AD5F90">
        <w:rPr>
          <w:rFonts w:asciiTheme="majorBidi" w:hAnsiTheme="majorBidi" w:cstheme="majorBidi"/>
          <w:color w:val="000000"/>
          <w:lang w:val="fr-FR"/>
        </w:rPr>
        <w:t>C'est une rencontre formelle entre l’employé et son supérieur hiérarchique pour discuter des performances sur une période donnée (généralement un an).</w:t>
      </w:r>
      <w:bookmarkEnd w:id="488"/>
      <w:bookmarkEnd w:id="489"/>
      <w:bookmarkEnd w:id="490"/>
      <w:bookmarkEnd w:id="491"/>
      <w:bookmarkEnd w:id="492"/>
      <w:bookmarkEnd w:id="493"/>
      <w:bookmarkEnd w:id="494"/>
      <w:bookmarkEnd w:id="495"/>
      <w:bookmarkEnd w:id="496"/>
      <w:bookmarkEnd w:id="497"/>
      <w:bookmarkEnd w:id="498"/>
      <w:bookmarkEnd w:id="499"/>
    </w:p>
    <w:p w:rsidR="00E772DD" w:rsidRPr="00AD5F90" w:rsidRDefault="00E772DD" w:rsidP="004D32AC">
      <w:pPr>
        <w:pStyle w:val="Paragraphedeliste"/>
        <w:numPr>
          <w:ilvl w:val="0"/>
          <w:numId w:val="59"/>
        </w:numPr>
        <w:spacing w:before="100" w:beforeAutospacing="1" w:after="100" w:afterAutospacing="1" w:line="360" w:lineRule="auto"/>
        <w:jc w:val="both"/>
        <w:outlineLvl w:val="2"/>
        <w:rPr>
          <w:rFonts w:asciiTheme="majorBidi" w:hAnsiTheme="majorBidi" w:cstheme="majorBidi"/>
          <w:b/>
          <w:bCs/>
          <w:color w:val="000000"/>
          <w:lang w:val="fr-FR"/>
        </w:rPr>
      </w:pPr>
      <w:bookmarkStart w:id="500" w:name="_Toc199685115"/>
      <w:bookmarkStart w:id="501" w:name="_Toc199685864"/>
      <w:bookmarkStart w:id="502" w:name="_Toc199712787"/>
      <w:bookmarkStart w:id="503" w:name="_Toc199713909"/>
      <w:bookmarkStart w:id="504" w:name="_Toc199714290"/>
      <w:bookmarkStart w:id="505" w:name="_Toc200486568"/>
      <w:bookmarkStart w:id="506" w:name="_Toc200635344"/>
      <w:bookmarkStart w:id="507" w:name="_Toc200635732"/>
      <w:bookmarkStart w:id="508" w:name="_Toc200636121"/>
      <w:bookmarkStart w:id="509" w:name="_Toc200754632"/>
      <w:bookmarkStart w:id="510" w:name="_Toc200755021"/>
      <w:bookmarkStart w:id="511" w:name="_Toc200755858"/>
      <w:r w:rsidRPr="00AD5F90">
        <w:rPr>
          <w:rFonts w:asciiTheme="majorBidi" w:hAnsiTheme="majorBidi" w:cstheme="majorBidi"/>
          <w:b/>
          <w:bCs/>
          <w:color w:val="000000"/>
          <w:lang w:val="fr-FR"/>
        </w:rPr>
        <w:t xml:space="preserve">L’évaluation à 360 degrés : </w:t>
      </w:r>
      <w:r w:rsidRPr="00AD5F90">
        <w:rPr>
          <w:rFonts w:asciiTheme="majorBidi" w:hAnsiTheme="majorBidi" w:cstheme="majorBidi"/>
          <w:color w:val="000000"/>
          <w:lang w:val="fr-FR"/>
        </w:rPr>
        <w:t>Cette méthode repose sur la collecte de feedbacks provenant de plusieurs sources : supérieurs, collègues, subordonnés, clients, et auto-évaluation.</w:t>
      </w:r>
      <w:bookmarkEnd w:id="500"/>
      <w:bookmarkEnd w:id="501"/>
      <w:bookmarkEnd w:id="502"/>
      <w:bookmarkEnd w:id="503"/>
      <w:bookmarkEnd w:id="504"/>
      <w:bookmarkEnd w:id="505"/>
      <w:bookmarkEnd w:id="506"/>
      <w:bookmarkEnd w:id="507"/>
      <w:bookmarkEnd w:id="508"/>
      <w:bookmarkEnd w:id="509"/>
      <w:bookmarkEnd w:id="510"/>
      <w:bookmarkEnd w:id="511"/>
    </w:p>
    <w:p w:rsidR="00E772DD" w:rsidRPr="00AD5F90" w:rsidRDefault="00E772DD" w:rsidP="004D32AC">
      <w:pPr>
        <w:pStyle w:val="Paragraphedeliste"/>
        <w:numPr>
          <w:ilvl w:val="0"/>
          <w:numId w:val="59"/>
        </w:numPr>
        <w:spacing w:before="100" w:beforeAutospacing="1" w:after="100" w:afterAutospacing="1" w:line="360" w:lineRule="auto"/>
        <w:jc w:val="both"/>
        <w:outlineLvl w:val="2"/>
        <w:rPr>
          <w:rFonts w:asciiTheme="majorBidi" w:hAnsiTheme="majorBidi" w:cstheme="majorBidi"/>
          <w:b/>
          <w:bCs/>
          <w:color w:val="000000"/>
          <w:lang w:val="fr-FR"/>
        </w:rPr>
      </w:pPr>
      <w:bookmarkStart w:id="512" w:name="_Toc199685116"/>
      <w:bookmarkStart w:id="513" w:name="_Toc199685865"/>
      <w:bookmarkStart w:id="514" w:name="_Toc199712788"/>
      <w:bookmarkStart w:id="515" w:name="_Toc199713910"/>
      <w:bookmarkStart w:id="516" w:name="_Toc199714291"/>
      <w:bookmarkStart w:id="517" w:name="_Toc200486569"/>
      <w:bookmarkStart w:id="518" w:name="_Toc200635345"/>
      <w:bookmarkStart w:id="519" w:name="_Toc200635733"/>
      <w:bookmarkStart w:id="520" w:name="_Toc200636122"/>
      <w:bookmarkStart w:id="521" w:name="_Toc200754633"/>
      <w:bookmarkStart w:id="522" w:name="_Toc200755022"/>
      <w:bookmarkStart w:id="523" w:name="_Toc200755859"/>
      <w:r w:rsidRPr="00AD5F90">
        <w:rPr>
          <w:rFonts w:asciiTheme="majorBidi" w:hAnsiTheme="majorBidi" w:cstheme="majorBidi"/>
          <w:b/>
          <w:bCs/>
          <w:color w:val="000000"/>
          <w:lang w:val="fr-FR"/>
        </w:rPr>
        <w:t xml:space="preserve">L’auto-évaluation : </w:t>
      </w:r>
      <w:r w:rsidRPr="00AD5F90">
        <w:rPr>
          <w:rFonts w:asciiTheme="majorBidi" w:hAnsiTheme="majorBidi" w:cstheme="majorBidi"/>
          <w:color w:val="000000"/>
          <w:lang w:val="fr-FR"/>
        </w:rPr>
        <w:t>L’employé remplit un questionnaire d’auto-évaluation sur ses performances, ses compétences et ses axes d’amélioration.</w:t>
      </w:r>
      <w:bookmarkEnd w:id="512"/>
      <w:bookmarkEnd w:id="513"/>
      <w:bookmarkEnd w:id="514"/>
      <w:bookmarkEnd w:id="515"/>
      <w:bookmarkEnd w:id="516"/>
      <w:bookmarkEnd w:id="517"/>
      <w:bookmarkEnd w:id="518"/>
      <w:bookmarkEnd w:id="519"/>
      <w:bookmarkEnd w:id="520"/>
      <w:bookmarkEnd w:id="521"/>
      <w:bookmarkEnd w:id="522"/>
      <w:bookmarkEnd w:id="523"/>
    </w:p>
    <w:p w:rsidR="00E772DD" w:rsidRPr="00AD5F90" w:rsidRDefault="00E772DD" w:rsidP="004D32AC">
      <w:pPr>
        <w:pStyle w:val="Paragraphedeliste"/>
        <w:numPr>
          <w:ilvl w:val="0"/>
          <w:numId w:val="59"/>
        </w:numPr>
        <w:spacing w:before="100" w:beforeAutospacing="1" w:after="100" w:afterAutospacing="1" w:line="360" w:lineRule="auto"/>
        <w:jc w:val="both"/>
        <w:outlineLvl w:val="2"/>
        <w:rPr>
          <w:rFonts w:asciiTheme="majorBidi" w:hAnsiTheme="majorBidi" w:cstheme="majorBidi"/>
          <w:b/>
          <w:bCs/>
          <w:color w:val="000000"/>
          <w:lang w:val="fr-FR"/>
        </w:rPr>
      </w:pPr>
      <w:bookmarkStart w:id="524" w:name="_Toc199685117"/>
      <w:bookmarkStart w:id="525" w:name="_Toc199685866"/>
      <w:bookmarkStart w:id="526" w:name="_Toc199712789"/>
      <w:bookmarkStart w:id="527" w:name="_Toc199713911"/>
      <w:bookmarkStart w:id="528" w:name="_Toc199714292"/>
      <w:bookmarkStart w:id="529" w:name="_Toc200486570"/>
      <w:bookmarkStart w:id="530" w:name="_Toc200635346"/>
      <w:bookmarkStart w:id="531" w:name="_Toc200635734"/>
      <w:bookmarkStart w:id="532" w:name="_Toc200636123"/>
      <w:bookmarkStart w:id="533" w:name="_Toc200754634"/>
      <w:bookmarkStart w:id="534" w:name="_Toc200755023"/>
      <w:bookmarkStart w:id="535" w:name="_Toc200755860"/>
      <w:r w:rsidRPr="00AD5F90">
        <w:rPr>
          <w:rFonts w:asciiTheme="majorBidi" w:hAnsiTheme="majorBidi" w:cstheme="majorBidi"/>
          <w:b/>
          <w:bCs/>
          <w:color w:val="000000"/>
          <w:lang w:val="fr-FR"/>
        </w:rPr>
        <w:t xml:space="preserve">L’évaluation basée sur les objectifs (Management par Objectifs - MBO) : </w:t>
      </w:r>
      <w:r w:rsidRPr="00AD5F90">
        <w:rPr>
          <w:rFonts w:asciiTheme="majorBidi" w:hAnsiTheme="majorBidi" w:cstheme="majorBidi"/>
          <w:color w:val="000000"/>
          <w:lang w:val="fr-FR"/>
        </w:rPr>
        <w:t>Méthode développée par Peter Drucker qui repose sur la fixation d’objectifs clairs et mesurables. La performance est évaluée en fonction de l’atteinte de ces objectifs.</w:t>
      </w:r>
      <w:bookmarkEnd w:id="524"/>
      <w:bookmarkEnd w:id="525"/>
      <w:bookmarkEnd w:id="526"/>
      <w:bookmarkEnd w:id="527"/>
      <w:bookmarkEnd w:id="528"/>
      <w:bookmarkEnd w:id="529"/>
      <w:bookmarkEnd w:id="530"/>
      <w:bookmarkEnd w:id="531"/>
      <w:bookmarkEnd w:id="532"/>
      <w:bookmarkEnd w:id="533"/>
      <w:bookmarkEnd w:id="534"/>
      <w:bookmarkEnd w:id="535"/>
    </w:p>
    <w:p w:rsidR="00E772DD" w:rsidRPr="00AD5F90" w:rsidRDefault="00E772DD" w:rsidP="004D32AC">
      <w:pPr>
        <w:pStyle w:val="Paragraphedeliste"/>
        <w:numPr>
          <w:ilvl w:val="0"/>
          <w:numId w:val="59"/>
        </w:numPr>
        <w:spacing w:before="100" w:beforeAutospacing="1" w:after="100" w:afterAutospacing="1" w:line="360" w:lineRule="auto"/>
        <w:jc w:val="both"/>
        <w:outlineLvl w:val="2"/>
        <w:rPr>
          <w:rFonts w:asciiTheme="majorBidi" w:hAnsiTheme="majorBidi" w:cstheme="majorBidi"/>
          <w:b/>
          <w:bCs/>
          <w:color w:val="000000"/>
          <w:lang w:val="fr-FR"/>
        </w:rPr>
      </w:pPr>
      <w:bookmarkStart w:id="536" w:name="_Toc199685118"/>
      <w:bookmarkStart w:id="537" w:name="_Toc199685867"/>
      <w:bookmarkStart w:id="538" w:name="_Toc199712790"/>
      <w:bookmarkStart w:id="539" w:name="_Toc199713912"/>
      <w:bookmarkStart w:id="540" w:name="_Toc199714293"/>
      <w:bookmarkStart w:id="541" w:name="_Toc200486571"/>
      <w:bookmarkStart w:id="542" w:name="_Toc200635347"/>
      <w:bookmarkStart w:id="543" w:name="_Toc200635735"/>
      <w:bookmarkStart w:id="544" w:name="_Toc200636124"/>
      <w:bookmarkStart w:id="545" w:name="_Toc200754635"/>
      <w:bookmarkStart w:id="546" w:name="_Toc200755024"/>
      <w:bookmarkStart w:id="547" w:name="_Toc200755861"/>
      <w:r w:rsidRPr="00AD5F90">
        <w:rPr>
          <w:rFonts w:asciiTheme="majorBidi" w:hAnsiTheme="majorBidi" w:cstheme="majorBidi"/>
          <w:b/>
          <w:bCs/>
          <w:color w:val="000000"/>
          <w:lang w:val="fr-FR"/>
        </w:rPr>
        <w:t xml:space="preserve">Les indicateurs de performance (KPIs - Key Performance </w:t>
      </w:r>
      <w:proofErr w:type="spellStart"/>
      <w:r w:rsidRPr="00AD5F90">
        <w:rPr>
          <w:rFonts w:asciiTheme="majorBidi" w:hAnsiTheme="majorBidi" w:cstheme="majorBidi"/>
          <w:b/>
          <w:bCs/>
          <w:color w:val="000000"/>
          <w:lang w:val="fr-FR"/>
        </w:rPr>
        <w:t>Indicators</w:t>
      </w:r>
      <w:proofErr w:type="spellEnd"/>
      <w:r w:rsidRPr="00AD5F90">
        <w:rPr>
          <w:rFonts w:asciiTheme="majorBidi" w:hAnsiTheme="majorBidi" w:cstheme="majorBidi"/>
          <w:b/>
          <w:bCs/>
          <w:color w:val="000000"/>
          <w:lang w:val="fr-FR"/>
        </w:rPr>
        <w:t xml:space="preserve">) : </w:t>
      </w:r>
      <w:r w:rsidRPr="00AD5F90">
        <w:rPr>
          <w:rFonts w:asciiTheme="majorBidi" w:hAnsiTheme="majorBidi" w:cstheme="majorBidi"/>
          <w:color w:val="000000"/>
          <w:lang w:val="fr-FR"/>
        </w:rPr>
        <w:t>Les KPIs sont des mesures quantitatives qui permettent d’évaluer la performance des employés en fonction de critères prédéfinis (ex. : taux de productivité, nombre de ventes réalisées, respect des délais).</w:t>
      </w:r>
      <w:bookmarkEnd w:id="536"/>
      <w:bookmarkEnd w:id="537"/>
      <w:bookmarkEnd w:id="538"/>
      <w:bookmarkEnd w:id="539"/>
      <w:bookmarkEnd w:id="540"/>
      <w:bookmarkEnd w:id="541"/>
      <w:bookmarkEnd w:id="542"/>
      <w:bookmarkEnd w:id="543"/>
      <w:bookmarkEnd w:id="544"/>
      <w:bookmarkEnd w:id="545"/>
      <w:bookmarkEnd w:id="546"/>
      <w:bookmarkEnd w:id="547"/>
    </w:p>
    <w:p w:rsidR="002D2FE1" w:rsidRPr="002D2FE1" w:rsidRDefault="00E772DD" w:rsidP="002D2FE1">
      <w:pPr>
        <w:pStyle w:val="Paragraphedeliste"/>
        <w:numPr>
          <w:ilvl w:val="0"/>
          <w:numId w:val="59"/>
        </w:numPr>
        <w:spacing w:before="100" w:beforeAutospacing="1" w:after="100" w:afterAutospacing="1" w:line="360" w:lineRule="auto"/>
        <w:jc w:val="both"/>
        <w:outlineLvl w:val="2"/>
        <w:rPr>
          <w:rFonts w:asciiTheme="majorBidi" w:hAnsiTheme="majorBidi" w:cstheme="majorBidi"/>
          <w:b/>
          <w:bCs/>
          <w:color w:val="000000"/>
          <w:lang w:val="fr-FR"/>
        </w:rPr>
      </w:pPr>
      <w:bookmarkStart w:id="548" w:name="_Toc199685119"/>
      <w:bookmarkStart w:id="549" w:name="_Toc199685868"/>
      <w:bookmarkStart w:id="550" w:name="_Toc199712791"/>
      <w:bookmarkStart w:id="551" w:name="_Toc199713913"/>
      <w:bookmarkStart w:id="552" w:name="_Toc199714294"/>
      <w:bookmarkStart w:id="553" w:name="_Toc200486572"/>
      <w:bookmarkStart w:id="554" w:name="_Toc200635348"/>
      <w:bookmarkStart w:id="555" w:name="_Toc200635736"/>
      <w:bookmarkStart w:id="556" w:name="_Toc200636125"/>
      <w:bookmarkStart w:id="557" w:name="_Toc200754636"/>
      <w:bookmarkStart w:id="558" w:name="_Toc200755025"/>
      <w:bookmarkStart w:id="559" w:name="_Toc200755862"/>
      <w:r w:rsidRPr="00AD5F90">
        <w:rPr>
          <w:rFonts w:asciiTheme="majorBidi" w:hAnsiTheme="majorBidi" w:cstheme="majorBidi"/>
          <w:b/>
          <w:bCs/>
          <w:color w:val="000000"/>
          <w:lang w:val="fr-FR"/>
        </w:rPr>
        <w:t xml:space="preserve">Le bilan de compétences : </w:t>
      </w:r>
      <w:r w:rsidRPr="00AD5F90">
        <w:rPr>
          <w:rFonts w:asciiTheme="majorBidi" w:hAnsiTheme="majorBidi" w:cstheme="majorBidi"/>
          <w:color w:val="000000"/>
          <w:lang w:val="fr-FR"/>
        </w:rPr>
        <w:t>Processus d’analyse des compétences, motivations et aspirations d’un salarié pour orienter son évolution professionnelle. Il est souvent réalisé avec l’aide d’un consultant ou d’un coach RH.</w:t>
      </w:r>
      <w:bookmarkEnd w:id="548"/>
      <w:bookmarkEnd w:id="549"/>
      <w:bookmarkEnd w:id="550"/>
      <w:bookmarkEnd w:id="551"/>
      <w:bookmarkEnd w:id="552"/>
      <w:bookmarkEnd w:id="553"/>
      <w:bookmarkEnd w:id="554"/>
      <w:bookmarkEnd w:id="555"/>
      <w:bookmarkEnd w:id="556"/>
      <w:bookmarkEnd w:id="557"/>
      <w:bookmarkEnd w:id="558"/>
      <w:bookmarkEnd w:id="559"/>
    </w:p>
    <w:p w:rsidR="002D2FE1" w:rsidRDefault="002D2FE1" w:rsidP="002D2FE1">
      <w:pPr>
        <w:spacing w:before="100" w:beforeAutospacing="1" w:after="100" w:afterAutospacing="1" w:line="360" w:lineRule="auto"/>
        <w:jc w:val="both"/>
        <w:outlineLvl w:val="2"/>
        <w:rPr>
          <w:rFonts w:asciiTheme="majorBidi" w:hAnsiTheme="majorBidi" w:cstheme="majorBidi"/>
          <w:b/>
          <w:bCs/>
          <w:color w:val="000000"/>
          <w:lang w:val="fr-FR"/>
        </w:rPr>
      </w:pPr>
    </w:p>
    <w:p w:rsidR="002D2FE1" w:rsidRDefault="002D2FE1" w:rsidP="002D2FE1">
      <w:pPr>
        <w:spacing w:before="100" w:beforeAutospacing="1" w:after="100" w:afterAutospacing="1" w:line="360" w:lineRule="auto"/>
        <w:jc w:val="both"/>
        <w:outlineLvl w:val="2"/>
        <w:rPr>
          <w:rFonts w:asciiTheme="majorBidi" w:hAnsiTheme="majorBidi" w:cstheme="majorBidi"/>
          <w:b/>
          <w:bCs/>
          <w:color w:val="000000"/>
          <w:lang w:val="fr-FR"/>
        </w:rPr>
      </w:pPr>
    </w:p>
    <w:p w:rsidR="002D2FE1" w:rsidRDefault="002D2FE1" w:rsidP="002D2FE1">
      <w:pPr>
        <w:spacing w:before="100" w:beforeAutospacing="1" w:after="100" w:afterAutospacing="1" w:line="360" w:lineRule="auto"/>
        <w:jc w:val="both"/>
        <w:outlineLvl w:val="2"/>
        <w:rPr>
          <w:rFonts w:asciiTheme="majorBidi" w:hAnsiTheme="majorBidi" w:cstheme="majorBidi"/>
          <w:b/>
          <w:bCs/>
          <w:color w:val="000000"/>
          <w:lang w:val="fr-FR"/>
        </w:rPr>
      </w:pPr>
    </w:p>
    <w:p w:rsidR="002D2FE1" w:rsidRDefault="002D2FE1" w:rsidP="002D2FE1">
      <w:pPr>
        <w:spacing w:before="100" w:beforeAutospacing="1" w:after="100" w:afterAutospacing="1" w:line="360" w:lineRule="auto"/>
        <w:jc w:val="both"/>
        <w:outlineLvl w:val="2"/>
        <w:rPr>
          <w:rFonts w:asciiTheme="majorBidi" w:hAnsiTheme="majorBidi" w:cstheme="majorBidi"/>
          <w:b/>
          <w:bCs/>
          <w:color w:val="000000"/>
          <w:lang w:val="fr-FR"/>
        </w:rPr>
      </w:pPr>
    </w:p>
    <w:p w:rsidR="002D2FE1" w:rsidRDefault="002D2FE1" w:rsidP="002D2FE1">
      <w:pPr>
        <w:spacing w:before="100" w:beforeAutospacing="1" w:after="100" w:afterAutospacing="1" w:line="360" w:lineRule="auto"/>
        <w:jc w:val="both"/>
        <w:outlineLvl w:val="2"/>
        <w:rPr>
          <w:rFonts w:asciiTheme="majorBidi" w:hAnsiTheme="majorBidi" w:cstheme="majorBidi"/>
          <w:b/>
          <w:bCs/>
          <w:color w:val="000000"/>
          <w:lang w:val="fr-FR"/>
        </w:rPr>
      </w:pPr>
    </w:p>
    <w:p w:rsidR="002D2FE1" w:rsidRDefault="002D2FE1" w:rsidP="002D2FE1">
      <w:pPr>
        <w:spacing w:before="100" w:beforeAutospacing="1" w:after="100" w:afterAutospacing="1" w:line="360" w:lineRule="auto"/>
        <w:jc w:val="both"/>
        <w:outlineLvl w:val="2"/>
        <w:rPr>
          <w:rFonts w:asciiTheme="majorBidi" w:hAnsiTheme="majorBidi" w:cstheme="majorBidi"/>
          <w:b/>
          <w:bCs/>
          <w:color w:val="000000"/>
          <w:lang w:val="fr-FR"/>
        </w:rPr>
      </w:pPr>
    </w:p>
    <w:p w:rsidR="002D2FE1" w:rsidRDefault="002D2FE1" w:rsidP="002D2FE1">
      <w:pPr>
        <w:spacing w:before="100" w:beforeAutospacing="1" w:after="100" w:afterAutospacing="1" w:line="360" w:lineRule="auto"/>
        <w:jc w:val="both"/>
        <w:outlineLvl w:val="2"/>
        <w:rPr>
          <w:rFonts w:asciiTheme="majorBidi" w:hAnsiTheme="majorBidi" w:cstheme="majorBidi"/>
          <w:b/>
          <w:bCs/>
          <w:color w:val="000000"/>
          <w:lang w:val="fr-FR"/>
        </w:rPr>
      </w:pPr>
    </w:p>
    <w:p w:rsidR="002D2FE1" w:rsidRPr="002D2FE1" w:rsidRDefault="002D2FE1" w:rsidP="002D2FE1">
      <w:pPr>
        <w:spacing w:before="100" w:beforeAutospacing="1" w:after="100" w:afterAutospacing="1" w:line="360" w:lineRule="auto"/>
        <w:jc w:val="both"/>
        <w:outlineLvl w:val="2"/>
        <w:rPr>
          <w:rFonts w:asciiTheme="majorBidi" w:hAnsiTheme="majorBidi" w:cstheme="majorBidi"/>
          <w:b/>
          <w:bCs/>
          <w:color w:val="000000"/>
          <w:lang w:val="fr-FR"/>
        </w:rPr>
      </w:pPr>
    </w:p>
    <w:p w:rsidR="00E772DD" w:rsidRPr="00FB557C" w:rsidRDefault="00E772DD" w:rsidP="00A74C02">
      <w:pPr>
        <w:spacing w:before="100" w:beforeAutospacing="1" w:after="100" w:afterAutospacing="1" w:line="360" w:lineRule="auto"/>
        <w:jc w:val="center"/>
        <w:outlineLvl w:val="2"/>
        <w:rPr>
          <w:rFonts w:asciiTheme="majorBidi" w:hAnsiTheme="majorBidi" w:cstheme="majorBidi"/>
          <w:color w:val="000000"/>
          <w:lang w:val="fr-FR"/>
        </w:rPr>
      </w:pPr>
      <w:bookmarkStart w:id="560" w:name="_Toc199685120"/>
      <w:bookmarkStart w:id="561" w:name="_Toc199685869"/>
      <w:bookmarkStart w:id="562" w:name="_Toc199712792"/>
      <w:bookmarkStart w:id="563" w:name="_Toc199713914"/>
      <w:bookmarkStart w:id="564" w:name="_Toc199714295"/>
      <w:bookmarkStart w:id="565" w:name="_Toc200486573"/>
      <w:bookmarkStart w:id="566" w:name="_Toc200635349"/>
      <w:bookmarkStart w:id="567" w:name="_Toc200635737"/>
      <w:bookmarkStart w:id="568" w:name="_Toc200636126"/>
      <w:bookmarkStart w:id="569" w:name="_Toc200754637"/>
      <w:bookmarkStart w:id="570" w:name="_Toc200755026"/>
      <w:bookmarkStart w:id="571" w:name="_Toc200755863"/>
      <w:r w:rsidRPr="00AD5F90">
        <w:rPr>
          <w:rFonts w:asciiTheme="majorBidi" w:hAnsiTheme="majorBidi" w:cstheme="majorBidi"/>
          <w:b/>
          <w:bCs/>
          <w:color w:val="000000"/>
          <w:lang w:val="fr-FR"/>
        </w:rPr>
        <w:lastRenderedPageBreak/>
        <w:t xml:space="preserve">Tableau </w:t>
      </w:r>
      <w:r>
        <w:rPr>
          <w:rFonts w:asciiTheme="majorBidi" w:hAnsiTheme="majorBidi" w:cstheme="majorBidi"/>
          <w:b/>
          <w:bCs/>
          <w:color w:val="000000"/>
          <w:lang w:val="fr-FR"/>
        </w:rPr>
        <w:t>N°0</w:t>
      </w:r>
      <w:r w:rsidRPr="00AD5F90">
        <w:rPr>
          <w:rFonts w:asciiTheme="majorBidi" w:hAnsiTheme="majorBidi" w:cstheme="majorBidi"/>
          <w:b/>
          <w:bCs/>
          <w:color w:val="000000"/>
          <w:lang w:val="fr-FR"/>
        </w:rPr>
        <w:t xml:space="preserve">4 : </w:t>
      </w:r>
      <w:r w:rsidRPr="00FB557C">
        <w:rPr>
          <w:rFonts w:asciiTheme="majorBidi" w:hAnsiTheme="majorBidi" w:cstheme="majorBidi"/>
          <w:color w:val="000000"/>
          <w:lang w:val="fr-FR"/>
        </w:rPr>
        <w:t>Comparaison des méthodes d’évaluation</w:t>
      </w:r>
      <w:bookmarkEnd w:id="560"/>
      <w:bookmarkEnd w:id="561"/>
      <w:bookmarkEnd w:id="562"/>
      <w:bookmarkEnd w:id="563"/>
      <w:bookmarkEnd w:id="564"/>
      <w:bookmarkEnd w:id="565"/>
      <w:bookmarkEnd w:id="566"/>
      <w:bookmarkEnd w:id="567"/>
      <w:bookmarkEnd w:id="568"/>
      <w:bookmarkEnd w:id="569"/>
      <w:bookmarkEnd w:id="570"/>
      <w:bookmarkEnd w:id="571"/>
    </w:p>
    <w:tbl>
      <w:tblPr>
        <w:tblStyle w:val="Grilledutableau"/>
        <w:tblW w:w="0" w:type="auto"/>
        <w:tblLook w:val="04A0" w:firstRow="1" w:lastRow="0" w:firstColumn="1" w:lastColumn="0" w:noHBand="0" w:noVBand="1"/>
      </w:tblPr>
      <w:tblGrid>
        <w:gridCol w:w="2530"/>
        <w:gridCol w:w="1311"/>
        <w:gridCol w:w="1390"/>
        <w:gridCol w:w="2376"/>
        <w:gridCol w:w="1403"/>
      </w:tblGrid>
      <w:tr w:rsidR="00E772DD" w:rsidRPr="00AD5F90" w:rsidTr="002F5C80">
        <w:tc>
          <w:tcPr>
            <w:tcW w:w="0" w:type="auto"/>
            <w:shd w:val="clear" w:color="auto" w:fill="D8DCD1"/>
            <w:vAlign w:val="center"/>
            <w:hideMark/>
          </w:tcPr>
          <w:p w:rsidR="00E772DD" w:rsidRPr="00AD5F90" w:rsidRDefault="00E772DD" w:rsidP="002F5C80">
            <w:pPr>
              <w:spacing w:line="360" w:lineRule="auto"/>
              <w:rPr>
                <w:rFonts w:asciiTheme="majorBidi" w:hAnsiTheme="majorBidi" w:cstheme="majorBidi"/>
                <w:color w:val="000000"/>
                <w:lang w:val="fr-FR"/>
              </w:rPr>
            </w:pPr>
            <w:r w:rsidRPr="00AD5F90">
              <w:rPr>
                <w:rFonts w:asciiTheme="majorBidi" w:hAnsiTheme="majorBidi" w:cstheme="majorBidi"/>
                <w:color w:val="000000"/>
                <w:lang w:val="fr-FR"/>
              </w:rPr>
              <w:t>Méthode</w:t>
            </w:r>
          </w:p>
        </w:tc>
        <w:tc>
          <w:tcPr>
            <w:tcW w:w="0" w:type="auto"/>
            <w:shd w:val="clear" w:color="auto" w:fill="D8DCD1"/>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Objectivité</w:t>
            </w:r>
          </w:p>
        </w:tc>
        <w:tc>
          <w:tcPr>
            <w:tcW w:w="0" w:type="auto"/>
            <w:shd w:val="clear" w:color="auto" w:fill="D8DCD1"/>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Complétude</w:t>
            </w:r>
          </w:p>
        </w:tc>
        <w:tc>
          <w:tcPr>
            <w:tcW w:w="0" w:type="auto"/>
            <w:shd w:val="clear" w:color="auto" w:fill="D8DCD1"/>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Facilité de mise en place</w:t>
            </w:r>
          </w:p>
        </w:tc>
        <w:tc>
          <w:tcPr>
            <w:tcW w:w="0" w:type="auto"/>
            <w:shd w:val="clear" w:color="auto" w:fill="D8DCD1"/>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Adaptabilité</w:t>
            </w:r>
          </w:p>
        </w:tc>
      </w:tr>
      <w:tr w:rsidR="00E772DD" w:rsidRPr="00AD5F90" w:rsidTr="002F5C80">
        <w:tc>
          <w:tcPr>
            <w:tcW w:w="0" w:type="auto"/>
            <w:shd w:val="clear" w:color="auto" w:fill="D8DCD1"/>
            <w:vAlign w:val="center"/>
            <w:hideMark/>
          </w:tcPr>
          <w:p w:rsidR="00E772DD" w:rsidRPr="00AD5F90" w:rsidRDefault="00E772DD" w:rsidP="002F5C80">
            <w:pPr>
              <w:spacing w:line="360" w:lineRule="auto"/>
              <w:rPr>
                <w:rFonts w:asciiTheme="majorBidi" w:hAnsiTheme="majorBidi" w:cstheme="majorBidi"/>
                <w:color w:val="000000"/>
                <w:lang w:val="fr-FR"/>
              </w:rPr>
            </w:pPr>
            <w:r w:rsidRPr="00AD5F90">
              <w:rPr>
                <w:rFonts w:asciiTheme="majorBidi" w:hAnsiTheme="majorBidi" w:cstheme="majorBidi"/>
                <w:color w:val="000000"/>
                <w:lang w:val="fr-FR"/>
              </w:rPr>
              <w:t>Entretien annuel</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Facile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r>
      <w:tr w:rsidR="00E772DD" w:rsidRPr="00AD5F90" w:rsidTr="002F5C80">
        <w:tc>
          <w:tcPr>
            <w:tcW w:w="0" w:type="auto"/>
            <w:shd w:val="clear" w:color="auto" w:fill="D8DCD1"/>
            <w:vAlign w:val="center"/>
            <w:hideMark/>
          </w:tcPr>
          <w:p w:rsidR="00E772DD" w:rsidRPr="00AD5F90" w:rsidRDefault="00E772DD" w:rsidP="002F5C80">
            <w:pPr>
              <w:spacing w:line="360" w:lineRule="auto"/>
              <w:rPr>
                <w:rFonts w:asciiTheme="majorBidi" w:hAnsiTheme="majorBidi" w:cstheme="majorBidi"/>
                <w:color w:val="000000"/>
                <w:lang w:val="fr-FR"/>
              </w:rPr>
            </w:pPr>
            <w:r w:rsidRPr="00AD5F90">
              <w:rPr>
                <w:rFonts w:asciiTheme="majorBidi" w:hAnsiTheme="majorBidi" w:cstheme="majorBidi"/>
                <w:color w:val="000000"/>
                <w:lang w:val="fr-FR"/>
              </w:rPr>
              <w:t>Évaluation 360°</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Élevée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Élevée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Complexe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Élevée</w:t>
            </w:r>
          </w:p>
        </w:tc>
      </w:tr>
      <w:tr w:rsidR="00E772DD" w:rsidRPr="00AD5F90" w:rsidTr="002F5C80">
        <w:tc>
          <w:tcPr>
            <w:tcW w:w="0" w:type="auto"/>
            <w:shd w:val="clear" w:color="auto" w:fill="D8DCD1"/>
            <w:vAlign w:val="center"/>
            <w:hideMark/>
          </w:tcPr>
          <w:p w:rsidR="00E772DD" w:rsidRPr="00AD5F90" w:rsidRDefault="00E772DD" w:rsidP="002F5C80">
            <w:pPr>
              <w:spacing w:line="360" w:lineRule="auto"/>
              <w:rPr>
                <w:rFonts w:asciiTheme="majorBidi" w:hAnsiTheme="majorBidi" w:cstheme="majorBidi"/>
                <w:color w:val="000000"/>
                <w:lang w:val="fr-FR"/>
              </w:rPr>
            </w:pPr>
            <w:r w:rsidRPr="00AD5F90">
              <w:rPr>
                <w:rFonts w:asciiTheme="majorBidi" w:hAnsiTheme="majorBidi" w:cstheme="majorBidi"/>
                <w:color w:val="000000"/>
                <w:lang w:val="fr-FR"/>
              </w:rPr>
              <w:t>Auto-évaluation</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Faible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Très facile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r>
      <w:tr w:rsidR="00E772DD" w:rsidRPr="00AD5F90" w:rsidTr="002F5C80">
        <w:tc>
          <w:tcPr>
            <w:tcW w:w="0" w:type="auto"/>
            <w:shd w:val="clear" w:color="auto" w:fill="D8DCD1"/>
            <w:vAlign w:val="center"/>
            <w:hideMark/>
          </w:tcPr>
          <w:p w:rsidR="00E772DD" w:rsidRPr="00AD5F90" w:rsidRDefault="00E772DD" w:rsidP="002F5C80">
            <w:pPr>
              <w:spacing w:line="360" w:lineRule="auto"/>
              <w:rPr>
                <w:rFonts w:asciiTheme="majorBidi" w:hAnsiTheme="majorBidi" w:cstheme="majorBidi"/>
                <w:color w:val="000000"/>
                <w:lang w:val="fr-FR"/>
              </w:rPr>
            </w:pPr>
            <w:r w:rsidRPr="00AD5F90">
              <w:rPr>
                <w:rFonts w:asciiTheme="majorBidi" w:hAnsiTheme="majorBidi" w:cstheme="majorBidi"/>
                <w:color w:val="000000"/>
                <w:lang w:val="fr-FR"/>
              </w:rPr>
              <w:t>Management par objectifs</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Élevée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r>
      <w:tr w:rsidR="00E772DD" w:rsidRPr="00AD5F90" w:rsidTr="002F5C80">
        <w:tc>
          <w:tcPr>
            <w:tcW w:w="0" w:type="auto"/>
            <w:shd w:val="clear" w:color="auto" w:fill="D8DCD1"/>
            <w:vAlign w:val="center"/>
            <w:hideMark/>
          </w:tcPr>
          <w:p w:rsidR="00E772DD" w:rsidRPr="00AD5F90" w:rsidRDefault="00E772DD" w:rsidP="002F5C80">
            <w:pPr>
              <w:spacing w:line="360" w:lineRule="auto"/>
              <w:rPr>
                <w:rFonts w:asciiTheme="majorBidi" w:hAnsiTheme="majorBidi" w:cstheme="majorBidi"/>
                <w:color w:val="000000"/>
                <w:lang w:val="fr-FR"/>
              </w:rPr>
            </w:pPr>
            <w:r w:rsidRPr="00AD5F90">
              <w:rPr>
                <w:rFonts w:asciiTheme="majorBidi" w:hAnsiTheme="majorBidi" w:cstheme="majorBidi"/>
                <w:color w:val="000000"/>
                <w:lang w:val="fr-FR"/>
              </w:rPr>
              <w:t>KPIs</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Très élevée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Faible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Facile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Faible</w:t>
            </w:r>
          </w:p>
        </w:tc>
      </w:tr>
      <w:tr w:rsidR="00E772DD" w:rsidRPr="00AD5F90" w:rsidTr="002F5C80">
        <w:tc>
          <w:tcPr>
            <w:tcW w:w="0" w:type="auto"/>
            <w:shd w:val="clear" w:color="auto" w:fill="D8DCD1"/>
            <w:vAlign w:val="center"/>
            <w:hideMark/>
          </w:tcPr>
          <w:p w:rsidR="00E772DD" w:rsidRPr="00AD5F90" w:rsidRDefault="00E772DD" w:rsidP="002F5C80">
            <w:pPr>
              <w:spacing w:line="360" w:lineRule="auto"/>
              <w:rPr>
                <w:rFonts w:asciiTheme="majorBidi" w:hAnsiTheme="majorBidi" w:cstheme="majorBidi"/>
                <w:color w:val="000000"/>
                <w:lang w:val="fr-FR"/>
              </w:rPr>
            </w:pPr>
            <w:r w:rsidRPr="00AD5F90">
              <w:rPr>
                <w:rFonts w:asciiTheme="majorBidi" w:hAnsiTheme="majorBidi" w:cstheme="majorBidi"/>
                <w:color w:val="000000"/>
                <w:lang w:val="fr-FR"/>
              </w:rPr>
              <w:t>Bilan de compétences</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Moyenne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Élevée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Complexe</w:t>
            </w:r>
          </w:p>
        </w:tc>
        <w:tc>
          <w:tcPr>
            <w:tcW w:w="0" w:type="auto"/>
            <w:vAlign w:val="center"/>
            <w:hideMark/>
          </w:tcPr>
          <w:p w:rsidR="00E772DD" w:rsidRPr="00AD5F90" w:rsidRDefault="00E772DD" w:rsidP="008B3C84">
            <w:pPr>
              <w:spacing w:line="360" w:lineRule="auto"/>
              <w:jc w:val="center"/>
              <w:rPr>
                <w:rFonts w:asciiTheme="majorBidi" w:hAnsiTheme="majorBidi" w:cstheme="majorBidi"/>
                <w:color w:val="000000"/>
                <w:lang w:val="fr-FR"/>
              </w:rPr>
            </w:pPr>
            <w:r w:rsidRPr="00AD5F90">
              <w:rPr>
                <w:rFonts w:asciiTheme="majorBidi" w:hAnsiTheme="majorBidi" w:cstheme="majorBidi"/>
                <w:color w:val="000000"/>
                <w:lang w:val="fr-FR"/>
              </w:rPr>
              <w:t>Très élevée</w:t>
            </w:r>
          </w:p>
        </w:tc>
      </w:tr>
    </w:tbl>
    <w:p w:rsidR="00E772DD" w:rsidRPr="00AD5F90" w:rsidRDefault="00E772DD" w:rsidP="005C2CA5">
      <w:pPr>
        <w:spacing w:before="100" w:beforeAutospacing="1" w:after="100" w:afterAutospacing="1" w:line="360" w:lineRule="auto"/>
        <w:jc w:val="center"/>
        <w:outlineLvl w:val="2"/>
        <w:rPr>
          <w:rFonts w:asciiTheme="majorBidi" w:hAnsiTheme="majorBidi" w:cstheme="majorBidi"/>
          <w:color w:val="000000"/>
          <w:lang w:val="fr-FR"/>
        </w:rPr>
      </w:pPr>
      <w:bookmarkStart w:id="572" w:name="_Toc199685121"/>
      <w:bookmarkStart w:id="573" w:name="_Toc199685870"/>
      <w:bookmarkStart w:id="574" w:name="_Toc199712793"/>
      <w:bookmarkStart w:id="575" w:name="_Toc199713915"/>
      <w:bookmarkStart w:id="576" w:name="_Toc199714296"/>
      <w:bookmarkStart w:id="577" w:name="_Toc200486574"/>
      <w:bookmarkStart w:id="578" w:name="_Toc200635350"/>
      <w:bookmarkStart w:id="579" w:name="_Toc200635738"/>
      <w:bookmarkStart w:id="580" w:name="_Toc200636127"/>
      <w:bookmarkStart w:id="581" w:name="_Toc200754638"/>
      <w:bookmarkStart w:id="582" w:name="_Toc200755027"/>
      <w:bookmarkStart w:id="583" w:name="_Toc200755864"/>
      <w:r w:rsidRPr="00851420">
        <w:rPr>
          <w:rFonts w:asciiTheme="majorBidi" w:hAnsiTheme="majorBidi" w:cstheme="majorBidi"/>
          <w:b/>
          <w:bCs/>
          <w:color w:val="000000"/>
          <w:lang w:val="fr-FR"/>
        </w:rPr>
        <w:t>Source :</w:t>
      </w:r>
      <w:r w:rsidRPr="00AD5F90">
        <w:rPr>
          <w:rFonts w:asciiTheme="majorBidi" w:hAnsiTheme="majorBidi" w:cstheme="majorBidi"/>
          <w:b/>
          <w:bCs/>
          <w:color w:val="000000"/>
          <w:lang w:val="fr-FR"/>
        </w:rPr>
        <w:t xml:space="preserve"> </w:t>
      </w:r>
      <w:r w:rsidRPr="00AD5F90">
        <w:rPr>
          <w:rFonts w:asciiTheme="majorBidi" w:hAnsiTheme="majorBidi" w:cstheme="majorBidi"/>
          <w:color w:val="000000"/>
          <w:lang w:val="fr-FR"/>
        </w:rPr>
        <w:t>Folks RH. (s.d.). Évaluation de performance : méthodes, questions et exemples. Récupéré le 26 février 2025, d</w:t>
      </w:r>
      <w:r w:rsidRPr="00A16730">
        <w:rPr>
          <w:rFonts w:asciiTheme="majorBidi" w:hAnsiTheme="majorBidi" w:cstheme="majorBidi"/>
          <w:color w:val="000000" w:themeColor="text1"/>
          <w:lang w:val="fr-FR"/>
        </w:rPr>
        <w:t xml:space="preserve">e </w:t>
      </w:r>
      <w:r w:rsidRPr="00A16730">
        <w:rPr>
          <w:rFonts w:asciiTheme="majorBidi" w:eastAsiaTheme="majorEastAsia" w:hAnsiTheme="majorBidi"/>
          <w:color w:val="000000" w:themeColor="text1"/>
          <w:lang w:val="fr-FR"/>
        </w:rPr>
        <w:t>https://folksrh.com/blog/methodes-evaluation-performance-avantages-inconvenients</w:t>
      </w:r>
      <w:bookmarkEnd w:id="572"/>
      <w:bookmarkEnd w:id="573"/>
      <w:bookmarkEnd w:id="574"/>
      <w:bookmarkEnd w:id="575"/>
      <w:bookmarkEnd w:id="576"/>
      <w:bookmarkEnd w:id="577"/>
      <w:bookmarkEnd w:id="578"/>
      <w:bookmarkEnd w:id="579"/>
      <w:bookmarkEnd w:id="580"/>
      <w:bookmarkEnd w:id="581"/>
      <w:bookmarkEnd w:id="582"/>
      <w:bookmarkEnd w:id="583"/>
    </w:p>
    <w:p w:rsidR="00E772DD" w:rsidRPr="00AD5F90" w:rsidRDefault="00E772DD" w:rsidP="00AA15A0">
      <w:pPr>
        <w:pStyle w:val="Titre4"/>
        <w:spacing w:line="360" w:lineRule="auto"/>
        <w:jc w:val="both"/>
        <w:rPr>
          <w:rFonts w:asciiTheme="majorBidi" w:hAnsiTheme="majorBidi"/>
          <w:i w:val="0"/>
          <w:iCs w:val="0"/>
          <w:color w:val="000000"/>
          <w:lang w:val="fr-FR"/>
        </w:rPr>
      </w:pPr>
      <w:r w:rsidRPr="00AD5F90">
        <w:rPr>
          <w:rFonts w:asciiTheme="majorBidi" w:hAnsiTheme="majorBidi"/>
          <w:b/>
          <w:bCs/>
          <w:i w:val="0"/>
          <w:iCs w:val="0"/>
          <w:color w:val="000000"/>
          <w:lang w:val="fr-FR"/>
        </w:rPr>
        <w:t>Étape 3</w:t>
      </w:r>
      <w:r w:rsidRPr="00AD5F90">
        <w:rPr>
          <w:rFonts w:asciiTheme="majorBidi" w:hAnsiTheme="majorBidi"/>
          <w:i w:val="0"/>
          <w:iCs w:val="0"/>
          <w:color w:val="000000"/>
          <w:lang w:val="fr-FR"/>
        </w:rPr>
        <w:t xml:space="preserve"> : Renforcement des compétences</w:t>
      </w:r>
    </w:p>
    <w:p w:rsidR="00C36F78" w:rsidRPr="00AD5F90" w:rsidRDefault="00E772DD" w:rsidP="00C36F78">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Il s’agit de mettre en place un plan de développement professionnel adapté à chaque employé, intégrant les perspectives d’évolution en termes de poste et de responsabilités</w:t>
      </w:r>
      <w:r w:rsidRPr="00AD5F90">
        <w:rPr>
          <w:rStyle w:val="Appelnotedebasdep"/>
          <w:rFonts w:eastAsiaTheme="majorEastAsia"/>
          <w:color w:val="000000"/>
          <w:lang w:val="fr-FR"/>
        </w:rPr>
        <w:footnoteReference w:id="102"/>
      </w:r>
      <w:r w:rsidRPr="00AD5F90">
        <w:rPr>
          <w:rFonts w:asciiTheme="majorBidi" w:hAnsiTheme="majorBidi" w:cstheme="majorBidi"/>
          <w:color w:val="000000"/>
          <w:lang w:val="fr-FR"/>
        </w:rPr>
        <w:t>.</w:t>
      </w:r>
    </w:p>
    <w:p w:rsidR="00E772DD" w:rsidRPr="00C36F78" w:rsidRDefault="00E772DD" w:rsidP="004D32AC">
      <w:pPr>
        <w:pStyle w:val="Titre3"/>
        <w:numPr>
          <w:ilvl w:val="2"/>
          <w:numId w:val="183"/>
        </w:numPr>
        <w:spacing w:after="0" w:afterAutospacing="0" w:line="360" w:lineRule="auto"/>
        <w:rPr>
          <w:sz w:val="24"/>
          <w:szCs w:val="24"/>
          <w:lang w:val="fr-FR"/>
        </w:rPr>
      </w:pPr>
      <w:bookmarkStart w:id="584" w:name="_Toc199714297"/>
      <w:bookmarkStart w:id="585" w:name="_Toc200486575"/>
      <w:bookmarkStart w:id="586" w:name="_Toc200635351"/>
      <w:bookmarkStart w:id="587" w:name="_Toc200635739"/>
      <w:bookmarkStart w:id="588" w:name="_Toc200636128"/>
      <w:bookmarkStart w:id="589" w:name="_Toc200755865"/>
      <w:r w:rsidRPr="00C36F78">
        <w:rPr>
          <w:sz w:val="24"/>
          <w:szCs w:val="24"/>
          <w:lang w:val="fr-FR"/>
        </w:rPr>
        <w:t>L’importance de la gestion des carrières</w:t>
      </w:r>
      <w:bookmarkEnd w:id="584"/>
      <w:bookmarkEnd w:id="585"/>
      <w:bookmarkEnd w:id="586"/>
      <w:bookmarkEnd w:id="587"/>
      <w:bookmarkEnd w:id="588"/>
      <w:bookmarkEnd w:id="589"/>
      <w:r w:rsidRPr="00C36F78">
        <w:rPr>
          <w:sz w:val="24"/>
          <w:szCs w:val="24"/>
          <w:lang w:val="fr-FR"/>
        </w:rPr>
        <w:t xml:space="preserve"> </w:t>
      </w:r>
    </w:p>
    <w:p w:rsidR="00E772DD" w:rsidRPr="00FB557C" w:rsidRDefault="00E772DD" w:rsidP="00C36F78">
      <w:pPr>
        <w:pStyle w:val="NormalWeb"/>
        <w:spacing w:before="0" w:beforeAutospacing="0" w:after="0" w:afterAutospacing="0" w:line="360" w:lineRule="auto"/>
        <w:jc w:val="both"/>
        <w:rPr>
          <w:rFonts w:asciiTheme="majorBidi" w:hAnsiTheme="majorBidi" w:cstheme="majorBidi"/>
          <w:color w:val="000000"/>
          <w:lang w:val="fr-FR"/>
        </w:rPr>
      </w:pPr>
      <w:r w:rsidRPr="00FB557C">
        <w:rPr>
          <w:rFonts w:asciiTheme="majorBidi" w:hAnsiTheme="majorBidi" w:cstheme="majorBidi"/>
          <w:color w:val="000000"/>
          <w:lang w:val="fr-FR"/>
        </w:rPr>
        <w:t>Parmi les éléments clés de la gestion des ressources humaines, la gestion des carrières occupe une place centrale, car elle contribue à la motivation, à la fidélisation des employés et à l’adaptation des compétences aux besoins de l’organisation.</w:t>
      </w:r>
    </w:p>
    <w:p w:rsidR="00E772DD" w:rsidRPr="00AD5F90" w:rsidRDefault="00E772DD" w:rsidP="004D32AC">
      <w:pPr>
        <w:pStyle w:val="NormalWeb"/>
        <w:numPr>
          <w:ilvl w:val="0"/>
          <w:numId w:val="65"/>
        </w:numPr>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Sécurité de l'emploi et satisfaction des employés</w:t>
      </w:r>
      <w:r w:rsidRPr="00AD5F90">
        <w:rPr>
          <w:rFonts w:asciiTheme="majorBidi" w:hAnsiTheme="majorBidi" w:cstheme="majorBidi"/>
          <w:color w:val="000000"/>
          <w:lang w:val="fr-FR"/>
        </w:rPr>
        <w:t> : Une gestion efficace des carrières offre aux individus une sécurité d'emploi accrue, ce qui renforce leur satisfaction et leur engagement envers l'organisation.</w:t>
      </w:r>
    </w:p>
    <w:p w:rsidR="00E772DD" w:rsidRPr="00AD5F90" w:rsidRDefault="00E772DD" w:rsidP="004D32AC">
      <w:pPr>
        <w:pStyle w:val="NormalWeb"/>
        <w:numPr>
          <w:ilvl w:val="0"/>
          <w:numId w:val="65"/>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Attraction et rétention des talents</w:t>
      </w:r>
      <w:r w:rsidRPr="00AD5F90">
        <w:rPr>
          <w:rFonts w:asciiTheme="majorBidi" w:hAnsiTheme="majorBidi" w:cstheme="majorBidi"/>
          <w:color w:val="000000"/>
          <w:lang w:val="fr-FR"/>
        </w:rPr>
        <w:t> : Des opportunités de développement de carrière bien définies permettent d'attirer de nouveaux talents et de retenir les employés compétents, réduisant ainsi le turnover et les coûts associés au recrutement.</w:t>
      </w:r>
    </w:p>
    <w:p w:rsidR="00E772DD" w:rsidRPr="00AD5F90" w:rsidRDefault="00E772DD" w:rsidP="004D32AC">
      <w:pPr>
        <w:pStyle w:val="NormalWeb"/>
        <w:numPr>
          <w:ilvl w:val="0"/>
          <w:numId w:val="65"/>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lastRenderedPageBreak/>
        <w:t>Adaptabilité organisationnelle</w:t>
      </w:r>
      <w:r w:rsidRPr="00AD5F90">
        <w:rPr>
          <w:rFonts w:asciiTheme="majorBidi" w:hAnsiTheme="majorBidi" w:cstheme="majorBidi"/>
          <w:color w:val="000000"/>
          <w:lang w:val="fr-FR"/>
        </w:rPr>
        <w:t> : Dans un environnement incertain et en constante évolution, la gestion des carrières permet aux entreprises de s'adapter en développant les compétences de leurs employés pour répondre aux nouveaux défis.</w:t>
      </w:r>
    </w:p>
    <w:p w:rsidR="00E772DD" w:rsidRPr="00AD5F90" w:rsidRDefault="00E772DD" w:rsidP="004D32AC">
      <w:pPr>
        <w:pStyle w:val="NormalWeb"/>
        <w:numPr>
          <w:ilvl w:val="0"/>
          <w:numId w:val="65"/>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Bien-être au travail</w:t>
      </w:r>
      <w:r w:rsidRPr="00AD5F90">
        <w:rPr>
          <w:rFonts w:asciiTheme="majorBidi" w:hAnsiTheme="majorBidi" w:cstheme="majorBidi"/>
          <w:color w:val="000000"/>
          <w:lang w:val="fr-FR"/>
        </w:rPr>
        <w:t> : Une gestion proactive des carrières contribue au bien-être des employés en leur offrant des perspectives d'évolution et en reconnaissant leurs contributions, ce qui améliore leur satisfaction professionnelle</w:t>
      </w:r>
      <w:r w:rsidRPr="00AD5F90">
        <w:rPr>
          <w:rStyle w:val="Appelnotedebasdep"/>
          <w:rFonts w:eastAsiaTheme="majorEastAsia"/>
          <w:color w:val="000000"/>
          <w:lang w:val="fr-FR"/>
        </w:rPr>
        <w:footnoteReference w:id="103"/>
      </w:r>
      <w:r w:rsidRPr="00AD5F90">
        <w:rPr>
          <w:rFonts w:asciiTheme="majorBidi" w:hAnsiTheme="majorBidi" w:cstheme="majorBidi"/>
          <w:color w:val="000000"/>
          <w:lang w:val="fr-FR"/>
        </w:rPr>
        <w:t>.</w:t>
      </w:r>
    </w:p>
    <w:p w:rsidR="00E772DD" w:rsidRPr="00FC74BF" w:rsidRDefault="00E772DD" w:rsidP="004D32AC">
      <w:pPr>
        <w:pStyle w:val="Titre3"/>
        <w:numPr>
          <w:ilvl w:val="1"/>
          <w:numId w:val="183"/>
        </w:numPr>
        <w:spacing w:after="0" w:afterAutospacing="0" w:line="360" w:lineRule="auto"/>
        <w:rPr>
          <w:sz w:val="24"/>
          <w:szCs w:val="24"/>
          <w:lang w:val="fr-FR"/>
        </w:rPr>
      </w:pPr>
      <w:bookmarkStart w:id="590" w:name="_Toc199714298"/>
      <w:bookmarkStart w:id="591" w:name="_Toc200486576"/>
      <w:bookmarkStart w:id="592" w:name="_Toc200635352"/>
      <w:bookmarkStart w:id="593" w:name="_Toc200635740"/>
      <w:bookmarkStart w:id="594" w:name="_Toc200636129"/>
      <w:bookmarkStart w:id="595" w:name="_Toc200755866"/>
      <w:r w:rsidRPr="00FC74BF">
        <w:rPr>
          <w:sz w:val="24"/>
          <w:szCs w:val="24"/>
          <w:lang w:val="fr-FR"/>
        </w:rPr>
        <w:t>La gestion des relations sociales en entreprise</w:t>
      </w:r>
      <w:bookmarkEnd w:id="590"/>
      <w:bookmarkEnd w:id="591"/>
      <w:bookmarkEnd w:id="592"/>
      <w:bookmarkEnd w:id="593"/>
      <w:bookmarkEnd w:id="594"/>
      <w:bookmarkEnd w:id="595"/>
    </w:p>
    <w:p w:rsidR="00E772DD" w:rsidRPr="00AD5F90" w:rsidRDefault="00E772DD" w:rsidP="00FC74BF">
      <w:pPr>
        <w:spacing w:line="360" w:lineRule="auto"/>
        <w:jc w:val="both"/>
        <w:rPr>
          <w:rFonts w:asciiTheme="majorBidi" w:hAnsiTheme="majorBidi" w:cstheme="majorBidi"/>
          <w:lang w:val="fr-FR"/>
        </w:rPr>
      </w:pPr>
      <w:r w:rsidRPr="00AD5F90">
        <w:rPr>
          <w:rFonts w:asciiTheme="majorBidi" w:hAnsiTheme="majorBidi" w:cstheme="majorBidi"/>
          <w:lang w:val="fr-FR"/>
        </w:rPr>
        <w:t>La gestion des relations sociales en entreprise est essentielle pour instaurer un climat de travail harmonieux et productif. Elle englobe l'ensemble des interactions entre l'employeur, les salariés et les instances représentatives du personnel, visant à favoriser le dialogue social et à prévenir les conflits</w:t>
      </w:r>
      <w:r w:rsidRPr="00AD5F90">
        <w:rPr>
          <w:rStyle w:val="Appelnotedebasdep"/>
          <w:lang w:val="fr-FR"/>
        </w:rPr>
        <w:footnoteReference w:id="104"/>
      </w:r>
      <w:r w:rsidRPr="00AD5F90">
        <w:rPr>
          <w:rFonts w:asciiTheme="majorBidi" w:hAnsiTheme="majorBidi" w:cstheme="majorBidi"/>
          <w:lang w:val="fr-FR"/>
        </w:rPr>
        <w:t>.</w:t>
      </w:r>
    </w:p>
    <w:p w:rsidR="00E772DD" w:rsidRPr="00AD5F90" w:rsidRDefault="00E772DD" w:rsidP="00AA15A0">
      <w:pPr>
        <w:spacing w:line="360" w:lineRule="auto"/>
        <w:jc w:val="both"/>
        <w:rPr>
          <w:rFonts w:asciiTheme="majorBidi" w:hAnsiTheme="majorBidi" w:cstheme="majorBidi"/>
          <w:lang w:val="fr-FR"/>
        </w:rPr>
      </w:pPr>
      <w:r w:rsidRPr="00AD5F90">
        <w:rPr>
          <w:rFonts w:asciiTheme="majorBidi" w:hAnsiTheme="majorBidi" w:cstheme="majorBidi"/>
          <w:lang w:val="fr-FR"/>
        </w:rPr>
        <w:t>La gestion des relations sociales en entreprise désigne l'ensemble des interactions entre les employeurs, les salariés et les instances représentatives du personnel, telles que les syndicats et les comités sociaux et économiques (CSE). Elle vise à instaurer un dialogue social constructif pour améliorer les conditions de travail, prévenir les conflits et favoriser un climat social harmonieux au sein de l'organisation</w:t>
      </w:r>
      <w:r w:rsidRPr="00AD5F90">
        <w:rPr>
          <w:rStyle w:val="Appelnotedebasdep"/>
          <w:lang w:val="fr-FR"/>
        </w:rPr>
        <w:footnoteReference w:id="105"/>
      </w:r>
      <w:r w:rsidRPr="00AD5F90">
        <w:rPr>
          <w:rFonts w:asciiTheme="majorBidi" w:hAnsiTheme="majorBidi" w:cstheme="majorBidi"/>
          <w:lang w:val="fr-FR"/>
        </w:rPr>
        <w:t>.</w:t>
      </w:r>
    </w:p>
    <w:p w:rsidR="00E772DD" w:rsidRPr="00AD5F90" w:rsidRDefault="00E772DD" w:rsidP="00E16C5A">
      <w:pPr>
        <w:spacing w:after="240" w:line="360" w:lineRule="auto"/>
        <w:jc w:val="both"/>
        <w:rPr>
          <w:rFonts w:asciiTheme="majorBidi" w:hAnsiTheme="majorBidi" w:cstheme="majorBidi"/>
          <w:lang w:val="fr-FR"/>
        </w:rPr>
      </w:pPr>
      <w:r w:rsidRPr="00AD5F90">
        <w:rPr>
          <w:rFonts w:asciiTheme="majorBidi" w:hAnsiTheme="majorBidi" w:cstheme="majorBidi"/>
          <w:lang w:val="fr-FR"/>
        </w:rPr>
        <w:t>Cette gestion englobe divers aspects, notamment les négociations collectives, la communication interne, la résolution des différends et la mise en œuvre de politiques sociales. Une approche proactive et collaborative dans la gestion des relations sociales contribue à renforcer la cohésion d'équipe, à accroître la motivation des employés et à améliorer la performance globale de l'entreprise.</w:t>
      </w:r>
    </w:p>
    <w:p w:rsidR="00E772DD" w:rsidRPr="00FC74BF" w:rsidRDefault="00E772DD" w:rsidP="004D32AC">
      <w:pPr>
        <w:pStyle w:val="Titre3"/>
        <w:numPr>
          <w:ilvl w:val="2"/>
          <w:numId w:val="183"/>
        </w:numPr>
        <w:spacing w:after="0" w:afterAutospacing="0" w:line="360" w:lineRule="auto"/>
        <w:rPr>
          <w:sz w:val="24"/>
          <w:szCs w:val="24"/>
          <w:lang w:val="fr-FR"/>
        </w:rPr>
      </w:pPr>
      <w:bookmarkStart w:id="596" w:name="_Toc199714299"/>
      <w:bookmarkStart w:id="597" w:name="_Toc200486577"/>
      <w:bookmarkStart w:id="598" w:name="_Toc200635353"/>
      <w:bookmarkStart w:id="599" w:name="_Toc200635741"/>
      <w:bookmarkStart w:id="600" w:name="_Toc200636130"/>
      <w:bookmarkStart w:id="601" w:name="_Toc200755867"/>
      <w:r w:rsidRPr="00FC74BF">
        <w:rPr>
          <w:sz w:val="24"/>
          <w:szCs w:val="24"/>
          <w:lang w:val="fr-FR"/>
        </w:rPr>
        <w:t>L’importance de la gestion des relations sociales :</w:t>
      </w:r>
      <w:bookmarkEnd w:id="596"/>
      <w:bookmarkEnd w:id="597"/>
      <w:bookmarkEnd w:id="598"/>
      <w:bookmarkEnd w:id="599"/>
      <w:bookmarkEnd w:id="600"/>
      <w:bookmarkEnd w:id="601"/>
    </w:p>
    <w:p w:rsidR="00E772DD" w:rsidRPr="00FB557C" w:rsidRDefault="00E772DD" w:rsidP="00FC74BF">
      <w:pPr>
        <w:spacing w:after="240" w:line="360" w:lineRule="auto"/>
        <w:jc w:val="both"/>
        <w:rPr>
          <w:rFonts w:asciiTheme="majorBidi" w:hAnsiTheme="majorBidi" w:cstheme="majorBidi"/>
          <w:lang w:val="fr-FR"/>
        </w:rPr>
      </w:pPr>
      <w:r w:rsidRPr="00FB557C">
        <w:rPr>
          <w:rFonts w:asciiTheme="majorBidi" w:hAnsiTheme="majorBidi" w:cstheme="majorBidi"/>
          <w:lang w:val="fr-FR"/>
        </w:rPr>
        <w:t>La gestion des relations sociales constitue un levier essentiel pour maintenir un climat de travail serein, prévenir les tensions collectives et renforcer le dialogue entre les partenaires sociaux.</w:t>
      </w:r>
    </w:p>
    <w:p w:rsidR="00E772DD" w:rsidRPr="00AD5F90" w:rsidRDefault="00E772DD" w:rsidP="004D32AC">
      <w:pPr>
        <w:pStyle w:val="Paragraphedeliste"/>
        <w:numPr>
          <w:ilvl w:val="0"/>
          <w:numId w:val="66"/>
        </w:numPr>
        <w:spacing w:line="360" w:lineRule="auto"/>
        <w:jc w:val="both"/>
        <w:rPr>
          <w:rFonts w:asciiTheme="majorBidi" w:hAnsiTheme="majorBidi" w:cstheme="majorBidi"/>
          <w:lang w:val="fr-FR"/>
        </w:rPr>
      </w:pPr>
      <w:r w:rsidRPr="00AD5F90">
        <w:rPr>
          <w:rFonts w:asciiTheme="majorBidi" w:hAnsiTheme="majorBidi" w:cstheme="majorBidi"/>
          <w:b/>
          <w:bCs/>
          <w:lang w:val="fr-FR"/>
        </w:rPr>
        <w:t>Amélioration des conditions de travail</w:t>
      </w:r>
      <w:r w:rsidRPr="00AD5F90">
        <w:rPr>
          <w:rFonts w:asciiTheme="majorBidi" w:hAnsiTheme="majorBidi" w:cstheme="majorBidi"/>
          <w:lang w:val="fr-FR"/>
        </w:rPr>
        <w:t> : Une gestion efficace des relations sociales contribue à créer un environnement de travail agréable, renforçant ainsi la motivation et la loyauté des employés</w:t>
      </w:r>
      <w:r w:rsidRPr="00AD5F90">
        <w:rPr>
          <w:rStyle w:val="Appelnotedebasdep"/>
          <w:lang w:val="fr-FR"/>
        </w:rPr>
        <w:footnoteReference w:id="106"/>
      </w:r>
      <w:r w:rsidRPr="00AD5F90">
        <w:rPr>
          <w:rFonts w:asciiTheme="majorBidi" w:hAnsiTheme="majorBidi" w:cstheme="majorBidi"/>
          <w:lang w:val="fr-FR"/>
        </w:rPr>
        <w:t>.</w:t>
      </w:r>
    </w:p>
    <w:p w:rsidR="00E772DD" w:rsidRPr="00AD5F90" w:rsidRDefault="00E772DD" w:rsidP="004D32AC">
      <w:pPr>
        <w:pStyle w:val="Paragraphedeliste"/>
        <w:numPr>
          <w:ilvl w:val="0"/>
          <w:numId w:val="66"/>
        </w:numPr>
        <w:spacing w:line="360" w:lineRule="auto"/>
        <w:jc w:val="both"/>
        <w:rPr>
          <w:rFonts w:asciiTheme="majorBidi" w:hAnsiTheme="majorBidi" w:cstheme="majorBidi"/>
          <w:lang w:val="fr-FR"/>
        </w:rPr>
      </w:pPr>
      <w:r w:rsidRPr="00AD5F90">
        <w:rPr>
          <w:rFonts w:asciiTheme="majorBidi" w:hAnsiTheme="majorBidi" w:cstheme="majorBidi"/>
          <w:b/>
          <w:bCs/>
          <w:lang w:val="fr-FR"/>
        </w:rPr>
        <w:lastRenderedPageBreak/>
        <w:t>Prévention des conflits</w:t>
      </w:r>
      <w:r w:rsidRPr="00AD5F90">
        <w:rPr>
          <w:rFonts w:asciiTheme="majorBidi" w:hAnsiTheme="majorBidi" w:cstheme="majorBidi"/>
          <w:lang w:val="fr-FR"/>
        </w:rPr>
        <w:t> : En favorisant le dialogue et l'échange, l'entreprise peut anticiper et résoudre les tensions avant qu'elles ne dégénèrent en conflits ouverts</w:t>
      </w:r>
      <w:r w:rsidRPr="00AD5F90">
        <w:rPr>
          <w:rStyle w:val="Appelnotedebasdep"/>
          <w:lang w:val="fr-FR"/>
        </w:rPr>
        <w:footnoteReference w:id="107"/>
      </w:r>
      <w:r w:rsidRPr="00AD5F90">
        <w:rPr>
          <w:rFonts w:asciiTheme="majorBidi" w:hAnsiTheme="majorBidi" w:cstheme="majorBidi"/>
          <w:lang w:val="fr-FR"/>
        </w:rPr>
        <w:t>.</w:t>
      </w:r>
    </w:p>
    <w:p w:rsidR="00E772DD" w:rsidRPr="00AD5F90" w:rsidRDefault="00E772DD" w:rsidP="004D32AC">
      <w:pPr>
        <w:pStyle w:val="Paragraphedeliste"/>
        <w:numPr>
          <w:ilvl w:val="0"/>
          <w:numId w:val="66"/>
        </w:numPr>
        <w:spacing w:line="360" w:lineRule="auto"/>
        <w:jc w:val="both"/>
        <w:rPr>
          <w:rFonts w:asciiTheme="majorBidi" w:hAnsiTheme="majorBidi" w:cstheme="majorBidi"/>
          <w:lang w:val="fr-FR"/>
        </w:rPr>
      </w:pPr>
      <w:r w:rsidRPr="00AD5F90">
        <w:rPr>
          <w:rFonts w:asciiTheme="majorBidi" w:hAnsiTheme="majorBidi" w:cstheme="majorBidi"/>
          <w:b/>
          <w:bCs/>
          <w:lang w:val="fr-FR"/>
        </w:rPr>
        <w:t>Attraction et rétention des talents</w:t>
      </w:r>
      <w:r w:rsidRPr="00AD5F90">
        <w:rPr>
          <w:rFonts w:asciiTheme="majorBidi" w:hAnsiTheme="majorBidi" w:cstheme="majorBidi"/>
          <w:lang w:val="fr-FR"/>
        </w:rPr>
        <w:t> : Un climat social positif renforce l'image de l'entreprise, la rendant plus attractive pour les talents et contribuant à fidéliser les employés actuels</w:t>
      </w:r>
      <w:r w:rsidRPr="00AD5F90">
        <w:rPr>
          <w:rStyle w:val="Appelnotedebasdep"/>
          <w:lang w:val="fr-FR"/>
        </w:rPr>
        <w:footnoteReference w:id="108"/>
      </w:r>
      <w:r w:rsidRPr="00AD5F90">
        <w:rPr>
          <w:rFonts w:asciiTheme="majorBidi" w:hAnsiTheme="majorBidi" w:cstheme="majorBidi"/>
          <w:lang w:val="fr-FR"/>
        </w:rPr>
        <w:t>.</w:t>
      </w:r>
    </w:p>
    <w:p w:rsidR="00D77B02" w:rsidRPr="002C7523" w:rsidRDefault="00E772DD" w:rsidP="002C7523">
      <w:pPr>
        <w:pStyle w:val="Paragraphedeliste"/>
        <w:numPr>
          <w:ilvl w:val="0"/>
          <w:numId w:val="66"/>
        </w:numPr>
        <w:spacing w:before="240" w:line="360" w:lineRule="auto"/>
        <w:jc w:val="both"/>
        <w:rPr>
          <w:rFonts w:asciiTheme="majorBidi" w:hAnsiTheme="majorBidi" w:cstheme="majorBidi"/>
          <w:lang w:val="fr-FR"/>
        </w:rPr>
      </w:pPr>
      <w:r w:rsidRPr="00AD5F90">
        <w:rPr>
          <w:rFonts w:asciiTheme="majorBidi" w:hAnsiTheme="majorBidi" w:cstheme="majorBidi"/>
          <w:b/>
          <w:bCs/>
          <w:lang w:val="fr-FR"/>
        </w:rPr>
        <w:t>Performance organisationnelle</w:t>
      </w:r>
      <w:r w:rsidRPr="00AD5F90">
        <w:rPr>
          <w:rFonts w:asciiTheme="majorBidi" w:hAnsiTheme="majorBidi" w:cstheme="majorBidi"/>
          <w:lang w:val="fr-FR"/>
        </w:rPr>
        <w:t> : Des relations sociales de qualité sont un levier pour améliorer la performance globale de l'entreprise en favorisant la collaboration et l'engagement des équipes.</w:t>
      </w:r>
    </w:p>
    <w:p w:rsidR="00E772DD" w:rsidRPr="00FC74BF" w:rsidRDefault="00E772DD" w:rsidP="004D32AC">
      <w:pPr>
        <w:pStyle w:val="Titre3"/>
        <w:numPr>
          <w:ilvl w:val="2"/>
          <w:numId w:val="183"/>
        </w:numPr>
        <w:spacing w:after="0" w:afterAutospacing="0" w:line="360" w:lineRule="auto"/>
        <w:rPr>
          <w:sz w:val="24"/>
          <w:szCs w:val="24"/>
          <w:lang w:val="fr-FR"/>
        </w:rPr>
      </w:pPr>
      <w:bookmarkStart w:id="602" w:name="_Toc199714300"/>
      <w:bookmarkStart w:id="603" w:name="_Toc200486578"/>
      <w:bookmarkStart w:id="604" w:name="_Toc200635354"/>
      <w:bookmarkStart w:id="605" w:name="_Toc200635742"/>
      <w:bookmarkStart w:id="606" w:name="_Toc200636131"/>
      <w:bookmarkStart w:id="607" w:name="_Toc200755868"/>
      <w:r w:rsidRPr="00FC74BF">
        <w:rPr>
          <w:sz w:val="24"/>
          <w:szCs w:val="24"/>
          <w:lang w:val="fr-FR"/>
        </w:rPr>
        <w:t>Stratégies pour une gestion efficace des relations sociales</w:t>
      </w:r>
      <w:bookmarkEnd w:id="602"/>
      <w:bookmarkEnd w:id="603"/>
      <w:bookmarkEnd w:id="604"/>
      <w:bookmarkEnd w:id="605"/>
      <w:bookmarkEnd w:id="606"/>
      <w:bookmarkEnd w:id="607"/>
      <w:r w:rsidRPr="00FC74BF">
        <w:rPr>
          <w:sz w:val="24"/>
          <w:szCs w:val="24"/>
          <w:lang w:val="fr-FR"/>
        </w:rPr>
        <w:t xml:space="preserve"> </w:t>
      </w:r>
    </w:p>
    <w:p w:rsidR="00E772DD" w:rsidRPr="00FB557C" w:rsidRDefault="00E772DD" w:rsidP="00FC74BF">
      <w:pPr>
        <w:spacing w:line="360" w:lineRule="auto"/>
        <w:jc w:val="both"/>
        <w:rPr>
          <w:rFonts w:asciiTheme="majorBidi" w:hAnsiTheme="majorBidi" w:cstheme="majorBidi"/>
          <w:lang w:val="fr-FR"/>
        </w:rPr>
      </w:pPr>
      <w:r w:rsidRPr="00FB557C">
        <w:rPr>
          <w:rFonts w:asciiTheme="majorBidi" w:hAnsiTheme="majorBidi" w:cstheme="majorBidi"/>
          <w:lang w:val="fr-FR"/>
        </w:rPr>
        <w:t>Une gestion efficace des relations sociales repose sur la mise en place de stratégies adaptées visant à favoriser le dialogue, prévenir les conflits et renforcer la coopération entre les différents acteurs de l’organisation.</w:t>
      </w:r>
    </w:p>
    <w:p w:rsidR="00E772DD" w:rsidRPr="00AD5F90" w:rsidRDefault="00E772DD" w:rsidP="004D32AC">
      <w:pPr>
        <w:numPr>
          <w:ilvl w:val="0"/>
          <w:numId w:val="56"/>
        </w:numPr>
        <w:spacing w:line="360" w:lineRule="auto"/>
        <w:jc w:val="both"/>
        <w:rPr>
          <w:rFonts w:asciiTheme="majorBidi" w:hAnsiTheme="majorBidi" w:cstheme="majorBidi"/>
          <w:lang w:val="fr-FR"/>
        </w:rPr>
      </w:pPr>
      <w:r w:rsidRPr="00AD5F90">
        <w:rPr>
          <w:rFonts w:asciiTheme="majorBidi" w:hAnsiTheme="majorBidi" w:cstheme="majorBidi"/>
          <w:b/>
          <w:bCs/>
          <w:lang w:val="fr-FR"/>
        </w:rPr>
        <w:t>Favoriser le dialogue et la communication</w:t>
      </w:r>
      <w:r w:rsidRPr="00AD5F90">
        <w:rPr>
          <w:rFonts w:asciiTheme="majorBidi" w:hAnsiTheme="majorBidi" w:cstheme="majorBidi"/>
          <w:lang w:val="fr-FR"/>
        </w:rPr>
        <w:t> : Mettre en place des canaux de communication ouverts entre la direction et les employés pour échanger sur les préoccupations et les suggestions.</w:t>
      </w:r>
    </w:p>
    <w:p w:rsidR="00E772DD" w:rsidRPr="00AD5F90" w:rsidRDefault="00E772DD" w:rsidP="004D32AC">
      <w:pPr>
        <w:numPr>
          <w:ilvl w:val="0"/>
          <w:numId w:val="56"/>
        </w:numPr>
        <w:spacing w:line="360" w:lineRule="auto"/>
        <w:jc w:val="both"/>
        <w:rPr>
          <w:rFonts w:asciiTheme="majorBidi" w:hAnsiTheme="majorBidi" w:cstheme="majorBidi"/>
          <w:lang w:val="fr-FR"/>
        </w:rPr>
      </w:pPr>
      <w:r w:rsidRPr="00AD5F90">
        <w:rPr>
          <w:rFonts w:asciiTheme="majorBidi" w:hAnsiTheme="majorBidi" w:cstheme="majorBidi"/>
          <w:b/>
          <w:bCs/>
          <w:lang w:val="fr-FR"/>
        </w:rPr>
        <w:t>Adopter un management participatif</w:t>
      </w:r>
      <w:r w:rsidRPr="00AD5F90">
        <w:rPr>
          <w:rFonts w:asciiTheme="majorBidi" w:hAnsiTheme="majorBidi" w:cstheme="majorBidi"/>
          <w:lang w:val="fr-FR"/>
        </w:rPr>
        <w:t> : Impliquer les salariés dans les processus décisionnels pour renforcer leur sentiment d'appartenance et leur engagement.</w:t>
      </w:r>
    </w:p>
    <w:p w:rsidR="00E772DD" w:rsidRPr="00AD5F90" w:rsidRDefault="00E772DD" w:rsidP="004D32AC">
      <w:pPr>
        <w:numPr>
          <w:ilvl w:val="0"/>
          <w:numId w:val="56"/>
        </w:numPr>
        <w:spacing w:line="360" w:lineRule="auto"/>
        <w:jc w:val="both"/>
        <w:rPr>
          <w:rFonts w:asciiTheme="majorBidi" w:hAnsiTheme="majorBidi" w:cstheme="majorBidi"/>
          <w:lang w:val="fr-FR"/>
        </w:rPr>
      </w:pPr>
      <w:r w:rsidRPr="00AD5F90">
        <w:rPr>
          <w:rFonts w:asciiTheme="majorBidi" w:hAnsiTheme="majorBidi" w:cstheme="majorBidi"/>
          <w:b/>
          <w:bCs/>
          <w:lang w:val="fr-FR"/>
        </w:rPr>
        <w:t>Former les managers</w:t>
      </w:r>
      <w:r w:rsidRPr="00AD5F90">
        <w:rPr>
          <w:rFonts w:asciiTheme="majorBidi" w:hAnsiTheme="majorBidi" w:cstheme="majorBidi"/>
          <w:lang w:val="fr-FR"/>
        </w:rPr>
        <w:t> : Développer les compétences des responsables en matière de gestion des relations humaines pour qu'ils puissent détecter et gérer efficacement les situations potentiellement conflictuelles.</w:t>
      </w:r>
    </w:p>
    <w:p w:rsidR="00E772DD" w:rsidRPr="00AD5F90" w:rsidRDefault="00E772DD" w:rsidP="004D32AC">
      <w:pPr>
        <w:numPr>
          <w:ilvl w:val="0"/>
          <w:numId w:val="56"/>
        </w:numPr>
        <w:spacing w:line="360" w:lineRule="auto"/>
        <w:jc w:val="both"/>
        <w:rPr>
          <w:rFonts w:asciiTheme="majorBidi" w:hAnsiTheme="majorBidi" w:cstheme="majorBidi"/>
          <w:lang w:val="fr-FR"/>
        </w:rPr>
      </w:pPr>
      <w:r w:rsidRPr="00AD5F90">
        <w:rPr>
          <w:rFonts w:asciiTheme="majorBidi" w:hAnsiTheme="majorBidi" w:cstheme="majorBidi"/>
          <w:b/>
          <w:bCs/>
          <w:lang w:val="fr-FR"/>
        </w:rPr>
        <w:t>Collaborer avec les instances représentatives du personnel</w:t>
      </w:r>
      <w:r w:rsidRPr="00AD5F90">
        <w:rPr>
          <w:rFonts w:asciiTheme="majorBidi" w:hAnsiTheme="majorBidi" w:cstheme="majorBidi"/>
          <w:lang w:val="fr-FR"/>
        </w:rPr>
        <w:t xml:space="preserve"> : Travailler en étroite collaboration avec les syndicats et les comités sociaux et économiques (CSE) pour </w:t>
      </w:r>
      <w:proofErr w:type="spellStart"/>
      <w:r w:rsidRPr="00AD5F90">
        <w:rPr>
          <w:rFonts w:asciiTheme="majorBidi" w:hAnsiTheme="majorBidi" w:cstheme="majorBidi"/>
          <w:lang w:val="fr-FR"/>
        </w:rPr>
        <w:t>co-construire</w:t>
      </w:r>
      <w:proofErr w:type="spellEnd"/>
      <w:r w:rsidRPr="00AD5F90">
        <w:rPr>
          <w:rFonts w:asciiTheme="majorBidi" w:hAnsiTheme="majorBidi" w:cstheme="majorBidi"/>
          <w:lang w:val="fr-FR"/>
        </w:rPr>
        <w:t xml:space="preserve"> des solutions adaptées aux besoins des salariés et de l'entreprise.</w:t>
      </w:r>
    </w:p>
    <w:p w:rsidR="00E772DD" w:rsidRPr="00AD5F90" w:rsidRDefault="00E772DD" w:rsidP="0061744D">
      <w:pPr>
        <w:spacing w:after="240" w:line="360" w:lineRule="auto"/>
        <w:jc w:val="both"/>
        <w:rPr>
          <w:rFonts w:asciiTheme="majorBidi" w:hAnsiTheme="majorBidi" w:cstheme="majorBidi"/>
          <w:lang w:val="fr-FR"/>
        </w:rPr>
      </w:pPr>
      <w:r w:rsidRPr="00AD5F90">
        <w:rPr>
          <w:rFonts w:asciiTheme="majorBidi" w:hAnsiTheme="majorBidi" w:cstheme="majorBidi"/>
          <w:lang w:val="fr-FR"/>
        </w:rPr>
        <w:t>En résumé, la gestion des relations sociales est un pilier essentiel de la stratégie des ressources humaines, visant à équilibrer les intérêts de l'entreprise et des salariés pour assurer un développement harmonieux et durable de l'organisation.</w:t>
      </w:r>
    </w:p>
    <w:p w:rsidR="00E772DD" w:rsidRPr="00FC74BF" w:rsidRDefault="00E772DD" w:rsidP="004D32AC">
      <w:pPr>
        <w:pStyle w:val="Titre3"/>
        <w:numPr>
          <w:ilvl w:val="0"/>
          <w:numId w:val="183"/>
        </w:numPr>
        <w:spacing w:after="0" w:afterAutospacing="0" w:line="360" w:lineRule="auto"/>
        <w:rPr>
          <w:sz w:val="24"/>
          <w:szCs w:val="24"/>
          <w:lang w:val="fr-FR"/>
        </w:rPr>
      </w:pPr>
      <w:bookmarkStart w:id="608" w:name="_Toc199714301"/>
      <w:bookmarkStart w:id="609" w:name="_Toc200486579"/>
      <w:bookmarkStart w:id="610" w:name="_Toc200635355"/>
      <w:bookmarkStart w:id="611" w:name="_Toc200635743"/>
      <w:bookmarkStart w:id="612" w:name="_Toc200636132"/>
      <w:bookmarkStart w:id="613" w:name="_Toc200755869"/>
      <w:r w:rsidRPr="00FC74BF">
        <w:rPr>
          <w:sz w:val="24"/>
          <w:szCs w:val="24"/>
          <w:lang w:val="fr-FR"/>
        </w:rPr>
        <w:t>Les enjeux actuels de la GRH</w:t>
      </w:r>
      <w:bookmarkEnd w:id="608"/>
      <w:bookmarkEnd w:id="609"/>
      <w:bookmarkEnd w:id="610"/>
      <w:bookmarkEnd w:id="611"/>
      <w:bookmarkEnd w:id="612"/>
      <w:bookmarkEnd w:id="613"/>
    </w:p>
    <w:p w:rsidR="00E772DD" w:rsidRPr="0061744D" w:rsidRDefault="00E772DD" w:rsidP="00FC74BF">
      <w:pPr>
        <w:spacing w:line="360" w:lineRule="auto"/>
        <w:jc w:val="both"/>
        <w:rPr>
          <w:rFonts w:asciiTheme="majorBidi" w:hAnsiTheme="majorBidi" w:cstheme="majorBidi"/>
          <w:lang w:val="fr-FR"/>
        </w:rPr>
      </w:pPr>
      <w:r w:rsidRPr="0061744D">
        <w:rPr>
          <w:rFonts w:asciiTheme="majorBidi" w:hAnsiTheme="majorBidi" w:cstheme="majorBidi"/>
          <w:lang w:val="fr-FR"/>
        </w:rPr>
        <w:t xml:space="preserve">Dans un contexte économique en constante évolution, les organisations sont appelées à concilier performance et durabilité. La gestion des ressources humaines joue un rôle central </w:t>
      </w:r>
      <w:r w:rsidRPr="0061744D">
        <w:rPr>
          <w:rFonts w:asciiTheme="majorBidi" w:hAnsiTheme="majorBidi" w:cstheme="majorBidi"/>
          <w:lang w:val="fr-FR"/>
        </w:rPr>
        <w:lastRenderedPageBreak/>
        <w:t>dans ce développement harmonieux, en répondant aux nouveaux enjeux liés à la transformation numérique, à la responsabilité sociale, et à l’attractivité des talents.</w:t>
      </w:r>
    </w:p>
    <w:p w:rsidR="00E772DD" w:rsidRPr="00FB557C" w:rsidRDefault="00E772DD" w:rsidP="00FB557C">
      <w:pPr>
        <w:spacing w:line="360" w:lineRule="auto"/>
        <w:jc w:val="center"/>
        <w:rPr>
          <w:rFonts w:asciiTheme="majorBidi" w:hAnsiTheme="majorBidi" w:cstheme="majorBidi"/>
          <w:lang w:val="fr-FR"/>
        </w:rPr>
      </w:pPr>
      <w:r w:rsidRPr="00AD5F90">
        <w:rPr>
          <w:rFonts w:asciiTheme="majorBidi" w:hAnsiTheme="majorBidi" w:cstheme="majorBidi"/>
          <w:noProof/>
          <w:lang w:val="fr-FR"/>
        </w:rPr>
        <w:drawing>
          <wp:anchor distT="0" distB="0" distL="114300" distR="114300" simplePos="0" relativeHeight="251677696" behindDoc="0" locked="0" layoutInCell="1" allowOverlap="1" wp14:anchorId="52035F98" wp14:editId="667727A7">
            <wp:simplePos x="0" y="0"/>
            <wp:positionH relativeFrom="column">
              <wp:posOffset>969645</wp:posOffset>
            </wp:positionH>
            <wp:positionV relativeFrom="paragraph">
              <wp:posOffset>487692</wp:posOffset>
            </wp:positionV>
            <wp:extent cx="3243580" cy="4119880"/>
            <wp:effectExtent l="0" t="38100" r="0" b="71120"/>
            <wp:wrapTopAndBottom/>
            <wp:docPr id="163771460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H relativeFrom="page">
              <wp14:pctWidth>0</wp14:pctWidth>
            </wp14:sizeRelH>
            <wp14:sizeRelV relativeFrom="page">
              <wp14:pctHeight>0</wp14:pctHeight>
            </wp14:sizeRelV>
          </wp:anchor>
        </w:drawing>
      </w:r>
      <w:r w:rsidRPr="00AD5F90">
        <w:rPr>
          <w:rFonts w:asciiTheme="majorBidi" w:hAnsiTheme="majorBidi" w:cstheme="majorBidi"/>
          <w:b/>
          <w:bCs/>
          <w:lang w:val="fr-FR"/>
        </w:rPr>
        <w:t xml:space="preserve">Figure </w:t>
      </w:r>
      <w:r>
        <w:rPr>
          <w:rFonts w:asciiTheme="majorBidi" w:hAnsiTheme="majorBidi" w:cstheme="majorBidi"/>
          <w:b/>
          <w:bCs/>
          <w:lang w:val="fr-FR"/>
        </w:rPr>
        <w:t>N°06</w:t>
      </w:r>
      <w:r w:rsidRPr="00AD5F90">
        <w:rPr>
          <w:rFonts w:asciiTheme="majorBidi" w:hAnsiTheme="majorBidi" w:cstheme="majorBidi"/>
          <w:b/>
          <w:bCs/>
          <w:lang w:val="fr-FR"/>
        </w:rPr>
        <w:t xml:space="preserve"> : </w:t>
      </w:r>
      <w:r w:rsidRPr="00FB557C">
        <w:rPr>
          <w:rFonts w:asciiTheme="majorBidi" w:hAnsiTheme="majorBidi" w:cstheme="majorBidi"/>
          <w:lang w:val="fr-FR"/>
        </w:rPr>
        <w:t>Les défis de la gestion des ressources humaines dans une économie mondialisée</w:t>
      </w:r>
    </w:p>
    <w:p w:rsidR="00E772DD" w:rsidRPr="00AD5F90" w:rsidRDefault="00E772DD" w:rsidP="00AA15A0">
      <w:pPr>
        <w:spacing w:line="360" w:lineRule="auto"/>
        <w:jc w:val="both"/>
        <w:rPr>
          <w:rFonts w:asciiTheme="majorBidi" w:hAnsiTheme="majorBidi" w:cstheme="majorBidi"/>
          <w:b/>
          <w:bCs/>
          <w:lang w:val="fr-FR"/>
        </w:rPr>
      </w:pPr>
    </w:p>
    <w:p w:rsidR="00E772DD" w:rsidRPr="00041AE7" w:rsidRDefault="00E772DD" w:rsidP="00041AE7">
      <w:pPr>
        <w:spacing w:after="240" w:line="360" w:lineRule="auto"/>
        <w:jc w:val="center"/>
        <w:rPr>
          <w:rFonts w:asciiTheme="majorBidi" w:hAnsiTheme="majorBidi" w:cstheme="majorBidi"/>
          <w:lang w:val="fr-FR"/>
        </w:rPr>
      </w:pPr>
      <w:r w:rsidRPr="00AD5F90">
        <w:rPr>
          <w:rFonts w:asciiTheme="majorBidi" w:hAnsiTheme="majorBidi" w:cstheme="majorBidi"/>
          <w:b/>
          <w:bCs/>
          <w:lang w:val="fr-FR"/>
        </w:rPr>
        <w:t>Source :</w:t>
      </w:r>
      <w:r w:rsidRPr="00AD5F90">
        <w:rPr>
          <w:rFonts w:asciiTheme="majorBidi" w:hAnsiTheme="majorBidi" w:cstheme="majorBidi"/>
          <w:lang w:val="fr-FR"/>
        </w:rPr>
        <w:t xml:space="preserve"> </w:t>
      </w:r>
      <w:proofErr w:type="spellStart"/>
      <w:r w:rsidRPr="00AD5F90">
        <w:rPr>
          <w:rFonts w:asciiTheme="majorBidi" w:hAnsiTheme="majorBidi" w:cstheme="majorBidi"/>
          <w:lang w:val="fr-FR"/>
        </w:rPr>
        <w:t>Redirect</w:t>
      </w:r>
      <w:proofErr w:type="spellEnd"/>
      <w:r w:rsidRPr="00AD5F90">
        <w:rPr>
          <w:rFonts w:asciiTheme="majorBidi" w:hAnsiTheme="majorBidi" w:cstheme="majorBidi"/>
          <w:lang w:val="fr-FR"/>
        </w:rPr>
        <w:t xml:space="preserve"> notice. (</w:t>
      </w:r>
      <w:proofErr w:type="spellStart"/>
      <w:r w:rsidRPr="00AD5F90">
        <w:rPr>
          <w:rFonts w:asciiTheme="majorBidi" w:hAnsiTheme="majorBidi" w:cstheme="majorBidi"/>
          <w:lang w:val="fr-FR"/>
        </w:rPr>
        <w:t>n.d</w:t>
      </w:r>
      <w:proofErr w:type="spellEnd"/>
      <w:r w:rsidRPr="00AD5F90">
        <w:rPr>
          <w:rFonts w:asciiTheme="majorBidi" w:hAnsiTheme="majorBidi" w:cstheme="majorBidi"/>
          <w:lang w:val="fr-FR"/>
        </w:rPr>
        <w:t xml:space="preserve">.). </w:t>
      </w:r>
      <w:hyperlink r:id="rId40" w:history="1">
        <w:r w:rsidRPr="00AD5F90">
          <w:rPr>
            <w:rStyle w:val="Lienhypertexte"/>
            <w:rFonts w:asciiTheme="majorBidi" w:eastAsiaTheme="majorEastAsia" w:hAnsiTheme="majorBidi"/>
            <w:lang w:val="fr-FR"/>
          </w:rPr>
          <w:t>https://www.google.com/url?sa=i&amp;url=https%3A%2F%2Ffastercapital.com%2Ffr%2Fsujet%2Fcomprendre-les-d%25C3%25A9fis-uniques-de-la-gestion-des-ressources-humaines-dans-les-h%25C3%25B4pitaux.html&amp;psig=AOvVaw1bLg11Bh4rZ70vEke4C0X9&amp;ust=1740910480998000&amp;source=images&amp;cd=vfe&amp;opi=89978449&amp;ved=0CBkQjhxqFwoTCLDqrorT6IsDFQAAAAAdAAAAABAE</w:t>
        </w:r>
      </w:hyperlink>
    </w:p>
    <w:p w:rsidR="00E772DD" w:rsidRPr="00FC74BF" w:rsidRDefault="00E772DD" w:rsidP="004D32AC">
      <w:pPr>
        <w:pStyle w:val="Titre3"/>
        <w:numPr>
          <w:ilvl w:val="1"/>
          <w:numId w:val="183"/>
        </w:numPr>
        <w:spacing w:after="0" w:afterAutospacing="0" w:line="360" w:lineRule="auto"/>
        <w:rPr>
          <w:sz w:val="24"/>
          <w:szCs w:val="24"/>
          <w:lang w:val="fr-FR"/>
        </w:rPr>
      </w:pPr>
      <w:bookmarkStart w:id="614" w:name="_Toc199714302"/>
      <w:bookmarkStart w:id="615" w:name="_Toc200486580"/>
      <w:bookmarkStart w:id="616" w:name="_Toc200635356"/>
      <w:bookmarkStart w:id="617" w:name="_Toc200635744"/>
      <w:bookmarkStart w:id="618" w:name="_Toc200636133"/>
      <w:bookmarkStart w:id="619" w:name="_Toc200755870"/>
      <w:r w:rsidRPr="00FC74BF">
        <w:rPr>
          <w:sz w:val="24"/>
          <w:szCs w:val="24"/>
          <w:lang w:val="fr-FR"/>
        </w:rPr>
        <w:t>L’évolution du rôle des RH face aux nouvelles attentes des employés</w:t>
      </w:r>
      <w:bookmarkEnd w:id="614"/>
      <w:bookmarkEnd w:id="615"/>
      <w:bookmarkEnd w:id="616"/>
      <w:bookmarkEnd w:id="617"/>
      <w:bookmarkEnd w:id="618"/>
      <w:bookmarkEnd w:id="619"/>
      <w:r w:rsidRPr="00FC74BF">
        <w:rPr>
          <w:sz w:val="24"/>
          <w:szCs w:val="24"/>
          <w:lang w:val="fr-FR"/>
        </w:rPr>
        <w:t xml:space="preserve"> </w:t>
      </w:r>
    </w:p>
    <w:p w:rsidR="00FC74BF" w:rsidRDefault="00E772DD" w:rsidP="00FC74BF">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Les transformations économiques, technologiques et sociétales ont profondément modifié la perception du travail et les attentes des employés. Autrefois centrée sur la gestion administrative et contractuelle, la fonction RH a évolué vers un rôle stratégique visant à assurer </w:t>
      </w:r>
      <w:r w:rsidRPr="00AD5F90">
        <w:rPr>
          <w:rFonts w:asciiTheme="majorBidi" w:hAnsiTheme="majorBidi" w:cstheme="majorBidi"/>
          <w:color w:val="000000"/>
          <w:lang w:val="fr-FR"/>
        </w:rPr>
        <w:lastRenderedPageBreak/>
        <w:t>l’engagement des salariés et leur bien-être tout en garantissant la performance des organisations</w:t>
      </w:r>
      <w:r w:rsidR="00FC74BF">
        <w:rPr>
          <w:rFonts w:asciiTheme="majorBidi" w:hAnsiTheme="majorBidi" w:cstheme="majorBidi"/>
          <w:color w:val="000000"/>
          <w:lang w:val="fr-FR"/>
        </w:rPr>
        <w:t>.</w:t>
      </w:r>
      <w:r w:rsidRPr="00AD5F90">
        <w:rPr>
          <w:rStyle w:val="Appelnotedebasdep"/>
          <w:rFonts w:eastAsiaTheme="majorEastAsia"/>
          <w:color w:val="000000"/>
          <w:lang w:val="fr-FR"/>
        </w:rPr>
        <w:footnoteReference w:id="109"/>
      </w:r>
      <w:r w:rsidRPr="00AD5F90">
        <w:rPr>
          <w:rFonts w:asciiTheme="majorBidi" w:hAnsiTheme="majorBidi" w:cstheme="majorBidi"/>
          <w:color w:val="000000"/>
          <w:lang w:val="fr-FR"/>
        </w:rPr>
        <w:t xml:space="preserve"> </w:t>
      </w:r>
    </w:p>
    <w:p w:rsidR="00FC74BF" w:rsidRDefault="00E772DD" w:rsidP="00FC74BF">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Aujourd’hui, les employés recherchent un équilibre entre leur vie professionnelle et personnelle, un environnement de travail motivant et une reconnaissance accrue de leur contribution.</w:t>
      </w:r>
      <w:r w:rsidR="00FC74BF">
        <w:rPr>
          <w:rFonts w:asciiTheme="majorBidi" w:hAnsiTheme="majorBidi" w:cstheme="majorBidi"/>
          <w:color w:val="000000"/>
          <w:lang w:val="fr-FR"/>
        </w:rPr>
        <w:t xml:space="preserve"> </w:t>
      </w:r>
      <w:r w:rsidRPr="00AD5F90">
        <w:rPr>
          <w:rFonts w:asciiTheme="majorBidi" w:hAnsiTheme="majorBidi" w:cstheme="majorBidi"/>
          <w:color w:val="000000"/>
          <w:lang w:val="fr-FR"/>
        </w:rPr>
        <w:t>L’une des attentes majeures des employés concerne la</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flexibilité du travail</w:t>
      </w:r>
      <w:r w:rsidRPr="00AD5F90">
        <w:rPr>
          <w:rFonts w:asciiTheme="majorBidi" w:hAnsiTheme="majorBidi" w:cstheme="majorBidi"/>
          <w:b/>
          <w:bCs/>
          <w:color w:val="000000"/>
          <w:lang w:val="fr-FR"/>
        </w:rPr>
        <w:t>.</w:t>
      </w:r>
      <w:r w:rsidRPr="00AD5F90">
        <w:rPr>
          <w:rFonts w:asciiTheme="majorBidi" w:hAnsiTheme="majorBidi" w:cstheme="majorBidi"/>
          <w:color w:val="000000"/>
          <w:lang w:val="fr-FR"/>
        </w:rPr>
        <w:t xml:space="preserve"> L’essor du télétravail et des horaires aménagés a conduit les entreprises à repenser leur organisation afin d’offrir davantage d’autonomie à leurs collaborateurs</w:t>
      </w:r>
      <w:r w:rsidR="00FC74BF">
        <w:rPr>
          <w:rFonts w:asciiTheme="majorBidi" w:hAnsiTheme="majorBidi" w:cstheme="majorBidi"/>
          <w:color w:val="000000"/>
          <w:lang w:val="fr-FR"/>
        </w:rPr>
        <w:t>.</w:t>
      </w:r>
      <w:r w:rsidRPr="00AD5F90">
        <w:rPr>
          <w:rStyle w:val="Appelnotedebasdep"/>
          <w:rFonts w:eastAsiaTheme="majorEastAsia"/>
          <w:color w:val="000000"/>
          <w:lang w:val="fr-FR"/>
        </w:rPr>
        <w:footnoteReference w:id="110"/>
      </w:r>
      <w:r w:rsidRPr="00AD5F90">
        <w:rPr>
          <w:rFonts w:asciiTheme="majorBidi" w:hAnsiTheme="majorBidi" w:cstheme="majorBidi"/>
          <w:color w:val="000000"/>
          <w:lang w:val="fr-FR"/>
        </w:rPr>
        <w:t xml:space="preserve"> </w:t>
      </w:r>
    </w:p>
    <w:p w:rsidR="00E772DD" w:rsidRPr="00AD5F90" w:rsidRDefault="00E772DD" w:rsidP="00FC74BF">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Cette flexibilité est perçue comme un levier essentiel de motivation et de satisfaction, permettant d’améliorer la productivité tout en favorisant le bien-être au travail</w:t>
      </w:r>
      <w:r w:rsidRPr="00AD5F90">
        <w:rPr>
          <w:rStyle w:val="Appelnotedebasdep"/>
          <w:rFonts w:eastAsiaTheme="majorEastAsia"/>
          <w:color w:val="000000"/>
          <w:lang w:val="fr-FR"/>
        </w:rPr>
        <w:footnoteReference w:id="111"/>
      </w:r>
      <w:r w:rsidRPr="00AD5F90">
        <w:rPr>
          <w:rFonts w:asciiTheme="majorBidi" w:hAnsiTheme="majorBidi" w:cstheme="majorBidi"/>
          <w:color w:val="000000"/>
          <w:lang w:val="fr-FR"/>
        </w:rPr>
        <w:t>.</w:t>
      </w:r>
    </w:p>
    <w:p w:rsidR="00E772DD" w:rsidRPr="00AD5F90" w:rsidRDefault="00E772DD" w:rsidP="005C2CA5">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En parallèle, les salariés attachent une importance croissante à la</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reconnaissance et au développement professionnel</w:t>
      </w:r>
      <w:r w:rsidRPr="00AD5F90">
        <w:rPr>
          <w:rFonts w:asciiTheme="majorBidi" w:hAnsiTheme="majorBidi" w:cstheme="majorBidi"/>
          <w:color w:val="000000"/>
          <w:lang w:val="fr-FR"/>
        </w:rPr>
        <w:t>. Les politiques de gestion des talents doivent désormais intégrer des parcours de formation continue, des opportunités d’évolution interne et une culture de feedback positif. Une étude menée par McKinsey (2022)</w:t>
      </w:r>
      <w:r w:rsidRPr="00AD5F90">
        <w:rPr>
          <w:rStyle w:val="Appelnotedebasdep"/>
          <w:rFonts w:eastAsiaTheme="majorEastAsia"/>
          <w:color w:val="000000"/>
          <w:lang w:val="fr-FR"/>
        </w:rPr>
        <w:footnoteReference w:id="112"/>
      </w:r>
      <w:r w:rsidRPr="00AD5F90">
        <w:rPr>
          <w:rFonts w:asciiTheme="majorBidi" w:hAnsiTheme="majorBidi" w:cstheme="majorBidi"/>
          <w:color w:val="000000"/>
          <w:lang w:val="fr-FR"/>
        </w:rPr>
        <w:t xml:space="preserve"> souligne que les entreprises investissant dans le développement des compétences et la reconnaissance des efforts de leurs employés constatent une hausse significative de leur engagement et de leur fidélisation.</w:t>
      </w:r>
    </w:p>
    <w:p w:rsidR="00E772DD" w:rsidRPr="00754166" w:rsidRDefault="00E772DD" w:rsidP="00720872">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Enfin, les nouvelles générations accordent une place essentielle à la</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responsabilité sociale et environnementale des entreprises (RSE)</w:t>
      </w:r>
      <w:r w:rsidRPr="00AD5F90">
        <w:rPr>
          <w:rFonts w:asciiTheme="majorBidi" w:hAnsiTheme="majorBidi" w:cstheme="majorBidi"/>
          <w:color w:val="000000"/>
          <w:lang w:val="fr-FR"/>
        </w:rPr>
        <w:t>. Elles privilégient les employeurs qui adoptent des pratiques durables, favorisent l’inclusion et s’engagent dans des initiatives sociétales</w:t>
      </w:r>
      <w:r w:rsidR="00FC74BF">
        <w:rPr>
          <w:rFonts w:asciiTheme="majorBidi" w:hAnsiTheme="majorBidi" w:cstheme="majorBidi"/>
          <w:lang w:val="fr-FR"/>
        </w:rPr>
        <w:t>.</w:t>
      </w:r>
      <w:r w:rsidRPr="00AD5F90">
        <w:rPr>
          <w:rStyle w:val="Appelnotedebasdep"/>
          <w:rFonts w:eastAsiaTheme="majorEastAsia"/>
          <w:color w:val="000000"/>
          <w:lang w:val="fr-FR"/>
        </w:rPr>
        <w:footnoteReference w:id="113"/>
      </w:r>
      <w:r w:rsidRPr="00AD5F90">
        <w:rPr>
          <w:rFonts w:asciiTheme="majorBidi" w:hAnsiTheme="majorBidi" w:cstheme="majorBidi"/>
          <w:color w:val="000000"/>
          <w:lang w:val="fr-FR"/>
        </w:rPr>
        <w:t xml:space="preserve"> Ainsi, la gestion des ressources humaines doit évoluer pour intégrer ces nouvelles préoccupations et aligner la culture d’entreprise avec les valeurs des employés.</w:t>
      </w:r>
    </w:p>
    <w:p w:rsidR="00E772DD" w:rsidRPr="00FC74BF" w:rsidRDefault="00E772DD" w:rsidP="004D32AC">
      <w:pPr>
        <w:pStyle w:val="Titre3"/>
        <w:numPr>
          <w:ilvl w:val="1"/>
          <w:numId w:val="183"/>
        </w:numPr>
        <w:spacing w:after="0" w:afterAutospacing="0" w:line="360" w:lineRule="auto"/>
        <w:rPr>
          <w:sz w:val="24"/>
          <w:szCs w:val="24"/>
          <w:lang w:val="fr-FR"/>
        </w:rPr>
      </w:pPr>
      <w:bookmarkStart w:id="620" w:name="_Toc199714303"/>
      <w:bookmarkStart w:id="621" w:name="_Toc200486581"/>
      <w:bookmarkStart w:id="622" w:name="_Toc200635357"/>
      <w:bookmarkStart w:id="623" w:name="_Toc200635745"/>
      <w:bookmarkStart w:id="624" w:name="_Toc200636134"/>
      <w:bookmarkStart w:id="625" w:name="_Toc200755871"/>
      <w:r w:rsidRPr="00FC74BF">
        <w:rPr>
          <w:sz w:val="24"/>
          <w:szCs w:val="24"/>
          <w:lang w:val="fr-FR"/>
        </w:rPr>
        <w:t>L’équilibre entre performance et bien-être au travail</w:t>
      </w:r>
      <w:bookmarkEnd w:id="620"/>
      <w:bookmarkEnd w:id="621"/>
      <w:bookmarkEnd w:id="622"/>
      <w:bookmarkEnd w:id="623"/>
      <w:bookmarkEnd w:id="624"/>
      <w:bookmarkEnd w:id="625"/>
      <w:r w:rsidRPr="00FC74BF">
        <w:rPr>
          <w:sz w:val="24"/>
          <w:szCs w:val="24"/>
          <w:lang w:val="fr-FR"/>
        </w:rPr>
        <w:t xml:space="preserve"> </w:t>
      </w:r>
    </w:p>
    <w:p w:rsidR="00E772DD" w:rsidRPr="00AD5F90" w:rsidRDefault="00E772DD" w:rsidP="00FC74BF">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L’optimisation de la performance des employés et leur bien-être sont deux impératifs qui peuvent sembler contradictoires mais qui, en réalité, sont complémentaires. Une entreprise performante repose sur des salariés engagés et motivés, or leur satisfaction et leur santé mentale sont directement influencées par leurs conditions de travail</w:t>
      </w:r>
      <w:r w:rsidR="00FC74BF">
        <w:rPr>
          <w:rFonts w:asciiTheme="majorBidi" w:hAnsiTheme="majorBidi" w:cstheme="majorBidi"/>
          <w:color w:val="000000"/>
          <w:lang w:val="fr-FR"/>
        </w:rPr>
        <w:t>.</w:t>
      </w:r>
      <w:r w:rsidRPr="00AD5F90">
        <w:rPr>
          <w:rStyle w:val="Appelnotedebasdep"/>
          <w:color w:val="000000"/>
          <w:lang w:val="fr-FR"/>
        </w:rPr>
        <w:footnoteReference w:id="114"/>
      </w:r>
      <w:r w:rsidRPr="00AD5F90">
        <w:rPr>
          <w:rFonts w:asciiTheme="majorBidi" w:hAnsiTheme="majorBidi" w:cstheme="majorBidi"/>
          <w:color w:val="000000"/>
          <w:lang w:val="fr-FR"/>
        </w:rPr>
        <w:t xml:space="preserve"> Un équilibre entre productivité et bien-être permet ainsi d’améliorer non seulement la qualité de vie au travail, mais aussi l’efficacité globale des organisations.</w:t>
      </w:r>
    </w:p>
    <w:p w:rsidR="00E772DD" w:rsidRPr="00AD5F90" w:rsidRDefault="00E772DD" w:rsidP="005C2CA5">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lastRenderedPageBreak/>
        <w:t>L’instauration d’un climat de travail sain repose sur plusieurs leviers. D’abord, la reconnaissance des efforts et des réalisations est un facteur clé de motivation. Une étude de Gallup (2021)</w:t>
      </w:r>
      <w:r w:rsidRPr="00AD5F90">
        <w:rPr>
          <w:rStyle w:val="Appelnotedebasdep"/>
          <w:color w:val="000000"/>
          <w:lang w:val="fr-FR"/>
        </w:rPr>
        <w:footnoteReference w:id="115"/>
      </w:r>
      <w:r w:rsidRPr="00AD5F90">
        <w:rPr>
          <w:rFonts w:asciiTheme="majorBidi" w:hAnsiTheme="majorBidi" w:cstheme="majorBidi"/>
          <w:color w:val="000000"/>
          <w:lang w:val="fr-FR"/>
        </w:rPr>
        <w:t xml:space="preserve"> souligne que les employés qui se sentent valorisés par leur hiérarchie sont plus enclins à s’investir pleinement dans leurs missions. Ensuite, la mise en place d’espaces de travail ergonomiques et adaptés aux besoins des employés contribue à réduire la fatigue et le stress, favorisant ainsi une meilleure concentration et une diminution de l’absentéisme</w:t>
      </w:r>
      <w:r w:rsidR="00FC74BF">
        <w:rPr>
          <w:rFonts w:asciiTheme="majorBidi" w:hAnsiTheme="majorBidi" w:cstheme="majorBidi"/>
          <w:lang w:val="fr-FR"/>
        </w:rPr>
        <w:t>.</w:t>
      </w:r>
      <w:r w:rsidRPr="00AD5F90">
        <w:rPr>
          <w:rStyle w:val="Appelnotedebasdep"/>
          <w:color w:val="000000"/>
          <w:lang w:val="fr-FR"/>
        </w:rPr>
        <w:footnoteReference w:id="116"/>
      </w:r>
    </w:p>
    <w:p w:rsidR="00E772DD" w:rsidRPr="00AD5F90" w:rsidRDefault="00E772DD" w:rsidP="005C2CA5">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Un autre élément essentiel concerne la flexibilité du temps de travail. L’adoption de mesures telles que le télétravail partiel, les horaires aménagés et la semaine de quatre jours permet aux salariés de mieux concilier leurs obligations professionnelles et personnelles</w:t>
      </w:r>
      <w:r w:rsidR="00FC74BF">
        <w:rPr>
          <w:rFonts w:asciiTheme="majorBidi" w:hAnsiTheme="majorBidi" w:cstheme="majorBidi"/>
          <w:color w:val="000000"/>
          <w:lang w:val="fr-FR"/>
        </w:rPr>
        <w:t>.</w:t>
      </w:r>
      <w:r w:rsidRPr="00AD5F90">
        <w:rPr>
          <w:rStyle w:val="Appelnotedebasdep"/>
          <w:color w:val="000000"/>
          <w:lang w:val="fr-FR"/>
        </w:rPr>
        <w:footnoteReference w:id="117"/>
      </w:r>
      <w:r w:rsidRPr="00AD5F90">
        <w:rPr>
          <w:rFonts w:asciiTheme="majorBidi" w:hAnsiTheme="majorBidi" w:cstheme="majorBidi"/>
          <w:color w:val="000000"/>
          <w:lang w:val="fr-FR"/>
        </w:rPr>
        <w:t xml:space="preserve"> En conséquence, ils développent un attachement plus fort envers leur entreprise et réduisent leur intention de départ, limitant ainsi le turnover.</w:t>
      </w:r>
    </w:p>
    <w:p w:rsidR="00E772DD" w:rsidRPr="00AD5F90" w:rsidRDefault="00E772DD" w:rsidP="005C2CA5">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Enfin, la prévention des risques psychosociaux et la gestion du stress sont des enjeux majeurs. Les entreprises doivent investir dans des dispositifs de soutien tels que des programmes de bien-être, des cellules d’écoute psychologique et des initiatives favorisant la cohésion d’équipe</w:t>
      </w:r>
      <w:r w:rsidR="00FC74BF">
        <w:rPr>
          <w:rFonts w:asciiTheme="majorBidi" w:hAnsiTheme="majorBidi" w:cstheme="majorBidi"/>
          <w:lang w:val="fr-FR"/>
        </w:rPr>
        <w:t>.</w:t>
      </w:r>
      <w:r w:rsidRPr="00AD5F90">
        <w:rPr>
          <w:rStyle w:val="Appelnotedebasdep"/>
          <w:color w:val="000000"/>
          <w:lang w:val="fr-FR"/>
        </w:rPr>
        <w:footnoteReference w:id="118"/>
      </w:r>
      <w:r w:rsidRPr="00AD5F90">
        <w:rPr>
          <w:rFonts w:asciiTheme="majorBidi" w:hAnsiTheme="majorBidi" w:cstheme="majorBidi"/>
          <w:color w:val="000000"/>
          <w:lang w:val="fr-FR"/>
        </w:rPr>
        <w:t xml:space="preserve"> Une approche proactive en matière de santé mentale renforce la résilience des employés et améliore leur performance à long terme.</w:t>
      </w:r>
    </w:p>
    <w:p w:rsidR="00E772DD" w:rsidRPr="00FC74BF" w:rsidRDefault="00E772DD" w:rsidP="004D32AC">
      <w:pPr>
        <w:pStyle w:val="Titre3"/>
        <w:numPr>
          <w:ilvl w:val="0"/>
          <w:numId w:val="183"/>
        </w:numPr>
        <w:spacing w:after="0" w:afterAutospacing="0" w:line="360" w:lineRule="auto"/>
        <w:rPr>
          <w:sz w:val="24"/>
          <w:szCs w:val="24"/>
          <w:lang w:val="fr-FR"/>
        </w:rPr>
      </w:pPr>
      <w:bookmarkStart w:id="626" w:name="_Toc199714304"/>
      <w:bookmarkStart w:id="627" w:name="_Toc200486582"/>
      <w:bookmarkStart w:id="628" w:name="_Toc200635358"/>
      <w:bookmarkStart w:id="629" w:name="_Toc200635746"/>
      <w:bookmarkStart w:id="630" w:name="_Toc200636135"/>
      <w:bookmarkStart w:id="631" w:name="_Toc200755872"/>
      <w:r w:rsidRPr="00FC74BF">
        <w:rPr>
          <w:sz w:val="24"/>
          <w:szCs w:val="24"/>
          <w:lang w:val="fr-FR"/>
        </w:rPr>
        <w:t>Les nouveaux défis de la GRH</w:t>
      </w:r>
      <w:bookmarkEnd w:id="626"/>
      <w:bookmarkEnd w:id="627"/>
      <w:bookmarkEnd w:id="628"/>
      <w:bookmarkEnd w:id="629"/>
      <w:bookmarkEnd w:id="630"/>
      <w:bookmarkEnd w:id="631"/>
    </w:p>
    <w:p w:rsidR="00E772DD" w:rsidRPr="00AD5F90" w:rsidRDefault="00E772DD" w:rsidP="00FC74BF">
      <w:p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gestion des ressources humaines est confrontée à plusieurs défis majeurs qui influencent directement la compétitivité et l’efficacité des entreprises. Ces défis nécessitent des ajustements stratégiques pour assurer une gestion optimale des talents et favoriser un environnement de travail équilibré et attractif.</w:t>
      </w:r>
    </w:p>
    <w:p w:rsidR="00E772DD" w:rsidRPr="00FC74BF" w:rsidRDefault="00E772DD" w:rsidP="004D32AC">
      <w:pPr>
        <w:pStyle w:val="Titre3"/>
        <w:numPr>
          <w:ilvl w:val="1"/>
          <w:numId w:val="183"/>
        </w:numPr>
        <w:spacing w:after="0" w:afterAutospacing="0" w:line="360" w:lineRule="auto"/>
        <w:rPr>
          <w:sz w:val="24"/>
          <w:szCs w:val="24"/>
          <w:lang w:val="fr-FR"/>
        </w:rPr>
      </w:pPr>
      <w:r w:rsidRPr="00FC74BF">
        <w:rPr>
          <w:sz w:val="24"/>
          <w:szCs w:val="24"/>
          <w:lang w:val="fr-FR"/>
        </w:rPr>
        <w:t xml:space="preserve"> </w:t>
      </w:r>
      <w:bookmarkStart w:id="632" w:name="_Toc199714305"/>
      <w:bookmarkStart w:id="633" w:name="_Toc200486583"/>
      <w:bookmarkStart w:id="634" w:name="_Toc200635359"/>
      <w:bookmarkStart w:id="635" w:name="_Toc200635747"/>
      <w:bookmarkStart w:id="636" w:name="_Toc200636136"/>
      <w:bookmarkStart w:id="637" w:name="_Toc200755873"/>
      <w:r w:rsidRPr="00FC74BF">
        <w:rPr>
          <w:sz w:val="24"/>
          <w:szCs w:val="24"/>
          <w:lang w:val="fr-FR"/>
        </w:rPr>
        <w:t>La pénurie de talents et la guerre des compétences</w:t>
      </w:r>
      <w:bookmarkEnd w:id="632"/>
      <w:bookmarkEnd w:id="633"/>
      <w:bookmarkEnd w:id="634"/>
      <w:bookmarkEnd w:id="635"/>
      <w:bookmarkEnd w:id="636"/>
      <w:bookmarkEnd w:id="637"/>
    </w:p>
    <w:p w:rsidR="00FC74BF" w:rsidRDefault="00E772DD" w:rsidP="00FC74BF">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L’un des défis les plus préoccupants pour les entreprises est la difficulté à recruter des talents qualifiés. Avec l’évolution rapide des technologies et la transformation des métiers, certaines compétences deviennent rares sur le marché du travail</w:t>
      </w:r>
      <w:r w:rsidR="00FC74BF">
        <w:rPr>
          <w:rFonts w:asciiTheme="majorBidi" w:hAnsiTheme="majorBidi" w:cstheme="majorBidi"/>
          <w:color w:val="000000"/>
          <w:lang w:val="fr-FR"/>
        </w:rPr>
        <w:t>.</w:t>
      </w:r>
      <w:r w:rsidRPr="00AD5F90">
        <w:rPr>
          <w:rStyle w:val="Appelnotedebasdep"/>
          <w:color w:val="000000"/>
          <w:lang w:val="fr-FR"/>
        </w:rPr>
        <w:footnoteReference w:id="119"/>
      </w:r>
    </w:p>
    <w:p w:rsidR="00FC74BF" w:rsidRDefault="00E772DD" w:rsidP="005C2CA5">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 Les entreprises doivent repenser leurs stratégies de recrutement en mettant en place des partenariats avec des institutions académiques, en développant des programmes de formation </w:t>
      </w:r>
      <w:r w:rsidRPr="00AD5F90">
        <w:rPr>
          <w:rFonts w:asciiTheme="majorBidi" w:hAnsiTheme="majorBidi" w:cstheme="majorBidi"/>
          <w:color w:val="000000"/>
          <w:lang w:val="fr-FR"/>
        </w:rPr>
        <w:lastRenderedPageBreak/>
        <w:t>interne et en renforçant leur marque employeur pour attirer les meilleurs profil</w:t>
      </w:r>
      <w:r w:rsidR="00FC74BF">
        <w:rPr>
          <w:rFonts w:asciiTheme="majorBidi" w:hAnsiTheme="majorBidi" w:cstheme="majorBidi"/>
          <w:color w:val="000000"/>
          <w:lang w:val="fr-FR"/>
        </w:rPr>
        <w:t>s.</w:t>
      </w:r>
      <w:r w:rsidRPr="00AD5F90">
        <w:rPr>
          <w:rStyle w:val="Appelnotedebasdep"/>
          <w:color w:val="000000"/>
          <w:lang w:val="fr-FR"/>
        </w:rPr>
        <w:footnoteReference w:id="120"/>
      </w:r>
      <w:r w:rsidRPr="00AD5F90">
        <w:rPr>
          <w:rFonts w:asciiTheme="majorBidi" w:hAnsiTheme="majorBidi" w:cstheme="majorBidi"/>
          <w:color w:val="000000"/>
          <w:lang w:val="fr-FR"/>
        </w:rPr>
        <w:br/>
        <w:t>Le turnover élevé représente une contrainte importante pour les entreprises, car il engendre des coûts liés au recrutement et à la formation des nouvelles recrues. De plus, une rotation fréquente des employés peut nuire à la continuité des projets et à la culture d’entreprise</w:t>
      </w:r>
      <w:r w:rsidR="00FC74BF">
        <w:rPr>
          <w:rFonts w:asciiTheme="majorBidi" w:hAnsiTheme="majorBidi" w:cstheme="majorBidi"/>
          <w:color w:val="000000"/>
          <w:lang w:val="fr-FR"/>
        </w:rPr>
        <w:t>.</w:t>
      </w:r>
      <w:r w:rsidRPr="00AD5F90">
        <w:rPr>
          <w:rStyle w:val="Appelnotedebasdep"/>
          <w:color w:val="000000"/>
          <w:lang w:val="fr-FR"/>
        </w:rPr>
        <w:footnoteReference w:id="121"/>
      </w:r>
      <w:r w:rsidRPr="00AD5F90">
        <w:rPr>
          <w:rFonts w:asciiTheme="majorBidi" w:hAnsiTheme="majorBidi" w:cstheme="majorBidi"/>
          <w:color w:val="000000"/>
          <w:lang w:val="fr-FR"/>
        </w:rPr>
        <w:t xml:space="preserve"> </w:t>
      </w:r>
    </w:p>
    <w:p w:rsidR="00E772DD" w:rsidRPr="00AD5F90" w:rsidRDefault="00E772DD" w:rsidP="005C2CA5">
      <w:pPr>
        <w:spacing w:line="360" w:lineRule="auto"/>
        <w:jc w:val="both"/>
        <w:rPr>
          <w:rFonts w:asciiTheme="majorBidi" w:hAnsiTheme="majorBidi" w:cstheme="majorBidi"/>
          <w:b/>
          <w:bCs/>
          <w:color w:val="000000"/>
          <w:lang w:val="fr-FR"/>
        </w:rPr>
      </w:pPr>
      <w:r w:rsidRPr="00AD5F90">
        <w:rPr>
          <w:rFonts w:asciiTheme="majorBidi" w:hAnsiTheme="majorBidi" w:cstheme="majorBidi"/>
          <w:color w:val="000000"/>
          <w:lang w:val="fr-FR"/>
        </w:rPr>
        <w:t>Pour répondre à ce défi, les entreprises adoptent des stratégies de rétention telles que l’amélioration des conditions de travail, l’instauration d’un leadership participatif et la mise en place de parcours de carrière attractifs</w:t>
      </w:r>
      <w:r w:rsidR="00FC74BF">
        <w:rPr>
          <w:rFonts w:asciiTheme="majorBidi" w:hAnsiTheme="majorBidi" w:cstheme="majorBidi"/>
          <w:color w:val="000000"/>
          <w:lang w:val="fr-FR"/>
        </w:rPr>
        <w:t>.</w:t>
      </w:r>
      <w:r w:rsidRPr="00AD5F90">
        <w:rPr>
          <w:rStyle w:val="Appelnotedebasdep"/>
          <w:color w:val="000000"/>
          <w:lang w:val="fr-FR"/>
        </w:rPr>
        <w:footnoteReference w:id="122"/>
      </w:r>
    </w:p>
    <w:p w:rsidR="00E772DD" w:rsidRPr="00FC74BF" w:rsidRDefault="00E772DD" w:rsidP="004D32AC">
      <w:pPr>
        <w:pStyle w:val="Titre3"/>
        <w:numPr>
          <w:ilvl w:val="1"/>
          <w:numId w:val="183"/>
        </w:numPr>
        <w:spacing w:after="0" w:afterAutospacing="0" w:line="360" w:lineRule="auto"/>
        <w:rPr>
          <w:sz w:val="24"/>
          <w:szCs w:val="24"/>
          <w:lang w:val="fr-FR"/>
        </w:rPr>
      </w:pPr>
      <w:bookmarkStart w:id="638" w:name="_Toc199714306"/>
      <w:bookmarkStart w:id="639" w:name="_Toc200486584"/>
      <w:bookmarkStart w:id="640" w:name="_Toc200635360"/>
      <w:bookmarkStart w:id="641" w:name="_Toc200635748"/>
      <w:bookmarkStart w:id="642" w:name="_Toc200636137"/>
      <w:bookmarkStart w:id="643" w:name="_Toc200755874"/>
      <w:r w:rsidRPr="00FC74BF">
        <w:rPr>
          <w:sz w:val="24"/>
          <w:szCs w:val="24"/>
          <w:lang w:val="fr-FR"/>
        </w:rPr>
        <w:t>La quête de sens et les attentes des nouvelles générations</w:t>
      </w:r>
      <w:bookmarkEnd w:id="638"/>
      <w:bookmarkEnd w:id="639"/>
      <w:bookmarkEnd w:id="640"/>
      <w:bookmarkEnd w:id="641"/>
      <w:bookmarkEnd w:id="642"/>
      <w:bookmarkEnd w:id="643"/>
    </w:p>
    <w:p w:rsidR="00FC74BF" w:rsidRDefault="00E772DD" w:rsidP="00FC74BF">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nouvelles générations de travailleurs accordent une importance croissante aux valeurs et à la mission des entreprises. Elles privilégient les organisations engagées dans des initiatives environnementales, éthiques et sociales</w:t>
      </w:r>
      <w:r w:rsidR="00FC74BF">
        <w:rPr>
          <w:rFonts w:asciiTheme="majorBidi" w:hAnsiTheme="majorBidi" w:cstheme="majorBidi"/>
          <w:color w:val="000000"/>
          <w:lang w:val="fr-FR"/>
        </w:rPr>
        <w:t>.</w:t>
      </w:r>
      <w:r w:rsidRPr="00AD5F90">
        <w:rPr>
          <w:rStyle w:val="Appelnotedebasdep"/>
          <w:color w:val="000000"/>
          <w:lang w:val="fr-FR"/>
        </w:rPr>
        <w:footnoteReference w:id="123"/>
      </w:r>
    </w:p>
    <w:p w:rsidR="00D638C1" w:rsidRPr="00AD5F90" w:rsidRDefault="00E772DD" w:rsidP="00E16D29">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 Pour attirer et retenir ces talents, les entreprises doivent intégrer des pratiques de responsabilité sociale et environnementale (RSE) et favoriser une culture d’entreprise en adéquation avec ces attentes</w:t>
      </w:r>
      <w:r w:rsidR="00FC74BF">
        <w:rPr>
          <w:rFonts w:asciiTheme="majorBidi" w:hAnsiTheme="majorBidi" w:cstheme="majorBidi"/>
          <w:color w:val="000000"/>
          <w:lang w:val="fr-FR"/>
        </w:rPr>
        <w:t>.</w:t>
      </w:r>
      <w:r w:rsidRPr="00AD5F90">
        <w:rPr>
          <w:rStyle w:val="Appelnotedebasdep"/>
          <w:color w:val="000000"/>
          <w:lang w:val="fr-FR"/>
        </w:rPr>
        <w:footnoteReference w:id="124"/>
      </w:r>
    </w:p>
    <w:p w:rsidR="00D638C1" w:rsidRDefault="00E772DD" w:rsidP="004D32AC">
      <w:pPr>
        <w:pStyle w:val="Titre3"/>
        <w:numPr>
          <w:ilvl w:val="1"/>
          <w:numId w:val="183"/>
        </w:numPr>
        <w:rPr>
          <w:sz w:val="24"/>
          <w:szCs w:val="24"/>
          <w:lang w:val="fr-FR"/>
        </w:rPr>
      </w:pPr>
      <w:bookmarkStart w:id="644" w:name="_Toc199714307"/>
      <w:bookmarkStart w:id="645" w:name="_Toc200486585"/>
      <w:bookmarkStart w:id="646" w:name="_Toc200635361"/>
      <w:bookmarkStart w:id="647" w:name="_Toc200635749"/>
      <w:bookmarkStart w:id="648" w:name="_Toc200636138"/>
      <w:bookmarkStart w:id="649" w:name="_Toc200755875"/>
      <w:r w:rsidRPr="00D638C1">
        <w:rPr>
          <w:sz w:val="24"/>
          <w:szCs w:val="24"/>
          <w:lang w:val="fr-FR"/>
        </w:rPr>
        <w:t>L’adaptation aux évolutions réglementaires et sociétales</w:t>
      </w:r>
      <w:bookmarkEnd w:id="644"/>
      <w:bookmarkEnd w:id="645"/>
      <w:bookmarkEnd w:id="646"/>
      <w:bookmarkEnd w:id="647"/>
      <w:bookmarkEnd w:id="648"/>
      <w:bookmarkEnd w:id="649"/>
    </w:p>
    <w:p w:rsidR="00D638C1" w:rsidRPr="00D638C1" w:rsidRDefault="00E772DD" w:rsidP="00D638C1">
      <w:pPr>
        <w:pStyle w:val="Titre3"/>
        <w:spacing w:after="0" w:afterAutospacing="0" w:line="360" w:lineRule="auto"/>
        <w:jc w:val="both"/>
        <w:rPr>
          <w:b w:val="0"/>
          <w:bCs w:val="0"/>
          <w:sz w:val="22"/>
          <w:szCs w:val="22"/>
          <w:lang w:val="fr-FR"/>
        </w:rPr>
      </w:pPr>
      <w:bookmarkStart w:id="650" w:name="_Toc199712805"/>
      <w:bookmarkStart w:id="651" w:name="_Toc199713927"/>
      <w:bookmarkStart w:id="652" w:name="_Toc199714308"/>
      <w:bookmarkStart w:id="653" w:name="_Toc200486586"/>
      <w:bookmarkStart w:id="654" w:name="_Toc200635362"/>
      <w:bookmarkStart w:id="655" w:name="_Toc200635750"/>
      <w:bookmarkStart w:id="656" w:name="_Toc200636139"/>
      <w:bookmarkStart w:id="657" w:name="_Toc200754650"/>
      <w:bookmarkStart w:id="658" w:name="_Toc200755039"/>
      <w:bookmarkStart w:id="659" w:name="_Toc200755876"/>
      <w:r w:rsidRPr="00D638C1">
        <w:rPr>
          <w:rFonts w:asciiTheme="majorBidi" w:hAnsiTheme="majorBidi" w:cstheme="majorBidi"/>
          <w:b w:val="0"/>
          <w:bCs w:val="0"/>
          <w:color w:val="000000"/>
          <w:sz w:val="24"/>
          <w:szCs w:val="24"/>
          <w:lang w:val="fr-FR"/>
        </w:rPr>
        <w:t>Les lois et réglementations en matière de travail évoluent constamment, imposant aux entreprises de s’adapter aux nouvelles normes en matière de conditions de travail, d’inclusion et d’égalité des chances</w:t>
      </w:r>
      <w:r w:rsidR="00FC74BF" w:rsidRPr="00D638C1">
        <w:rPr>
          <w:rFonts w:asciiTheme="majorBidi" w:hAnsiTheme="majorBidi" w:cstheme="majorBidi"/>
          <w:b w:val="0"/>
          <w:bCs w:val="0"/>
          <w:color w:val="000000"/>
          <w:sz w:val="24"/>
          <w:szCs w:val="24"/>
          <w:lang w:val="fr-FR"/>
        </w:rPr>
        <w:t>.</w:t>
      </w:r>
      <w:r w:rsidRPr="00D638C1">
        <w:rPr>
          <w:rStyle w:val="Appelnotedebasdep"/>
          <w:b w:val="0"/>
          <w:bCs w:val="0"/>
          <w:color w:val="000000"/>
          <w:sz w:val="24"/>
          <w:szCs w:val="24"/>
          <w:lang w:val="fr-FR"/>
        </w:rPr>
        <w:footnoteReference w:id="125"/>
      </w:r>
      <w:bookmarkEnd w:id="650"/>
      <w:bookmarkEnd w:id="651"/>
      <w:bookmarkEnd w:id="652"/>
      <w:bookmarkEnd w:id="653"/>
      <w:bookmarkEnd w:id="654"/>
      <w:bookmarkEnd w:id="655"/>
      <w:bookmarkEnd w:id="656"/>
      <w:bookmarkEnd w:id="657"/>
      <w:bookmarkEnd w:id="658"/>
      <w:bookmarkEnd w:id="659"/>
    </w:p>
    <w:p w:rsidR="00E772DD" w:rsidRPr="00AD5F90" w:rsidRDefault="00E772DD" w:rsidP="00FC74BF">
      <w:pPr>
        <w:spacing w:line="360" w:lineRule="auto"/>
        <w:jc w:val="both"/>
        <w:rPr>
          <w:rFonts w:asciiTheme="majorBidi" w:hAnsiTheme="majorBidi" w:cstheme="majorBidi"/>
          <w:b/>
          <w:bCs/>
          <w:color w:val="000000"/>
          <w:lang w:val="fr-FR"/>
        </w:rPr>
      </w:pPr>
      <w:r w:rsidRPr="00AD5F90">
        <w:rPr>
          <w:rFonts w:asciiTheme="majorBidi" w:hAnsiTheme="majorBidi" w:cstheme="majorBidi"/>
          <w:color w:val="000000"/>
          <w:lang w:val="fr-FR"/>
        </w:rPr>
        <w:t xml:space="preserve"> La gestion des ressources humaines doit être proactive dans la mise en conformité avec ces évolutions légales afin d’éviter les risques juridiques et d’assurer un cadre de travail équitable et conforme aux attentes sociétales</w:t>
      </w:r>
      <w:r w:rsidR="00FC74BF">
        <w:rPr>
          <w:rFonts w:asciiTheme="majorBidi" w:hAnsiTheme="majorBidi" w:cstheme="majorBidi"/>
          <w:color w:val="000000"/>
          <w:lang w:val="fr-FR"/>
        </w:rPr>
        <w:t>.</w:t>
      </w:r>
      <w:r w:rsidRPr="00AD5F90">
        <w:rPr>
          <w:rStyle w:val="Appelnotedebasdep"/>
          <w:color w:val="000000"/>
          <w:lang w:val="fr-FR"/>
        </w:rPr>
        <w:footnoteReference w:id="126"/>
      </w:r>
    </w:p>
    <w:p w:rsidR="00E772DD" w:rsidRDefault="00E772DD" w:rsidP="00FC74BF">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En somme, Les fonctions stratégiques de la GRH, notamment la GPEC, l'évaluation de la performance et la gestion de la rémunération, jouent un rôle essentiel dans l'optimisation des ressources humaines et la performance organisationnelle. En parallèle, les nouveaux défis RH, tels que la gestion du bien-être au travail et l’adaptation aux attentes des nouvelles générations, nécessitent une évolution constante des pratiques RH pour répondre aux enjeux actuels.</w:t>
      </w:r>
    </w:p>
    <w:p w:rsidR="00E772DD" w:rsidRPr="00EE167F" w:rsidRDefault="00E772DD" w:rsidP="00EE167F">
      <w:pPr>
        <w:pStyle w:val="Titre3"/>
        <w:rPr>
          <w:rStyle w:val="lev"/>
          <w:b/>
          <w:bCs/>
          <w:sz w:val="28"/>
          <w:szCs w:val="28"/>
        </w:rPr>
      </w:pPr>
      <w:bookmarkStart w:id="660" w:name="_Toc200486587"/>
      <w:bookmarkStart w:id="661" w:name="_Toc200635363"/>
      <w:bookmarkStart w:id="662" w:name="_Toc200635751"/>
      <w:bookmarkStart w:id="663" w:name="_Toc200636140"/>
      <w:bookmarkStart w:id="664" w:name="_Toc200754651"/>
      <w:bookmarkStart w:id="665" w:name="_Toc200755877"/>
      <w:r w:rsidRPr="00EE167F">
        <w:rPr>
          <w:rStyle w:val="lev"/>
          <w:b/>
          <w:bCs/>
          <w:sz w:val="28"/>
          <w:szCs w:val="28"/>
        </w:rPr>
        <w:lastRenderedPageBreak/>
        <w:t>Section 3 : Le recrutement et la formation : piliers de la GRH</w:t>
      </w:r>
      <w:bookmarkEnd w:id="660"/>
      <w:bookmarkEnd w:id="661"/>
      <w:bookmarkEnd w:id="662"/>
      <w:bookmarkEnd w:id="663"/>
      <w:bookmarkEnd w:id="664"/>
      <w:bookmarkEnd w:id="665"/>
    </w:p>
    <w:p w:rsidR="00E772DD" w:rsidRPr="00AD5F90" w:rsidRDefault="00E772DD" w:rsidP="005C2CA5">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recrutement et la formation sont deux piliers essentiels de la gestion des ressources humaines (RH). Dans un contexte de compétitivité accrue et de transformation digitale, les entreprises doivent s’assurer d’attirer les meilleurs talents et de développer leurs compétences pour maintenir un avantage concurrentiel. Cette section explore les méthodes traditionnelles de recrutement et de formation, leurs limites et défis actuels auxquels les entreprises font face.</w:t>
      </w:r>
    </w:p>
    <w:p w:rsidR="00E772DD" w:rsidRPr="00A16730" w:rsidRDefault="00E772DD" w:rsidP="004D32AC">
      <w:pPr>
        <w:pStyle w:val="Titre2"/>
        <w:keepNext w:val="0"/>
        <w:keepLines w:val="0"/>
        <w:numPr>
          <w:ilvl w:val="0"/>
          <w:numId w:val="4"/>
        </w:numPr>
        <w:spacing w:before="0" w:line="360" w:lineRule="auto"/>
        <w:jc w:val="both"/>
        <w:rPr>
          <w:rFonts w:asciiTheme="majorBidi" w:hAnsiTheme="majorBidi"/>
          <w:b/>
          <w:bCs/>
          <w:color w:val="000000"/>
          <w:sz w:val="24"/>
          <w:szCs w:val="24"/>
          <w:lang w:val="fr-FR"/>
        </w:rPr>
      </w:pPr>
      <w:bookmarkStart w:id="666" w:name="_Toc199714310"/>
      <w:bookmarkStart w:id="667" w:name="_Toc200486588"/>
      <w:bookmarkStart w:id="668" w:name="_Toc200635364"/>
      <w:bookmarkStart w:id="669" w:name="_Toc200635752"/>
      <w:bookmarkStart w:id="670" w:name="_Toc200636141"/>
      <w:bookmarkStart w:id="671" w:name="_Toc200755878"/>
      <w:r w:rsidRPr="00A16730">
        <w:rPr>
          <w:rFonts w:asciiTheme="majorBidi" w:hAnsiTheme="majorBidi"/>
          <w:b/>
          <w:bCs/>
          <w:color w:val="000000"/>
          <w:sz w:val="24"/>
          <w:szCs w:val="24"/>
          <w:lang w:val="fr-FR"/>
        </w:rPr>
        <w:t>Le recrutement : méthodes traditionnelles et limites</w:t>
      </w:r>
      <w:bookmarkEnd w:id="666"/>
      <w:bookmarkEnd w:id="667"/>
      <w:bookmarkEnd w:id="668"/>
      <w:bookmarkEnd w:id="669"/>
      <w:bookmarkEnd w:id="670"/>
      <w:bookmarkEnd w:id="671"/>
    </w:p>
    <w:p w:rsidR="00E772DD" w:rsidRPr="001300C9" w:rsidRDefault="00E772DD" w:rsidP="00D77B02">
      <w:pPr>
        <w:pStyle w:val="Titre2"/>
        <w:spacing w:before="0" w:line="360" w:lineRule="auto"/>
        <w:jc w:val="both"/>
        <w:rPr>
          <w:rFonts w:asciiTheme="majorBidi" w:hAnsiTheme="majorBidi"/>
          <w:b/>
          <w:bCs/>
          <w:color w:val="000000"/>
          <w:sz w:val="24"/>
          <w:szCs w:val="24"/>
          <w:lang w:val="fr-FR"/>
        </w:rPr>
      </w:pPr>
      <w:bookmarkStart w:id="672" w:name="_Toc199685872"/>
      <w:bookmarkStart w:id="673" w:name="_Toc199713930"/>
      <w:bookmarkStart w:id="674" w:name="_Toc199714311"/>
      <w:bookmarkStart w:id="675" w:name="_Toc200486589"/>
      <w:bookmarkStart w:id="676" w:name="_Toc200635365"/>
      <w:bookmarkStart w:id="677" w:name="_Toc200635753"/>
      <w:bookmarkStart w:id="678" w:name="_Toc200636142"/>
      <w:bookmarkStart w:id="679" w:name="_Toc200755042"/>
      <w:bookmarkStart w:id="680" w:name="_Toc200755879"/>
      <w:r w:rsidRPr="001300C9">
        <w:rPr>
          <w:rFonts w:asciiTheme="majorBidi" w:hAnsiTheme="majorBidi"/>
          <w:color w:val="000000"/>
          <w:sz w:val="24"/>
          <w:szCs w:val="24"/>
          <w:lang w:val="fr-FR"/>
        </w:rPr>
        <w:t>Le recrutement constitue une fonction essentielle de la gestion des ressources humaines. Longtemps fondé sur des méthodes classiques, ce processus connaît aujourd’hui des limites face aux évolutions du marché du travail et aux exigences accrues des entreprises.</w:t>
      </w:r>
      <w:bookmarkEnd w:id="672"/>
      <w:bookmarkEnd w:id="673"/>
      <w:bookmarkEnd w:id="674"/>
      <w:bookmarkEnd w:id="675"/>
      <w:bookmarkEnd w:id="676"/>
      <w:bookmarkEnd w:id="677"/>
      <w:bookmarkEnd w:id="678"/>
      <w:bookmarkEnd w:id="679"/>
      <w:bookmarkEnd w:id="680"/>
    </w:p>
    <w:p w:rsidR="00E772DD" w:rsidRPr="00A16730" w:rsidRDefault="00E772DD" w:rsidP="004D32AC">
      <w:pPr>
        <w:pStyle w:val="Titre2"/>
        <w:keepNext w:val="0"/>
        <w:keepLines w:val="0"/>
        <w:numPr>
          <w:ilvl w:val="1"/>
          <w:numId w:val="4"/>
        </w:numPr>
        <w:spacing w:before="100" w:beforeAutospacing="1" w:line="360" w:lineRule="auto"/>
        <w:jc w:val="both"/>
        <w:rPr>
          <w:rFonts w:asciiTheme="majorBidi" w:hAnsiTheme="majorBidi"/>
          <w:b/>
          <w:bCs/>
          <w:color w:val="000000"/>
          <w:sz w:val="24"/>
          <w:szCs w:val="24"/>
          <w:lang w:val="fr-FR"/>
        </w:rPr>
      </w:pPr>
      <w:bookmarkStart w:id="681" w:name="_Toc199714312"/>
      <w:bookmarkStart w:id="682" w:name="_Toc200486590"/>
      <w:bookmarkStart w:id="683" w:name="_Toc200635366"/>
      <w:bookmarkStart w:id="684" w:name="_Toc200635754"/>
      <w:bookmarkStart w:id="685" w:name="_Toc200636143"/>
      <w:bookmarkStart w:id="686" w:name="_Toc200755880"/>
      <w:r w:rsidRPr="00A16730">
        <w:rPr>
          <w:rFonts w:asciiTheme="majorBidi" w:hAnsiTheme="majorBidi"/>
          <w:b/>
          <w:bCs/>
          <w:color w:val="000000"/>
          <w:sz w:val="24"/>
          <w:szCs w:val="24"/>
          <w:lang w:val="fr-FR"/>
        </w:rPr>
        <w:t>Concepts généraux sur le recrutement</w:t>
      </w:r>
      <w:bookmarkEnd w:id="681"/>
      <w:bookmarkEnd w:id="682"/>
      <w:bookmarkEnd w:id="683"/>
      <w:bookmarkEnd w:id="684"/>
      <w:bookmarkEnd w:id="685"/>
      <w:bookmarkEnd w:id="686"/>
    </w:p>
    <w:p w:rsidR="00E772DD" w:rsidRPr="00AD5F90" w:rsidRDefault="00E772DD" w:rsidP="005C2CA5">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recrutement constitue l’une des tâches fondamentales de la gestion des ressources humaines. Il peut être défini simplement comme « l’ensemble des actions mises en œuvre pour trouver les candidats correspondant aux besoins d’une organisation pour un poste donné »</w:t>
      </w:r>
      <w:r w:rsidR="00A25FC8">
        <w:rPr>
          <w:rFonts w:asciiTheme="majorBidi" w:hAnsiTheme="majorBidi" w:cstheme="majorBidi"/>
          <w:color w:val="000000"/>
          <w:lang w:val="fr-FR"/>
        </w:rPr>
        <w:t>.</w:t>
      </w:r>
      <w:r w:rsidRPr="00AD5F90">
        <w:rPr>
          <w:rStyle w:val="Appelnotedebasdep"/>
          <w:rFonts w:cstheme="majorBidi"/>
          <w:color w:val="000000"/>
          <w:lang w:val="fr-FR"/>
        </w:rPr>
        <w:footnoteReference w:id="127"/>
      </w:r>
    </w:p>
    <w:p w:rsidR="00E772DD" w:rsidRPr="00AD5F90" w:rsidRDefault="00E772DD" w:rsidP="005C2CA5">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Selon Peretti (2001)</w:t>
      </w:r>
      <w:r w:rsidRPr="00AD5F90">
        <w:rPr>
          <w:rStyle w:val="Appelnotedebasdep"/>
          <w:rFonts w:cstheme="majorBidi"/>
          <w:color w:val="000000"/>
          <w:lang w:val="fr-FR"/>
        </w:rPr>
        <w:footnoteReference w:id="128"/>
      </w:r>
      <w:r w:rsidRPr="00AD5F90">
        <w:rPr>
          <w:rFonts w:asciiTheme="majorBidi" w:hAnsiTheme="majorBidi" w:cstheme="majorBidi"/>
          <w:color w:val="000000"/>
          <w:lang w:val="fr-FR"/>
        </w:rPr>
        <w:t xml:space="preserve">, le recrutement est une procédure ayant pour objectif de pourvoir un poste vacant. En d’autres termes, il s’agit d’un processus par lequel une entreprise cherche à attirer les ressources humaines nécessaires à son bon fonctionnement. </w:t>
      </w:r>
      <w:proofErr w:type="spellStart"/>
      <w:r w:rsidRPr="00AD5F90">
        <w:rPr>
          <w:rFonts w:asciiTheme="majorBidi" w:hAnsiTheme="majorBidi" w:cstheme="majorBidi"/>
          <w:color w:val="000000"/>
          <w:lang w:val="fr-FR"/>
        </w:rPr>
        <w:t>Martory</w:t>
      </w:r>
      <w:proofErr w:type="spellEnd"/>
      <w:r w:rsidRPr="00AD5F90">
        <w:rPr>
          <w:rFonts w:asciiTheme="majorBidi" w:hAnsiTheme="majorBidi" w:cstheme="majorBidi"/>
          <w:color w:val="000000"/>
          <w:lang w:val="fr-FR"/>
        </w:rPr>
        <w:t xml:space="preserve"> et Crozet (1984)</w:t>
      </w:r>
      <w:r w:rsidRPr="00AD5F90">
        <w:rPr>
          <w:rStyle w:val="Appelnotedebasdep"/>
          <w:rFonts w:cstheme="majorBidi"/>
          <w:color w:val="000000"/>
          <w:lang w:val="fr-FR"/>
        </w:rPr>
        <w:footnoteReference w:id="129"/>
      </w:r>
      <w:r w:rsidRPr="00AD5F90">
        <w:rPr>
          <w:rFonts w:asciiTheme="majorBidi" w:hAnsiTheme="majorBidi" w:cstheme="majorBidi"/>
          <w:color w:val="000000"/>
          <w:lang w:val="fr-FR"/>
        </w:rPr>
        <w:t xml:space="preserve"> soulignent que « la démarche de recrutement est un élément essentiel de la politique des ressources humaines de l’entreprise ; elle peut en effet influencer dans des directions totalement contraires à l’état du potentiel humain d’une unité » .</w:t>
      </w:r>
    </w:p>
    <w:p w:rsidR="00A25FC8" w:rsidRDefault="00E772DD" w:rsidP="00A25FC8">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De manière générale, le recrutement se définit comme l’ensemble des actions mises en œuvre par les gestionnaires pour informer les personnes possédant les compétences requises qu’un poste est disponible (ou susceptible de le devenir) au sein de leur organisation et les inciter à poser leurs candidatures</w:t>
      </w:r>
      <w:r w:rsidR="00A25FC8">
        <w:rPr>
          <w:rFonts w:asciiTheme="majorBidi" w:hAnsiTheme="majorBidi" w:cstheme="majorBidi"/>
          <w:color w:val="000000"/>
          <w:lang w:val="fr-FR"/>
        </w:rPr>
        <w:t>.</w:t>
      </w:r>
      <w:r w:rsidRPr="00AD5F90">
        <w:rPr>
          <w:rStyle w:val="Appelnotedebasdep"/>
          <w:rFonts w:cstheme="majorBidi"/>
          <w:color w:val="000000"/>
          <w:lang w:val="fr-FR"/>
        </w:rPr>
        <w:footnoteReference w:id="130"/>
      </w:r>
    </w:p>
    <w:p w:rsidR="00F05810" w:rsidRPr="00AD5F90" w:rsidRDefault="00F05810" w:rsidP="00A25FC8">
      <w:pPr>
        <w:pStyle w:val="NormalWeb"/>
        <w:spacing w:before="0" w:beforeAutospacing="0" w:after="240" w:afterAutospacing="0" w:line="360" w:lineRule="auto"/>
        <w:jc w:val="both"/>
        <w:rPr>
          <w:rFonts w:asciiTheme="majorBidi" w:hAnsiTheme="majorBidi" w:cstheme="majorBidi"/>
          <w:color w:val="000000"/>
          <w:lang w:val="fr-FR"/>
        </w:rPr>
      </w:pPr>
    </w:p>
    <w:p w:rsidR="00E772DD" w:rsidRPr="00A25FC8" w:rsidRDefault="00E772DD" w:rsidP="004D32AC">
      <w:pPr>
        <w:pStyle w:val="Titre3"/>
        <w:numPr>
          <w:ilvl w:val="1"/>
          <w:numId w:val="4"/>
        </w:numPr>
        <w:spacing w:after="0" w:afterAutospacing="0" w:line="360" w:lineRule="auto"/>
        <w:rPr>
          <w:sz w:val="24"/>
          <w:szCs w:val="24"/>
          <w:lang w:val="fr-FR"/>
        </w:rPr>
      </w:pPr>
      <w:bookmarkStart w:id="687" w:name="_Toc199714313"/>
      <w:bookmarkStart w:id="688" w:name="_Toc200486591"/>
      <w:bookmarkStart w:id="689" w:name="_Toc200635367"/>
      <w:bookmarkStart w:id="690" w:name="_Toc200635755"/>
      <w:bookmarkStart w:id="691" w:name="_Toc200636144"/>
      <w:bookmarkStart w:id="692" w:name="_Toc200755881"/>
      <w:r w:rsidRPr="00A25FC8">
        <w:rPr>
          <w:sz w:val="24"/>
          <w:szCs w:val="24"/>
          <w:lang w:val="fr-FR"/>
        </w:rPr>
        <w:lastRenderedPageBreak/>
        <w:t>Objectif du recrutement</w:t>
      </w:r>
      <w:bookmarkEnd w:id="687"/>
      <w:bookmarkEnd w:id="688"/>
      <w:bookmarkEnd w:id="689"/>
      <w:bookmarkEnd w:id="690"/>
      <w:bookmarkEnd w:id="691"/>
      <w:bookmarkEnd w:id="692"/>
    </w:p>
    <w:p w:rsidR="00E772DD" w:rsidRPr="00AD5F90" w:rsidRDefault="00E772DD" w:rsidP="00D77B02">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La politique de recrutement dépend de la stratégie de l'entreprise, visant principalement à attirer des candidats possédant les compétences nécessaires pour un poste</w:t>
      </w:r>
      <w:r w:rsidR="00A25FC8">
        <w:rPr>
          <w:rFonts w:asciiTheme="majorBidi" w:hAnsiTheme="majorBidi" w:cstheme="majorBidi"/>
          <w:sz w:val="24"/>
          <w:szCs w:val="24"/>
          <w:lang w:val="fr-FR"/>
        </w:rPr>
        <w:t>.</w:t>
      </w:r>
      <w:r w:rsidRPr="00AD5F90">
        <w:rPr>
          <w:rStyle w:val="Appelnotedebasdep"/>
          <w:rFonts w:cstheme="majorBidi"/>
          <w:sz w:val="24"/>
          <w:szCs w:val="24"/>
          <w:lang w:val="fr-FR"/>
        </w:rPr>
        <w:footnoteReference w:id="131"/>
      </w:r>
    </w:p>
    <w:p w:rsidR="00E772DD" w:rsidRPr="00AD5F90" w:rsidRDefault="00E772DD" w:rsidP="00D77B02">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Pour une organisation, le recrutement vise à atteindre plusieurs objectifs:</w:t>
      </w:r>
    </w:p>
    <w:p w:rsidR="00E772DD" w:rsidRPr="00AD5F90" w:rsidRDefault="00E772DD" w:rsidP="004D32AC">
      <w:pPr>
        <w:numPr>
          <w:ilvl w:val="0"/>
          <w:numId w:val="33"/>
        </w:numPr>
        <w:spacing w:line="360" w:lineRule="auto"/>
        <w:jc w:val="both"/>
        <w:rPr>
          <w:color w:val="000000"/>
          <w:lang w:val="fr-FR"/>
        </w:rPr>
      </w:pPr>
      <w:r w:rsidRPr="00AD5F90">
        <w:rPr>
          <w:color w:val="000000"/>
          <w:lang w:val="fr-FR"/>
        </w:rPr>
        <w:t>Attirer des candidats qualifiés pour optimiser le processus d’embauche.</w:t>
      </w:r>
    </w:p>
    <w:p w:rsidR="00E772DD" w:rsidRPr="00AD5F90" w:rsidRDefault="00E772DD" w:rsidP="004D32AC">
      <w:pPr>
        <w:numPr>
          <w:ilvl w:val="0"/>
          <w:numId w:val="33"/>
        </w:numPr>
        <w:spacing w:line="360" w:lineRule="auto"/>
        <w:jc w:val="both"/>
        <w:rPr>
          <w:color w:val="000000"/>
          <w:lang w:val="fr-FR"/>
        </w:rPr>
      </w:pPr>
      <w:r w:rsidRPr="00AD5F90">
        <w:rPr>
          <w:color w:val="000000"/>
          <w:lang w:val="fr-FR"/>
        </w:rPr>
        <w:t>Renforcer les compétences internes et la performance globale.</w:t>
      </w:r>
    </w:p>
    <w:p w:rsidR="00E772DD" w:rsidRPr="00AD5F90" w:rsidRDefault="00E772DD" w:rsidP="004D32AC">
      <w:pPr>
        <w:numPr>
          <w:ilvl w:val="0"/>
          <w:numId w:val="33"/>
        </w:numPr>
        <w:spacing w:line="360" w:lineRule="auto"/>
        <w:jc w:val="both"/>
        <w:rPr>
          <w:color w:val="000000"/>
          <w:lang w:val="fr-FR"/>
        </w:rPr>
      </w:pPr>
      <w:r w:rsidRPr="00AD5F90">
        <w:rPr>
          <w:color w:val="000000"/>
          <w:lang w:val="fr-FR"/>
        </w:rPr>
        <w:t>Réduire le turnover en ciblant des profils adaptés.</w:t>
      </w:r>
    </w:p>
    <w:p w:rsidR="00E772DD" w:rsidRPr="00AD5F90" w:rsidRDefault="00E772DD" w:rsidP="004D32AC">
      <w:pPr>
        <w:numPr>
          <w:ilvl w:val="0"/>
          <w:numId w:val="33"/>
        </w:numPr>
        <w:spacing w:line="360" w:lineRule="auto"/>
        <w:jc w:val="both"/>
        <w:rPr>
          <w:color w:val="000000"/>
          <w:lang w:val="fr-FR"/>
        </w:rPr>
      </w:pPr>
      <w:r w:rsidRPr="00AD5F90">
        <w:rPr>
          <w:color w:val="000000"/>
          <w:lang w:val="fr-FR"/>
        </w:rPr>
        <w:t>Garantir l’équité et le respect des obligations légales.</w:t>
      </w:r>
    </w:p>
    <w:p w:rsidR="00E772DD" w:rsidRPr="00AD5F90" w:rsidRDefault="00E772DD" w:rsidP="004D32AC">
      <w:pPr>
        <w:numPr>
          <w:ilvl w:val="0"/>
          <w:numId w:val="33"/>
        </w:numPr>
        <w:spacing w:line="360" w:lineRule="auto"/>
        <w:jc w:val="both"/>
        <w:rPr>
          <w:color w:val="000000"/>
          <w:lang w:val="fr-FR"/>
        </w:rPr>
      </w:pPr>
      <w:r w:rsidRPr="00AD5F90">
        <w:rPr>
          <w:color w:val="000000"/>
          <w:lang w:val="fr-FR"/>
        </w:rPr>
        <w:t>Acquérir des talents tout en maîtrisant les coûts.</w:t>
      </w:r>
    </w:p>
    <w:p w:rsidR="00E772DD" w:rsidRPr="00AD5F90" w:rsidRDefault="00E772DD" w:rsidP="004D32AC">
      <w:pPr>
        <w:numPr>
          <w:ilvl w:val="0"/>
          <w:numId w:val="33"/>
        </w:numPr>
        <w:spacing w:after="240" w:line="360" w:lineRule="auto"/>
        <w:jc w:val="both"/>
        <w:rPr>
          <w:color w:val="000000"/>
          <w:lang w:val="fr-FR"/>
        </w:rPr>
      </w:pPr>
      <w:r w:rsidRPr="00AD5F90">
        <w:rPr>
          <w:color w:val="000000"/>
          <w:lang w:val="fr-FR"/>
        </w:rPr>
        <w:t>Assurer une adéquation optimale entre le poste et le candidat.</w:t>
      </w:r>
    </w:p>
    <w:p w:rsidR="00E772DD" w:rsidRPr="00A25FC8" w:rsidRDefault="00E772DD" w:rsidP="004D32AC">
      <w:pPr>
        <w:pStyle w:val="Titre3"/>
        <w:numPr>
          <w:ilvl w:val="1"/>
          <w:numId w:val="4"/>
        </w:numPr>
        <w:spacing w:after="0" w:afterAutospacing="0" w:line="360" w:lineRule="auto"/>
        <w:rPr>
          <w:sz w:val="24"/>
          <w:szCs w:val="24"/>
          <w:lang w:val="fr-FR"/>
        </w:rPr>
      </w:pPr>
      <w:bookmarkStart w:id="693" w:name="_Toc199714314"/>
      <w:bookmarkStart w:id="694" w:name="_Toc200486592"/>
      <w:bookmarkStart w:id="695" w:name="_Toc200635368"/>
      <w:bookmarkStart w:id="696" w:name="_Toc200635756"/>
      <w:bookmarkStart w:id="697" w:name="_Toc200636145"/>
      <w:bookmarkStart w:id="698" w:name="_Toc200755882"/>
      <w:r w:rsidRPr="00A25FC8">
        <w:rPr>
          <w:sz w:val="24"/>
          <w:szCs w:val="24"/>
          <w:lang w:val="fr-FR"/>
        </w:rPr>
        <w:t>Les types de recrutement</w:t>
      </w:r>
      <w:bookmarkEnd w:id="693"/>
      <w:bookmarkEnd w:id="694"/>
      <w:bookmarkEnd w:id="695"/>
      <w:bookmarkEnd w:id="696"/>
      <w:bookmarkEnd w:id="697"/>
      <w:bookmarkEnd w:id="698"/>
    </w:p>
    <w:p w:rsidR="00E772DD" w:rsidRPr="00AD5F90" w:rsidRDefault="00E772DD" w:rsidP="00A25FC8">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recrutement se présente sous deux formes principales, choisies en fonction des politiques d’emploi et des exigences des postes. Ces approches diffèrent par leurs modalités et les avantages qu’elles offrent à l’organisation</w:t>
      </w:r>
      <w:r w:rsidR="00A25FC8">
        <w:rPr>
          <w:rFonts w:asciiTheme="majorBidi" w:hAnsiTheme="majorBidi" w:cstheme="majorBidi"/>
          <w:color w:val="000000"/>
          <w:lang w:val="fr-FR"/>
        </w:rPr>
        <w:t>.</w:t>
      </w:r>
      <w:r w:rsidRPr="00AD5F90">
        <w:rPr>
          <w:rStyle w:val="Appelnotedebasdep"/>
          <w:rFonts w:cstheme="majorBidi"/>
          <w:color w:val="000000"/>
          <w:lang w:val="fr-FR"/>
        </w:rPr>
        <w:footnoteReference w:id="132"/>
      </w:r>
    </w:p>
    <w:p w:rsidR="00E772DD" w:rsidRPr="00A25FC8" w:rsidRDefault="00E772DD" w:rsidP="004D32AC">
      <w:pPr>
        <w:pStyle w:val="Titre3"/>
        <w:numPr>
          <w:ilvl w:val="2"/>
          <w:numId w:val="4"/>
        </w:numPr>
        <w:spacing w:after="0" w:afterAutospacing="0" w:line="360" w:lineRule="auto"/>
        <w:rPr>
          <w:sz w:val="24"/>
          <w:szCs w:val="24"/>
        </w:rPr>
      </w:pPr>
      <w:bookmarkStart w:id="699" w:name="_Toc199714315"/>
      <w:bookmarkStart w:id="700" w:name="_Toc200486593"/>
      <w:bookmarkStart w:id="701" w:name="_Toc200635369"/>
      <w:bookmarkStart w:id="702" w:name="_Toc200635757"/>
      <w:bookmarkStart w:id="703" w:name="_Toc200636146"/>
      <w:bookmarkStart w:id="704" w:name="_Toc200755883"/>
      <w:r w:rsidRPr="00A25FC8">
        <w:rPr>
          <w:sz w:val="24"/>
          <w:szCs w:val="24"/>
        </w:rPr>
        <w:t>Le recrutement interne</w:t>
      </w:r>
      <w:bookmarkEnd w:id="699"/>
      <w:bookmarkEnd w:id="700"/>
      <w:bookmarkEnd w:id="701"/>
      <w:bookmarkEnd w:id="702"/>
      <w:bookmarkEnd w:id="703"/>
      <w:bookmarkEnd w:id="704"/>
    </w:p>
    <w:p w:rsidR="00E772DD" w:rsidRPr="00AD5F90" w:rsidRDefault="00E772DD" w:rsidP="00A25FC8">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recrutement interne consiste à pourvoir un poste en sélectionnant un candidat parmi les employés déjà en place, notamment par le biais de mutations ou de promotions. Peretti (2008)</w:t>
      </w:r>
      <w:r w:rsidRPr="00AD5F90">
        <w:rPr>
          <w:rStyle w:val="Appelnotedebasdep"/>
          <w:rFonts w:cstheme="majorBidi"/>
          <w:color w:val="000000"/>
          <w:lang w:val="fr-FR"/>
        </w:rPr>
        <w:footnoteReference w:id="133"/>
      </w:r>
      <w:r w:rsidRPr="00AD5F90">
        <w:rPr>
          <w:rFonts w:asciiTheme="majorBidi" w:hAnsiTheme="majorBidi" w:cstheme="majorBidi"/>
          <w:color w:val="000000"/>
          <w:lang w:val="fr-FR"/>
        </w:rPr>
        <w:t xml:space="preserve"> définit cette approche comme une procédure visant à recruter en interne, c’est-à-dire à choisir le candidat parmi les salariés actuels de l’organisation.</w:t>
      </w:r>
    </w:p>
    <w:p w:rsidR="00E772DD" w:rsidRPr="00A25FC8" w:rsidRDefault="00E772DD" w:rsidP="004D32AC">
      <w:pPr>
        <w:pStyle w:val="Titre3"/>
        <w:numPr>
          <w:ilvl w:val="3"/>
          <w:numId w:val="4"/>
        </w:numPr>
        <w:spacing w:after="0" w:afterAutospacing="0" w:line="360" w:lineRule="auto"/>
        <w:rPr>
          <w:sz w:val="24"/>
          <w:szCs w:val="24"/>
          <w:lang w:val="fr-FR"/>
        </w:rPr>
      </w:pPr>
      <w:bookmarkStart w:id="705" w:name="_Toc199714316"/>
      <w:bookmarkStart w:id="706" w:name="_Toc200486594"/>
      <w:bookmarkStart w:id="707" w:name="_Toc200635370"/>
      <w:bookmarkStart w:id="708" w:name="_Toc200635758"/>
      <w:bookmarkStart w:id="709" w:name="_Toc200636147"/>
      <w:bookmarkStart w:id="710" w:name="_Toc200755884"/>
      <w:r w:rsidRPr="00A25FC8">
        <w:rPr>
          <w:sz w:val="24"/>
          <w:szCs w:val="24"/>
          <w:lang w:val="fr-FR"/>
        </w:rPr>
        <w:t>Les formes de recrutement interne</w:t>
      </w:r>
      <w:bookmarkEnd w:id="705"/>
      <w:bookmarkEnd w:id="706"/>
      <w:bookmarkEnd w:id="707"/>
      <w:bookmarkEnd w:id="708"/>
      <w:bookmarkEnd w:id="709"/>
      <w:bookmarkEnd w:id="710"/>
    </w:p>
    <w:p w:rsidR="00E772DD" w:rsidRPr="00AD5F90" w:rsidRDefault="00E772DD" w:rsidP="00A25FC8">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mutation désigne un changement de poste au sein du même grade, soit au sein de la même collectivité (mutation interne), soit dans une autre collectivité (mutation externe).</w:t>
      </w:r>
    </w:p>
    <w:p w:rsidR="00E772DD" w:rsidRPr="00AD5F90" w:rsidRDefault="00E772DD" w:rsidP="004D32AC">
      <w:pPr>
        <w:pStyle w:val="NormalWeb"/>
        <w:numPr>
          <w:ilvl w:val="0"/>
          <w:numId w:val="6"/>
        </w:numPr>
        <w:spacing w:after="0" w:afterAutospacing="0" w:line="360" w:lineRule="auto"/>
        <w:jc w:val="both"/>
        <w:rPr>
          <w:rFonts w:asciiTheme="majorBidi" w:hAnsiTheme="majorBidi" w:cstheme="majorBidi"/>
          <w:b/>
          <w:bCs/>
          <w:color w:val="000000"/>
          <w:lang w:val="fr-FR"/>
        </w:rPr>
      </w:pPr>
      <w:r w:rsidRPr="00AD5F90">
        <w:rPr>
          <w:rFonts w:asciiTheme="majorBidi" w:hAnsiTheme="majorBidi" w:cstheme="majorBidi"/>
          <w:b/>
          <w:bCs/>
          <w:color w:val="000000"/>
          <w:lang w:val="fr-FR"/>
        </w:rPr>
        <w:t>Recrutement par mutation interne</w:t>
      </w:r>
    </w:p>
    <w:p w:rsidR="00E772DD" w:rsidRPr="00AD5F90" w:rsidRDefault="00E772DD" w:rsidP="004D32AC">
      <w:pPr>
        <w:pStyle w:val="NormalWeb"/>
        <w:numPr>
          <w:ilvl w:val="0"/>
          <w:numId w:val="23"/>
        </w:numPr>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Promotion :</w:t>
      </w:r>
      <w:r w:rsidRPr="00AD5F90">
        <w:rPr>
          <w:rFonts w:asciiTheme="majorBidi" w:hAnsiTheme="majorBidi" w:cstheme="majorBidi"/>
          <w:color w:val="000000"/>
          <w:lang w:val="fr-FR"/>
        </w:rPr>
        <w:t xml:space="preserve"> Une promotion hiérarchique favorise la gestion des carrières, mais une mauvaise évaluation des compétences peut la rendre inefficace.</w:t>
      </w:r>
      <w:r w:rsidRPr="00AD5F90">
        <w:rPr>
          <w:rStyle w:val="Appelnotedebasdep"/>
          <w:rFonts w:cstheme="majorBidi"/>
          <w:color w:val="000000"/>
          <w:lang w:val="fr-FR"/>
        </w:rPr>
        <w:footnoteReference w:id="134"/>
      </w:r>
      <w:r w:rsidRPr="00AD5F90">
        <w:rPr>
          <w:rFonts w:asciiTheme="majorBidi" w:hAnsiTheme="majorBidi" w:cstheme="majorBidi"/>
          <w:color w:val="000000"/>
          <w:lang w:val="fr-FR"/>
        </w:rPr>
        <w:t>.</w:t>
      </w:r>
    </w:p>
    <w:p w:rsidR="00E772DD" w:rsidRPr="001300C9" w:rsidRDefault="00E772DD" w:rsidP="004D32AC">
      <w:pPr>
        <w:pStyle w:val="NormalWeb"/>
        <w:numPr>
          <w:ilvl w:val="0"/>
          <w:numId w:val="23"/>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lastRenderedPageBreak/>
        <w:t>Mutations horizontales :</w:t>
      </w:r>
      <w:r w:rsidRPr="00AD5F90">
        <w:rPr>
          <w:rFonts w:asciiTheme="majorBidi" w:hAnsiTheme="majorBidi" w:cstheme="majorBidi"/>
          <w:color w:val="000000"/>
          <w:lang w:val="fr-FR"/>
        </w:rPr>
        <w:t xml:space="preserve"> Changement de poste au même niveau hiérarchique, pouvant être volontaire ou imposé par des circonstances externes (ex. récession).</w:t>
      </w:r>
    </w:p>
    <w:p w:rsidR="00E772DD" w:rsidRPr="00AD5F90" w:rsidRDefault="00E772DD" w:rsidP="004D32AC">
      <w:pPr>
        <w:pStyle w:val="NormalWeb"/>
        <w:numPr>
          <w:ilvl w:val="0"/>
          <w:numId w:val="6"/>
        </w:numPr>
        <w:spacing w:after="0" w:afterAutospacing="0" w:line="360" w:lineRule="auto"/>
        <w:jc w:val="both"/>
        <w:rPr>
          <w:rFonts w:asciiTheme="majorBidi" w:hAnsiTheme="majorBidi" w:cstheme="majorBidi"/>
          <w:b/>
          <w:bCs/>
          <w:color w:val="000000"/>
          <w:lang w:val="fr-FR"/>
        </w:rPr>
      </w:pPr>
      <w:r w:rsidRPr="00AD5F90">
        <w:rPr>
          <w:rFonts w:asciiTheme="majorBidi" w:hAnsiTheme="majorBidi" w:cstheme="majorBidi"/>
          <w:b/>
          <w:bCs/>
          <w:color w:val="000000"/>
          <w:lang w:val="fr-FR"/>
        </w:rPr>
        <w:t>Recrutement par mutation externe</w:t>
      </w:r>
    </w:p>
    <w:p w:rsidR="00E772DD" w:rsidRPr="00AD5F90" w:rsidRDefault="00E772DD" w:rsidP="008B3C84">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mutation externe permet à un fonctionnaire de changer d’affectation en postulant à un emploi correspondant à son grade, au sein d’une autre collectivité. Cela lui permet d’occuper un nouveau poste tout en maintenant son statut de fonctionnaire titulaire.</w:t>
      </w:r>
    </w:p>
    <w:p w:rsidR="00E772DD" w:rsidRPr="00007C41" w:rsidRDefault="00E772DD" w:rsidP="004D32AC">
      <w:pPr>
        <w:pStyle w:val="Titre3"/>
        <w:keepNext/>
        <w:keepLines/>
        <w:numPr>
          <w:ilvl w:val="3"/>
          <w:numId w:val="4"/>
        </w:numPr>
        <w:spacing w:before="40" w:beforeAutospacing="0" w:after="0" w:afterAutospacing="0" w:line="360" w:lineRule="auto"/>
        <w:jc w:val="both"/>
        <w:rPr>
          <w:rFonts w:asciiTheme="majorBidi" w:hAnsiTheme="majorBidi"/>
          <w:b w:val="0"/>
          <w:bCs w:val="0"/>
          <w:color w:val="000000"/>
          <w:sz w:val="24"/>
          <w:szCs w:val="24"/>
          <w:lang w:val="fr-FR"/>
        </w:rPr>
      </w:pPr>
      <w:bookmarkStart w:id="711" w:name="_Toc199714317"/>
      <w:bookmarkStart w:id="712" w:name="_Toc200486595"/>
      <w:bookmarkStart w:id="713" w:name="_Toc200635371"/>
      <w:bookmarkStart w:id="714" w:name="_Toc200635759"/>
      <w:bookmarkStart w:id="715" w:name="_Toc200636148"/>
      <w:bookmarkStart w:id="716" w:name="_Toc200755885"/>
      <w:r w:rsidRPr="00007C41">
        <w:rPr>
          <w:rFonts w:asciiTheme="majorBidi" w:hAnsiTheme="majorBidi"/>
          <w:color w:val="000000"/>
          <w:sz w:val="24"/>
          <w:szCs w:val="24"/>
          <w:lang w:val="fr-FR"/>
        </w:rPr>
        <w:t>Les outils et moyens du recrutement interne</w:t>
      </w:r>
      <w:bookmarkEnd w:id="711"/>
      <w:bookmarkEnd w:id="712"/>
      <w:bookmarkEnd w:id="713"/>
      <w:bookmarkEnd w:id="714"/>
      <w:bookmarkEnd w:id="715"/>
      <w:bookmarkEnd w:id="716"/>
    </w:p>
    <w:p w:rsidR="00E772DD" w:rsidRPr="00AD5F90" w:rsidRDefault="00E772DD" w:rsidP="005C2CA5">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recrutement interne s’appuie sur divers outils et méthodes, garantissant transparence et équité. Parmi les moyens utilisés figurent :</w:t>
      </w:r>
    </w:p>
    <w:p w:rsidR="00E772DD" w:rsidRPr="00AD5F90" w:rsidRDefault="00E772DD" w:rsidP="004D32AC">
      <w:pPr>
        <w:numPr>
          <w:ilvl w:val="0"/>
          <w:numId w:val="9"/>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Affichage de postes</w:t>
      </w:r>
      <w:r w:rsidRPr="00AD5F90">
        <w:rPr>
          <w:rFonts w:asciiTheme="majorBidi" w:hAnsiTheme="majorBidi" w:cstheme="majorBidi"/>
          <w:color w:val="000000"/>
          <w:lang w:val="fr-FR"/>
        </w:rPr>
        <w:t> : Offre d’emploi affichée en interne, détaillant les exigences et favorisant la transparence.</w:t>
      </w:r>
    </w:p>
    <w:p w:rsidR="00E772DD" w:rsidRPr="00AD5F90" w:rsidRDefault="00E772DD" w:rsidP="004D32AC">
      <w:pPr>
        <w:numPr>
          <w:ilvl w:val="0"/>
          <w:numId w:val="9"/>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Journal interne</w:t>
      </w:r>
      <w:r w:rsidRPr="00AD5F90">
        <w:rPr>
          <w:rFonts w:asciiTheme="majorBidi" w:hAnsiTheme="majorBidi" w:cstheme="majorBidi"/>
          <w:color w:val="000000"/>
          <w:lang w:val="fr-FR"/>
        </w:rPr>
        <w:t> : Informe les employés sur l’entreprise et les opportunités de mobilité interne.</w:t>
      </w:r>
    </w:p>
    <w:p w:rsidR="00E772DD" w:rsidRPr="00AD5F90" w:rsidRDefault="00E772DD" w:rsidP="004D32AC">
      <w:pPr>
        <w:numPr>
          <w:ilvl w:val="0"/>
          <w:numId w:val="9"/>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Intranet</w:t>
      </w:r>
      <w:r w:rsidRPr="00AD5F90">
        <w:rPr>
          <w:rFonts w:asciiTheme="majorBidi" w:hAnsiTheme="majorBidi" w:cstheme="majorBidi"/>
          <w:color w:val="000000"/>
          <w:lang w:val="fr-FR"/>
        </w:rPr>
        <w:t> : Plateforme dédiée à la mobilité interne, remplaçant les tableaux d’affichage traditionnels.</w:t>
      </w:r>
    </w:p>
    <w:p w:rsidR="00E772DD" w:rsidRPr="00AD5F90" w:rsidRDefault="00E772DD" w:rsidP="004D32AC">
      <w:pPr>
        <w:numPr>
          <w:ilvl w:val="0"/>
          <w:numId w:val="9"/>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Entretiens de carrière</w:t>
      </w:r>
      <w:r w:rsidRPr="00AD5F90">
        <w:rPr>
          <w:rFonts w:asciiTheme="majorBidi" w:hAnsiTheme="majorBidi" w:cstheme="majorBidi"/>
          <w:color w:val="000000"/>
          <w:lang w:val="fr-FR"/>
        </w:rPr>
        <w:t> : Permettent aux RH de connaître les aspirations des salariés et d’identifier des opportunités internes.</w:t>
      </w:r>
    </w:p>
    <w:p w:rsidR="00E772DD" w:rsidRPr="00AD5F90" w:rsidRDefault="00E772DD" w:rsidP="004D32AC">
      <w:pPr>
        <w:numPr>
          <w:ilvl w:val="0"/>
          <w:numId w:val="9"/>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Recommandations internes</w:t>
      </w:r>
      <w:r w:rsidRPr="00AD5F90">
        <w:rPr>
          <w:rFonts w:asciiTheme="majorBidi" w:hAnsiTheme="majorBidi" w:cstheme="majorBidi"/>
          <w:color w:val="000000"/>
          <w:lang w:val="fr-FR"/>
        </w:rPr>
        <w:t> : Les employés proposent des candidats de leur réseau pour des postes vacants.</w:t>
      </w:r>
    </w:p>
    <w:p w:rsidR="00E772DD" w:rsidRPr="00AD5F90" w:rsidRDefault="00E772DD" w:rsidP="004D32AC">
      <w:pPr>
        <w:numPr>
          <w:ilvl w:val="0"/>
          <w:numId w:val="9"/>
        </w:numPr>
        <w:spacing w:after="240"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Programmes de rotation des postes</w:t>
      </w:r>
      <w:r w:rsidRPr="00AD5F90">
        <w:rPr>
          <w:rFonts w:asciiTheme="majorBidi" w:hAnsiTheme="majorBidi" w:cstheme="majorBidi"/>
          <w:color w:val="000000"/>
          <w:lang w:val="fr-FR"/>
        </w:rPr>
        <w:t> : Développement des compétences par des changements de poste stratégiques au sein de l’entreprise.</w:t>
      </w:r>
    </w:p>
    <w:p w:rsidR="00E772DD" w:rsidRPr="00A25FC8" w:rsidRDefault="00E772DD" w:rsidP="004D32AC">
      <w:pPr>
        <w:pStyle w:val="Titre3"/>
        <w:numPr>
          <w:ilvl w:val="3"/>
          <w:numId w:val="4"/>
        </w:numPr>
        <w:spacing w:after="0" w:afterAutospacing="0" w:line="360" w:lineRule="auto"/>
        <w:rPr>
          <w:sz w:val="24"/>
          <w:szCs w:val="24"/>
          <w:lang w:val="fr-FR"/>
        </w:rPr>
      </w:pPr>
      <w:bookmarkStart w:id="717" w:name="_Toc199714318"/>
      <w:bookmarkStart w:id="718" w:name="_Toc200486596"/>
      <w:bookmarkStart w:id="719" w:name="_Toc200635372"/>
      <w:bookmarkStart w:id="720" w:name="_Toc200635760"/>
      <w:bookmarkStart w:id="721" w:name="_Toc200636149"/>
      <w:bookmarkStart w:id="722" w:name="_Toc200755886"/>
      <w:r w:rsidRPr="00A25FC8">
        <w:rPr>
          <w:sz w:val="24"/>
          <w:szCs w:val="24"/>
          <w:lang w:val="fr-FR"/>
        </w:rPr>
        <w:t>Les avantages et les inconvénients du recrutement interne :</w:t>
      </w:r>
      <w:bookmarkEnd w:id="717"/>
      <w:bookmarkEnd w:id="718"/>
      <w:bookmarkEnd w:id="719"/>
      <w:bookmarkEnd w:id="720"/>
      <w:bookmarkEnd w:id="721"/>
      <w:bookmarkEnd w:id="722"/>
    </w:p>
    <w:p w:rsidR="00E772DD" w:rsidRDefault="00E772DD" w:rsidP="00A25FC8">
      <w:pPr>
        <w:spacing w:after="240" w:line="360" w:lineRule="auto"/>
        <w:jc w:val="both"/>
        <w:rPr>
          <w:rFonts w:asciiTheme="majorBidi" w:hAnsiTheme="majorBidi" w:cstheme="majorBidi"/>
          <w:lang w:val="fr-FR"/>
        </w:rPr>
      </w:pPr>
      <w:r w:rsidRPr="00AD5F90">
        <w:rPr>
          <w:rFonts w:asciiTheme="majorBidi" w:hAnsiTheme="majorBidi" w:cstheme="majorBidi"/>
          <w:lang w:val="fr-FR"/>
        </w:rPr>
        <w:t>Comme pour la plupart des décisions en gestion des ressources humaines, les méthodes de recrutement des employés comportent des avantages et des inconvénients.</w:t>
      </w:r>
    </w:p>
    <w:p w:rsidR="00F05810" w:rsidRDefault="00F05810" w:rsidP="00A25FC8">
      <w:pPr>
        <w:spacing w:after="240" w:line="360" w:lineRule="auto"/>
        <w:jc w:val="both"/>
        <w:rPr>
          <w:rFonts w:asciiTheme="majorBidi" w:hAnsiTheme="majorBidi" w:cstheme="majorBidi"/>
          <w:lang w:val="fr-FR"/>
        </w:rPr>
      </w:pPr>
    </w:p>
    <w:p w:rsidR="00F05810" w:rsidRDefault="00F05810" w:rsidP="00A25FC8">
      <w:pPr>
        <w:spacing w:after="240" w:line="360" w:lineRule="auto"/>
        <w:jc w:val="both"/>
        <w:rPr>
          <w:rFonts w:asciiTheme="majorBidi" w:hAnsiTheme="majorBidi" w:cstheme="majorBidi"/>
          <w:lang w:val="fr-FR"/>
        </w:rPr>
      </w:pPr>
    </w:p>
    <w:p w:rsidR="00F05810" w:rsidRDefault="00F05810" w:rsidP="00A25FC8">
      <w:pPr>
        <w:spacing w:after="240" w:line="360" w:lineRule="auto"/>
        <w:jc w:val="both"/>
        <w:rPr>
          <w:rFonts w:asciiTheme="majorBidi" w:hAnsiTheme="majorBidi" w:cstheme="majorBidi"/>
          <w:lang w:val="fr-FR"/>
        </w:rPr>
      </w:pPr>
    </w:p>
    <w:p w:rsidR="00F05810" w:rsidRDefault="00F05810" w:rsidP="00A25FC8">
      <w:pPr>
        <w:spacing w:after="240" w:line="360" w:lineRule="auto"/>
        <w:jc w:val="both"/>
        <w:rPr>
          <w:rFonts w:asciiTheme="majorBidi" w:hAnsiTheme="majorBidi" w:cstheme="majorBidi"/>
          <w:lang w:val="fr-FR"/>
        </w:rPr>
      </w:pPr>
    </w:p>
    <w:p w:rsidR="00F05810" w:rsidRPr="00AD5F90" w:rsidRDefault="00F05810" w:rsidP="00A25FC8">
      <w:pPr>
        <w:spacing w:after="240" w:line="360" w:lineRule="auto"/>
        <w:jc w:val="both"/>
        <w:rPr>
          <w:rFonts w:asciiTheme="majorBidi" w:hAnsiTheme="majorBidi" w:cstheme="majorBidi"/>
          <w:lang w:val="fr-FR"/>
        </w:rPr>
      </w:pPr>
    </w:p>
    <w:p w:rsidR="00E772DD" w:rsidRPr="00AD5F90" w:rsidRDefault="00E772DD" w:rsidP="00A25FC8">
      <w:pPr>
        <w:pStyle w:val="Titre3"/>
        <w:spacing w:after="0" w:afterAutospacing="0" w:line="360" w:lineRule="auto"/>
        <w:jc w:val="center"/>
        <w:rPr>
          <w:rFonts w:asciiTheme="majorBidi" w:hAnsiTheme="majorBidi"/>
          <w:b w:val="0"/>
          <w:bCs w:val="0"/>
          <w:color w:val="000000"/>
          <w:lang w:val="fr-FR"/>
        </w:rPr>
      </w:pPr>
      <w:bookmarkStart w:id="723" w:name="_Toc199685875"/>
      <w:bookmarkStart w:id="724" w:name="_Toc199714319"/>
      <w:bookmarkStart w:id="725" w:name="_Toc200486597"/>
      <w:bookmarkStart w:id="726" w:name="_Toc200635373"/>
      <w:bookmarkStart w:id="727" w:name="_Toc200635761"/>
      <w:bookmarkStart w:id="728" w:name="_Toc200636150"/>
      <w:bookmarkStart w:id="729" w:name="_Toc200755050"/>
      <w:bookmarkStart w:id="730" w:name="_Toc200755887"/>
      <w:r w:rsidRPr="00A25FC8">
        <w:rPr>
          <w:rFonts w:asciiTheme="majorBidi" w:hAnsiTheme="majorBidi"/>
          <w:color w:val="000000"/>
          <w:sz w:val="24"/>
          <w:szCs w:val="24"/>
          <w:lang w:val="fr-FR"/>
        </w:rPr>
        <w:lastRenderedPageBreak/>
        <w:t>Tableau N°05 : Avantages et inconvénients du recrutement interne</w:t>
      </w:r>
      <w:bookmarkEnd w:id="723"/>
      <w:bookmarkEnd w:id="724"/>
      <w:bookmarkEnd w:id="725"/>
      <w:bookmarkEnd w:id="726"/>
      <w:bookmarkEnd w:id="727"/>
      <w:bookmarkEnd w:id="728"/>
      <w:bookmarkEnd w:id="729"/>
      <w:bookmarkEnd w:id="730"/>
    </w:p>
    <w:tbl>
      <w:tblPr>
        <w:tblStyle w:val="Grilledutableau"/>
        <w:tblW w:w="0" w:type="auto"/>
        <w:tblLook w:val="04A0" w:firstRow="1" w:lastRow="0" w:firstColumn="1" w:lastColumn="0" w:noHBand="0" w:noVBand="1"/>
      </w:tblPr>
      <w:tblGrid>
        <w:gridCol w:w="4248"/>
        <w:gridCol w:w="4762"/>
      </w:tblGrid>
      <w:tr w:rsidR="00E772DD" w:rsidRPr="00AD5F90" w:rsidTr="002F5C80">
        <w:tc>
          <w:tcPr>
            <w:tcW w:w="4248" w:type="dxa"/>
            <w:shd w:val="clear" w:color="auto" w:fill="D8DCD1"/>
          </w:tcPr>
          <w:p w:rsidR="00E772DD" w:rsidRPr="00AD5F90" w:rsidRDefault="00E772DD" w:rsidP="00BB18B7">
            <w:pPr>
              <w:spacing w:line="360" w:lineRule="auto"/>
              <w:jc w:val="center"/>
              <w:rPr>
                <w:rFonts w:asciiTheme="majorBidi" w:hAnsiTheme="majorBidi" w:cstheme="majorBidi"/>
                <w:lang w:val="fr-FR"/>
              </w:rPr>
            </w:pPr>
            <w:r w:rsidRPr="00AD5F90">
              <w:rPr>
                <w:rFonts w:asciiTheme="majorBidi" w:hAnsiTheme="majorBidi" w:cstheme="majorBidi"/>
                <w:lang w:val="fr-FR"/>
              </w:rPr>
              <w:t>Avantages</w:t>
            </w:r>
          </w:p>
        </w:tc>
        <w:tc>
          <w:tcPr>
            <w:tcW w:w="4762" w:type="dxa"/>
            <w:shd w:val="clear" w:color="auto" w:fill="D8DCD1"/>
          </w:tcPr>
          <w:p w:rsidR="00E772DD" w:rsidRPr="00AD5F90" w:rsidRDefault="00E772DD" w:rsidP="00BB18B7">
            <w:pPr>
              <w:spacing w:line="360" w:lineRule="auto"/>
              <w:jc w:val="center"/>
              <w:rPr>
                <w:rFonts w:asciiTheme="majorBidi" w:hAnsiTheme="majorBidi" w:cstheme="majorBidi"/>
                <w:lang w:val="fr-FR"/>
              </w:rPr>
            </w:pPr>
            <w:r w:rsidRPr="00AD5F90">
              <w:rPr>
                <w:rFonts w:asciiTheme="majorBidi" w:hAnsiTheme="majorBidi" w:cstheme="majorBidi"/>
                <w:lang w:val="fr-FR"/>
              </w:rPr>
              <w:t>Inconvénients</w:t>
            </w:r>
          </w:p>
        </w:tc>
      </w:tr>
      <w:tr w:rsidR="00E772DD" w:rsidRPr="00427D18" w:rsidTr="002F5C80">
        <w:tc>
          <w:tcPr>
            <w:tcW w:w="4248" w:type="dxa"/>
          </w:tcPr>
          <w:p w:rsidR="00E772DD" w:rsidRPr="00AD5F90" w:rsidRDefault="00E772DD" w:rsidP="004D32AC">
            <w:pPr>
              <w:pStyle w:val="Paragraphedeliste"/>
              <w:numPr>
                <w:ilvl w:val="0"/>
                <w:numId w:val="8"/>
              </w:numPr>
              <w:spacing w:line="360" w:lineRule="auto"/>
              <w:rPr>
                <w:rFonts w:asciiTheme="majorBidi" w:hAnsiTheme="majorBidi" w:cstheme="majorBidi"/>
                <w:b/>
                <w:bCs/>
                <w:lang w:val="fr-FR"/>
              </w:rPr>
            </w:pPr>
            <w:r w:rsidRPr="00AD5F90">
              <w:rPr>
                <w:rFonts w:asciiTheme="majorBidi" w:hAnsiTheme="majorBidi" w:cstheme="majorBidi"/>
                <w:lang w:val="fr-FR"/>
              </w:rPr>
              <w:t>Il réduit les délais et coûts de sélection. Une promotion interne implique une hausse salariale de 5 à 10 %, tandis qu'une embauche externe engendre des coûts plus élevés.</w:t>
            </w:r>
          </w:p>
          <w:p w:rsidR="00E772DD" w:rsidRPr="00AD5F90" w:rsidRDefault="00E772DD" w:rsidP="004D32AC">
            <w:pPr>
              <w:pStyle w:val="Paragraphedeliste"/>
              <w:numPr>
                <w:ilvl w:val="0"/>
                <w:numId w:val="8"/>
              </w:numPr>
              <w:spacing w:line="360" w:lineRule="auto"/>
              <w:rPr>
                <w:rFonts w:asciiTheme="majorBidi" w:hAnsiTheme="majorBidi" w:cstheme="majorBidi"/>
                <w:b/>
                <w:bCs/>
                <w:lang w:val="fr-FR"/>
              </w:rPr>
            </w:pPr>
            <w:r w:rsidRPr="00AD5F90">
              <w:rPr>
                <w:rFonts w:asciiTheme="majorBidi" w:hAnsiTheme="majorBidi" w:cstheme="majorBidi"/>
                <w:lang w:val="fr-FR"/>
              </w:rPr>
              <w:t>Les candidats s’adaptent plus rapidement à leurs postes</w:t>
            </w:r>
            <w:r w:rsidRPr="00AD5F90">
              <w:rPr>
                <w:rStyle w:val="Appelnotedebasdep"/>
                <w:rFonts w:cstheme="majorBidi"/>
                <w:lang w:val="fr-FR"/>
              </w:rPr>
              <w:footnoteReference w:id="135"/>
            </w:r>
            <w:r w:rsidRPr="00AD5F90">
              <w:rPr>
                <w:rFonts w:asciiTheme="majorBidi" w:hAnsiTheme="majorBidi" w:cstheme="majorBidi"/>
                <w:lang w:val="fr-FR"/>
              </w:rPr>
              <w:t xml:space="preserve"> .</w:t>
            </w:r>
          </w:p>
          <w:p w:rsidR="00E772DD" w:rsidRPr="00AD5F90" w:rsidRDefault="00E772DD" w:rsidP="004D32AC">
            <w:pPr>
              <w:pStyle w:val="Paragraphedeliste"/>
              <w:numPr>
                <w:ilvl w:val="0"/>
                <w:numId w:val="8"/>
              </w:numPr>
              <w:spacing w:line="360" w:lineRule="auto"/>
              <w:rPr>
                <w:rFonts w:asciiTheme="majorBidi" w:hAnsiTheme="majorBidi" w:cstheme="majorBidi"/>
                <w:b/>
                <w:bCs/>
                <w:lang w:val="fr-FR"/>
              </w:rPr>
            </w:pPr>
            <w:r w:rsidRPr="00AD5F90">
              <w:rPr>
                <w:rFonts w:asciiTheme="majorBidi" w:hAnsiTheme="majorBidi" w:cstheme="majorBidi"/>
                <w:lang w:val="fr-FR"/>
              </w:rPr>
              <w:t>L’entreprise limite les risques en recrutant un employé déjà évalué, connaissant sa culture et son organisation.</w:t>
            </w:r>
          </w:p>
          <w:p w:rsidR="00E772DD" w:rsidRPr="00AD5F90" w:rsidRDefault="00E772DD" w:rsidP="004D32AC">
            <w:pPr>
              <w:pStyle w:val="Paragraphedeliste"/>
              <w:numPr>
                <w:ilvl w:val="0"/>
                <w:numId w:val="8"/>
              </w:numPr>
              <w:spacing w:line="360" w:lineRule="auto"/>
              <w:rPr>
                <w:rFonts w:asciiTheme="majorBidi" w:hAnsiTheme="majorBidi" w:cstheme="majorBidi"/>
                <w:b/>
                <w:bCs/>
                <w:lang w:val="fr-FR"/>
              </w:rPr>
            </w:pPr>
            <w:r w:rsidRPr="00AD5F90">
              <w:rPr>
                <w:rFonts w:asciiTheme="majorBidi" w:hAnsiTheme="majorBidi" w:cstheme="majorBidi"/>
                <w:lang w:val="fr-FR"/>
              </w:rPr>
              <w:t>Il valorise les opportunités de promotion interne tout en facilitant l’intégration du salarié.</w:t>
            </w:r>
          </w:p>
          <w:p w:rsidR="00E772DD" w:rsidRPr="00AD5F90" w:rsidRDefault="00E772DD" w:rsidP="004D32AC">
            <w:pPr>
              <w:pStyle w:val="Paragraphedeliste"/>
              <w:numPr>
                <w:ilvl w:val="0"/>
                <w:numId w:val="8"/>
              </w:numPr>
              <w:spacing w:line="360" w:lineRule="auto"/>
              <w:rPr>
                <w:rFonts w:asciiTheme="majorBidi" w:hAnsiTheme="majorBidi" w:cstheme="majorBidi"/>
                <w:lang w:val="fr-FR"/>
              </w:rPr>
            </w:pPr>
            <w:r w:rsidRPr="00AD5F90">
              <w:rPr>
                <w:rFonts w:asciiTheme="majorBidi" w:hAnsiTheme="majorBidi" w:cstheme="majorBidi"/>
                <w:lang w:val="fr-FR"/>
              </w:rPr>
              <w:t>Les promotions internes favorisent l'homogénéité culturelle et renforcent la fidélité à l'organisation</w:t>
            </w:r>
            <w:r w:rsidRPr="00AD5F90">
              <w:rPr>
                <w:rStyle w:val="Appelnotedebasdep"/>
                <w:rFonts w:cstheme="majorBidi"/>
                <w:lang w:val="fr-FR"/>
              </w:rPr>
              <w:footnoteReference w:id="136"/>
            </w:r>
            <w:r w:rsidRPr="00AD5F90">
              <w:rPr>
                <w:rFonts w:asciiTheme="majorBidi" w:hAnsiTheme="majorBidi" w:cstheme="majorBidi"/>
                <w:lang w:val="fr-FR"/>
              </w:rPr>
              <w:t>.</w:t>
            </w:r>
          </w:p>
        </w:tc>
        <w:tc>
          <w:tcPr>
            <w:tcW w:w="4762" w:type="dxa"/>
          </w:tcPr>
          <w:p w:rsidR="00E772DD" w:rsidRPr="00AD5F90" w:rsidRDefault="00E772DD" w:rsidP="004D32AC">
            <w:pPr>
              <w:pStyle w:val="Paragraphedeliste"/>
              <w:numPr>
                <w:ilvl w:val="0"/>
                <w:numId w:val="8"/>
              </w:numPr>
              <w:spacing w:line="360" w:lineRule="auto"/>
              <w:rPr>
                <w:rFonts w:asciiTheme="majorBidi" w:hAnsiTheme="majorBidi" w:cstheme="majorBidi"/>
                <w:lang w:val="fr-FR"/>
              </w:rPr>
            </w:pPr>
            <w:r w:rsidRPr="00AD5F90">
              <w:rPr>
                <w:rFonts w:asciiTheme="majorBidi" w:hAnsiTheme="majorBidi" w:cstheme="majorBidi"/>
                <w:lang w:val="fr-FR"/>
              </w:rPr>
              <w:t>Un manque de transparence et d’objectivité dans la promotion interne peut générer des conflits et de la démotivation.</w:t>
            </w:r>
          </w:p>
          <w:p w:rsidR="00E772DD" w:rsidRPr="00AD5F90" w:rsidRDefault="00E772DD" w:rsidP="004D32AC">
            <w:pPr>
              <w:pStyle w:val="Paragraphedeliste"/>
              <w:numPr>
                <w:ilvl w:val="0"/>
                <w:numId w:val="8"/>
              </w:numPr>
              <w:spacing w:line="360" w:lineRule="auto"/>
              <w:rPr>
                <w:rFonts w:asciiTheme="majorBidi" w:hAnsiTheme="majorBidi" w:cstheme="majorBidi"/>
                <w:lang w:val="fr-FR"/>
              </w:rPr>
            </w:pPr>
            <w:r w:rsidRPr="00AD5F90">
              <w:rPr>
                <w:rFonts w:asciiTheme="majorBidi" w:hAnsiTheme="majorBidi" w:cstheme="majorBidi"/>
                <w:lang w:val="fr-FR"/>
              </w:rPr>
              <w:t>Il limite l’apport de nouvelles compétences et perspectives externes.</w:t>
            </w:r>
          </w:p>
          <w:p w:rsidR="00E772DD" w:rsidRPr="00AD5F90" w:rsidRDefault="00E772DD" w:rsidP="004D32AC">
            <w:pPr>
              <w:pStyle w:val="Paragraphedeliste"/>
              <w:numPr>
                <w:ilvl w:val="0"/>
                <w:numId w:val="8"/>
              </w:numPr>
              <w:spacing w:line="360" w:lineRule="auto"/>
              <w:rPr>
                <w:rFonts w:asciiTheme="majorBidi" w:hAnsiTheme="majorBidi" w:cstheme="majorBidi"/>
                <w:lang w:val="fr-FR"/>
              </w:rPr>
            </w:pPr>
            <w:r w:rsidRPr="00AD5F90">
              <w:rPr>
                <w:rFonts w:asciiTheme="majorBidi" w:hAnsiTheme="majorBidi" w:cstheme="majorBidi"/>
                <w:lang w:val="fr-FR"/>
              </w:rPr>
              <w:t>Si le salarié interne n’a pas toutes les compétences requises, une formation est nécessaire, engendrant des coûts et une perte de temps.</w:t>
            </w:r>
          </w:p>
          <w:p w:rsidR="00E772DD" w:rsidRPr="00AD5F90" w:rsidRDefault="00E772DD" w:rsidP="004D32AC">
            <w:pPr>
              <w:pStyle w:val="Paragraphedeliste"/>
              <w:numPr>
                <w:ilvl w:val="0"/>
                <w:numId w:val="8"/>
              </w:numPr>
              <w:spacing w:line="360" w:lineRule="auto"/>
              <w:rPr>
                <w:rFonts w:asciiTheme="majorBidi" w:hAnsiTheme="majorBidi" w:cstheme="majorBidi"/>
                <w:lang w:val="fr-FR"/>
              </w:rPr>
            </w:pPr>
            <w:r w:rsidRPr="00AD5F90">
              <w:rPr>
                <w:rFonts w:asciiTheme="majorBidi" w:hAnsiTheme="majorBidi" w:cstheme="majorBidi"/>
                <w:lang w:val="fr-FR"/>
              </w:rPr>
              <w:t>Le recrutement interne pour un poste lié aux évolutions technologiques peut limiter l’acquisition de compétences externes adaptées.</w:t>
            </w:r>
          </w:p>
          <w:p w:rsidR="00E772DD" w:rsidRPr="00AD5F90" w:rsidRDefault="00E772DD" w:rsidP="004D32AC">
            <w:pPr>
              <w:pStyle w:val="Paragraphedeliste"/>
              <w:numPr>
                <w:ilvl w:val="0"/>
                <w:numId w:val="8"/>
              </w:numPr>
              <w:spacing w:line="360" w:lineRule="auto"/>
              <w:rPr>
                <w:rFonts w:asciiTheme="majorBidi" w:hAnsiTheme="majorBidi" w:cstheme="majorBidi"/>
                <w:lang w:val="fr-FR"/>
              </w:rPr>
            </w:pPr>
            <w:r w:rsidRPr="00AD5F90">
              <w:rPr>
                <w:rFonts w:asciiTheme="majorBidi" w:hAnsiTheme="majorBidi" w:cstheme="majorBidi"/>
                <w:lang w:val="fr-FR"/>
              </w:rPr>
              <w:t>Il peut éloigner l'entreprise de son environnement externe.</w:t>
            </w:r>
          </w:p>
        </w:tc>
      </w:tr>
    </w:tbl>
    <w:p w:rsidR="00E772DD" w:rsidRPr="00AD5F90" w:rsidRDefault="00E772DD" w:rsidP="00A25FC8">
      <w:pPr>
        <w:pStyle w:val="NormalWeb"/>
        <w:spacing w:before="0" w:beforeAutospacing="0" w:line="360" w:lineRule="auto"/>
        <w:jc w:val="center"/>
        <w:rPr>
          <w:rFonts w:asciiTheme="majorBidi" w:hAnsiTheme="majorBidi" w:cstheme="majorBidi"/>
          <w:color w:val="000000"/>
          <w:lang w:val="fr-FR"/>
        </w:rPr>
      </w:pPr>
      <w:r w:rsidRPr="00041AE7">
        <w:rPr>
          <w:rFonts w:asciiTheme="majorBidi" w:hAnsiTheme="majorBidi" w:cstheme="majorBidi"/>
          <w:b/>
          <w:bCs/>
          <w:color w:val="000000"/>
          <w:lang w:val="fr-FR"/>
        </w:rPr>
        <w:t>Source :</w:t>
      </w:r>
      <w:r w:rsidRPr="00AD5F90">
        <w:rPr>
          <w:rFonts w:asciiTheme="majorBidi" w:hAnsiTheme="majorBidi" w:cstheme="majorBidi"/>
          <w:lang w:val="fr-FR"/>
        </w:rPr>
        <w:t xml:space="preserve"> </w:t>
      </w:r>
      <w:r w:rsidRPr="00AD5F90">
        <w:rPr>
          <w:rFonts w:asciiTheme="majorBidi" w:hAnsiTheme="majorBidi" w:cstheme="majorBidi"/>
          <w:color w:val="000000"/>
          <w:lang w:val="fr-FR"/>
        </w:rPr>
        <w:t>GOUDJIL, D., &amp; HAMMADI, R. (</w:t>
      </w:r>
      <w:proofErr w:type="spellStart"/>
      <w:r w:rsidRPr="00AD5F90">
        <w:rPr>
          <w:rFonts w:asciiTheme="majorBidi" w:hAnsiTheme="majorBidi" w:cstheme="majorBidi"/>
          <w:color w:val="000000"/>
          <w:lang w:val="fr-FR"/>
        </w:rPr>
        <w:t>n.d</w:t>
      </w:r>
      <w:proofErr w:type="spellEnd"/>
      <w:r w:rsidRPr="00AD5F90">
        <w:rPr>
          <w:rFonts w:asciiTheme="majorBidi" w:hAnsiTheme="majorBidi" w:cstheme="majorBidi"/>
          <w:color w:val="000000"/>
          <w:lang w:val="fr-FR"/>
        </w:rPr>
        <w:t>.). L’apport de la digitalisation dans la fonction ressources humaines (p. 54-54). Mémoire de fin d’étude, UMMTO.</w:t>
      </w:r>
    </w:p>
    <w:p w:rsidR="00E772DD" w:rsidRPr="00A25FC8" w:rsidRDefault="00E772DD" w:rsidP="004D32AC">
      <w:pPr>
        <w:pStyle w:val="Titre3"/>
        <w:numPr>
          <w:ilvl w:val="2"/>
          <w:numId w:val="4"/>
        </w:numPr>
        <w:spacing w:after="0" w:afterAutospacing="0" w:line="360" w:lineRule="auto"/>
        <w:rPr>
          <w:sz w:val="24"/>
          <w:szCs w:val="24"/>
          <w:lang w:val="fr-FR"/>
        </w:rPr>
      </w:pPr>
      <w:bookmarkStart w:id="731" w:name="_Toc199714320"/>
      <w:bookmarkStart w:id="732" w:name="_Toc200486598"/>
      <w:bookmarkStart w:id="733" w:name="_Toc200635374"/>
      <w:bookmarkStart w:id="734" w:name="_Toc200635762"/>
      <w:bookmarkStart w:id="735" w:name="_Toc200636151"/>
      <w:bookmarkStart w:id="736" w:name="_Toc200755888"/>
      <w:r w:rsidRPr="00A25FC8">
        <w:rPr>
          <w:sz w:val="24"/>
          <w:szCs w:val="24"/>
          <w:lang w:val="fr-FR"/>
        </w:rPr>
        <w:t>Le recrutement externe</w:t>
      </w:r>
      <w:bookmarkEnd w:id="731"/>
      <w:bookmarkEnd w:id="732"/>
      <w:bookmarkEnd w:id="733"/>
      <w:bookmarkEnd w:id="734"/>
      <w:bookmarkEnd w:id="735"/>
      <w:bookmarkEnd w:id="736"/>
      <w:r w:rsidRPr="00A25FC8">
        <w:rPr>
          <w:sz w:val="24"/>
          <w:szCs w:val="24"/>
          <w:lang w:val="fr-FR"/>
        </w:rPr>
        <w:t xml:space="preserve"> </w:t>
      </w:r>
    </w:p>
    <w:p w:rsidR="00E772DD" w:rsidRPr="00AD5F90" w:rsidRDefault="00E772DD" w:rsidP="00A25FC8">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Le recrutement externe consiste à embaucher de nouveaux salariés qui ne font pas partie de l'entreprise. Selon Jean-Marie Peretti, « le recrutement externe implique la comparaison entre les candidats internes et externes afin d’obtenir des informations sur les niveaux relatifs des marchés internes et externes du travail, et pour enrichir le potentiel interne en apportant un </w:t>
      </w:r>
    </w:p>
    <w:p w:rsidR="00220F88" w:rsidRPr="00AD5F90" w:rsidRDefault="00E772DD" w:rsidP="00A25FC8">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 sang neuf », c’est-à-dire des candidats jeunes et pleins d’ambition. Il intervient aussi lorsque le profil recherché est introuvable en interne, notamment pour des postes de bas niveau ou des </w:t>
      </w:r>
      <w:r w:rsidRPr="00AD5F90">
        <w:rPr>
          <w:rFonts w:asciiTheme="majorBidi" w:hAnsiTheme="majorBidi" w:cstheme="majorBidi"/>
          <w:color w:val="000000"/>
          <w:lang w:val="fr-FR"/>
        </w:rPr>
        <w:lastRenderedPageBreak/>
        <w:t>fonctions spécifiques. En effet, l’émergence et le développement de certaines fonctions favorisent le recrutement externe</w:t>
      </w:r>
      <w:r w:rsidR="00E53F4D" w:rsidRPr="00AD5F90">
        <w:rPr>
          <w:rFonts w:asciiTheme="majorBidi" w:hAnsiTheme="majorBidi" w:cstheme="majorBidi"/>
          <w:color w:val="000000"/>
          <w:lang w:val="fr-FR"/>
        </w:rPr>
        <w:t>».</w:t>
      </w:r>
      <w:r w:rsidRPr="00AD5F90">
        <w:rPr>
          <w:rStyle w:val="Appelnotedebasdep"/>
          <w:rFonts w:cstheme="majorBidi"/>
          <w:color w:val="000000"/>
          <w:lang w:val="fr-FR"/>
        </w:rPr>
        <w:footnoteReference w:id="137"/>
      </w:r>
    </w:p>
    <w:p w:rsidR="00E772DD" w:rsidRPr="00E53F4D" w:rsidRDefault="00E772DD" w:rsidP="004D32AC">
      <w:pPr>
        <w:pStyle w:val="Titre3"/>
        <w:numPr>
          <w:ilvl w:val="3"/>
          <w:numId w:val="4"/>
        </w:numPr>
        <w:spacing w:after="0" w:afterAutospacing="0" w:line="360" w:lineRule="auto"/>
        <w:rPr>
          <w:sz w:val="24"/>
          <w:szCs w:val="24"/>
          <w:lang w:val="fr-FR"/>
        </w:rPr>
      </w:pPr>
      <w:bookmarkStart w:id="737" w:name="_Toc199714321"/>
      <w:bookmarkStart w:id="738" w:name="_Toc200486599"/>
      <w:bookmarkStart w:id="739" w:name="_Toc200635375"/>
      <w:bookmarkStart w:id="740" w:name="_Toc200635763"/>
      <w:bookmarkStart w:id="741" w:name="_Toc200636152"/>
      <w:bookmarkStart w:id="742" w:name="_Toc200755889"/>
      <w:r w:rsidRPr="00E53F4D">
        <w:rPr>
          <w:sz w:val="24"/>
          <w:szCs w:val="24"/>
          <w:lang w:val="fr-FR"/>
        </w:rPr>
        <w:t>Méthodes de recrutement externe</w:t>
      </w:r>
      <w:bookmarkEnd w:id="737"/>
      <w:bookmarkEnd w:id="738"/>
      <w:bookmarkEnd w:id="739"/>
      <w:bookmarkEnd w:id="740"/>
      <w:bookmarkEnd w:id="741"/>
      <w:bookmarkEnd w:id="742"/>
    </w:p>
    <w:p w:rsidR="00E772DD" w:rsidRPr="00AD5F90" w:rsidRDefault="00E772DD" w:rsidP="00E53F4D">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Grâce au recrutement externe, les entreprises ont accès à plusieurs canaux permettant de rechercher un nouveau collaborateur. Le choix de ces filières dépend à la fois des ressources disponibles et du profil du candidat recherché. Les principales filières utilisées sont les suivantes :</w:t>
      </w:r>
    </w:p>
    <w:p w:rsidR="00E772DD" w:rsidRPr="00AD5F90" w:rsidRDefault="00E772DD" w:rsidP="004D32AC">
      <w:pPr>
        <w:pStyle w:val="NormalWeb"/>
        <w:numPr>
          <w:ilvl w:val="0"/>
          <w:numId w:val="10"/>
        </w:numPr>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Les annonces :</w:t>
      </w:r>
      <w:r w:rsidRPr="00AD5F90">
        <w:rPr>
          <w:rFonts w:asciiTheme="majorBidi" w:hAnsiTheme="majorBidi" w:cstheme="majorBidi"/>
          <w:color w:val="000000"/>
          <w:lang w:val="fr-FR"/>
        </w:rPr>
        <w:t xml:space="preserve"> Publiées dans les journaux, à la télévision, à la radio ou dans des revues spécialisées, elles permettent d’atteindre un large public.</w:t>
      </w:r>
    </w:p>
    <w:p w:rsidR="00E772DD" w:rsidRPr="00AD5F90" w:rsidRDefault="00E772DD" w:rsidP="004D32AC">
      <w:pPr>
        <w:pStyle w:val="NormalWeb"/>
        <w:numPr>
          <w:ilvl w:val="0"/>
          <w:numId w:val="1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Les agences d’emploi :</w:t>
      </w:r>
      <w:r w:rsidRPr="00AD5F90">
        <w:rPr>
          <w:rFonts w:asciiTheme="majorBidi" w:hAnsiTheme="majorBidi" w:cstheme="majorBidi"/>
          <w:color w:val="000000"/>
          <w:lang w:val="fr-FR"/>
        </w:rPr>
        <w:t xml:space="preserve"> En Algérie, l’ANEM recense les demandeurs d’emploi et les postes vacants, facilitant ainsi le recrutement.</w:t>
      </w:r>
    </w:p>
    <w:p w:rsidR="00E772DD" w:rsidRPr="00AD5F90" w:rsidRDefault="00E772DD" w:rsidP="004D32AC">
      <w:pPr>
        <w:pStyle w:val="NormalWeb"/>
        <w:numPr>
          <w:ilvl w:val="0"/>
          <w:numId w:val="1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 xml:space="preserve">La cooptation directe : </w:t>
      </w:r>
      <w:r w:rsidRPr="00AD5F90">
        <w:rPr>
          <w:rFonts w:asciiTheme="majorBidi" w:hAnsiTheme="majorBidi" w:cstheme="majorBidi"/>
          <w:color w:val="000000"/>
          <w:lang w:val="fr-FR"/>
        </w:rPr>
        <w:t>Basée sur les recommandations internes, elle réduit les coûts et accélère l’intégration des nouveaux employés.</w:t>
      </w:r>
    </w:p>
    <w:p w:rsidR="00E772DD" w:rsidRPr="00AD5F90" w:rsidRDefault="00E772DD" w:rsidP="004D32AC">
      <w:pPr>
        <w:pStyle w:val="NormalWeb"/>
        <w:numPr>
          <w:ilvl w:val="0"/>
          <w:numId w:val="1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La consultation des demandes d’emploi :</w:t>
      </w:r>
      <w:r w:rsidRPr="00AD5F90">
        <w:rPr>
          <w:rFonts w:asciiTheme="majorBidi" w:hAnsiTheme="majorBidi" w:cstheme="majorBidi"/>
          <w:color w:val="000000"/>
          <w:lang w:val="fr-FR"/>
        </w:rPr>
        <w:t xml:space="preserve"> L’analyse des annonces dans les journaux permet d’identifier des profils correspondant aux besoins de l’entreprise.</w:t>
      </w:r>
    </w:p>
    <w:p w:rsidR="00E772DD" w:rsidRPr="00AD5F90" w:rsidRDefault="00E772DD" w:rsidP="004D32AC">
      <w:pPr>
        <w:pStyle w:val="NormalWeb"/>
        <w:numPr>
          <w:ilvl w:val="0"/>
          <w:numId w:val="10"/>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Les candidatures spontanées :</w:t>
      </w:r>
      <w:r w:rsidRPr="00AD5F90">
        <w:rPr>
          <w:rFonts w:asciiTheme="majorBidi" w:hAnsiTheme="majorBidi" w:cstheme="majorBidi"/>
          <w:color w:val="000000"/>
          <w:lang w:val="fr-FR"/>
        </w:rPr>
        <w:t xml:space="preserve"> Envoyées sans annonce préalable, elles peuvent être déposées en entreprise ou via un site web. Leur gestion nécessite un tri et une mise à jour régulière, surtout dans les grandes entreprises</w:t>
      </w:r>
      <w:r w:rsidRPr="00AD5F90">
        <w:rPr>
          <w:rStyle w:val="Appelnotedebasdep"/>
          <w:rFonts w:cstheme="majorBidi"/>
          <w:color w:val="000000"/>
          <w:lang w:val="fr-FR"/>
        </w:rPr>
        <w:footnoteReference w:id="138"/>
      </w:r>
      <w:r w:rsidRPr="00AD5F90">
        <w:rPr>
          <w:rFonts w:asciiTheme="majorBidi" w:hAnsiTheme="majorBidi" w:cstheme="majorBidi"/>
          <w:color w:val="000000"/>
          <w:lang w:val="fr-FR"/>
        </w:rPr>
        <w:t>.</w:t>
      </w:r>
    </w:p>
    <w:p w:rsidR="00E772DD" w:rsidRPr="00AD5F90" w:rsidRDefault="00E772DD" w:rsidP="004D32AC">
      <w:pPr>
        <w:pStyle w:val="NormalWeb"/>
        <w:numPr>
          <w:ilvl w:val="0"/>
          <w:numId w:val="10"/>
        </w:numPr>
        <w:spacing w:line="360" w:lineRule="auto"/>
        <w:jc w:val="both"/>
        <w:rPr>
          <w:rFonts w:asciiTheme="majorBidi" w:hAnsiTheme="majorBidi" w:cstheme="majorBidi"/>
          <w:b/>
          <w:bCs/>
          <w:color w:val="000000"/>
          <w:lang w:val="fr-FR"/>
        </w:rPr>
      </w:pPr>
      <w:r w:rsidRPr="00AD5F90">
        <w:rPr>
          <w:rFonts w:asciiTheme="majorBidi" w:hAnsiTheme="majorBidi" w:cstheme="majorBidi"/>
          <w:b/>
          <w:bCs/>
          <w:color w:val="000000"/>
          <w:lang w:val="fr-FR"/>
        </w:rPr>
        <w:t>Les partenariats avec les instituts, universités et écoles :</w:t>
      </w:r>
      <w:r w:rsidRPr="00AD5F90">
        <w:rPr>
          <w:rFonts w:asciiTheme="majorBidi" w:hAnsiTheme="majorBidi" w:cstheme="majorBidi"/>
          <w:color w:val="000000"/>
          <w:lang w:val="fr-FR"/>
        </w:rPr>
        <w:t>Les entreprises peuvent établir des collaborations avec des établissements d’enseignement (écoles, instituts, universités) pour identifier et recruter des diplômés en anticipant les besoins en compétences.</w:t>
      </w:r>
    </w:p>
    <w:p w:rsidR="00E772DD" w:rsidRPr="00AD5F90" w:rsidRDefault="00E772DD" w:rsidP="004D32AC">
      <w:pPr>
        <w:pStyle w:val="NormalWeb"/>
        <w:numPr>
          <w:ilvl w:val="0"/>
          <w:numId w:val="10"/>
        </w:numPr>
        <w:spacing w:line="360" w:lineRule="auto"/>
        <w:jc w:val="both"/>
        <w:rPr>
          <w:rFonts w:asciiTheme="majorBidi" w:hAnsiTheme="majorBidi" w:cstheme="majorBidi"/>
          <w:b/>
          <w:bCs/>
          <w:color w:val="000000"/>
          <w:lang w:val="fr-FR"/>
        </w:rPr>
      </w:pPr>
      <w:r w:rsidRPr="00AD5F90">
        <w:rPr>
          <w:rFonts w:asciiTheme="majorBidi" w:hAnsiTheme="majorBidi" w:cstheme="majorBidi"/>
          <w:b/>
          <w:bCs/>
          <w:color w:val="000000"/>
          <w:lang w:val="fr-FR"/>
        </w:rPr>
        <w:t>Les cabinets privés de recrutement :</w:t>
      </w:r>
      <w:r w:rsidRPr="00AD5F90">
        <w:rPr>
          <w:rFonts w:asciiTheme="majorBidi" w:hAnsiTheme="majorBidi" w:cstheme="majorBidi"/>
          <w:color w:val="000000"/>
          <w:lang w:val="fr-FR"/>
        </w:rPr>
        <w:t>Offrent un service payant incluant la recherche, l’évaluation et la sélection des meilleurs candidats.</w:t>
      </w:r>
    </w:p>
    <w:p w:rsidR="00E772DD" w:rsidRPr="00AD5F90" w:rsidRDefault="00E772DD" w:rsidP="004D32AC">
      <w:pPr>
        <w:pStyle w:val="NormalWeb"/>
        <w:numPr>
          <w:ilvl w:val="0"/>
          <w:numId w:val="10"/>
        </w:numPr>
        <w:spacing w:after="0" w:afterAutospacing="0"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Les agences de placement</w:t>
      </w:r>
      <w:r w:rsidRPr="00AD5F90">
        <w:rPr>
          <w:rFonts w:asciiTheme="majorBidi" w:hAnsiTheme="majorBidi" w:cstheme="majorBidi"/>
          <w:color w:val="000000"/>
          <w:lang w:val="fr-FR"/>
        </w:rPr>
        <w:t> : Bien que coûteuses, les agences de placement sont un moyen efficace de recrutement, notamment dans les grandes entreprises. Sélectionnent des candidats selon les besoins des entreprises et se spécialisent dans divers secteurs (bureautique, cadres, emplois spécifiques).</w:t>
      </w:r>
    </w:p>
    <w:p w:rsidR="00E772DD" w:rsidRPr="00AD5F90" w:rsidRDefault="00E772DD" w:rsidP="004D32AC">
      <w:pPr>
        <w:pStyle w:val="NormalWeb"/>
        <w:numPr>
          <w:ilvl w:val="0"/>
          <w:numId w:val="7"/>
        </w:numPr>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b/>
          <w:bCs/>
          <w:lang w:val="fr-FR"/>
        </w:rPr>
        <w:t>Réseau relationnel</w:t>
      </w:r>
      <w:r w:rsidRPr="00AD5F90">
        <w:rPr>
          <w:rFonts w:asciiTheme="majorBidi" w:hAnsiTheme="majorBidi" w:cstheme="majorBidi"/>
          <w:lang w:val="fr-FR"/>
        </w:rPr>
        <w:t> : Utiliser ses contacts personnels et professionnels.</w:t>
      </w:r>
    </w:p>
    <w:p w:rsidR="00E772DD" w:rsidRPr="00AD5F90" w:rsidRDefault="00E772DD" w:rsidP="004D32AC">
      <w:pPr>
        <w:pStyle w:val="NormalWeb"/>
        <w:numPr>
          <w:ilvl w:val="0"/>
          <w:numId w:val="7"/>
        </w:numPr>
        <w:spacing w:line="360" w:lineRule="auto"/>
        <w:jc w:val="both"/>
        <w:rPr>
          <w:rFonts w:asciiTheme="majorBidi" w:hAnsiTheme="majorBidi" w:cstheme="majorBidi"/>
          <w:color w:val="000000"/>
          <w:lang w:val="fr-FR"/>
        </w:rPr>
      </w:pPr>
      <w:r w:rsidRPr="00AD5F90">
        <w:rPr>
          <w:rFonts w:asciiTheme="majorBidi" w:hAnsiTheme="majorBidi" w:cstheme="majorBidi"/>
          <w:b/>
          <w:bCs/>
          <w:lang w:val="fr-FR"/>
        </w:rPr>
        <w:t>Sociétés d’intérim</w:t>
      </w:r>
      <w:r w:rsidRPr="00AD5F90">
        <w:rPr>
          <w:rFonts w:asciiTheme="majorBidi" w:hAnsiTheme="majorBidi" w:cstheme="majorBidi"/>
          <w:lang w:val="fr-FR"/>
        </w:rPr>
        <w:t> : Agences mettant en relation candidats et entreprises pour des missions temporaires.</w:t>
      </w:r>
    </w:p>
    <w:p w:rsidR="00E772DD" w:rsidRPr="00AD5F90" w:rsidRDefault="00E772DD" w:rsidP="004D32AC">
      <w:pPr>
        <w:pStyle w:val="NormalWeb"/>
        <w:numPr>
          <w:ilvl w:val="0"/>
          <w:numId w:val="7"/>
        </w:numPr>
        <w:spacing w:line="360" w:lineRule="auto"/>
        <w:jc w:val="both"/>
        <w:rPr>
          <w:rFonts w:asciiTheme="majorBidi" w:hAnsiTheme="majorBidi" w:cstheme="majorBidi"/>
          <w:color w:val="000000"/>
          <w:lang w:val="fr-FR"/>
        </w:rPr>
      </w:pPr>
      <w:r w:rsidRPr="00AD5F90">
        <w:rPr>
          <w:rFonts w:asciiTheme="majorBidi" w:hAnsiTheme="majorBidi" w:cstheme="majorBidi"/>
          <w:b/>
          <w:bCs/>
          <w:lang w:val="fr-FR"/>
        </w:rPr>
        <w:lastRenderedPageBreak/>
        <w:t>Salons/forums de recrutement</w:t>
      </w:r>
      <w:r w:rsidRPr="00AD5F90">
        <w:rPr>
          <w:rFonts w:asciiTheme="majorBidi" w:hAnsiTheme="majorBidi" w:cstheme="majorBidi"/>
          <w:lang w:val="fr-FR"/>
        </w:rPr>
        <w:t> : Événements où entreprises et candidats peuvent échanger directement.</w:t>
      </w:r>
    </w:p>
    <w:p w:rsidR="00E772DD" w:rsidRPr="00AD5F90" w:rsidRDefault="00E772DD" w:rsidP="004D32AC">
      <w:pPr>
        <w:pStyle w:val="NormalWeb"/>
        <w:numPr>
          <w:ilvl w:val="0"/>
          <w:numId w:val="7"/>
        </w:numPr>
        <w:spacing w:line="360" w:lineRule="auto"/>
        <w:jc w:val="both"/>
        <w:rPr>
          <w:rFonts w:asciiTheme="majorBidi" w:hAnsiTheme="majorBidi" w:cstheme="majorBidi"/>
          <w:color w:val="000000"/>
          <w:lang w:val="fr-FR"/>
        </w:rPr>
      </w:pPr>
      <w:r w:rsidRPr="00AD5F90">
        <w:rPr>
          <w:rFonts w:asciiTheme="majorBidi" w:hAnsiTheme="majorBidi" w:cstheme="majorBidi"/>
          <w:b/>
          <w:bCs/>
          <w:lang w:val="fr-FR"/>
        </w:rPr>
        <w:t>Stages de fin de cycle</w:t>
      </w:r>
      <w:r w:rsidRPr="00AD5F90">
        <w:rPr>
          <w:rFonts w:asciiTheme="majorBidi" w:hAnsiTheme="majorBidi" w:cstheme="majorBidi"/>
          <w:lang w:val="fr-FR"/>
        </w:rPr>
        <w:t> : Opportunité d’embauche après un stage en entreprise.</w:t>
      </w:r>
    </w:p>
    <w:p w:rsidR="00E772DD" w:rsidRPr="00E53F4D" w:rsidRDefault="00E772DD" w:rsidP="004D32AC">
      <w:pPr>
        <w:pStyle w:val="Titre3"/>
        <w:numPr>
          <w:ilvl w:val="3"/>
          <w:numId w:val="4"/>
        </w:numPr>
        <w:spacing w:after="0" w:afterAutospacing="0" w:line="360" w:lineRule="auto"/>
        <w:rPr>
          <w:sz w:val="24"/>
          <w:szCs w:val="24"/>
          <w:lang w:val="fr-FR"/>
        </w:rPr>
      </w:pPr>
      <w:bookmarkStart w:id="743" w:name="_Toc199714322"/>
      <w:bookmarkStart w:id="744" w:name="_Toc200486600"/>
      <w:bookmarkStart w:id="745" w:name="_Toc200635376"/>
      <w:bookmarkStart w:id="746" w:name="_Toc200635764"/>
      <w:bookmarkStart w:id="747" w:name="_Toc200636153"/>
      <w:bookmarkStart w:id="748" w:name="_Toc200755890"/>
      <w:r w:rsidRPr="00E53F4D">
        <w:rPr>
          <w:sz w:val="24"/>
          <w:szCs w:val="24"/>
          <w:lang w:val="fr-FR"/>
        </w:rPr>
        <w:t>Les avantages et les inconvénients du recrutement externe</w:t>
      </w:r>
      <w:bookmarkEnd w:id="743"/>
      <w:bookmarkEnd w:id="744"/>
      <w:bookmarkEnd w:id="745"/>
      <w:bookmarkEnd w:id="746"/>
      <w:bookmarkEnd w:id="747"/>
      <w:bookmarkEnd w:id="748"/>
    </w:p>
    <w:p w:rsidR="00A25FC8" w:rsidRPr="00F05810" w:rsidRDefault="00E772DD" w:rsidP="00F05810">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Une stratégie de recrutement externe peut s’avérer essentielle, notamment lorsque l’entreprise connaît une forte croissance. Toutefois, elle présente aussi plusieurs inconvénients.</w:t>
      </w:r>
    </w:p>
    <w:p w:rsidR="00E772DD" w:rsidRPr="00AD5F90" w:rsidRDefault="00E772DD" w:rsidP="00A74C02">
      <w:pPr>
        <w:pStyle w:val="NormalWeb"/>
        <w:spacing w:line="360" w:lineRule="auto"/>
        <w:jc w:val="center"/>
        <w:rPr>
          <w:rFonts w:asciiTheme="majorBidi" w:hAnsiTheme="majorBidi" w:cstheme="majorBidi"/>
          <w:b/>
          <w:bCs/>
          <w:color w:val="000000"/>
          <w:lang w:val="fr-FR"/>
        </w:rPr>
      </w:pPr>
      <w:r w:rsidRPr="00AD5F90">
        <w:rPr>
          <w:rFonts w:asciiTheme="majorBidi" w:hAnsiTheme="majorBidi" w:cstheme="majorBidi"/>
          <w:b/>
          <w:bCs/>
          <w:color w:val="000000"/>
          <w:lang w:val="fr-FR"/>
        </w:rPr>
        <w:t xml:space="preserve">Tableau </w:t>
      </w:r>
      <w:r>
        <w:rPr>
          <w:rFonts w:asciiTheme="majorBidi" w:hAnsiTheme="majorBidi" w:cstheme="majorBidi"/>
          <w:b/>
          <w:bCs/>
          <w:color w:val="000000"/>
          <w:lang w:val="fr-FR"/>
        </w:rPr>
        <w:t>N°0</w:t>
      </w:r>
      <w:r w:rsidRPr="00AD5F90">
        <w:rPr>
          <w:rFonts w:asciiTheme="majorBidi" w:hAnsiTheme="majorBidi" w:cstheme="majorBidi"/>
          <w:b/>
          <w:bCs/>
          <w:color w:val="000000"/>
          <w:lang w:val="fr-FR"/>
        </w:rPr>
        <w:t xml:space="preserve">6 : </w:t>
      </w:r>
      <w:r w:rsidRPr="00720872">
        <w:rPr>
          <w:rFonts w:asciiTheme="majorBidi" w:hAnsiTheme="majorBidi" w:cstheme="majorBidi"/>
          <w:color w:val="000000"/>
          <w:lang w:val="fr-FR"/>
        </w:rPr>
        <w:t>Avantages et inconvénients du recrutement externe</w:t>
      </w:r>
    </w:p>
    <w:tbl>
      <w:tblPr>
        <w:tblStyle w:val="Grilledutableau"/>
        <w:tblW w:w="0" w:type="auto"/>
        <w:tblLook w:val="04A0" w:firstRow="1" w:lastRow="0" w:firstColumn="1" w:lastColumn="0" w:noHBand="0" w:noVBand="1"/>
      </w:tblPr>
      <w:tblGrid>
        <w:gridCol w:w="4253"/>
        <w:gridCol w:w="4678"/>
      </w:tblGrid>
      <w:tr w:rsidR="00E772DD" w:rsidRPr="00AD5F90" w:rsidTr="002F5C80">
        <w:tc>
          <w:tcPr>
            <w:tcW w:w="4253" w:type="dxa"/>
            <w:shd w:val="clear" w:color="auto" w:fill="D8DCD1"/>
            <w:vAlign w:val="center"/>
          </w:tcPr>
          <w:p w:rsidR="00E772DD" w:rsidRPr="00AD5F90" w:rsidRDefault="00E772DD" w:rsidP="00BB18B7">
            <w:pPr>
              <w:pStyle w:val="NormalWeb"/>
              <w:spacing w:line="360" w:lineRule="auto"/>
              <w:jc w:val="center"/>
              <w:rPr>
                <w:rFonts w:asciiTheme="majorBidi" w:hAnsiTheme="majorBidi" w:cstheme="majorBidi"/>
                <w:b/>
                <w:bCs/>
                <w:color w:val="000000"/>
                <w:lang w:val="fr-FR"/>
              </w:rPr>
            </w:pPr>
            <w:r w:rsidRPr="00AD5F90">
              <w:rPr>
                <w:rFonts w:asciiTheme="majorBidi" w:hAnsiTheme="majorBidi" w:cstheme="majorBidi"/>
                <w:color w:val="000000"/>
                <w:lang w:val="fr-FR"/>
              </w:rPr>
              <w:t>Avantages</w:t>
            </w:r>
          </w:p>
        </w:tc>
        <w:tc>
          <w:tcPr>
            <w:tcW w:w="4678" w:type="dxa"/>
            <w:shd w:val="clear" w:color="auto" w:fill="D8DCD1"/>
            <w:vAlign w:val="center"/>
          </w:tcPr>
          <w:p w:rsidR="00E772DD" w:rsidRPr="00AD5F90" w:rsidRDefault="00E772DD" w:rsidP="00BB18B7">
            <w:pPr>
              <w:pStyle w:val="NormalWeb"/>
              <w:spacing w:line="360" w:lineRule="auto"/>
              <w:jc w:val="center"/>
              <w:rPr>
                <w:rFonts w:asciiTheme="majorBidi" w:hAnsiTheme="majorBidi" w:cstheme="majorBidi"/>
                <w:b/>
                <w:bCs/>
                <w:color w:val="000000"/>
                <w:lang w:val="fr-FR"/>
              </w:rPr>
            </w:pPr>
            <w:r w:rsidRPr="00AD5F90">
              <w:rPr>
                <w:rFonts w:asciiTheme="majorBidi" w:hAnsiTheme="majorBidi" w:cstheme="majorBidi"/>
                <w:color w:val="000000"/>
                <w:lang w:val="fr-FR"/>
              </w:rPr>
              <w:t>Inconvénients</w:t>
            </w:r>
          </w:p>
        </w:tc>
      </w:tr>
      <w:tr w:rsidR="00E772DD" w:rsidRPr="00427D18" w:rsidTr="00BB18B7">
        <w:tc>
          <w:tcPr>
            <w:tcW w:w="4253" w:type="dxa"/>
            <w:vAlign w:val="center"/>
          </w:tcPr>
          <w:p w:rsidR="00E772DD" w:rsidRPr="00AD5F90" w:rsidRDefault="00E772DD" w:rsidP="004D32AC">
            <w:pPr>
              <w:pStyle w:val="NormalWeb"/>
              <w:numPr>
                <w:ilvl w:val="0"/>
                <w:numId w:val="11"/>
              </w:numPr>
              <w:spacing w:line="360" w:lineRule="auto"/>
              <w:rPr>
                <w:rFonts w:asciiTheme="majorBidi" w:hAnsiTheme="majorBidi" w:cstheme="majorBidi"/>
                <w:b/>
                <w:bCs/>
                <w:color w:val="000000"/>
                <w:lang w:val="fr-FR"/>
              </w:rPr>
            </w:pPr>
            <w:r w:rsidRPr="00AD5F90">
              <w:rPr>
                <w:rFonts w:asciiTheme="majorBidi" w:hAnsiTheme="majorBidi" w:cstheme="majorBidi"/>
                <w:color w:val="000000"/>
                <w:lang w:val="fr-FR"/>
              </w:rPr>
              <w:t>Ce choix permet d’éviter les conflits et les blocages liés à la concurrence interne.</w:t>
            </w:r>
          </w:p>
          <w:p w:rsidR="00E772DD" w:rsidRPr="00AD5F90" w:rsidRDefault="00E772DD" w:rsidP="004D32AC">
            <w:pPr>
              <w:pStyle w:val="NormalWeb"/>
              <w:numPr>
                <w:ilvl w:val="0"/>
                <w:numId w:val="11"/>
              </w:numPr>
              <w:spacing w:line="360" w:lineRule="auto"/>
              <w:rPr>
                <w:rFonts w:asciiTheme="majorBidi" w:hAnsiTheme="majorBidi" w:cstheme="majorBidi"/>
                <w:b/>
                <w:bCs/>
                <w:color w:val="000000"/>
                <w:lang w:val="fr-FR"/>
              </w:rPr>
            </w:pPr>
            <w:r w:rsidRPr="00AD5F90">
              <w:rPr>
                <w:rFonts w:asciiTheme="majorBidi" w:hAnsiTheme="majorBidi" w:cstheme="majorBidi"/>
                <w:color w:val="000000"/>
                <w:lang w:val="fr-FR"/>
              </w:rPr>
              <w:t>Un levier clé pour le renouvellement des ressources humaines, en introduisant de nouveaux comportements, cultures et technologies.</w:t>
            </w:r>
          </w:p>
          <w:p w:rsidR="00E772DD" w:rsidRPr="00AD5F90" w:rsidRDefault="00E772DD" w:rsidP="004D32AC">
            <w:pPr>
              <w:pStyle w:val="NormalWeb"/>
              <w:numPr>
                <w:ilvl w:val="0"/>
                <w:numId w:val="11"/>
              </w:numPr>
              <w:spacing w:line="360" w:lineRule="auto"/>
              <w:rPr>
                <w:rFonts w:asciiTheme="majorBidi" w:hAnsiTheme="majorBidi" w:cstheme="majorBidi"/>
                <w:b/>
                <w:bCs/>
                <w:color w:val="000000"/>
                <w:lang w:val="fr-FR"/>
              </w:rPr>
            </w:pPr>
            <w:r w:rsidRPr="00AD5F90">
              <w:rPr>
                <w:rFonts w:asciiTheme="majorBidi" w:hAnsiTheme="majorBidi" w:cstheme="majorBidi"/>
                <w:color w:val="000000"/>
                <w:lang w:val="fr-FR"/>
              </w:rPr>
              <w:t>Il contribue à l’équilibre de la pyramide des âges au sein de l’entreprise.</w:t>
            </w:r>
          </w:p>
          <w:p w:rsidR="00E772DD" w:rsidRPr="00AD5F90" w:rsidRDefault="00E772DD" w:rsidP="004D32AC">
            <w:pPr>
              <w:pStyle w:val="NormalWeb"/>
              <w:numPr>
                <w:ilvl w:val="0"/>
                <w:numId w:val="11"/>
              </w:numPr>
              <w:spacing w:line="360" w:lineRule="auto"/>
              <w:rPr>
                <w:rFonts w:asciiTheme="majorBidi" w:hAnsiTheme="majorBidi" w:cstheme="majorBidi"/>
                <w:color w:val="000000"/>
                <w:lang w:val="fr-FR"/>
              </w:rPr>
            </w:pPr>
            <w:r w:rsidRPr="00AD5F90">
              <w:rPr>
                <w:rFonts w:asciiTheme="majorBidi" w:hAnsiTheme="majorBidi" w:cstheme="majorBidi"/>
                <w:color w:val="000000"/>
                <w:lang w:val="fr-FR"/>
              </w:rPr>
              <w:t>Il favorise la diversification des compétences, ce qui stimule et enrichit le personnel interne.</w:t>
            </w:r>
          </w:p>
        </w:tc>
        <w:tc>
          <w:tcPr>
            <w:tcW w:w="4678" w:type="dxa"/>
            <w:vAlign w:val="center"/>
          </w:tcPr>
          <w:p w:rsidR="00E772DD" w:rsidRPr="00AD5F90" w:rsidRDefault="00E772DD" w:rsidP="004D32AC">
            <w:pPr>
              <w:numPr>
                <w:ilvl w:val="0"/>
                <w:numId w:val="12"/>
              </w:numPr>
              <w:spacing w:before="100" w:beforeAutospacing="1" w:after="100" w:afterAutospacing="1" w:line="360" w:lineRule="auto"/>
              <w:rPr>
                <w:rFonts w:asciiTheme="majorBidi" w:hAnsiTheme="majorBidi" w:cstheme="majorBidi"/>
                <w:color w:val="000000"/>
                <w:lang w:val="fr-FR"/>
              </w:rPr>
            </w:pPr>
            <w:r w:rsidRPr="00AD5F90">
              <w:rPr>
                <w:rFonts w:asciiTheme="majorBidi" w:hAnsiTheme="majorBidi" w:cstheme="majorBidi"/>
                <w:color w:val="000000"/>
                <w:lang w:val="fr-FR"/>
              </w:rPr>
              <w:t>Coût d’intégration souvent plus élevé.</w:t>
            </w:r>
          </w:p>
          <w:p w:rsidR="00E772DD" w:rsidRPr="00AD5F90" w:rsidRDefault="00E772DD" w:rsidP="004D32AC">
            <w:pPr>
              <w:numPr>
                <w:ilvl w:val="0"/>
                <w:numId w:val="12"/>
              </w:numPr>
              <w:spacing w:before="100" w:beforeAutospacing="1" w:after="100" w:afterAutospacing="1" w:line="360" w:lineRule="auto"/>
              <w:rPr>
                <w:rFonts w:asciiTheme="majorBidi" w:hAnsiTheme="majorBidi" w:cstheme="majorBidi"/>
                <w:color w:val="000000"/>
                <w:lang w:val="fr-FR"/>
              </w:rPr>
            </w:pPr>
            <w:r w:rsidRPr="00AD5F90">
              <w:rPr>
                <w:rFonts w:asciiTheme="majorBidi" w:hAnsiTheme="majorBidi" w:cstheme="majorBidi"/>
                <w:color w:val="000000"/>
                <w:lang w:val="fr-FR"/>
              </w:rPr>
              <w:t>Augmentation des effectifs entraînant une hausse de la masse salariale.</w:t>
            </w:r>
          </w:p>
          <w:p w:rsidR="00E772DD" w:rsidRPr="00AD5F90" w:rsidRDefault="00E772DD" w:rsidP="004D32AC">
            <w:pPr>
              <w:numPr>
                <w:ilvl w:val="0"/>
                <w:numId w:val="12"/>
              </w:numPr>
              <w:spacing w:before="100" w:beforeAutospacing="1" w:after="100" w:afterAutospacing="1" w:line="360" w:lineRule="auto"/>
              <w:rPr>
                <w:rFonts w:asciiTheme="majorBidi" w:hAnsiTheme="majorBidi" w:cstheme="majorBidi"/>
                <w:color w:val="000000"/>
                <w:lang w:val="fr-FR"/>
              </w:rPr>
            </w:pPr>
            <w:r w:rsidRPr="00AD5F90">
              <w:rPr>
                <w:rFonts w:asciiTheme="majorBidi" w:hAnsiTheme="majorBidi" w:cstheme="majorBidi"/>
                <w:color w:val="000000"/>
                <w:lang w:val="fr-FR"/>
              </w:rPr>
              <w:t>Risque de tensions entre les salariés internes et les nouveaux recrutés.</w:t>
            </w:r>
          </w:p>
          <w:p w:rsidR="00E772DD" w:rsidRPr="00AD5F90" w:rsidRDefault="00E772DD" w:rsidP="004D32AC">
            <w:pPr>
              <w:numPr>
                <w:ilvl w:val="0"/>
                <w:numId w:val="12"/>
              </w:numPr>
              <w:spacing w:before="100" w:beforeAutospacing="1" w:after="100" w:afterAutospacing="1" w:line="360" w:lineRule="auto"/>
              <w:rPr>
                <w:rFonts w:asciiTheme="majorBidi" w:hAnsiTheme="majorBidi" w:cstheme="majorBidi"/>
                <w:color w:val="000000"/>
                <w:lang w:val="fr-FR"/>
              </w:rPr>
            </w:pPr>
            <w:r w:rsidRPr="00AD5F90">
              <w:rPr>
                <w:rFonts w:asciiTheme="majorBidi" w:hAnsiTheme="majorBidi" w:cstheme="majorBidi"/>
                <w:color w:val="000000"/>
                <w:lang w:val="fr-FR"/>
              </w:rPr>
              <w:t>Processus d’intégration plus long et période d’adaptation prolongée.</w:t>
            </w:r>
          </w:p>
          <w:p w:rsidR="00E772DD" w:rsidRPr="00AD5F90" w:rsidRDefault="00E772DD" w:rsidP="004D32AC">
            <w:pPr>
              <w:numPr>
                <w:ilvl w:val="0"/>
                <w:numId w:val="12"/>
              </w:numPr>
              <w:spacing w:before="100" w:beforeAutospacing="1" w:after="100" w:afterAutospacing="1" w:line="360" w:lineRule="auto"/>
              <w:rPr>
                <w:rFonts w:asciiTheme="majorBidi" w:hAnsiTheme="majorBidi" w:cstheme="majorBidi"/>
                <w:color w:val="000000"/>
                <w:lang w:val="fr-FR"/>
              </w:rPr>
            </w:pPr>
            <w:r w:rsidRPr="00AD5F90">
              <w:rPr>
                <w:rFonts w:asciiTheme="majorBidi" w:hAnsiTheme="majorBidi" w:cstheme="majorBidi"/>
                <w:color w:val="000000"/>
                <w:lang w:val="fr-FR"/>
              </w:rPr>
              <w:t>En cas d’incompétence du nouveau collaborateur, la formation représente un investissement important en temps et en ressources financières.</w:t>
            </w:r>
          </w:p>
          <w:p w:rsidR="00E772DD" w:rsidRPr="00AD5F90" w:rsidRDefault="00E772DD" w:rsidP="00BB18B7">
            <w:pPr>
              <w:spacing w:line="360" w:lineRule="auto"/>
              <w:rPr>
                <w:rFonts w:asciiTheme="majorBidi" w:hAnsiTheme="majorBidi" w:cstheme="majorBidi"/>
                <w:color w:val="000000"/>
                <w:lang w:val="fr-FR"/>
              </w:rPr>
            </w:pPr>
          </w:p>
        </w:tc>
      </w:tr>
    </w:tbl>
    <w:p w:rsidR="00E772DD" w:rsidRPr="00AD5F90" w:rsidRDefault="00E772DD" w:rsidP="00720872">
      <w:pPr>
        <w:pStyle w:val="NormalWeb"/>
        <w:spacing w:line="360" w:lineRule="auto"/>
        <w:jc w:val="center"/>
        <w:rPr>
          <w:rFonts w:asciiTheme="majorBidi" w:hAnsiTheme="majorBidi" w:cstheme="majorBidi"/>
          <w:color w:val="000000"/>
          <w:lang w:val="fr-FR"/>
        </w:rPr>
      </w:pPr>
      <w:r w:rsidRPr="009F2A2E">
        <w:rPr>
          <w:rFonts w:asciiTheme="majorBidi" w:hAnsiTheme="majorBidi" w:cstheme="majorBidi"/>
          <w:b/>
          <w:bCs/>
          <w:color w:val="000000"/>
          <w:lang w:val="fr-FR"/>
        </w:rPr>
        <w:t>Source :</w:t>
      </w:r>
      <w:r w:rsidRPr="00AD5F90">
        <w:rPr>
          <w:rFonts w:asciiTheme="majorBidi" w:hAnsiTheme="majorBidi" w:cstheme="majorBidi"/>
          <w:color w:val="000000"/>
          <w:lang w:val="fr-FR"/>
        </w:rPr>
        <w:t xml:space="preserve"> GOUDJIL, D. &amp; HAMMADI, R. (année). L’apport de la digitalisation dans la fonction ressource humaine. Mémoire de fin d’étude, UMMTO, pp. 56-57.</w:t>
      </w:r>
    </w:p>
    <w:p w:rsidR="00E772DD" w:rsidRPr="00E53F4D" w:rsidRDefault="00E772DD" w:rsidP="004D32AC">
      <w:pPr>
        <w:pStyle w:val="Titre3"/>
        <w:numPr>
          <w:ilvl w:val="1"/>
          <w:numId w:val="4"/>
        </w:numPr>
        <w:spacing w:after="0" w:afterAutospacing="0" w:line="360" w:lineRule="auto"/>
        <w:rPr>
          <w:sz w:val="24"/>
          <w:szCs w:val="24"/>
          <w:lang w:val="fr-FR"/>
        </w:rPr>
      </w:pPr>
      <w:bookmarkStart w:id="749" w:name="_Toc199714323"/>
      <w:bookmarkStart w:id="750" w:name="_Toc200486601"/>
      <w:bookmarkStart w:id="751" w:name="_Toc200635377"/>
      <w:bookmarkStart w:id="752" w:name="_Toc200635765"/>
      <w:bookmarkStart w:id="753" w:name="_Toc200636154"/>
      <w:bookmarkStart w:id="754" w:name="_Toc200755891"/>
      <w:r w:rsidRPr="00E53F4D">
        <w:rPr>
          <w:sz w:val="24"/>
          <w:szCs w:val="24"/>
          <w:lang w:val="fr-FR"/>
        </w:rPr>
        <w:t>Le processus de recrutement</w:t>
      </w:r>
      <w:bookmarkEnd w:id="749"/>
      <w:bookmarkEnd w:id="750"/>
      <w:bookmarkEnd w:id="751"/>
      <w:bookmarkEnd w:id="752"/>
      <w:bookmarkEnd w:id="753"/>
      <w:bookmarkEnd w:id="754"/>
      <w:r w:rsidRPr="00E53F4D">
        <w:rPr>
          <w:sz w:val="24"/>
          <w:szCs w:val="24"/>
          <w:lang w:val="fr-FR"/>
        </w:rPr>
        <w:t xml:space="preserve"> </w:t>
      </w:r>
    </w:p>
    <w:p w:rsidR="00E772DD" w:rsidRPr="00AD5F90" w:rsidRDefault="00E772DD" w:rsidP="00E53F4D">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 xml:space="preserve">Le recrutement d’un individu pour un poste au sein d’une organisation constitue un processus de gestion de l’information, structuré en différentes étapes, visant à parvenir à une décision éclairée ou à un résultat précis. Ce processus de recrutement comprend généralement toutes les </w:t>
      </w:r>
      <w:r w:rsidRPr="00AD5F90">
        <w:rPr>
          <w:rFonts w:asciiTheme="majorBidi" w:hAnsiTheme="majorBidi" w:cstheme="majorBidi"/>
          <w:sz w:val="24"/>
          <w:szCs w:val="24"/>
          <w:lang w:val="fr-FR"/>
        </w:rPr>
        <w:lastRenderedPageBreak/>
        <w:t>phases que l’entreprise prévoit de suivre pour identifier le candidat le plus qualifié afin de pourvoir un poste vacant</w:t>
      </w:r>
      <w:r w:rsidRPr="00AD5F90">
        <w:rPr>
          <w:rStyle w:val="Appelnotedebasdep"/>
          <w:rFonts w:cstheme="majorBidi"/>
          <w:sz w:val="24"/>
          <w:szCs w:val="24"/>
          <w:lang w:val="fr-FR"/>
        </w:rPr>
        <w:footnoteReference w:id="139"/>
      </w:r>
      <w:r w:rsidRPr="00AD5F90">
        <w:rPr>
          <w:rFonts w:asciiTheme="majorBidi" w:hAnsiTheme="majorBidi" w:cstheme="majorBidi"/>
          <w:sz w:val="24"/>
          <w:szCs w:val="24"/>
          <w:lang w:val="fr-FR"/>
        </w:rPr>
        <w:t>.</w:t>
      </w:r>
    </w:p>
    <w:p w:rsidR="00E772DD" w:rsidRPr="00AD5F90" w:rsidRDefault="00E772DD" w:rsidP="00B52376">
      <w:pPr>
        <w:pStyle w:val="p1"/>
        <w:spacing w:line="360" w:lineRule="auto"/>
        <w:jc w:val="both"/>
        <w:rPr>
          <w:rFonts w:asciiTheme="majorBidi" w:hAnsiTheme="majorBidi" w:cstheme="majorBidi"/>
          <w:sz w:val="24"/>
          <w:szCs w:val="24"/>
          <w:lang w:val="fr-FR"/>
        </w:rPr>
      </w:pPr>
    </w:p>
    <w:p w:rsidR="00E772DD" w:rsidRPr="00720872" w:rsidRDefault="00E772DD" w:rsidP="001441E2">
      <w:pPr>
        <w:pStyle w:val="p1"/>
        <w:spacing w:line="360" w:lineRule="auto"/>
        <w:jc w:val="center"/>
        <w:rPr>
          <w:rFonts w:asciiTheme="majorBidi" w:hAnsiTheme="majorBidi" w:cstheme="majorBidi"/>
          <w:sz w:val="24"/>
          <w:szCs w:val="24"/>
          <w:lang w:val="fr-FR"/>
        </w:rPr>
      </w:pPr>
      <w:r w:rsidRPr="00AD5F90">
        <w:rPr>
          <w:rFonts w:asciiTheme="majorBidi" w:hAnsiTheme="majorBidi" w:cstheme="majorBidi"/>
          <w:b/>
          <w:bCs/>
          <w:noProof/>
          <w:sz w:val="24"/>
          <w:szCs w:val="24"/>
          <w:lang w:val="fr-FR"/>
          <w14:ligatures w14:val="standardContextual"/>
        </w:rPr>
        <w:drawing>
          <wp:anchor distT="0" distB="0" distL="114300" distR="114300" simplePos="0" relativeHeight="251671552" behindDoc="0" locked="0" layoutInCell="1" allowOverlap="1" wp14:anchorId="29776B2B">
            <wp:simplePos x="0" y="0"/>
            <wp:positionH relativeFrom="column">
              <wp:posOffset>-31115</wp:posOffset>
            </wp:positionH>
            <wp:positionV relativeFrom="paragraph">
              <wp:posOffset>349885</wp:posOffset>
            </wp:positionV>
            <wp:extent cx="5716270" cy="3200400"/>
            <wp:effectExtent l="63500" t="0" r="62230" b="0"/>
            <wp:wrapTopAndBottom/>
            <wp:docPr id="29939508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14:sizeRelH relativeFrom="page">
              <wp14:pctWidth>0</wp14:pctWidth>
            </wp14:sizeRelH>
            <wp14:sizeRelV relativeFrom="page">
              <wp14:pctHeight>0</wp14:pctHeight>
            </wp14:sizeRelV>
          </wp:anchor>
        </w:drawing>
      </w:r>
      <w:r w:rsidRPr="00AD5F90">
        <w:rPr>
          <w:rFonts w:asciiTheme="majorBidi" w:hAnsiTheme="majorBidi" w:cstheme="majorBidi"/>
          <w:b/>
          <w:bCs/>
          <w:sz w:val="24"/>
          <w:szCs w:val="24"/>
          <w:lang w:val="fr-FR"/>
        </w:rPr>
        <w:t xml:space="preserve">Figure </w:t>
      </w:r>
      <w:r>
        <w:rPr>
          <w:rFonts w:asciiTheme="majorBidi" w:hAnsiTheme="majorBidi" w:cstheme="majorBidi"/>
          <w:b/>
          <w:bCs/>
          <w:sz w:val="24"/>
          <w:szCs w:val="24"/>
          <w:lang w:val="fr-FR"/>
        </w:rPr>
        <w:t>N°07</w:t>
      </w:r>
      <w:r w:rsidRPr="00AD5F90">
        <w:rPr>
          <w:rFonts w:asciiTheme="majorBidi" w:hAnsiTheme="majorBidi" w:cstheme="majorBidi"/>
          <w:b/>
          <w:bCs/>
          <w:sz w:val="24"/>
          <w:szCs w:val="24"/>
          <w:lang w:val="fr-FR"/>
        </w:rPr>
        <w:t xml:space="preserve"> : </w:t>
      </w:r>
      <w:r w:rsidRPr="00720872">
        <w:rPr>
          <w:rFonts w:asciiTheme="majorBidi" w:hAnsiTheme="majorBidi" w:cstheme="majorBidi"/>
          <w:sz w:val="24"/>
          <w:szCs w:val="24"/>
          <w:lang w:val="fr-FR"/>
        </w:rPr>
        <w:t>Processus du recrutement</w:t>
      </w:r>
    </w:p>
    <w:p w:rsidR="00E772DD" w:rsidRPr="00041AE7" w:rsidRDefault="00E772DD" w:rsidP="00D61BD8">
      <w:pPr>
        <w:pStyle w:val="p1"/>
        <w:spacing w:line="360" w:lineRule="auto"/>
        <w:jc w:val="both"/>
        <w:rPr>
          <w:rFonts w:asciiTheme="majorBidi" w:hAnsiTheme="majorBidi" w:cstheme="majorBidi"/>
          <w:b/>
          <w:bCs/>
          <w:i/>
          <w:iCs/>
          <w:sz w:val="24"/>
          <w:szCs w:val="24"/>
          <w:lang w:val="fr-FR"/>
        </w:rPr>
      </w:pPr>
    </w:p>
    <w:p w:rsidR="00E772DD" w:rsidRPr="00A25FC8" w:rsidRDefault="00E772DD" w:rsidP="00E53F4D">
      <w:pPr>
        <w:pStyle w:val="p1"/>
        <w:spacing w:after="240" w:line="360" w:lineRule="auto"/>
        <w:jc w:val="center"/>
        <w:rPr>
          <w:rFonts w:asciiTheme="majorBidi" w:hAnsiTheme="majorBidi" w:cstheme="majorBidi"/>
          <w:sz w:val="24"/>
          <w:szCs w:val="24"/>
          <w:lang w:val="fr-FR"/>
        </w:rPr>
      </w:pPr>
      <w:r w:rsidRPr="00041AE7">
        <w:rPr>
          <w:rFonts w:asciiTheme="majorBidi" w:hAnsiTheme="majorBidi" w:cstheme="majorBidi"/>
          <w:b/>
          <w:bCs/>
          <w:sz w:val="24"/>
          <w:szCs w:val="24"/>
          <w:lang w:val="fr-FR"/>
        </w:rPr>
        <w:t>Source :</w:t>
      </w:r>
      <w:r w:rsidRPr="00AD5F90">
        <w:rPr>
          <w:rFonts w:asciiTheme="majorBidi" w:hAnsiTheme="majorBidi" w:cstheme="majorBidi"/>
          <w:sz w:val="24"/>
          <w:szCs w:val="24"/>
          <w:lang w:val="fr-FR"/>
        </w:rPr>
        <w:t xml:space="preserve"> FALCO, H. de (2016). Maîtriser ses recrutements (5ᵉ éd.). Éditions DUNOD, p. 2.</w:t>
      </w:r>
    </w:p>
    <w:p w:rsidR="00E772DD" w:rsidRPr="00E53F4D" w:rsidRDefault="00E772DD" w:rsidP="004D32AC">
      <w:pPr>
        <w:pStyle w:val="Titre3"/>
        <w:numPr>
          <w:ilvl w:val="2"/>
          <w:numId w:val="4"/>
        </w:numPr>
        <w:spacing w:after="0" w:afterAutospacing="0" w:line="360" w:lineRule="auto"/>
        <w:rPr>
          <w:sz w:val="24"/>
          <w:szCs w:val="24"/>
          <w:lang w:val="fr-FR"/>
        </w:rPr>
      </w:pPr>
      <w:bookmarkStart w:id="755" w:name="_Toc199714324"/>
      <w:bookmarkStart w:id="756" w:name="_Toc200486602"/>
      <w:bookmarkStart w:id="757" w:name="_Toc200635378"/>
      <w:bookmarkStart w:id="758" w:name="_Toc200635766"/>
      <w:bookmarkStart w:id="759" w:name="_Toc200636155"/>
      <w:bookmarkStart w:id="760" w:name="_Toc200755892"/>
      <w:r w:rsidRPr="00E53F4D">
        <w:rPr>
          <w:sz w:val="24"/>
          <w:szCs w:val="24"/>
          <w:lang w:val="fr-FR"/>
        </w:rPr>
        <w:t>Définition du besoin</w:t>
      </w:r>
      <w:bookmarkEnd w:id="755"/>
      <w:bookmarkEnd w:id="756"/>
      <w:bookmarkEnd w:id="757"/>
      <w:bookmarkEnd w:id="758"/>
      <w:bookmarkEnd w:id="759"/>
      <w:bookmarkEnd w:id="760"/>
      <w:r w:rsidRPr="00E53F4D">
        <w:rPr>
          <w:sz w:val="24"/>
          <w:szCs w:val="24"/>
          <w:lang w:val="fr-FR"/>
        </w:rPr>
        <w:t xml:space="preserve"> </w:t>
      </w:r>
    </w:p>
    <w:p w:rsidR="00E772DD" w:rsidRPr="00AD5F90" w:rsidRDefault="00E772DD" w:rsidP="00E53F4D">
      <w:pPr>
        <w:pStyle w:val="p1"/>
        <w:spacing w:after="240"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Le recrutement vise à répondre à un besoin précis et complexe. La réussite de l’ensemble du processus repose sur une définition claire et détaillée du poste à pourvoir, ce qui implique :</w:t>
      </w:r>
    </w:p>
    <w:p w:rsidR="00E772DD" w:rsidRPr="00AD5F90" w:rsidRDefault="00E772DD" w:rsidP="004D32AC">
      <w:pPr>
        <w:pStyle w:val="p1"/>
        <w:numPr>
          <w:ilvl w:val="1"/>
          <w:numId w:val="18"/>
        </w:numPr>
        <w:spacing w:line="360" w:lineRule="auto"/>
        <w:jc w:val="both"/>
        <w:rPr>
          <w:rFonts w:asciiTheme="majorBidi" w:hAnsiTheme="majorBidi" w:cstheme="majorBidi"/>
          <w:b/>
          <w:bCs/>
          <w:sz w:val="24"/>
          <w:szCs w:val="24"/>
          <w:lang w:val="fr-FR"/>
        </w:rPr>
      </w:pPr>
      <w:r w:rsidRPr="00AD5F90">
        <w:rPr>
          <w:rFonts w:asciiTheme="majorBidi" w:hAnsiTheme="majorBidi" w:cstheme="majorBidi"/>
          <w:b/>
          <w:bCs/>
          <w:sz w:val="24"/>
          <w:szCs w:val="24"/>
          <w:lang w:val="fr-FR"/>
        </w:rPr>
        <w:t>Rédaction de la description du poste</w:t>
      </w:r>
    </w:p>
    <w:p w:rsidR="00E772DD" w:rsidRPr="00AD5F90" w:rsidRDefault="00E772DD" w:rsidP="00E16C5A">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 xml:space="preserve">La description du poste constitue une présentation détaillée et objective des missions et des responsabilités associées. Elle permet d’assurer une meilleure cohérence dans le processus de recrutement et de structurer les attentes de l’entreprise. </w:t>
      </w:r>
    </w:p>
    <w:p w:rsidR="00E772DD" w:rsidRPr="00AD5F90" w:rsidRDefault="00E772DD" w:rsidP="00D61BD8">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Cette description repose sur six éléments essentiels :</w:t>
      </w:r>
    </w:p>
    <w:p w:rsidR="00E772DD" w:rsidRPr="00AD5F90" w:rsidRDefault="00E772DD" w:rsidP="004D32AC">
      <w:pPr>
        <w:pStyle w:val="p1"/>
        <w:numPr>
          <w:ilvl w:val="0"/>
          <w:numId w:val="16"/>
        </w:numPr>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L’intitulé du poste</w:t>
      </w:r>
    </w:p>
    <w:p w:rsidR="00E772DD" w:rsidRPr="00AD5F90" w:rsidRDefault="00E772DD" w:rsidP="004D32AC">
      <w:pPr>
        <w:pStyle w:val="p1"/>
        <w:numPr>
          <w:ilvl w:val="0"/>
          <w:numId w:val="16"/>
        </w:numPr>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La mission principale</w:t>
      </w:r>
    </w:p>
    <w:p w:rsidR="00E772DD" w:rsidRPr="00AD5F90" w:rsidRDefault="00E772DD" w:rsidP="004D32AC">
      <w:pPr>
        <w:pStyle w:val="p1"/>
        <w:numPr>
          <w:ilvl w:val="0"/>
          <w:numId w:val="16"/>
        </w:numPr>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Le contexte du poste</w:t>
      </w:r>
    </w:p>
    <w:p w:rsidR="00E772DD" w:rsidRPr="00AD5F90" w:rsidRDefault="00E772DD" w:rsidP="004D32AC">
      <w:pPr>
        <w:pStyle w:val="p1"/>
        <w:numPr>
          <w:ilvl w:val="0"/>
          <w:numId w:val="16"/>
        </w:numPr>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Le contenu détaillé des tâches</w:t>
      </w:r>
    </w:p>
    <w:p w:rsidR="00E772DD" w:rsidRPr="00AD5F90" w:rsidRDefault="00E772DD" w:rsidP="004D32AC">
      <w:pPr>
        <w:pStyle w:val="p1"/>
        <w:numPr>
          <w:ilvl w:val="0"/>
          <w:numId w:val="16"/>
        </w:numPr>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lastRenderedPageBreak/>
        <w:t>La rémunération prévue</w:t>
      </w:r>
    </w:p>
    <w:p w:rsidR="00E772DD" w:rsidRPr="00F05810" w:rsidRDefault="00E772DD" w:rsidP="004D32AC">
      <w:pPr>
        <w:pStyle w:val="p1"/>
        <w:numPr>
          <w:ilvl w:val="0"/>
          <w:numId w:val="16"/>
        </w:numPr>
        <w:spacing w:after="240"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Les conditions de travail et les éventuelles contraintes spécifiques</w:t>
      </w:r>
    </w:p>
    <w:p w:rsidR="00E772DD" w:rsidRPr="00AD5F90" w:rsidRDefault="00E772DD" w:rsidP="004D32AC">
      <w:pPr>
        <w:pStyle w:val="p1"/>
        <w:numPr>
          <w:ilvl w:val="1"/>
          <w:numId w:val="18"/>
        </w:numPr>
        <w:spacing w:line="360" w:lineRule="auto"/>
        <w:jc w:val="both"/>
        <w:rPr>
          <w:rFonts w:asciiTheme="majorBidi" w:hAnsiTheme="majorBidi" w:cstheme="majorBidi"/>
          <w:b/>
          <w:bCs/>
          <w:sz w:val="24"/>
          <w:szCs w:val="24"/>
          <w:lang w:val="fr-FR"/>
        </w:rPr>
      </w:pPr>
      <w:r w:rsidRPr="00AD5F90">
        <w:rPr>
          <w:rFonts w:asciiTheme="majorBidi" w:hAnsiTheme="majorBidi" w:cstheme="majorBidi"/>
          <w:b/>
          <w:bCs/>
          <w:sz w:val="24"/>
          <w:szCs w:val="24"/>
          <w:lang w:val="fr-FR"/>
        </w:rPr>
        <w:t>Définition du profil du poste</w:t>
      </w:r>
    </w:p>
    <w:p w:rsidR="00E772DD" w:rsidRPr="00AD5F90" w:rsidRDefault="00E772DD" w:rsidP="00D61BD8">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Une fois la description du poste établie, il est nécessaire d’identifier le profil idéal du candidat. Ce profil comprend :</w:t>
      </w:r>
    </w:p>
    <w:p w:rsidR="00E772DD" w:rsidRPr="00AD5F90" w:rsidRDefault="00E772DD" w:rsidP="004D32AC">
      <w:pPr>
        <w:pStyle w:val="p1"/>
        <w:numPr>
          <w:ilvl w:val="0"/>
          <w:numId w:val="13"/>
        </w:numPr>
        <w:spacing w:line="360" w:lineRule="auto"/>
        <w:jc w:val="both"/>
        <w:rPr>
          <w:rFonts w:asciiTheme="majorBidi" w:hAnsiTheme="majorBidi" w:cstheme="majorBidi"/>
          <w:sz w:val="24"/>
          <w:szCs w:val="24"/>
          <w:lang w:val="fr-FR"/>
        </w:rPr>
      </w:pPr>
      <w:r w:rsidRPr="00AD5F90">
        <w:rPr>
          <w:rFonts w:asciiTheme="majorBidi" w:hAnsiTheme="majorBidi" w:cstheme="majorBidi"/>
          <w:b/>
          <w:bCs/>
          <w:sz w:val="24"/>
          <w:szCs w:val="24"/>
          <w:lang w:val="fr-FR"/>
        </w:rPr>
        <w:t>Les compétences requises</w:t>
      </w:r>
      <w:r w:rsidRPr="00AD5F90">
        <w:rPr>
          <w:rFonts w:asciiTheme="majorBidi" w:hAnsiTheme="majorBidi" w:cstheme="majorBidi"/>
          <w:sz w:val="24"/>
          <w:szCs w:val="24"/>
          <w:lang w:val="fr-FR"/>
        </w:rPr>
        <w:t> : techniques, comportementales et relationnelles.</w:t>
      </w:r>
    </w:p>
    <w:p w:rsidR="00E772DD" w:rsidRPr="00AD5F90" w:rsidRDefault="00E772DD" w:rsidP="004D32AC">
      <w:pPr>
        <w:pStyle w:val="p1"/>
        <w:numPr>
          <w:ilvl w:val="0"/>
          <w:numId w:val="13"/>
        </w:numPr>
        <w:spacing w:line="360" w:lineRule="auto"/>
        <w:jc w:val="both"/>
        <w:rPr>
          <w:rFonts w:asciiTheme="majorBidi" w:hAnsiTheme="majorBidi" w:cstheme="majorBidi"/>
          <w:sz w:val="24"/>
          <w:szCs w:val="24"/>
          <w:lang w:val="fr-FR"/>
        </w:rPr>
      </w:pPr>
      <w:r w:rsidRPr="00AD5F90">
        <w:rPr>
          <w:rFonts w:asciiTheme="majorBidi" w:hAnsiTheme="majorBidi" w:cstheme="majorBidi"/>
          <w:b/>
          <w:bCs/>
          <w:sz w:val="24"/>
          <w:szCs w:val="24"/>
          <w:lang w:val="fr-FR"/>
        </w:rPr>
        <w:t>Les qualifications et expériences</w:t>
      </w:r>
      <w:r w:rsidRPr="00AD5F90">
        <w:rPr>
          <w:rFonts w:asciiTheme="majorBidi" w:hAnsiTheme="majorBidi" w:cstheme="majorBidi"/>
          <w:sz w:val="24"/>
          <w:szCs w:val="24"/>
          <w:lang w:val="fr-FR"/>
        </w:rPr>
        <w:t> : niveau d’études et parcours professionnel souhaité.</w:t>
      </w:r>
    </w:p>
    <w:p w:rsidR="00E772DD" w:rsidRPr="00AD5F90" w:rsidRDefault="00E772DD" w:rsidP="004D32AC">
      <w:pPr>
        <w:pStyle w:val="p1"/>
        <w:numPr>
          <w:ilvl w:val="0"/>
          <w:numId w:val="13"/>
        </w:numPr>
        <w:spacing w:line="360" w:lineRule="auto"/>
        <w:jc w:val="both"/>
        <w:rPr>
          <w:rFonts w:asciiTheme="majorBidi" w:hAnsiTheme="majorBidi" w:cstheme="majorBidi"/>
          <w:sz w:val="24"/>
          <w:szCs w:val="24"/>
          <w:lang w:val="fr-FR"/>
        </w:rPr>
      </w:pPr>
      <w:r w:rsidRPr="00AD5F90">
        <w:rPr>
          <w:rFonts w:asciiTheme="majorBidi" w:hAnsiTheme="majorBidi" w:cstheme="majorBidi"/>
          <w:b/>
          <w:bCs/>
          <w:sz w:val="24"/>
          <w:szCs w:val="24"/>
          <w:lang w:val="fr-FR"/>
        </w:rPr>
        <w:t>Les caractéristiques personnelles</w:t>
      </w:r>
      <w:r w:rsidRPr="00AD5F90">
        <w:rPr>
          <w:rFonts w:asciiTheme="majorBidi" w:hAnsiTheme="majorBidi" w:cstheme="majorBidi"/>
          <w:sz w:val="24"/>
          <w:szCs w:val="24"/>
          <w:lang w:val="fr-FR"/>
        </w:rPr>
        <w:t> : aptitudes et traits de personnalité facilitant l’adaptation au poste.</w:t>
      </w:r>
    </w:p>
    <w:p w:rsidR="00E772DD" w:rsidRPr="00AD5F90" w:rsidRDefault="00E772DD" w:rsidP="0056076A">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L’élaboration rigoureuse de ce profil est essentielle pour garantir un recrutement efficace et pertinent.</w:t>
      </w:r>
    </w:p>
    <w:p w:rsidR="00E772DD" w:rsidRPr="00AD5F90" w:rsidRDefault="00E772DD" w:rsidP="0056076A">
      <w:pPr>
        <w:pStyle w:val="p1"/>
        <w:spacing w:line="360" w:lineRule="auto"/>
        <w:jc w:val="both"/>
        <w:rPr>
          <w:rFonts w:asciiTheme="majorBidi" w:hAnsiTheme="majorBidi" w:cstheme="majorBidi"/>
          <w:sz w:val="24"/>
          <w:szCs w:val="24"/>
          <w:lang w:val="fr-FR"/>
        </w:rPr>
      </w:pPr>
    </w:p>
    <w:p w:rsidR="00E772DD" w:rsidRPr="00AD5F90" w:rsidRDefault="00E772DD" w:rsidP="001441E2">
      <w:pPr>
        <w:pStyle w:val="p1"/>
        <w:spacing w:line="360" w:lineRule="auto"/>
        <w:jc w:val="center"/>
        <w:rPr>
          <w:rFonts w:asciiTheme="majorBidi" w:hAnsiTheme="majorBidi" w:cstheme="majorBidi"/>
          <w:b/>
          <w:bCs/>
          <w:sz w:val="24"/>
          <w:szCs w:val="24"/>
          <w:lang w:val="fr-FR"/>
        </w:rPr>
      </w:pPr>
      <w:r w:rsidRPr="00AD5F90">
        <w:rPr>
          <w:rFonts w:asciiTheme="majorBidi" w:hAnsiTheme="majorBidi" w:cstheme="majorBidi"/>
          <w:b/>
          <w:bCs/>
          <w:sz w:val="24"/>
          <w:szCs w:val="24"/>
          <w:lang w:val="fr-FR"/>
        </w:rPr>
        <w:t xml:space="preserve">Figure </w:t>
      </w:r>
      <w:r>
        <w:rPr>
          <w:rFonts w:asciiTheme="majorBidi" w:hAnsiTheme="majorBidi" w:cstheme="majorBidi"/>
          <w:b/>
          <w:bCs/>
          <w:sz w:val="24"/>
          <w:szCs w:val="24"/>
          <w:lang w:val="fr-FR"/>
        </w:rPr>
        <w:t>N°08</w:t>
      </w:r>
      <w:r w:rsidRPr="00AD5F90">
        <w:rPr>
          <w:rFonts w:asciiTheme="majorBidi" w:hAnsiTheme="majorBidi" w:cstheme="majorBidi"/>
          <w:b/>
          <w:bCs/>
          <w:sz w:val="24"/>
          <w:szCs w:val="24"/>
          <w:lang w:val="fr-FR"/>
        </w:rPr>
        <w:t xml:space="preserve"> : </w:t>
      </w:r>
      <w:r w:rsidRPr="00720872">
        <w:rPr>
          <w:rFonts w:asciiTheme="majorBidi" w:hAnsiTheme="majorBidi" w:cstheme="majorBidi"/>
          <w:sz w:val="24"/>
          <w:szCs w:val="24"/>
          <w:lang w:val="fr-FR"/>
        </w:rPr>
        <w:t>Les composantes d’un profil de poste</w:t>
      </w:r>
    </w:p>
    <w:p w:rsidR="00E772DD" w:rsidRPr="00AD5F90" w:rsidRDefault="00E772DD" w:rsidP="001441E2">
      <w:pPr>
        <w:pStyle w:val="p1"/>
        <w:spacing w:line="360" w:lineRule="auto"/>
        <w:jc w:val="center"/>
        <w:rPr>
          <w:rFonts w:asciiTheme="majorBidi" w:hAnsiTheme="majorBidi" w:cstheme="majorBidi"/>
          <w:sz w:val="24"/>
          <w:szCs w:val="24"/>
          <w:lang w:val="fr-FR"/>
        </w:rPr>
      </w:pPr>
      <w:r w:rsidRPr="00AD5F90">
        <w:rPr>
          <w:rFonts w:asciiTheme="majorBidi" w:hAnsiTheme="majorBidi" w:cstheme="majorBidi"/>
          <w:noProof/>
          <w:sz w:val="24"/>
          <w:szCs w:val="24"/>
          <w:lang w:val="fr-FR"/>
          <w14:ligatures w14:val="standardContextual"/>
        </w:rPr>
        <w:drawing>
          <wp:anchor distT="0" distB="0" distL="114300" distR="114300" simplePos="0" relativeHeight="251672576" behindDoc="0" locked="0" layoutInCell="1" allowOverlap="1" wp14:anchorId="08A3EAF3">
            <wp:simplePos x="0" y="0"/>
            <wp:positionH relativeFrom="column">
              <wp:posOffset>-259080</wp:posOffset>
            </wp:positionH>
            <wp:positionV relativeFrom="paragraph">
              <wp:posOffset>38100</wp:posOffset>
            </wp:positionV>
            <wp:extent cx="5989320" cy="2796540"/>
            <wp:effectExtent l="0" t="38100" r="0" b="73660"/>
            <wp:wrapTopAndBottom/>
            <wp:docPr id="176567388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14:sizeRelH relativeFrom="page">
              <wp14:pctWidth>0</wp14:pctWidth>
            </wp14:sizeRelH>
            <wp14:sizeRelV relativeFrom="page">
              <wp14:pctHeight>0</wp14:pctHeight>
            </wp14:sizeRelV>
          </wp:anchor>
        </w:drawing>
      </w:r>
    </w:p>
    <w:p w:rsidR="00E772DD" w:rsidRPr="00220F88" w:rsidRDefault="00E772DD" w:rsidP="00220F88">
      <w:pPr>
        <w:pStyle w:val="p1"/>
        <w:spacing w:after="240" w:line="360" w:lineRule="auto"/>
        <w:jc w:val="center"/>
        <w:rPr>
          <w:rFonts w:asciiTheme="majorBidi" w:hAnsiTheme="majorBidi" w:cstheme="majorBidi"/>
          <w:sz w:val="24"/>
          <w:szCs w:val="24"/>
          <w:lang w:val="fr-FR"/>
        </w:rPr>
      </w:pPr>
      <w:r w:rsidRPr="00041AE7">
        <w:rPr>
          <w:rFonts w:asciiTheme="majorBidi" w:hAnsiTheme="majorBidi" w:cstheme="majorBidi"/>
          <w:b/>
          <w:bCs/>
          <w:sz w:val="24"/>
          <w:szCs w:val="24"/>
          <w:lang w:val="fr-FR"/>
        </w:rPr>
        <w:t>Source :</w:t>
      </w:r>
      <w:r w:rsidRPr="00AD5F90">
        <w:rPr>
          <w:rFonts w:asciiTheme="majorBidi" w:hAnsiTheme="majorBidi" w:cstheme="majorBidi"/>
          <w:sz w:val="24"/>
          <w:szCs w:val="24"/>
          <w:lang w:val="fr-FR"/>
        </w:rPr>
        <w:t xml:space="preserve"> H. de Falco, Maîtriser ses recrutements, 5ᵉ édition, Éditions DUNOD, 2016, p.19.</w:t>
      </w:r>
    </w:p>
    <w:p w:rsidR="00E772DD" w:rsidRPr="00E53F4D" w:rsidRDefault="00E772DD" w:rsidP="004D32AC">
      <w:pPr>
        <w:pStyle w:val="Titre3"/>
        <w:numPr>
          <w:ilvl w:val="2"/>
          <w:numId w:val="4"/>
        </w:numPr>
        <w:spacing w:after="0" w:afterAutospacing="0" w:line="360" w:lineRule="auto"/>
        <w:rPr>
          <w:sz w:val="24"/>
          <w:szCs w:val="24"/>
          <w:lang w:val="fr-FR"/>
        </w:rPr>
      </w:pPr>
      <w:bookmarkStart w:id="761" w:name="_Toc199714325"/>
      <w:bookmarkStart w:id="762" w:name="_Toc200486603"/>
      <w:bookmarkStart w:id="763" w:name="_Toc200635379"/>
      <w:bookmarkStart w:id="764" w:name="_Toc200635767"/>
      <w:bookmarkStart w:id="765" w:name="_Toc200636156"/>
      <w:bookmarkStart w:id="766" w:name="_Toc200755893"/>
      <w:r w:rsidRPr="00E53F4D">
        <w:rPr>
          <w:sz w:val="24"/>
          <w:szCs w:val="24"/>
          <w:lang w:val="fr-FR"/>
        </w:rPr>
        <w:t>Recherche des candidats</w:t>
      </w:r>
      <w:bookmarkEnd w:id="761"/>
      <w:bookmarkEnd w:id="762"/>
      <w:bookmarkEnd w:id="763"/>
      <w:bookmarkEnd w:id="764"/>
      <w:bookmarkEnd w:id="765"/>
      <w:bookmarkEnd w:id="766"/>
    </w:p>
    <w:p w:rsidR="00E772DD" w:rsidRPr="00AD5F90" w:rsidRDefault="00E772DD" w:rsidP="00E53F4D">
      <w:pPr>
        <w:pStyle w:val="p1"/>
        <w:spacing w:after="240"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L’identification de candidats qualifiés repose sur la définition préalable du poste à pourvoir et des compétences requises. Cette étape est essentielle pour attirer des profils correspondant aux besoins de l’entreprise</w:t>
      </w:r>
      <w:r w:rsidRPr="00AD5F90">
        <w:rPr>
          <w:rStyle w:val="Appelnotedebasdep"/>
          <w:rFonts w:cstheme="majorBidi"/>
          <w:sz w:val="24"/>
          <w:szCs w:val="24"/>
          <w:lang w:val="fr-FR"/>
        </w:rPr>
        <w:footnoteReference w:id="140"/>
      </w:r>
      <w:r w:rsidRPr="00AD5F90">
        <w:rPr>
          <w:rFonts w:asciiTheme="majorBidi" w:hAnsiTheme="majorBidi" w:cstheme="majorBidi"/>
          <w:sz w:val="24"/>
          <w:szCs w:val="24"/>
          <w:lang w:val="fr-FR"/>
        </w:rPr>
        <w:t>.</w:t>
      </w:r>
    </w:p>
    <w:p w:rsidR="00E772DD" w:rsidRPr="00AD5F90" w:rsidRDefault="00E772DD" w:rsidP="004D32AC">
      <w:pPr>
        <w:pStyle w:val="p1"/>
        <w:numPr>
          <w:ilvl w:val="0"/>
          <w:numId w:val="19"/>
        </w:numPr>
        <w:spacing w:after="240" w:line="360" w:lineRule="auto"/>
        <w:jc w:val="both"/>
        <w:rPr>
          <w:rFonts w:asciiTheme="majorBidi" w:hAnsiTheme="majorBidi" w:cstheme="majorBidi"/>
          <w:b/>
          <w:bCs/>
          <w:sz w:val="24"/>
          <w:szCs w:val="24"/>
          <w:lang w:val="fr-FR"/>
        </w:rPr>
      </w:pPr>
      <w:r w:rsidRPr="00AD5F90">
        <w:rPr>
          <w:rFonts w:asciiTheme="majorBidi" w:hAnsiTheme="majorBidi" w:cstheme="majorBidi"/>
          <w:b/>
          <w:bCs/>
          <w:sz w:val="24"/>
          <w:szCs w:val="24"/>
          <w:lang w:val="fr-FR"/>
        </w:rPr>
        <w:lastRenderedPageBreak/>
        <w:t xml:space="preserve">La prospection interne : </w:t>
      </w:r>
      <w:r w:rsidRPr="00AD5F90">
        <w:rPr>
          <w:rFonts w:asciiTheme="majorBidi" w:hAnsiTheme="majorBidi" w:cstheme="majorBidi"/>
          <w:sz w:val="24"/>
          <w:szCs w:val="24"/>
          <w:lang w:val="fr-FR"/>
        </w:rPr>
        <w:t>consiste à rechercher des candidats au sein de l’entreprise via des annonces internes. Il favorise la motivation, facilite l’intégration et réduit les coûts d’embauche.</w:t>
      </w:r>
    </w:p>
    <w:p w:rsidR="00E772DD" w:rsidRPr="00AD5F90" w:rsidRDefault="00E772DD" w:rsidP="004D32AC">
      <w:pPr>
        <w:pStyle w:val="p1"/>
        <w:numPr>
          <w:ilvl w:val="0"/>
          <w:numId w:val="19"/>
        </w:numPr>
        <w:spacing w:after="240" w:line="360" w:lineRule="auto"/>
        <w:jc w:val="both"/>
        <w:rPr>
          <w:rFonts w:asciiTheme="majorBidi" w:hAnsiTheme="majorBidi" w:cstheme="majorBidi"/>
          <w:sz w:val="24"/>
          <w:szCs w:val="24"/>
          <w:lang w:val="fr-FR"/>
        </w:rPr>
      </w:pPr>
      <w:r w:rsidRPr="00AD5F90">
        <w:rPr>
          <w:rFonts w:asciiTheme="majorBidi" w:hAnsiTheme="majorBidi" w:cstheme="majorBidi"/>
          <w:b/>
          <w:bCs/>
          <w:sz w:val="24"/>
          <w:szCs w:val="24"/>
          <w:lang w:val="fr-FR"/>
        </w:rPr>
        <w:t xml:space="preserve">La prospection externe : </w:t>
      </w:r>
      <w:r w:rsidRPr="00AD5F90">
        <w:rPr>
          <w:rFonts w:asciiTheme="majorBidi" w:hAnsiTheme="majorBidi" w:cstheme="majorBidi"/>
          <w:sz w:val="24"/>
          <w:szCs w:val="24"/>
          <w:lang w:val="fr-FR"/>
        </w:rPr>
        <w:t>élargit la recherche à des profils extérieurs par divers moyens (annonces, candidatures spontanées, cooptation, stages, affiches). Les candidatures sont ensuite triées selon des critères prédéfinis pour sélectionner les meilleurs profils.</w:t>
      </w:r>
    </w:p>
    <w:p w:rsidR="00E772DD" w:rsidRPr="00E53F4D" w:rsidRDefault="00E772DD" w:rsidP="004D32AC">
      <w:pPr>
        <w:pStyle w:val="Titre3"/>
        <w:numPr>
          <w:ilvl w:val="2"/>
          <w:numId w:val="4"/>
        </w:numPr>
        <w:spacing w:after="0" w:afterAutospacing="0" w:line="360" w:lineRule="auto"/>
        <w:rPr>
          <w:sz w:val="24"/>
          <w:szCs w:val="24"/>
          <w:lang w:val="fr-FR"/>
        </w:rPr>
      </w:pPr>
      <w:bookmarkStart w:id="767" w:name="_Toc199714326"/>
      <w:bookmarkStart w:id="768" w:name="_Toc200486604"/>
      <w:bookmarkStart w:id="769" w:name="_Toc200635380"/>
      <w:bookmarkStart w:id="770" w:name="_Toc200635768"/>
      <w:bookmarkStart w:id="771" w:name="_Toc200636157"/>
      <w:bookmarkStart w:id="772" w:name="_Toc200755894"/>
      <w:r w:rsidRPr="00E53F4D">
        <w:rPr>
          <w:sz w:val="24"/>
          <w:szCs w:val="24"/>
          <w:lang w:val="fr-FR"/>
        </w:rPr>
        <w:t>La présélection des candidatures</w:t>
      </w:r>
      <w:bookmarkEnd w:id="767"/>
      <w:bookmarkEnd w:id="768"/>
      <w:bookmarkEnd w:id="769"/>
      <w:bookmarkEnd w:id="770"/>
      <w:bookmarkEnd w:id="771"/>
      <w:bookmarkEnd w:id="772"/>
    </w:p>
    <w:p w:rsidR="00E772DD" w:rsidRPr="00AD5F90" w:rsidRDefault="00E772DD" w:rsidP="00E53F4D">
      <w:pPr>
        <w:pStyle w:val="NormalWeb"/>
        <w:spacing w:before="0" w:beforeAutospacing="0" w:after="240" w:afterAutospacing="0" w:line="360" w:lineRule="auto"/>
        <w:jc w:val="both"/>
        <w:rPr>
          <w:color w:val="000000"/>
          <w:lang w:val="fr-FR"/>
        </w:rPr>
      </w:pPr>
      <w:r w:rsidRPr="00AD5F90">
        <w:rPr>
          <w:color w:val="000000"/>
          <w:lang w:val="fr-FR"/>
        </w:rPr>
        <w:t>La présélection élimine les profils non adaptés et conserve ceux correspondant aux exigences du poste. Elle repose sur une grille d’analyse selon le profil recherché, évaluant les candidatures sur des critères identiques pour garantir l’équité</w:t>
      </w:r>
      <w:r w:rsidR="00E53F4D">
        <w:rPr>
          <w:color w:val="000000"/>
          <w:lang w:val="fr-FR"/>
        </w:rPr>
        <w:t>.</w:t>
      </w:r>
      <w:r w:rsidRPr="00AD5F90">
        <w:rPr>
          <w:rStyle w:val="Appelnotedebasdep"/>
          <w:rFonts w:cstheme="majorBidi"/>
          <w:lang w:val="fr-FR"/>
        </w:rPr>
        <w:footnoteReference w:id="141"/>
      </w:r>
    </w:p>
    <w:p w:rsidR="00E772DD" w:rsidRPr="00AD5F90" w:rsidRDefault="00E772DD" w:rsidP="004D32AC">
      <w:pPr>
        <w:pStyle w:val="p1"/>
        <w:numPr>
          <w:ilvl w:val="0"/>
          <w:numId w:val="20"/>
        </w:numPr>
        <w:spacing w:line="360" w:lineRule="auto"/>
        <w:jc w:val="both"/>
        <w:rPr>
          <w:rFonts w:asciiTheme="majorBidi" w:hAnsiTheme="majorBidi" w:cstheme="majorBidi"/>
          <w:b/>
          <w:bCs/>
          <w:sz w:val="24"/>
          <w:szCs w:val="24"/>
          <w:lang w:val="fr-FR"/>
        </w:rPr>
      </w:pPr>
      <w:r w:rsidRPr="00AD5F90">
        <w:rPr>
          <w:rFonts w:asciiTheme="majorBidi" w:hAnsiTheme="majorBidi" w:cstheme="majorBidi"/>
          <w:b/>
          <w:bCs/>
          <w:sz w:val="24"/>
          <w:szCs w:val="24"/>
          <w:lang w:val="fr-FR"/>
        </w:rPr>
        <w:t>Tri initial des candidatures</w:t>
      </w:r>
    </w:p>
    <w:p w:rsidR="00E772DD" w:rsidRPr="00AD5F90" w:rsidRDefault="00E772DD" w:rsidP="005C2CA5">
      <w:pPr>
        <w:pStyle w:val="p1"/>
        <w:spacing w:after="240"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Cette étape consiste à collecter, analyser et comparer les candidatures aux besoins de l’entreprise. Elle permet d’éliminer les profils inadaptés et de présélectionner les candidats les plus pertinents. L’examen des CV et des lettres de motivation joue un rôle clé dans cette sélection en identifiant les candidatures correspondant aux attentes du poste.</w:t>
      </w:r>
    </w:p>
    <w:p w:rsidR="00E772DD" w:rsidRPr="00AD5F90" w:rsidRDefault="00E772DD" w:rsidP="004D32AC">
      <w:pPr>
        <w:pStyle w:val="p1"/>
        <w:numPr>
          <w:ilvl w:val="0"/>
          <w:numId w:val="20"/>
        </w:numPr>
        <w:spacing w:line="360" w:lineRule="auto"/>
        <w:jc w:val="both"/>
        <w:rPr>
          <w:rFonts w:asciiTheme="majorBidi" w:hAnsiTheme="majorBidi" w:cstheme="majorBidi"/>
          <w:b/>
          <w:bCs/>
          <w:sz w:val="24"/>
          <w:szCs w:val="24"/>
          <w:lang w:val="fr-FR"/>
        </w:rPr>
      </w:pPr>
      <w:r w:rsidRPr="00AD5F90">
        <w:rPr>
          <w:rFonts w:asciiTheme="majorBidi" w:hAnsiTheme="majorBidi" w:cstheme="majorBidi"/>
          <w:b/>
          <w:bCs/>
          <w:sz w:val="24"/>
          <w:szCs w:val="24"/>
          <w:lang w:val="fr-FR"/>
        </w:rPr>
        <w:t>Analyse du curriculum vitae</w:t>
      </w:r>
    </w:p>
    <w:p w:rsidR="00E772DD" w:rsidRPr="00AD5F90" w:rsidRDefault="00E772DD" w:rsidP="005C2CA5">
      <w:pPr>
        <w:pStyle w:val="p1"/>
        <w:spacing w:after="240"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L’analyse du CV vise à repérer les éléments essentiels pour sélectionner les candidats à recevoir en entretien. Elle permet d’examiner des informations clés telles que l’identité, la situation statutaire, le niveau de formation, l’expérience professionnelle et les compétences spécifiques du candidat.</w:t>
      </w:r>
    </w:p>
    <w:p w:rsidR="00E772DD" w:rsidRPr="00AD5F90" w:rsidRDefault="00E772DD" w:rsidP="004D32AC">
      <w:pPr>
        <w:pStyle w:val="p1"/>
        <w:numPr>
          <w:ilvl w:val="0"/>
          <w:numId w:val="19"/>
        </w:numPr>
        <w:spacing w:line="360" w:lineRule="auto"/>
        <w:jc w:val="both"/>
        <w:rPr>
          <w:rFonts w:asciiTheme="majorBidi" w:hAnsiTheme="majorBidi" w:cstheme="majorBidi"/>
          <w:b/>
          <w:bCs/>
          <w:sz w:val="24"/>
          <w:szCs w:val="24"/>
          <w:lang w:val="fr-FR"/>
        </w:rPr>
      </w:pPr>
      <w:r w:rsidRPr="00AD5F90">
        <w:rPr>
          <w:rFonts w:asciiTheme="majorBidi" w:hAnsiTheme="majorBidi" w:cstheme="majorBidi"/>
          <w:b/>
          <w:bCs/>
          <w:sz w:val="24"/>
          <w:szCs w:val="24"/>
          <w:lang w:val="fr-FR"/>
        </w:rPr>
        <w:t>Évaluation de la lettre de motivation</w:t>
      </w:r>
    </w:p>
    <w:p w:rsidR="00E16D29" w:rsidRPr="00AD5F90" w:rsidRDefault="00E772DD" w:rsidP="00E16D29">
      <w:pPr>
        <w:pStyle w:val="p1"/>
        <w:spacing w:after="240"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Cette étape permet d’évaluer les motivations du candidat pour le poste. Bien que souvent standardisée, la lettre de motivation doit compléter le CV en mettant en avant les raisons de son choix. Son analyse aide le recruteur à mieux comprendre les attentes du candidat et son adéquation avec l’entreprise.</w:t>
      </w:r>
    </w:p>
    <w:p w:rsidR="00E16D29" w:rsidRDefault="00E772DD" w:rsidP="004D32AC">
      <w:pPr>
        <w:pStyle w:val="Titre3"/>
        <w:numPr>
          <w:ilvl w:val="2"/>
          <w:numId w:val="4"/>
        </w:numPr>
        <w:spacing w:after="0" w:afterAutospacing="0" w:line="360" w:lineRule="auto"/>
        <w:rPr>
          <w:sz w:val="24"/>
          <w:szCs w:val="24"/>
          <w:lang w:val="fr-FR"/>
        </w:rPr>
      </w:pPr>
      <w:bookmarkStart w:id="773" w:name="_Toc199714327"/>
      <w:bookmarkStart w:id="774" w:name="_Toc200486605"/>
      <w:bookmarkStart w:id="775" w:name="_Toc200635381"/>
      <w:bookmarkStart w:id="776" w:name="_Toc200635769"/>
      <w:bookmarkStart w:id="777" w:name="_Toc200636158"/>
      <w:bookmarkStart w:id="778" w:name="_Toc200755895"/>
      <w:r w:rsidRPr="00E53F4D">
        <w:rPr>
          <w:sz w:val="24"/>
          <w:szCs w:val="24"/>
          <w:lang w:val="fr-FR"/>
        </w:rPr>
        <w:t>Les entretiens de recrutement</w:t>
      </w:r>
      <w:bookmarkEnd w:id="773"/>
      <w:bookmarkEnd w:id="774"/>
      <w:bookmarkEnd w:id="775"/>
      <w:bookmarkEnd w:id="776"/>
      <w:bookmarkEnd w:id="777"/>
      <w:bookmarkEnd w:id="778"/>
      <w:r w:rsidRPr="00E53F4D">
        <w:rPr>
          <w:sz w:val="24"/>
          <w:szCs w:val="24"/>
          <w:lang w:val="fr-FR"/>
        </w:rPr>
        <w:t xml:space="preserve"> </w:t>
      </w:r>
    </w:p>
    <w:p w:rsidR="00E16D29" w:rsidRDefault="00E16D29" w:rsidP="00E16D29">
      <w:pPr>
        <w:pStyle w:val="Titre3"/>
        <w:spacing w:before="0" w:beforeAutospacing="0" w:after="0" w:afterAutospacing="0" w:line="360" w:lineRule="auto"/>
        <w:jc w:val="both"/>
        <w:rPr>
          <w:b w:val="0"/>
          <w:bCs w:val="0"/>
          <w:color w:val="000000"/>
          <w:sz w:val="24"/>
          <w:szCs w:val="24"/>
          <w:lang w:val="fr-FR"/>
        </w:rPr>
      </w:pPr>
      <w:bookmarkStart w:id="779" w:name="_Toc200486606"/>
      <w:bookmarkStart w:id="780" w:name="_Toc200635382"/>
      <w:bookmarkStart w:id="781" w:name="_Toc200635770"/>
      <w:bookmarkStart w:id="782" w:name="_Toc200636159"/>
      <w:bookmarkStart w:id="783" w:name="_Toc200755896"/>
      <w:r w:rsidRPr="00E16D29">
        <w:rPr>
          <w:b w:val="0"/>
          <w:bCs w:val="0"/>
          <w:color w:val="000000"/>
          <w:sz w:val="24"/>
          <w:szCs w:val="24"/>
          <w:lang w:val="fr-FR"/>
        </w:rPr>
        <w:t>Étape clé du processus de sélection, permet d’évaluer les compétences, traits personnels et adéquation des candidats avec le profil recherché.</w:t>
      </w:r>
      <w:bookmarkEnd w:id="779"/>
      <w:bookmarkEnd w:id="780"/>
      <w:bookmarkEnd w:id="781"/>
      <w:bookmarkEnd w:id="782"/>
      <w:bookmarkEnd w:id="783"/>
    </w:p>
    <w:p w:rsidR="00E16D29" w:rsidRPr="00E16D29" w:rsidRDefault="00E16D29" w:rsidP="00E16D29">
      <w:pPr>
        <w:pStyle w:val="Titre3"/>
        <w:spacing w:before="0" w:beforeAutospacing="0" w:after="0" w:afterAutospacing="0" w:line="360" w:lineRule="auto"/>
        <w:jc w:val="both"/>
        <w:rPr>
          <w:b w:val="0"/>
          <w:bCs w:val="0"/>
          <w:sz w:val="24"/>
          <w:szCs w:val="24"/>
          <w:lang w:val="fr-FR"/>
        </w:rPr>
      </w:pPr>
      <w:r w:rsidRPr="00E16D29">
        <w:rPr>
          <w:b w:val="0"/>
          <w:bCs w:val="0"/>
          <w:color w:val="000000"/>
          <w:lang w:val="fr-FR"/>
        </w:rPr>
        <w:lastRenderedPageBreak/>
        <w:t xml:space="preserve"> </w:t>
      </w:r>
      <w:bookmarkStart w:id="784" w:name="_Toc200486607"/>
      <w:bookmarkStart w:id="785" w:name="_Toc200635383"/>
      <w:bookmarkStart w:id="786" w:name="_Toc200635771"/>
      <w:bookmarkStart w:id="787" w:name="_Toc200636160"/>
      <w:bookmarkStart w:id="788" w:name="_Toc200755897"/>
      <w:r w:rsidRPr="00E16D29">
        <w:rPr>
          <w:b w:val="0"/>
          <w:bCs w:val="0"/>
          <w:color w:val="000000"/>
          <w:sz w:val="24"/>
          <w:szCs w:val="24"/>
          <w:lang w:val="fr-FR"/>
        </w:rPr>
        <w:t>Il doit être structuré de manière rigoureuse pour assurer une analyse fiable de la compatibilité avec les exigences du poste.</w:t>
      </w:r>
      <w:r w:rsidRPr="00E16D29">
        <w:rPr>
          <w:rStyle w:val="Appelnotedebasdep"/>
          <w:rFonts w:cstheme="majorBidi"/>
          <w:b w:val="0"/>
          <w:bCs w:val="0"/>
          <w:sz w:val="24"/>
          <w:szCs w:val="24"/>
          <w:lang w:val="fr-FR"/>
        </w:rPr>
        <w:footnoteReference w:id="142"/>
      </w:r>
      <w:bookmarkEnd w:id="784"/>
      <w:bookmarkEnd w:id="785"/>
      <w:bookmarkEnd w:id="786"/>
      <w:bookmarkEnd w:id="787"/>
      <w:bookmarkEnd w:id="788"/>
    </w:p>
    <w:p w:rsidR="00E772DD" w:rsidRPr="00E53F4D" w:rsidRDefault="00E772DD" w:rsidP="004D32AC">
      <w:pPr>
        <w:pStyle w:val="Titre3"/>
        <w:numPr>
          <w:ilvl w:val="2"/>
          <w:numId w:val="4"/>
        </w:numPr>
        <w:spacing w:after="0" w:afterAutospacing="0" w:line="360" w:lineRule="auto"/>
        <w:rPr>
          <w:sz w:val="24"/>
          <w:szCs w:val="24"/>
          <w:lang w:val="fr-FR"/>
        </w:rPr>
      </w:pPr>
      <w:bookmarkStart w:id="789" w:name="_Toc199714328"/>
      <w:bookmarkStart w:id="790" w:name="_Toc200486608"/>
      <w:bookmarkStart w:id="791" w:name="_Toc200635384"/>
      <w:bookmarkStart w:id="792" w:name="_Toc200635772"/>
      <w:bookmarkStart w:id="793" w:name="_Toc200636161"/>
      <w:bookmarkStart w:id="794" w:name="_Toc200755898"/>
      <w:r w:rsidRPr="00E53F4D">
        <w:rPr>
          <w:sz w:val="24"/>
          <w:szCs w:val="24"/>
          <w:lang w:val="fr-FR"/>
        </w:rPr>
        <w:t>La décision d’embauche</w:t>
      </w:r>
      <w:bookmarkEnd w:id="789"/>
      <w:bookmarkEnd w:id="790"/>
      <w:bookmarkEnd w:id="791"/>
      <w:bookmarkEnd w:id="792"/>
      <w:bookmarkEnd w:id="793"/>
      <w:bookmarkEnd w:id="794"/>
    </w:p>
    <w:p w:rsidR="00E772DD" w:rsidRPr="00AD5F90" w:rsidRDefault="00E772DD" w:rsidP="00E53F4D">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La phase de sélection est cruciale pour choisir le candidat le plus adapté au poste. Elle comprend plusieurs étapes clés :</w:t>
      </w:r>
    </w:p>
    <w:p w:rsidR="00E772DD" w:rsidRPr="00AD5F90" w:rsidRDefault="00E772DD" w:rsidP="004D32AC">
      <w:pPr>
        <w:pStyle w:val="p1"/>
        <w:numPr>
          <w:ilvl w:val="0"/>
          <w:numId w:val="34"/>
        </w:numPr>
        <w:spacing w:line="360" w:lineRule="auto"/>
        <w:rPr>
          <w:rFonts w:asciiTheme="majorBidi" w:hAnsiTheme="majorBidi" w:cstheme="majorBidi"/>
          <w:sz w:val="24"/>
          <w:szCs w:val="24"/>
          <w:lang w:val="fr-FR"/>
        </w:rPr>
      </w:pPr>
      <w:r w:rsidRPr="00AD5F90">
        <w:rPr>
          <w:rFonts w:asciiTheme="majorBidi" w:hAnsiTheme="majorBidi" w:cstheme="majorBidi"/>
          <w:sz w:val="24"/>
          <w:szCs w:val="24"/>
          <w:lang w:val="fr-FR"/>
        </w:rPr>
        <w:t>Analyser les candidatures et les notes d’entretien.</w:t>
      </w:r>
    </w:p>
    <w:p w:rsidR="00E772DD" w:rsidRPr="00AD5F90" w:rsidRDefault="00E772DD" w:rsidP="004D32AC">
      <w:pPr>
        <w:pStyle w:val="p1"/>
        <w:numPr>
          <w:ilvl w:val="0"/>
          <w:numId w:val="34"/>
        </w:numPr>
        <w:spacing w:line="360" w:lineRule="auto"/>
        <w:rPr>
          <w:rFonts w:asciiTheme="majorBidi" w:hAnsiTheme="majorBidi" w:cstheme="majorBidi"/>
          <w:sz w:val="24"/>
          <w:szCs w:val="24"/>
          <w:lang w:val="fr-FR"/>
        </w:rPr>
      </w:pPr>
      <w:r w:rsidRPr="00AD5F90">
        <w:rPr>
          <w:rFonts w:asciiTheme="majorBidi" w:hAnsiTheme="majorBidi" w:cstheme="majorBidi"/>
          <w:sz w:val="24"/>
          <w:szCs w:val="24"/>
          <w:lang w:val="fr-FR"/>
        </w:rPr>
        <w:t>Évaluer les compétences, motivations et adéquation avec le poste.</w:t>
      </w:r>
    </w:p>
    <w:p w:rsidR="00E772DD" w:rsidRPr="00AD5F90" w:rsidRDefault="00E772DD" w:rsidP="004D32AC">
      <w:pPr>
        <w:pStyle w:val="p1"/>
        <w:numPr>
          <w:ilvl w:val="0"/>
          <w:numId w:val="34"/>
        </w:numPr>
        <w:spacing w:line="360" w:lineRule="auto"/>
        <w:rPr>
          <w:rFonts w:asciiTheme="majorBidi" w:hAnsiTheme="majorBidi" w:cstheme="majorBidi"/>
          <w:sz w:val="24"/>
          <w:szCs w:val="24"/>
          <w:lang w:val="fr-FR"/>
        </w:rPr>
      </w:pPr>
      <w:r w:rsidRPr="00AD5F90">
        <w:rPr>
          <w:rFonts w:asciiTheme="majorBidi" w:hAnsiTheme="majorBidi" w:cstheme="majorBidi"/>
          <w:sz w:val="24"/>
          <w:szCs w:val="24"/>
          <w:lang w:val="fr-FR"/>
        </w:rPr>
        <w:t>Comparer les profils et examiner les traits personnels.</w:t>
      </w:r>
    </w:p>
    <w:p w:rsidR="00E772DD" w:rsidRPr="00AD5F90" w:rsidRDefault="00E772DD" w:rsidP="004D32AC">
      <w:pPr>
        <w:pStyle w:val="p1"/>
        <w:numPr>
          <w:ilvl w:val="0"/>
          <w:numId w:val="34"/>
        </w:numPr>
        <w:spacing w:line="360" w:lineRule="auto"/>
        <w:rPr>
          <w:rFonts w:asciiTheme="majorBidi" w:hAnsiTheme="majorBidi" w:cstheme="majorBidi"/>
          <w:sz w:val="24"/>
          <w:szCs w:val="24"/>
          <w:lang w:val="fr-FR"/>
        </w:rPr>
      </w:pPr>
      <w:r w:rsidRPr="00AD5F90">
        <w:rPr>
          <w:rFonts w:asciiTheme="majorBidi" w:hAnsiTheme="majorBidi" w:cstheme="majorBidi"/>
          <w:sz w:val="24"/>
          <w:szCs w:val="24"/>
          <w:lang w:val="fr-FR"/>
        </w:rPr>
        <w:t>Vérifier les références et, si nécessaire, organiser un second entretien.</w:t>
      </w:r>
    </w:p>
    <w:p w:rsidR="00E772DD" w:rsidRPr="00AD5F90" w:rsidRDefault="00E772DD" w:rsidP="004D32AC">
      <w:pPr>
        <w:pStyle w:val="p1"/>
        <w:numPr>
          <w:ilvl w:val="0"/>
          <w:numId w:val="34"/>
        </w:numPr>
        <w:spacing w:after="240"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Prendre la décision finale d’embauche.</w:t>
      </w:r>
    </w:p>
    <w:p w:rsidR="00E772DD" w:rsidRPr="00E53F4D" w:rsidRDefault="00E772DD" w:rsidP="004D32AC">
      <w:pPr>
        <w:pStyle w:val="Titre3"/>
        <w:numPr>
          <w:ilvl w:val="2"/>
          <w:numId w:val="4"/>
        </w:numPr>
        <w:spacing w:after="0" w:afterAutospacing="0" w:line="360" w:lineRule="auto"/>
        <w:rPr>
          <w:sz w:val="24"/>
          <w:szCs w:val="24"/>
          <w:lang w:val="fr-FR"/>
        </w:rPr>
      </w:pPr>
      <w:bookmarkStart w:id="795" w:name="_Toc199714329"/>
      <w:bookmarkStart w:id="796" w:name="_Toc200486609"/>
      <w:bookmarkStart w:id="797" w:name="_Toc200635385"/>
      <w:bookmarkStart w:id="798" w:name="_Toc200635773"/>
      <w:bookmarkStart w:id="799" w:name="_Toc200636162"/>
      <w:bookmarkStart w:id="800" w:name="_Toc200755899"/>
      <w:r w:rsidRPr="00E53F4D">
        <w:rPr>
          <w:sz w:val="24"/>
          <w:szCs w:val="24"/>
          <w:lang w:val="fr-FR"/>
        </w:rPr>
        <w:t>La période d’essai</w:t>
      </w:r>
      <w:bookmarkEnd w:id="795"/>
      <w:bookmarkEnd w:id="796"/>
      <w:bookmarkEnd w:id="797"/>
      <w:bookmarkEnd w:id="798"/>
      <w:bookmarkEnd w:id="799"/>
      <w:bookmarkEnd w:id="800"/>
    </w:p>
    <w:p w:rsidR="00E772DD" w:rsidRPr="00AD5F90" w:rsidRDefault="00E772DD" w:rsidP="00E53F4D">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période d’essai constitue une étape transitoire durant laquelle l’employeur évalue l’adéquation du nouvel employé au poste. Elle permet de suivre son adaptation, de tester ses compétences en situation réelle et de recueillir les informations nécessaires avant de confirmer son embauche définitive</w:t>
      </w:r>
      <w:r w:rsidR="00E16D29">
        <w:rPr>
          <w:rFonts w:asciiTheme="majorBidi" w:hAnsiTheme="majorBidi" w:cstheme="majorBidi"/>
          <w:color w:val="000000"/>
          <w:lang w:val="fr-FR"/>
        </w:rPr>
        <w:t>.</w:t>
      </w:r>
      <w:r w:rsidRPr="00AD5F90">
        <w:rPr>
          <w:rStyle w:val="Appelnotedebasdep"/>
          <w:rFonts w:cstheme="majorBidi"/>
          <w:color w:val="000000"/>
          <w:lang w:val="fr-FR"/>
        </w:rPr>
        <w:footnoteReference w:id="143"/>
      </w:r>
    </w:p>
    <w:p w:rsidR="00E772DD" w:rsidRPr="00E53F4D" w:rsidRDefault="00E772DD" w:rsidP="004D32AC">
      <w:pPr>
        <w:pStyle w:val="Titre3"/>
        <w:keepNext/>
        <w:keepLines/>
        <w:numPr>
          <w:ilvl w:val="0"/>
          <w:numId w:val="21"/>
        </w:numPr>
        <w:spacing w:before="40" w:beforeAutospacing="0" w:after="0" w:afterAutospacing="0" w:line="360" w:lineRule="auto"/>
        <w:jc w:val="both"/>
        <w:rPr>
          <w:rFonts w:asciiTheme="majorBidi" w:hAnsiTheme="majorBidi"/>
          <w:b w:val="0"/>
          <w:bCs w:val="0"/>
          <w:color w:val="000000"/>
          <w:sz w:val="24"/>
          <w:szCs w:val="24"/>
          <w:lang w:val="fr-FR"/>
        </w:rPr>
      </w:pPr>
      <w:bookmarkStart w:id="801" w:name="_Toc199685876"/>
      <w:bookmarkStart w:id="802" w:name="_Toc199712827"/>
      <w:bookmarkStart w:id="803" w:name="_Toc199714330"/>
      <w:bookmarkStart w:id="804" w:name="_Toc200486610"/>
      <w:bookmarkStart w:id="805" w:name="_Toc200635386"/>
      <w:bookmarkStart w:id="806" w:name="_Toc200635774"/>
      <w:bookmarkStart w:id="807" w:name="_Toc200636163"/>
      <w:bookmarkStart w:id="808" w:name="_Toc200755900"/>
      <w:r w:rsidRPr="00E53F4D">
        <w:rPr>
          <w:rFonts w:asciiTheme="majorBidi" w:hAnsiTheme="majorBidi"/>
          <w:color w:val="000000"/>
          <w:sz w:val="24"/>
          <w:szCs w:val="24"/>
          <w:lang w:val="fr-FR"/>
        </w:rPr>
        <w:t>L’accueil du nouvel embauché</w:t>
      </w:r>
      <w:bookmarkEnd w:id="801"/>
      <w:bookmarkEnd w:id="802"/>
      <w:bookmarkEnd w:id="803"/>
      <w:bookmarkEnd w:id="804"/>
      <w:bookmarkEnd w:id="805"/>
      <w:bookmarkEnd w:id="806"/>
      <w:bookmarkEnd w:id="807"/>
      <w:bookmarkEnd w:id="808"/>
    </w:p>
    <w:p w:rsidR="00E772DD" w:rsidRPr="00AD5F90" w:rsidRDefault="00E772DD" w:rsidP="00EB7459">
      <w:pPr>
        <w:spacing w:line="360" w:lineRule="auto"/>
        <w:jc w:val="both"/>
        <w:rPr>
          <w:lang w:val="fr-FR"/>
        </w:rPr>
      </w:pPr>
      <w:r w:rsidRPr="00AD5F90">
        <w:rPr>
          <w:lang w:val="fr-FR"/>
        </w:rPr>
        <w:t>Les premiers jours dans l’entreprise sont décisifs pour la perception du nouvel employé vis-à-vis de son environnement de travail. Son intégration se déroule en trois étapes essentielles :</w:t>
      </w:r>
    </w:p>
    <w:p w:rsidR="00E772DD" w:rsidRPr="00AD5F90" w:rsidRDefault="00E772DD" w:rsidP="004D32AC">
      <w:pPr>
        <w:numPr>
          <w:ilvl w:val="0"/>
          <w:numId w:val="14"/>
        </w:num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L’accueil dans le poste au sein de l'entreprise ;</w:t>
      </w:r>
    </w:p>
    <w:p w:rsidR="00E772DD" w:rsidRPr="00AD5F90" w:rsidRDefault="00E772DD" w:rsidP="004D32AC">
      <w:pPr>
        <w:numPr>
          <w:ilvl w:val="0"/>
          <w:numId w:val="1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suivi de la prise de fonction ;</w:t>
      </w:r>
    </w:p>
    <w:p w:rsidR="00E772DD" w:rsidRPr="00AD5F90" w:rsidRDefault="00E772DD" w:rsidP="004D32AC">
      <w:pPr>
        <w:numPr>
          <w:ilvl w:val="0"/>
          <w:numId w:val="1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L’évaluation des performances.</w:t>
      </w:r>
    </w:p>
    <w:p w:rsidR="00E772DD" w:rsidRPr="00AD5F90" w:rsidRDefault="00E772DD" w:rsidP="0056076A">
      <w:p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L'intégration peut parfois être comparée à une greffe d’organe, d’où l'importance de supprimer toutes les causes susceptibles de provoquer un rejet</w:t>
      </w:r>
      <w:r w:rsidR="00E16D29">
        <w:rPr>
          <w:rFonts w:asciiTheme="majorBidi" w:hAnsiTheme="majorBidi" w:cstheme="majorBidi"/>
          <w:color w:val="000000"/>
          <w:lang w:val="fr-FR"/>
        </w:rPr>
        <w:t>.</w:t>
      </w:r>
      <w:r w:rsidRPr="00AD5F90">
        <w:rPr>
          <w:rStyle w:val="Appelnotedebasdep"/>
          <w:rFonts w:cstheme="majorBidi"/>
          <w:color w:val="000000"/>
          <w:lang w:val="fr-FR"/>
        </w:rPr>
        <w:footnoteReference w:id="144"/>
      </w:r>
    </w:p>
    <w:p w:rsidR="00E772DD" w:rsidRPr="00AD5F90" w:rsidRDefault="00E772DD" w:rsidP="004D32AC">
      <w:pPr>
        <w:pStyle w:val="NormalWeb"/>
        <w:numPr>
          <w:ilvl w:val="0"/>
          <w:numId w:val="21"/>
        </w:numPr>
        <w:spacing w:after="0" w:afterAutospacing="0" w:line="360" w:lineRule="auto"/>
        <w:jc w:val="both"/>
        <w:rPr>
          <w:rFonts w:asciiTheme="majorBidi" w:hAnsiTheme="majorBidi" w:cstheme="majorBidi"/>
          <w:b/>
          <w:bCs/>
          <w:color w:val="000000"/>
          <w:lang w:val="fr-FR"/>
        </w:rPr>
      </w:pPr>
      <w:r w:rsidRPr="00AD5F90">
        <w:rPr>
          <w:rFonts w:asciiTheme="majorBidi" w:hAnsiTheme="majorBidi" w:cstheme="majorBidi"/>
          <w:b/>
          <w:bCs/>
          <w:color w:val="000000"/>
          <w:lang w:val="fr-FR"/>
        </w:rPr>
        <w:t>Pilotage de la période d'essai</w:t>
      </w:r>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Il est essentiel de distinguer la période d’essai, qui permet d’évaluer légalement l’adéquation d’un collaborateur à son poste, de la période d’adaptation, plus longue, durant laquelle il prend </w:t>
      </w:r>
      <w:r w:rsidRPr="00AD5F90">
        <w:rPr>
          <w:rFonts w:asciiTheme="majorBidi" w:hAnsiTheme="majorBidi" w:cstheme="majorBidi"/>
          <w:color w:val="000000"/>
          <w:lang w:val="fr-FR"/>
        </w:rPr>
        <w:lastRenderedPageBreak/>
        <w:t>pleinement en charge ses fonctions. Une bonne gestion de la période d’essai repose sur trois aspects clés :</w:t>
      </w:r>
    </w:p>
    <w:p w:rsidR="00E772DD" w:rsidRPr="00AD5F90" w:rsidRDefault="00E772DD" w:rsidP="004D32AC">
      <w:pPr>
        <w:pStyle w:val="NormalWeb"/>
        <w:numPr>
          <w:ilvl w:val="1"/>
          <w:numId w:val="35"/>
        </w:numPr>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Définir et communiquer les critères d’évaluation au collaborateur.</w:t>
      </w:r>
    </w:p>
    <w:p w:rsidR="00E772DD" w:rsidRPr="00AD5F90" w:rsidRDefault="00E772DD" w:rsidP="004D32AC">
      <w:pPr>
        <w:pStyle w:val="NormalWeb"/>
        <w:numPr>
          <w:ilvl w:val="1"/>
          <w:numId w:val="35"/>
        </w:num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Analyser les points forts et les axes d’amélioration de sa prise de fonction.</w:t>
      </w:r>
    </w:p>
    <w:p w:rsidR="00E772DD" w:rsidRPr="00AD5F90" w:rsidRDefault="00E772DD" w:rsidP="004D32AC">
      <w:pPr>
        <w:pStyle w:val="NormalWeb"/>
        <w:numPr>
          <w:ilvl w:val="1"/>
          <w:numId w:val="35"/>
        </w:num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Utiliser cette période comme un dernier filtre avant la décision finale d’embauche</w:t>
      </w:r>
      <w:r w:rsidR="00E16D29">
        <w:rPr>
          <w:rFonts w:asciiTheme="majorBidi" w:hAnsiTheme="majorBidi" w:cstheme="majorBidi"/>
          <w:color w:val="000000"/>
          <w:lang w:val="fr-FR"/>
        </w:rPr>
        <w:t>.</w:t>
      </w:r>
      <w:r w:rsidRPr="00AD5F90">
        <w:rPr>
          <w:rStyle w:val="Appelnotedebasdep"/>
          <w:rFonts w:cstheme="majorBidi"/>
          <w:color w:val="000000"/>
          <w:lang w:val="fr-FR"/>
        </w:rPr>
        <w:footnoteReference w:id="145"/>
      </w:r>
    </w:p>
    <w:p w:rsidR="00E772DD" w:rsidRPr="00E53F4D" w:rsidRDefault="00E772DD" w:rsidP="004D32AC">
      <w:pPr>
        <w:pStyle w:val="Titre3"/>
        <w:numPr>
          <w:ilvl w:val="2"/>
          <w:numId w:val="4"/>
        </w:numPr>
        <w:spacing w:after="0" w:afterAutospacing="0" w:line="360" w:lineRule="auto"/>
        <w:rPr>
          <w:sz w:val="24"/>
          <w:szCs w:val="24"/>
          <w:lang w:val="fr-FR"/>
        </w:rPr>
      </w:pPr>
      <w:bookmarkStart w:id="809" w:name="_Toc199714331"/>
      <w:bookmarkStart w:id="810" w:name="_Toc200486611"/>
      <w:bookmarkStart w:id="811" w:name="_Toc200635387"/>
      <w:bookmarkStart w:id="812" w:name="_Toc200635775"/>
      <w:bookmarkStart w:id="813" w:name="_Toc200636164"/>
      <w:bookmarkStart w:id="814" w:name="_Toc200755901"/>
      <w:r w:rsidRPr="00E53F4D">
        <w:rPr>
          <w:sz w:val="24"/>
          <w:szCs w:val="24"/>
          <w:lang w:val="fr-FR"/>
        </w:rPr>
        <w:t>L’embauche définitive</w:t>
      </w:r>
      <w:bookmarkEnd w:id="809"/>
      <w:bookmarkEnd w:id="810"/>
      <w:bookmarkEnd w:id="811"/>
      <w:bookmarkEnd w:id="812"/>
      <w:bookmarkEnd w:id="813"/>
      <w:bookmarkEnd w:id="814"/>
    </w:p>
    <w:p w:rsidR="00E772DD" w:rsidRPr="00AD5F90" w:rsidRDefault="00E772DD" w:rsidP="00E53F4D">
      <w:pPr>
        <w:pStyle w:val="p1"/>
        <w:spacing w:line="360" w:lineRule="auto"/>
        <w:jc w:val="both"/>
        <w:rPr>
          <w:rFonts w:asciiTheme="majorBidi" w:hAnsiTheme="majorBidi" w:cstheme="majorBidi"/>
          <w:sz w:val="24"/>
          <w:szCs w:val="24"/>
          <w:lang w:val="fr-FR"/>
        </w:rPr>
      </w:pPr>
      <w:r w:rsidRPr="00AD5F90">
        <w:rPr>
          <w:rFonts w:asciiTheme="majorBidi" w:hAnsiTheme="majorBidi" w:cstheme="majorBidi"/>
          <w:sz w:val="24"/>
          <w:szCs w:val="24"/>
          <w:lang w:val="fr-FR"/>
        </w:rPr>
        <w:t>L’embauche définitive conclut le processus de recrutement et engage une relation professionnelle durable. Elle s’appuie sur les évaluations menées durant la période d’essai afin de confirmer le choix du candidat.</w:t>
      </w:r>
    </w:p>
    <w:p w:rsidR="00E772DD" w:rsidRPr="00AD5F90" w:rsidRDefault="00E772DD" w:rsidP="004D32AC">
      <w:pPr>
        <w:pStyle w:val="NormalWeb"/>
        <w:numPr>
          <w:ilvl w:val="0"/>
          <w:numId w:val="22"/>
        </w:numPr>
        <w:spacing w:after="0" w:afterAutospacing="0" w:line="360" w:lineRule="auto"/>
        <w:jc w:val="both"/>
        <w:rPr>
          <w:rFonts w:asciiTheme="majorBidi" w:hAnsiTheme="majorBidi" w:cstheme="majorBidi"/>
          <w:b/>
          <w:bCs/>
          <w:color w:val="000000"/>
          <w:lang w:val="fr-FR"/>
        </w:rPr>
      </w:pPr>
      <w:r w:rsidRPr="00AD5F90">
        <w:rPr>
          <w:rFonts w:asciiTheme="majorBidi" w:hAnsiTheme="majorBidi" w:cstheme="majorBidi"/>
          <w:b/>
          <w:bCs/>
          <w:color w:val="000000"/>
          <w:lang w:val="fr-FR"/>
        </w:rPr>
        <w:t>Décision de l'embauche définitive</w:t>
      </w:r>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Une fois le recrutement achevé et la période d’essai bien gérée, le responsable RH dispose des éléments nécessaires pour confirmer l’embauche. Cette décision repose sur :</w:t>
      </w:r>
    </w:p>
    <w:p w:rsidR="00E772DD" w:rsidRPr="00AD5F90" w:rsidRDefault="00E772DD" w:rsidP="004D32AC">
      <w:pPr>
        <w:pStyle w:val="NormalWeb"/>
        <w:numPr>
          <w:ilvl w:val="0"/>
          <w:numId w:val="36"/>
        </w:numPr>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L’analyse du poste, du plan de prise de fonction et des résultats obtenus.</w:t>
      </w:r>
    </w:p>
    <w:p w:rsidR="00E772DD" w:rsidRPr="00AD5F90" w:rsidRDefault="00E772DD" w:rsidP="004D32AC">
      <w:pPr>
        <w:pStyle w:val="NormalWeb"/>
        <w:numPr>
          <w:ilvl w:val="0"/>
          <w:numId w:val="36"/>
        </w:numPr>
        <w:spacing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L’évaluation des compétences et des traits de personnalité du candidat.</w:t>
      </w:r>
    </w:p>
    <w:p w:rsidR="00E772DD" w:rsidRPr="00AD5F90" w:rsidRDefault="00E772DD" w:rsidP="004D32AC">
      <w:pPr>
        <w:pStyle w:val="NormalWeb"/>
        <w:numPr>
          <w:ilvl w:val="0"/>
          <w:numId w:val="36"/>
        </w:numPr>
        <w:spacing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L’intégration du collaborateur au sein de l’équipe et de l’entreprise.</w:t>
      </w:r>
    </w:p>
    <w:p w:rsidR="00E772DD" w:rsidRPr="00720872" w:rsidRDefault="00E772DD" w:rsidP="001441E2">
      <w:pPr>
        <w:pStyle w:val="NormalWeb"/>
        <w:spacing w:line="360" w:lineRule="auto"/>
        <w:jc w:val="center"/>
        <w:rPr>
          <w:rFonts w:asciiTheme="majorBidi" w:hAnsiTheme="majorBidi" w:cstheme="majorBidi"/>
          <w:color w:val="000000"/>
          <w:lang w:val="fr-FR"/>
        </w:rPr>
      </w:pPr>
      <w:r w:rsidRPr="00AD5F90">
        <w:rPr>
          <w:rFonts w:asciiTheme="majorBidi" w:hAnsiTheme="majorBidi" w:cstheme="majorBidi"/>
          <w:noProof/>
          <w:color w:val="000000"/>
          <w:lang w:val="fr-FR"/>
          <w14:ligatures w14:val="standardContextual"/>
        </w:rPr>
        <mc:AlternateContent>
          <mc:Choice Requires="wps">
            <w:drawing>
              <wp:anchor distT="0" distB="0" distL="114300" distR="114300" simplePos="0" relativeHeight="251667456" behindDoc="0" locked="0" layoutInCell="1" allowOverlap="1">
                <wp:simplePos x="0" y="0"/>
                <wp:positionH relativeFrom="column">
                  <wp:posOffset>2602436</wp:posOffset>
                </wp:positionH>
                <wp:positionV relativeFrom="paragraph">
                  <wp:posOffset>693047</wp:posOffset>
                </wp:positionV>
                <wp:extent cx="386585" cy="1405255"/>
                <wp:effectExtent l="11112" t="1588" r="18733" b="18732"/>
                <wp:wrapNone/>
                <wp:docPr id="388562758" name="Left Brace 6"/>
                <wp:cNvGraphicFramePr/>
                <a:graphic xmlns:a="http://schemas.openxmlformats.org/drawingml/2006/main">
                  <a:graphicData uri="http://schemas.microsoft.com/office/word/2010/wordprocessingShape">
                    <wps:wsp>
                      <wps:cNvSpPr/>
                      <wps:spPr>
                        <a:xfrm rot="16200000">
                          <a:off x="0" y="0"/>
                          <a:ext cx="386585" cy="1405255"/>
                        </a:xfrm>
                        <a:prstGeom prst="leftBrace">
                          <a:avLst>
                            <a:gd name="adj1" fmla="val 8333"/>
                            <a:gd name="adj2" fmla="val 52122"/>
                          </a:avLst>
                        </a:prstGeom>
                      </wps:spPr>
                      <wps:style>
                        <a:lnRef idx="3">
                          <a:schemeClr val="accent3"/>
                        </a:lnRef>
                        <a:fillRef idx="0">
                          <a:schemeClr val="accent3"/>
                        </a:fillRef>
                        <a:effectRef idx="2">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83417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 o:spid="_x0000_s1026" type="#_x0000_t87" style="position:absolute;margin-left:204.9pt;margin-top:54.55pt;width:30.45pt;height:110.6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" adj="495,11258" strokecolor="#a5a5a5 [3206]" strokeweight="1.5pt">
                <v:stroke joinstyle="miter"/>
              </v:shape>
            </w:pict>
          </mc:Fallback>
        </mc:AlternateContent>
      </w:r>
      <w:r w:rsidRPr="00AD5F90">
        <w:rPr>
          <w:rFonts w:asciiTheme="majorBidi" w:hAnsiTheme="majorBidi" w:cstheme="majorBidi"/>
          <w:noProof/>
          <w:color w:val="000000"/>
          <w:lang w:val="fr-FR"/>
          <w14:ligatures w14:val="standardContextual"/>
        </w:rPr>
        <w:drawing>
          <wp:anchor distT="0" distB="0" distL="114300" distR="114300" simplePos="0" relativeHeight="251673600" behindDoc="0" locked="0" layoutInCell="1" allowOverlap="1">
            <wp:simplePos x="0" y="0"/>
            <wp:positionH relativeFrom="column">
              <wp:posOffset>202647</wp:posOffset>
            </wp:positionH>
            <wp:positionV relativeFrom="paragraph">
              <wp:posOffset>413440</wp:posOffset>
            </wp:positionV>
            <wp:extent cx="5203825" cy="1005205"/>
            <wp:effectExtent l="63500" t="0" r="66675" b="0"/>
            <wp:wrapTopAndBottom/>
            <wp:docPr id="1194180282"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14:sizeRelH relativeFrom="page">
              <wp14:pctWidth>0</wp14:pctWidth>
            </wp14:sizeRelH>
            <wp14:sizeRelV relativeFrom="page">
              <wp14:pctHeight>0</wp14:pctHeight>
            </wp14:sizeRelV>
          </wp:anchor>
        </w:drawing>
      </w:r>
      <w:r w:rsidRPr="00AD5F90">
        <w:rPr>
          <w:rFonts w:asciiTheme="majorBidi" w:hAnsiTheme="majorBidi" w:cstheme="majorBidi"/>
          <w:b/>
          <w:bCs/>
          <w:color w:val="000000"/>
          <w:lang w:val="fr-FR"/>
        </w:rPr>
        <w:t xml:space="preserve">Figure </w:t>
      </w:r>
      <w:r>
        <w:rPr>
          <w:rFonts w:asciiTheme="majorBidi" w:hAnsiTheme="majorBidi" w:cstheme="majorBidi"/>
          <w:b/>
          <w:bCs/>
          <w:color w:val="000000"/>
          <w:lang w:val="fr-FR"/>
        </w:rPr>
        <w:t>N°09</w:t>
      </w:r>
      <w:r w:rsidRPr="00AD5F90">
        <w:rPr>
          <w:rFonts w:asciiTheme="majorBidi" w:hAnsiTheme="majorBidi" w:cstheme="majorBidi"/>
          <w:b/>
          <w:bCs/>
          <w:color w:val="000000"/>
          <w:lang w:val="fr-FR"/>
        </w:rPr>
        <w:t xml:space="preserve"> : </w:t>
      </w:r>
      <w:r w:rsidRPr="00720872">
        <w:rPr>
          <w:rFonts w:asciiTheme="majorBidi" w:hAnsiTheme="majorBidi" w:cstheme="majorBidi"/>
          <w:color w:val="000000"/>
          <w:lang w:val="fr-FR"/>
        </w:rPr>
        <w:t>Évaluation finale du candidat - Est-il le bon choix ?</w:t>
      </w:r>
    </w:p>
    <w:p w:rsidR="00E772DD" w:rsidRPr="00AD5F90" w:rsidRDefault="00E772DD" w:rsidP="00D61BD8">
      <w:pPr>
        <w:pStyle w:val="NormalWeb"/>
        <w:spacing w:line="360" w:lineRule="auto"/>
        <w:jc w:val="both"/>
        <w:rPr>
          <w:rFonts w:asciiTheme="majorBidi" w:hAnsiTheme="majorBidi" w:cstheme="majorBidi"/>
          <w:noProof/>
          <w:color w:val="000000"/>
          <w:lang w:val="fr-FR"/>
          <w14:ligatures w14:val="standardContextual"/>
        </w:rPr>
      </w:pPr>
      <w:r w:rsidRPr="00AD5F90">
        <w:rPr>
          <w:rFonts w:asciiTheme="majorBidi" w:hAnsiTheme="majorBidi" w:cstheme="majorBidi"/>
          <w:noProof/>
          <w:color w:val="000000"/>
          <w:lang w:val="fr-FR"/>
          <w14:ligatures w14:val="standardContextual"/>
        </w:rPr>
        <mc:AlternateContent>
          <mc:Choice Requires="wps">
            <w:drawing>
              <wp:anchor distT="0" distB="0" distL="114300" distR="114300" simplePos="0" relativeHeight="251668480" behindDoc="0" locked="0" layoutInCell="1" allowOverlap="1">
                <wp:simplePos x="0" y="0"/>
                <wp:positionH relativeFrom="column">
                  <wp:posOffset>2021230</wp:posOffset>
                </wp:positionH>
                <wp:positionV relativeFrom="paragraph">
                  <wp:posOffset>946150</wp:posOffset>
                </wp:positionV>
                <wp:extent cx="1479177" cy="304800"/>
                <wp:effectExtent l="63500" t="38100" r="57785" b="76200"/>
                <wp:wrapNone/>
                <wp:docPr id="125070535" name="Text Box 7"/>
                <wp:cNvGraphicFramePr/>
                <a:graphic xmlns:a="http://schemas.openxmlformats.org/drawingml/2006/main">
                  <a:graphicData uri="http://schemas.microsoft.com/office/word/2010/wordprocessingShape">
                    <wps:wsp>
                      <wps:cNvSpPr txBox="1"/>
                      <wps:spPr>
                        <a:xfrm>
                          <a:off x="0" y="0"/>
                          <a:ext cx="1479177" cy="304800"/>
                        </a:xfrm>
                        <a:prstGeom prst="rect">
                          <a:avLst/>
                        </a:prstGeom>
                        <a:solidFill>
                          <a:srgbClr val="D4CEC2"/>
                        </a:solidFill>
                        <a:ln/>
                      </wps:spPr>
                      <wps:style>
                        <a:lnRef idx="0">
                          <a:schemeClr val="accent6"/>
                        </a:lnRef>
                        <a:fillRef idx="3">
                          <a:schemeClr val="accent6"/>
                        </a:fillRef>
                        <a:effectRef idx="3">
                          <a:schemeClr val="accent6"/>
                        </a:effectRef>
                        <a:fontRef idx="minor">
                          <a:schemeClr val="lt1"/>
                        </a:fontRef>
                      </wps:style>
                      <wps:txbx>
                        <w:txbxContent>
                          <w:p w:rsidR="00E772DD" w:rsidRPr="0014597E" w:rsidRDefault="00E772DD" w:rsidP="00115AE5">
                            <w:pPr>
                              <w:jc w:val="center"/>
                              <w:rPr>
                                <w:rFonts w:asciiTheme="majorBidi" w:hAnsiTheme="majorBidi" w:cstheme="majorBidi"/>
                                <w:b/>
                                <w:bCs/>
                                <w:color w:val="000000" w:themeColor="text1"/>
                                <w:lang w:val="fr-FR"/>
                              </w:rPr>
                            </w:pPr>
                            <w:r w:rsidRPr="0014597E">
                              <w:rPr>
                                <w:rFonts w:asciiTheme="majorBidi" w:hAnsiTheme="majorBidi" w:cstheme="majorBidi"/>
                                <w:b/>
                                <w:bCs/>
                                <w:color w:val="000000" w:themeColor="text1"/>
                                <w:lang w:val="fr-FR"/>
                              </w:rPr>
                              <w:t>Définition du poste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left:0;text-align:left;margin-left:159.15pt;margin-top:74.5pt;width:116.4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" fillcolor="#d4cec2" stroked="f">
                <v:shadow on="t" color="black" opacity="41287f" offset="0,1.5pt"/>
                <v:textbox>
                  <w:txbxContent>
                    <w:p w:rsidR="00E772DD" w:rsidRPr="0014597E" w:rsidRDefault="00E772DD" w:rsidP="00115AE5">
                      <w:pPr>
                        <w:jc w:val="center"/>
                        <w:rPr>
                          <w:rFonts w:asciiTheme="majorBidi" w:hAnsiTheme="majorBidi" w:cstheme="majorBidi"/>
                          <w:b/>
                          <w:bCs/>
                          <w:color w:val="000000" w:themeColor="text1"/>
                          <w:lang w:val="fr-FR"/>
                        </w:rPr>
                      </w:pPr>
                      <w:r w:rsidRPr="0014597E">
                        <w:rPr>
                          <w:rFonts w:asciiTheme="majorBidi" w:hAnsiTheme="majorBidi" w:cstheme="majorBidi"/>
                          <w:b/>
                          <w:bCs/>
                          <w:color w:val="000000" w:themeColor="text1"/>
                          <w:lang w:val="fr-FR"/>
                        </w:rPr>
                        <w:t>Définition du poste</w:t>
                      </w:r>
                    </w:p>
                  </w:txbxContent>
                </v:textbox>
              </v:shape>
            </w:pict>
          </mc:Fallback>
        </mc:AlternateContent>
      </w:r>
    </w:p>
    <w:p w:rsidR="00E772DD" w:rsidRPr="00AD5F90" w:rsidRDefault="00E772DD" w:rsidP="00D61BD8">
      <w:pPr>
        <w:spacing w:line="360" w:lineRule="auto"/>
        <w:jc w:val="both"/>
        <w:rPr>
          <w:rFonts w:asciiTheme="majorBidi" w:hAnsiTheme="majorBidi" w:cstheme="majorBidi"/>
          <w:noProof/>
          <w:color w:val="000000"/>
          <w:lang w:val="fr-FR"/>
        </w:rPr>
      </w:pPr>
    </w:p>
    <w:p w:rsidR="00E772DD" w:rsidRPr="00AD5F90" w:rsidRDefault="00E772DD" w:rsidP="00220F88">
      <w:pPr>
        <w:tabs>
          <w:tab w:val="left" w:pos="1285"/>
        </w:tabs>
        <w:spacing w:after="240" w:line="360" w:lineRule="auto"/>
        <w:jc w:val="center"/>
        <w:rPr>
          <w:rFonts w:asciiTheme="majorBidi" w:hAnsiTheme="majorBidi" w:cstheme="majorBidi"/>
          <w:lang w:val="fr-FR"/>
        </w:rPr>
      </w:pPr>
      <w:r w:rsidRPr="00041AE7">
        <w:rPr>
          <w:rFonts w:asciiTheme="majorBidi" w:hAnsiTheme="majorBidi" w:cstheme="majorBidi"/>
          <w:b/>
          <w:bCs/>
          <w:lang w:val="fr-FR"/>
        </w:rPr>
        <w:t>Source :</w:t>
      </w:r>
      <w:r w:rsidRPr="00AD5F90">
        <w:rPr>
          <w:rFonts w:asciiTheme="majorBidi" w:hAnsiTheme="majorBidi" w:cstheme="majorBidi"/>
          <w:lang w:val="fr-FR"/>
        </w:rPr>
        <w:t xml:space="preserve"> de Falco, H. (2016). Maîtriser ses recrutements (5e éd.). Dunod. p. 174.</w:t>
      </w:r>
    </w:p>
    <w:p w:rsidR="00E772DD" w:rsidRPr="00AD5F90" w:rsidRDefault="00E772DD" w:rsidP="00410CA6">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Cette analyse doit reposer sur des données objectives et complètes. Une fois les critères de performance, le contenu du poste et les moyens mis à disposition clarifiés, il est important de définir les étapes suivantes du processus d'intégration du nouveau collaborateur.</w:t>
      </w:r>
    </w:p>
    <w:p w:rsidR="00E772DD" w:rsidRPr="00E16D29" w:rsidRDefault="00E772DD" w:rsidP="004D32AC">
      <w:pPr>
        <w:pStyle w:val="Titre3"/>
        <w:keepNext/>
        <w:keepLines/>
        <w:numPr>
          <w:ilvl w:val="0"/>
          <w:numId w:val="22"/>
        </w:numPr>
        <w:spacing w:before="40" w:beforeAutospacing="0" w:after="0" w:afterAutospacing="0" w:line="360" w:lineRule="auto"/>
        <w:jc w:val="both"/>
        <w:rPr>
          <w:rFonts w:asciiTheme="majorBidi" w:hAnsiTheme="majorBidi"/>
          <w:b w:val="0"/>
          <w:bCs w:val="0"/>
          <w:color w:val="000000"/>
          <w:sz w:val="24"/>
          <w:szCs w:val="24"/>
          <w:lang w:val="fr-FR"/>
        </w:rPr>
      </w:pPr>
      <w:bookmarkStart w:id="815" w:name="_Toc199685877"/>
      <w:bookmarkStart w:id="816" w:name="_Toc199712829"/>
      <w:bookmarkStart w:id="817" w:name="_Toc199713951"/>
      <w:bookmarkStart w:id="818" w:name="_Toc199714332"/>
      <w:bookmarkStart w:id="819" w:name="_Toc200486612"/>
      <w:bookmarkStart w:id="820" w:name="_Toc200635388"/>
      <w:bookmarkStart w:id="821" w:name="_Toc200635776"/>
      <w:bookmarkStart w:id="822" w:name="_Toc200636165"/>
      <w:bookmarkStart w:id="823" w:name="_Toc200755902"/>
      <w:r w:rsidRPr="00E16D29">
        <w:rPr>
          <w:rFonts w:asciiTheme="majorBidi" w:hAnsiTheme="majorBidi"/>
          <w:color w:val="000000"/>
          <w:sz w:val="24"/>
          <w:szCs w:val="24"/>
          <w:lang w:val="fr-FR"/>
        </w:rPr>
        <w:lastRenderedPageBreak/>
        <w:t>Accueil et intégration du nouveau collaborateur</w:t>
      </w:r>
      <w:bookmarkEnd w:id="815"/>
      <w:bookmarkEnd w:id="816"/>
      <w:bookmarkEnd w:id="817"/>
      <w:bookmarkEnd w:id="818"/>
      <w:bookmarkEnd w:id="819"/>
      <w:bookmarkEnd w:id="820"/>
      <w:bookmarkEnd w:id="821"/>
      <w:bookmarkEnd w:id="822"/>
      <w:bookmarkEnd w:id="823"/>
    </w:p>
    <w:p w:rsidR="00E772DD" w:rsidRPr="00AD5F90" w:rsidRDefault="00E772DD" w:rsidP="00410CA6">
      <w:pPr>
        <w:spacing w:after="240" w:line="360" w:lineRule="auto"/>
        <w:jc w:val="both"/>
        <w:rPr>
          <w:rFonts w:asciiTheme="majorBidi" w:hAnsiTheme="majorBidi" w:cstheme="majorBidi"/>
          <w:lang w:val="fr-FR"/>
        </w:rPr>
      </w:pPr>
      <w:r w:rsidRPr="00AD5F90">
        <w:rPr>
          <w:rFonts w:asciiTheme="majorBidi" w:hAnsiTheme="majorBidi" w:cstheme="majorBidi"/>
          <w:lang w:val="fr-FR"/>
        </w:rPr>
        <w:t>L’intégration est une étape clé pour assurer la réussite du nouvel employé dans l’entreprise. Un suivi efficace de son adaptation permet de confirmer son adéquation avec le poste. Pour cela, des actions spécifiques doivent être mises en place avant et pendant la période d’essai.</w:t>
      </w:r>
    </w:p>
    <w:p w:rsidR="00E772DD" w:rsidRPr="00AD5F90" w:rsidRDefault="00E772DD" w:rsidP="004D32AC">
      <w:pPr>
        <w:pStyle w:val="Titre4"/>
        <w:numPr>
          <w:ilvl w:val="0"/>
          <w:numId w:val="22"/>
        </w:numPr>
        <w:spacing w:line="360" w:lineRule="auto"/>
        <w:jc w:val="both"/>
        <w:rPr>
          <w:rFonts w:asciiTheme="majorBidi" w:hAnsiTheme="majorBidi"/>
          <w:b/>
          <w:bCs/>
          <w:i w:val="0"/>
          <w:iCs w:val="0"/>
          <w:color w:val="000000"/>
          <w:lang w:val="fr-FR"/>
        </w:rPr>
      </w:pPr>
      <w:r w:rsidRPr="00AD5F90">
        <w:rPr>
          <w:rFonts w:asciiTheme="majorBidi" w:hAnsiTheme="majorBidi"/>
          <w:b/>
          <w:bCs/>
          <w:i w:val="0"/>
          <w:iCs w:val="0"/>
          <w:color w:val="000000"/>
          <w:lang w:val="fr-FR"/>
        </w:rPr>
        <w:t>Objectifs de l’intégration</w:t>
      </w:r>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L’objectif de l’intégration est de :</w:t>
      </w:r>
    </w:p>
    <w:p w:rsidR="00E772DD" w:rsidRPr="00AD5F90" w:rsidRDefault="00E772DD" w:rsidP="004D32AC">
      <w:pPr>
        <w:numPr>
          <w:ilvl w:val="0"/>
          <w:numId w:val="15"/>
        </w:num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Fournir les ressources nécessaires à la réussite du nouvel employé ;</w:t>
      </w:r>
    </w:p>
    <w:p w:rsidR="00E772DD" w:rsidRPr="00AD5F90" w:rsidRDefault="00E772DD" w:rsidP="004D32AC">
      <w:pPr>
        <w:numPr>
          <w:ilvl w:val="0"/>
          <w:numId w:val="15"/>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Surveiller son adaptation en situation de travail ;</w:t>
      </w:r>
    </w:p>
    <w:p w:rsidR="00E772DD" w:rsidRPr="00AD5F90" w:rsidRDefault="00E772DD" w:rsidP="004D32AC">
      <w:pPr>
        <w:numPr>
          <w:ilvl w:val="0"/>
          <w:numId w:val="15"/>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Confirmer sa pertinence pour le poste en fonction de ses performances.</w:t>
      </w:r>
    </w:p>
    <w:p w:rsidR="00E772DD" w:rsidRPr="00AD5F90" w:rsidRDefault="00E772DD" w:rsidP="004D32AC">
      <w:pPr>
        <w:pStyle w:val="Titre4"/>
        <w:numPr>
          <w:ilvl w:val="0"/>
          <w:numId w:val="22"/>
        </w:numPr>
        <w:spacing w:line="360" w:lineRule="auto"/>
        <w:jc w:val="both"/>
        <w:rPr>
          <w:rFonts w:asciiTheme="majorBidi" w:hAnsiTheme="majorBidi"/>
          <w:b/>
          <w:bCs/>
          <w:i w:val="0"/>
          <w:iCs w:val="0"/>
          <w:color w:val="000000"/>
          <w:lang w:val="fr-FR"/>
        </w:rPr>
      </w:pPr>
      <w:r w:rsidRPr="00AD5F90">
        <w:rPr>
          <w:rFonts w:asciiTheme="majorBidi" w:hAnsiTheme="majorBidi"/>
          <w:b/>
          <w:bCs/>
          <w:i w:val="0"/>
          <w:iCs w:val="0"/>
          <w:color w:val="000000"/>
          <w:lang w:val="fr-FR"/>
        </w:rPr>
        <w:t>Actions préparatoires à l’arrivée du collaborateur</w:t>
      </w:r>
    </w:p>
    <w:p w:rsidR="00E772DD" w:rsidRPr="00AD5F90" w:rsidRDefault="00E772DD" w:rsidP="00495FFB">
      <w:pPr>
        <w:spacing w:line="360" w:lineRule="auto"/>
        <w:jc w:val="both"/>
        <w:rPr>
          <w:rFonts w:asciiTheme="majorBidi" w:hAnsiTheme="majorBidi" w:cstheme="majorBidi"/>
          <w:lang w:val="fr-FR"/>
        </w:rPr>
      </w:pPr>
      <w:r w:rsidRPr="00AD5F90">
        <w:rPr>
          <w:rFonts w:asciiTheme="majorBidi" w:hAnsiTheme="majorBidi" w:cstheme="majorBidi"/>
          <w:lang w:val="fr-FR"/>
        </w:rPr>
        <w:t>Avant l’arrivée du nouveau collaborateur, plusieurs actions sont essentielles pour garantir son intégration réussie :</w:t>
      </w:r>
    </w:p>
    <w:p w:rsidR="00E772DD" w:rsidRPr="00AD5F90" w:rsidRDefault="00E772DD" w:rsidP="004D32AC">
      <w:pPr>
        <w:pStyle w:val="Paragraphedeliste"/>
        <w:numPr>
          <w:ilvl w:val="0"/>
          <w:numId w:val="37"/>
        </w:numPr>
        <w:spacing w:line="360" w:lineRule="auto"/>
        <w:jc w:val="both"/>
        <w:rPr>
          <w:rFonts w:asciiTheme="majorBidi" w:hAnsiTheme="majorBidi" w:cstheme="majorBidi"/>
          <w:lang w:val="fr-FR"/>
        </w:rPr>
      </w:pPr>
      <w:r w:rsidRPr="00AD5F90">
        <w:rPr>
          <w:rFonts w:asciiTheme="majorBidi" w:hAnsiTheme="majorBidi" w:cstheme="majorBidi"/>
          <w:lang w:val="fr-FR"/>
        </w:rPr>
        <w:t>Préparer son poste de travail (matériel, logiciels, etc.).</w:t>
      </w:r>
    </w:p>
    <w:p w:rsidR="00E772DD" w:rsidRPr="00AD5F90" w:rsidRDefault="00E772DD" w:rsidP="004D32AC">
      <w:pPr>
        <w:pStyle w:val="Paragraphedeliste"/>
        <w:numPr>
          <w:ilvl w:val="0"/>
          <w:numId w:val="37"/>
        </w:numPr>
        <w:spacing w:line="360" w:lineRule="auto"/>
        <w:jc w:val="both"/>
        <w:rPr>
          <w:rFonts w:asciiTheme="majorBidi" w:hAnsiTheme="majorBidi" w:cstheme="majorBidi"/>
          <w:lang w:val="fr-FR"/>
        </w:rPr>
      </w:pPr>
      <w:r w:rsidRPr="00AD5F90">
        <w:rPr>
          <w:rFonts w:asciiTheme="majorBidi" w:hAnsiTheme="majorBidi" w:cstheme="majorBidi"/>
          <w:lang w:val="fr-FR"/>
        </w:rPr>
        <w:t>Organiser un accueil structuré.</w:t>
      </w:r>
    </w:p>
    <w:p w:rsidR="00E772DD" w:rsidRPr="00AD5F90" w:rsidRDefault="00E772DD" w:rsidP="004D32AC">
      <w:pPr>
        <w:pStyle w:val="Paragraphedeliste"/>
        <w:numPr>
          <w:ilvl w:val="0"/>
          <w:numId w:val="37"/>
        </w:numPr>
        <w:spacing w:line="360" w:lineRule="auto"/>
        <w:jc w:val="both"/>
        <w:rPr>
          <w:rFonts w:asciiTheme="majorBidi" w:hAnsiTheme="majorBidi" w:cstheme="majorBidi"/>
          <w:lang w:val="fr-FR"/>
        </w:rPr>
      </w:pPr>
      <w:r w:rsidRPr="00AD5F90">
        <w:rPr>
          <w:rFonts w:asciiTheme="majorBidi" w:hAnsiTheme="majorBidi" w:cstheme="majorBidi"/>
          <w:lang w:val="fr-FR"/>
        </w:rPr>
        <w:t>Remettre un livret d’accueil avec les informations clés.</w:t>
      </w:r>
    </w:p>
    <w:p w:rsidR="00E772DD" w:rsidRPr="00AD5F90" w:rsidRDefault="00E772DD" w:rsidP="004D32AC">
      <w:pPr>
        <w:pStyle w:val="Paragraphedeliste"/>
        <w:numPr>
          <w:ilvl w:val="0"/>
          <w:numId w:val="37"/>
        </w:numPr>
        <w:spacing w:line="360" w:lineRule="auto"/>
        <w:jc w:val="both"/>
        <w:rPr>
          <w:rFonts w:asciiTheme="majorBidi" w:hAnsiTheme="majorBidi" w:cstheme="majorBidi"/>
          <w:lang w:val="fr-FR"/>
        </w:rPr>
      </w:pPr>
      <w:r w:rsidRPr="00AD5F90">
        <w:rPr>
          <w:rFonts w:asciiTheme="majorBidi" w:hAnsiTheme="majorBidi" w:cstheme="majorBidi"/>
          <w:lang w:val="fr-FR"/>
        </w:rPr>
        <w:t>Désigner un tuteur si un accompagnement est prévu.</w:t>
      </w:r>
    </w:p>
    <w:p w:rsidR="00E772DD" w:rsidRPr="00AD5F90" w:rsidRDefault="00E772DD" w:rsidP="004D32AC">
      <w:pPr>
        <w:pStyle w:val="Paragraphedeliste"/>
        <w:numPr>
          <w:ilvl w:val="0"/>
          <w:numId w:val="37"/>
        </w:numPr>
        <w:spacing w:line="360" w:lineRule="auto"/>
        <w:jc w:val="both"/>
        <w:rPr>
          <w:rFonts w:asciiTheme="majorBidi" w:hAnsiTheme="majorBidi" w:cstheme="majorBidi"/>
          <w:lang w:val="fr-FR"/>
        </w:rPr>
      </w:pPr>
      <w:r w:rsidRPr="00AD5F90">
        <w:rPr>
          <w:rFonts w:asciiTheme="majorBidi" w:hAnsiTheme="majorBidi" w:cstheme="majorBidi"/>
          <w:lang w:val="fr-FR"/>
        </w:rPr>
        <w:t>Planifier des rencontres régulières avec le tuteur.</w:t>
      </w:r>
    </w:p>
    <w:p w:rsidR="00E772DD" w:rsidRPr="00AD5F90" w:rsidRDefault="00E772DD" w:rsidP="004D32AC">
      <w:pPr>
        <w:pStyle w:val="Paragraphedeliste"/>
        <w:numPr>
          <w:ilvl w:val="0"/>
          <w:numId w:val="37"/>
        </w:numPr>
        <w:spacing w:line="360" w:lineRule="auto"/>
        <w:jc w:val="both"/>
        <w:rPr>
          <w:rFonts w:asciiTheme="majorBidi" w:hAnsiTheme="majorBidi" w:cstheme="majorBidi"/>
          <w:lang w:val="fr-FR"/>
        </w:rPr>
      </w:pPr>
      <w:r w:rsidRPr="00AD5F90">
        <w:rPr>
          <w:rFonts w:asciiTheme="majorBidi" w:hAnsiTheme="majorBidi" w:cstheme="majorBidi"/>
          <w:lang w:val="fr-FR"/>
        </w:rPr>
        <w:t>Organiser un rendez-vous formel en fin de période d’essai pour valider son intégration.</w:t>
      </w:r>
    </w:p>
    <w:p w:rsidR="00E772DD" w:rsidRPr="00E53F4D" w:rsidRDefault="00E772DD" w:rsidP="004D32AC">
      <w:pPr>
        <w:pStyle w:val="Titre3"/>
        <w:numPr>
          <w:ilvl w:val="1"/>
          <w:numId w:val="4"/>
        </w:numPr>
        <w:spacing w:after="0" w:afterAutospacing="0" w:line="360" w:lineRule="auto"/>
        <w:rPr>
          <w:sz w:val="24"/>
          <w:szCs w:val="24"/>
          <w:lang w:val="fr-FR"/>
        </w:rPr>
      </w:pPr>
      <w:bookmarkStart w:id="824" w:name="_Toc199714333"/>
      <w:bookmarkStart w:id="825" w:name="_Toc200486613"/>
      <w:bookmarkStart w:id="826" w:name="_Toc200635389"/>
      <w:bookmarkStart w:id="827" w:name="_Toc200635777"/>
      <w:bookmarkStart w:id="828" w:name="_Toc200636166"/>
      <w:bookmarkStart w:id="829" w:name="_Toc200755903"/>
      <w:r w:rsidRPr="00E53F4D">
        <w:rPr>
          <w:sz w:val="24"/>
          <w:szCs w:val="24"/>
          <w:lang w:val="fr-FR"/>
        </w:rPr>
        <w:t>Les limites de recrutement</w:t>
      </w:r>
      <w:bookmarkEnd w:id="824"/>
      <w:bookmarkEnd w:id="825"/>
      <w:bookmarkEnd w:id="826"/>
      <w:bookmarkEnd w:id="827"/>
      <w:bookmarkEnd w:id="828"/>
      <w:bookmarkEnd w:id="829"/>
      <w:r w:rsidRPr="00E53F4D">
        <w:rPr>
          <w:sz w:val="24"/>
          <w:szCs w:val="24"/>
          <w:lang w:val="fr-FR"/>
        </w:rPr>
        <w:t xml:space="preserve"> </w:t>
      </w:r>
    </w:p>
    <w:p w:rsidR="00E772DD" w:rsidRDefault="00E772DD" w:rsidP="00E53F4D">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recrutement traditionnel, bien qu’efficace, présente certaines</w:t>
      </w:r>
      <w:r w:rsidRPr="00AD5F90">
        <w:rPr>
          <w:rStyle w:val="apple-converted-space"/>
          <w:rFonts w:asciiTheme="majorBidi" w:hAnsiTheme="majorBidi" w:cstheme="majorBidi"/>
          <w:color w:val="000000"/>
          <w:lang w:val="fr-FR"/>
        </w:rPr>
        <w:t> </w:t>
      </w:r>
      <w:r w:rsidRPr="00AD5F90">
        <w:rPr>
          <w:rStyle w:val="lev"/>
          <w:rFonts w:asciiTheme="majorBidi" w:eastAsiaTheme="majorEastAsia" w:hAnsiTheme="majorBidi" w:cstheme="majorBidi"/>
          <w:b w:val="0"/>
          <w:bCs w:val="0"/>
          <w:color w:val="000000"/>
          <w:lang w:val="fr-FR"/>
        </w:rPr>
        <w:t>limites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qui peuvent compliquer la recherche du candidat idéal. Cette approche, qui repose principalement sur la</w:t>
      </w:r>
      <w:r w:rsidRPr="00AD5F90">
        <w:rPr>
          <w:rStyle w:val="apple-converted-space"/>
          <w:rFonts w:asciiTheme="majorBidi" w:hAnsiTheme="majorBidi" w:cstheme="majorBidi"/>
          <w:color w:val="000000"/>
          <w:lang w:val="fr-FR"/>
        </w:rPr>
        <w:t> </w:t>
      </w:r>
      <w:r w:rsidRPr="00AD5F90">
        <w:rPr>
          <w:rStyle w:val="lev"/>
          <w:rFonts w:asciiTheme="majorBidi" w:eastAsiaTheme="majorEastAsia" w:hAnsiTheme="majorBidi" w:cstheme="majorBidi"/>
          <w:b w:val="0"/>
          <w:bCs w:val="0"/>
          <w:color w:val="000000"/>
          <w:lang w:val="fr-FR"/>
        </w:rPr>
        <w:t>publication d’offres d’emploi, la réception de candidatures et la conduite d’entretiens</w:t>
      </w:r>
      <w:r w:rsidRPr="00AD5F90">
        <w:rPr>
          <w:rFonts w:asciiTheme="majorBidi" w:hAnsiTheme="majorBidi" w:cstheme="majorBidi"/>
          <w:color w:val="000000"/>
          <w:lang w:val="fr-FR"/>
        </w:rPr>
        <w:t>, peut s’avérer insuffisante face aux évolutions du marché du travail et aux attentes des entreprises. Nous avons résumé ci-dessous les principales</w:t>
      </w:r>
      <w:r w:rsidRPr="00AD5F90">
        <w:rPr>
          <w:rStyle w:val="apple-converted-space"/>
          <w:rFonts w:asciiTheme="majorBidi" w:hAnsiTheme="majorBidi" w:cstheme="majorBidi"/>
          <w:color w:val="000000"/>
          <w:lang w:val="fr-FR"/>
        </w:rPr>
        <w:t> </w:t>
      </w:r>
      <w:r w:rsidRPr="00AD5F90">
        <w:rPr>
          <w:rStyle w:val="lev"/>
          <w:rFonts w:asciiTheme="majorBidi" w:eastAsiaTheme="majorEastAsia" w:hAnsiTheme="majorBidi" w:cstheme="majorBidi"/>
          <w:b w:val="0"/>
          <w:bCs w:val="0"/>
          <w:color w:val="000000"/>
          <w:lang w:val="fr-FR"/>
        </w:rPr>
        <w:t>contraintes du recrutement</w:t>
      </w:r>
      <w:r w:rsidRPr="00AD5F90">
        <w:rPr>
          <w:rStyle w:val="lev"/>
          <w:rFonts w:asciiTheme="majorBidi" w:eastAsiaTheme="majorEastAsia" w:hAnsiTheme="majorBidi" w:cstheme="majorBidi"/>
          <w:color w:val="000000"/>
          <w:lang w:val="fr-FR"/>
        </w:rPr>
        <w:t xml:space="preserve"> </w:t>
      </w:r>
      <w:r w:rsidRPr="00AD5F90">
        <w:rPr>
          <w:rStyle w:val="lev"/>
          <w:rFonts w:asciiTheme="majorBidi" w:eastAsiaTheme="majorEastAsia" w:hAnsiTheme="majorBidi" w:cstheme="majorBidi"/>
          <w:b w:val="0"/>
          <w:bCs w:val="0"/>
          <w:color w:val="000000"/>
          <w:lang w:val="fr-FR"/>
        </w:rPr>
        <w:t>classique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dans un tableau synthétique.</w:t>
      </w:r>
    </w:p>
    <w:p w:rsidR="00F05810" w:rsidRDefault="00F05810" w:rsidP="00E53F4D">
      <w:pPr>
        <w:pStyle w:val="NormalWeb"/>
        <w:spacing w:before="0" w:beforeAutospacing="0" w:line="360" w:lineRule="auto"/>
        <w:jc w:val="both"/>
        <w:rPr>
          <w:rFonts w:asciiTheme="majorBidi" w:hAnsiTheme="majorBidi" w:cstheme="majorBidi"/>
          <w:color w:val="000000"/>
          <w:lang w:val="fr-FR"/>
        </w:rPr>
      </w:pPr>
    </w:p>
    <w:p w:rsidR="00F05810" w:rsidRDefault="00F05810" w:rsidP="00E53F4D">
      <w:pPr>
        <w:pStyle w:val="NormalWeb"/>
        <w:spacing w:before="0" w:beforeAutospacing="0" w:line="360" w:lineRule="auto"/>
        <w:jc w:val="both"/>
        <w:rPr>
          <w:rFonts w:asciiTheme="majorBidi" w:hAnsiTheme="majorBidi" w:cstheme="majorBidi"/>
          <w:color w:val="000000"/>
          <w:lang w:val="fr-FR"/>
        </w:rPr>
      </w:pPr>
    </w:p>
    <w:p w:rsidR="00F05810" w:rsidRDefault="00F05810" w:rsidP="00E53F4D">
      <w:pPr>
        <w:pStyle w:val="NormalWeb"/>
        <w:spacing w:before="0" w:beforeAutospacing="0" w:line="360" w:lineRule="auto"/>
        <w:jc w:val="both"/>
        <w:rPr>
          <w:rFonts w:asciiTheme="majorBidi" w:hAnsiTheme="majorBidi" w:cstheme="majorBidi"/>
          <w:color w:val="000000"/>
          <w:lang w:val="fr-FR"/>
        </w:rPr>
      </w:pPr>
    </w:p>
    <w:p w:rsidR="00F05810" w:rsidRPr="00720872" w:rsidRDefault="00F05810" w:rsidP="00E53F4D">
      <w:pPr>
        <w:pStyle w:val="NormalWeb"/>
        <w:spacing w:before="0" w:beforeAutospacing="0" w:line="360" w:lineRule="auto"/>
        <w:jc w:val="both"/>
        <w:rPr>
          <w:rFonts w:asciiTheme="majorBidi" w:hAnsiTheme="majorBidi" w:cstheme="majorBidi"/>
          <w:color w:val="000000"/>
          <w:lang w:val="fr-FR"/>
        </w:rPr>
      </w:pPr>
    </w:p>
    <w:p w:rsidR="00E772DD" w:rsidRPr="00AD5F90" w:rsidRDefault="00E772DD" w:rsidP="00A74C02">
      <w:pPr>
        <w:pStyle w:val="NormalWeb"/>
        <w:spacing w:line="360" w:lineRule="auto"/>
        <w:jc w:val="center"/>
        <w:rPr>
          <w:rFonts w:asciiTheme="majorBidi" w:hAnsiTheme="majorBidi" w:cstheme="majorBidi"/>
          <w:b/>
          <w:bCs/>
          <w:color w:val="000000"/>
          <w:lang w:val="fr-FR"/>
        </w:rPr>
      </w:pPr>
      <w:r w:rsidRPr="00AD5F90">
        <w:rPr>
          <w:rFonts w:asciiTheme="majorBidi" w:hAnsiTheme="majorBidi" w:cstheme="majorBidi"/>
          <w:b/>
          <w:bCs/>
          <w:color w:val="000000"/>
          <w:lang w:val="fr-FR"/>
        </w:rPr>
        <w:lastRenderedPageBreak/>
        <w:t xml:space="preserve">Tableau </w:t>
      </w:r>
      <w:r>
        <w:rPr>
          <w:rFonts w:asciiTheme="majorBidi" w:hAnsiTheme="majorBidi" w:cstheme="majorBidi"/>
          <w:b/>
          <w:bCs/>
          <w:color w:val="000000"/>
          <w:lang w:val="fr-FR"/>
        </w:rPr>
        <w:t>N°07</w:t>
      </w:r>
      <w:r w:rsidRPr="00AD5F90">
        <w:rPr>
          <w:rFonts w:asciiTheme="majorBidi" w:hAnsiTheme="majorBidi" w:cstheme="majorBidi"/>
          <w:b/>
          <w:bCs/>
          <w:color w:val="000000"/>
          <w:lang w:val="fr-FR"/>
        </w:rPr>
        <w:t xml:space="preserve"> : </w:t>
      </w:r>
      <w:r w:rsidRPr="00720872">
        <w:rPr>
          <w:rFonts w:asciiTheme="majorBidi" w:hAnsiTheme="majorBidi" w:cstheme="majorBidi"/>
          <w:color w:val="000000"/>
          <w:lang w:val="fr-FR"/>
        </w:rPr>
        <w:t>Les limites du recrutement traditionnel</w:t>
      </w:r>
    </w:p>
    <w:tbl>
      <w:tblPr>
        <w:tblStyle w:val="Grilledutableau"/>
        <w:tblW w:w="0" w:type="auto"/>
        <w:tblLook w:val="04A0" w:firstRow="1" w:lastRow="0" w:firstColumn="1" w:lastColumn="0" w:noHBand="0" w:noVBand="1"/>
      </w:tblPr>
      <w:tblGrid>
        <w:gridCol w:w="1549"/>
        <w:gridCol w:w="7461"/>
      </w:tblGrid>
      <w:tr w:rsidR="00E772DD" w:rsidRPr="00AD5F90" w:rsidTr="002F5C80">
        <w:tc>
          <w:tcPr>
            <w:tcW w:w="1549" w:type="dxa"/>
            <w:shd w:val="clear" w:color="auto" w:fill="D8DCD1"/>
            <w:vAlign w:val="center"/>
          </w:tcPr>
          <w:p w:rsidR="00E772DD" w:rsidRPr="00720872" w:rsidRDefault="00E772DD" w:rsidP="00410CA6">
            <w:pPr>
              <w:pStyle w:val="NormalWeb"/>
              <w:spacing w:line="360" w:lineRule="auto"/>
              <w:jc w:val="center"/>
              <w:rPr>
                <w:rFonts w:asciiTheme="majorBidi" w:hAnsiTheme="majorBidi" w:cstheme="majorBidi"/>
                <w:b/>
                <w:bCs/>
                <w:color w:val="000000"/>
                <w:lang w:val="fr-FR"/>
              </w:rPr>
            </w:pPr>
            <w:r w:rsidRPr="00720872">
              <w:rPr>
                <w:rFonts w:asciiTheme="majorBidi" w:hAnsiTheme="majorBidi" w:cstheme="majorBidi"/>
                <w:b/>
                <w:bCs/>
                <w:color w:val="000000"/>
                <w:lang w:val="fr-FR"/>
              </w:rPr>
              <w:t>Limite</w:t>
            </w:r>
          </w:p>
        </w:tc>
        <w:tc>
          <w:tcPr>
            <w:tcW w:w="7461" w:type="dxa"/>
            <w:shd w:val="clear" w:color="auto" w:fill="D8DCD1"/>
          </w:tcPr>
          <w:p w:rsidR="00E772DD" w:rsidRPr="00720872" w:rsidRDefault="00E772DD" w:rsidP="00D61BD8">
            <w:pPr>
              <w:pStyle w:val="NormalWeb"/>
              <w:spacing w:line="360" w:lineRule="auto"/>
              <w:jc w:val="both"/>
              <w:rPr>
                <w:rFonts w:asciiTheme="majorBidi" w:hAnsiTheme="majorBidi" w:cstheme="majorBidi"/>
                <w:b/>
                <w:bCs/>
                <w:color w:val="000000"/>
                <w:lang w:val="fr-FR"/>
              </w:rPr>
            </w:pPr>
            <w:r w:rsidRPr="00720872">
              <w:rPr>
                <w:rFonts w:asciiTheme="majorBidi" w:hAnsiTheme="majorBidi" w:cstheme="majorBidi"/>
                <w:b/>
                <w:bCs/>
                <w:color w:val="000000"/>
                <w:lang w:val="fr-FR"/>
              </w:rPr>
              <w:t>Explication</w:t>
            </w:r>
          </w:p>
        </w:tc>
      </w:tr>
      <w:tr w:rsidR="00E772DD" w:rsidRPr="00427D18" w:rsidTr="00D77B02">
        <w:tc>
          <w:tcPr>
            <w:tcW w:w="1549" w:type="dxa"/>
            <w:shd w:val="clear" w:color="auto" w:fill="D8DCD1"/>
            <w:vAlign w:val="center"/>
          </w:tcPr>
          <w:p w:rsidR="00E772DD" w:rsidRPr="00720872" w:rsidRDefault="00E772DD" w:rsidP="00D77B02">
            <w:pPr>
              <w:pStyle w:val="NormalWeb"/>
              <w:spacing w:line="360" w:lineRule="auto"/>
              <w:rPr>
                <w:rFonts w:asciiTheme="majorBidi" w:hAnsiTheme="majorBidi" w:cstheme="majorBidi"/>
                <w:b/>
                <w:bCs/>
                <w:color w:val="000000"/>
                <w:lang w:val="fr-FR"/>
              </w:rPr>
            </w:pPr>
            <w:r w:rsidRPr="00720872">
              <w:rPr>
                <w:rFonts w:asciiTheme="majorBidi" w:hAnsiTheme="majorBidi" w:cstheme="majorBidi"/>
                <w:b/>
                <w:bCs/>
                <w:color w:val="000000"/>
                <w:lang w:val="fr-FR"/>
              </w:rPr>
              <w:t>Biais inconscients</w:t>
            </w:r>
          </w:p>
        </w:tc>
        <w:tc>
          <w:tcPr>
            <w:tcW w:w="7461" w:type="dxa"/>
          </w:tcPr>
          <w:p w:rsidR="00E772DD" w:rsidRPr="00AD5F90" w:rsidRDefault="00E772DD" w:rsidP="00D61BD8">
            <w:pPr>
              <w:pStyle w:val="NormalWeb"/>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méthodes de recrutement traditionnelles sont influencées par des biais inconscients, entraînant une discrimination involontaire. Selon Eymard-Duvernay et Marchal, des critères comme le sexe, l’âge ou la localisation impactent souvent la présélection des candidatures</w:t>
            </w:r>
            <w:r w:rsidRPr="00AD5F90">
              <w:rPr>
                <w:rStyle w:val="Appelnotedebasdep"/>
                <w:rFonts w:cstheme="majorBidi"/>
                <w:color w:val="000000"/>
                <w:lang w:val="fr-FR"/>
              </w:rPr>
              <w:footnoteReference w:id="146"/>
            </w:r>
            <w:r w:rsidRPr="00AD5F90">
              <w:rPr>
                <w:rFonts w:asciiTheme="majorBidi" w:hAnsiTheme="majorBidi" w:cstheme="majorBidi"/>
                <w:color w:val="000000"/>
                <w:lang w:val="fr-FR"/>
              </w:rPr>
              <w:t>.</w:t>
            </w:r>
          </w:p>
        </w:tc>
      </w:tr>
      <w:tr w:rsidR="00E772DD" w:rsidRPr="00427D18" w:rsidTr="00D77B02">
        <w:tc>
          <w:tcPr>
            <w:tcW w:w="1549" w:type="dxa"/>
            <w:shd w:val="clear" w:color="auto" w:fill="D8DCD1"/>
            <w:vAlign w:val="center"/>
          </w:tcPr>
          <w:p w:rsidR="00E772DD" w:rsidRPr="00720872" w:rsidRDefault="00E772DD" w:rsidP="00D77B02">
            <w:pPr>
              <w:pStyle w:val="NormalWeb"/>
              <w:spacing w:line="360" w:lineRule="auto"/>
              <w:rPr>
                <w:rFonts w:asciiTheme="majorBidi" w:hAnsiTheme="majorBidi" w:cstheme="majorBidi"/>
                <w:b/>
                <w:bCs/>
                <w:color w:val="000000"/>
                <w:lang w:val="fr-FR"/>
              </w:rPr>
            </w:pPr>
            <w:r w:rsidRPr="00720872">
              <w:rPr>
                <w:rFonts w:asciiTheme="majorBidi" w:hAnsiTheme="majorBidi" w:cstheme="majorBidi"/>
                <w:b/>
                <w:bCs/>
                <w:color w:val="000000"/>
                <w:lang w:val="fr-FR"/>
              </w:rPr>
              <w:t>Délais de recrutement</w:t>
            </w:r>
          </w:p>
        </w:tc>
        <w:tc>
          <w:tcPr>
            <w:tcW w:w="7461" w:type="dxa"/>
          </w:tcPr>
          <w:p w:rsidR="00E772DD" w:rsidRPr="00AD5F90" w:rsidRDefault="00E772DD" w:rsidP="00D61BD8">
            <w:pPr>
              <w:pStyle w:val="NormalWeb"/>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recrutement traditionnel est souvent long, retardant la prise de poste, surtout dans les secteurs touchés par une pénurie de talents.</w:t>
            </w:r>
          </w:p>
        </w:tc>
      </w:tr>
      <w:tr w:rsidR="00E772DD" w:rsidRPr="00427D18" w:rsidTr="00D77B02">
        <w:tc>
          <w:tcPr>
            <w:tcW w:w="1549" w:type="dxa"/>
            <w:shd w:val="clear" w:color="auto" w:fill="D8DCD1"/>
            <w:vAlign w:val="center"/>
          </w:tcPr>
          <w:p w:rsidR="00E772DD" w:rsidRPr="00720872" w:rsidRDefault="00E772DD" w:rsidP="00D77B02">
            <w:pPr>
              <w:pStyle w:val="NormalWeb"/>
              <w:spacing w:line="360" w:lineRule="auto"/>
              <w:rPr>
                <w:rFonts w:asciiTheme="majorBidi" w:hAnsiTheme="majorBidi" w:cstheme="majorBidi"/>
                <w:b/>
                <w:bCs/>
                <w:color w:val="000000"/>
                <w:lang w:val="fr-FR"/>
              </w:rPr>
            </w:pPr>
            <w:r w:rsidRPr="00720872">
              <w:rPr>
                <w:rFonts w:asciiTheme="majorBidi" w:hAnsiTheme="majorBidi" w:cstheme="majorBidi"/>
                <w:b/>
                <w:bCs/>
                <w:color w:val="000000"/>
                <w:lang w:val="fr-FR"/>
              </w:rPr>
              <w:t>coût élevés</w:t>
            </w:r>
          </w:p>
        </w:tc>
        <w:tc>
          <w:tcPr>
            <w:tcW w:w="7461" w:type="dxa"/>
          </w:tcPr>
          <w:p w:rsidR="00E772DD" w:rsidRPr="00AD5F90" w:rsidRDefault="00E772DD" w:rsidP="00D61BD8">
            <w:pPr>
              <w:pStyle w:val="NormalWeb"/>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processus de recrutement classique peut engendrer des coûts élevés en termes de temps et de ressources financières.</w:t>
            </w:r>
          </w:p>
        </w:tc>
      </w:tr>
      <w:tr w:rsidR="00E772DD" w:rsidRPr="00427D18" w:rsidTr="00D77B02">
        <w:tc>
          <w:tcPr>
            <w:tcW w:w="1549" w:type="dxa"/>
            <w:shd w:val="clear" w:color="auto" w:fill="D8DCD1"/>
            <w:vAlign w:val="center"/>
          </w:tcPr>
          <w:p w:rsidR="00E772DD" w:rsidRPr="00720872" w:rsidRDefault="00E772DD" w:rsidP="00D77B02">
            <w:pPr>
              <w:pStyle w:val="NormalWeb"/>
              <w:spacing w:line="360" w:lineRule="auto"/>
              <w:rPr>
                <w:rFonts w:asciiTheme="majorBidi" w:hAnsiTheme="majorBidi" w:cstheme="majorBidi"/>
                <w:b/>
                <w:bCs/>
                <w:color w:val="000000"/>
                <w:lang w:val="fr-FR"/>
              </w:rPr>
            </w:pPr>
            <w:r w:rsidRPr="00720872">
              <w:rPr>
                <w:rFonts w:asciiTheme="majorBidi" w:hAnsiTheme="majorBidi" w:cstheme="majorBidi"/>
                <w:b/>
                <w:bCs/>
                <w:color w:val="000000"/>
                <w:lang w:val="fr-FR"/>
              </w:rPr>
              <w:t>Concurrence accrue</w:t>
            </w:r>
          </w:p>
        </w:tc>
        <w:tc>
          <w:tcPr>
            <w:tcW w:w="7461" w:type="dxa"/>
          </w:tcPr>
          <w:p w:rsidR="00E772DD" w:rsidRPr="00AD5F90" w:rsidRDefault="00E772DD" w:rsidP="003C2729">
            <w:pPr>
              <w:pStyle w:val="NormalWeb"/>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diffusion d’une offre d’emploi intensifie la concurrence entre entreprises, rendant l’attraction et le recrutement des meilleurs talents plus difficiles.</w:t>
            </w:r>
          </w:p>
        </w:tc>
      </w:tr>
      <w:tr w:rsidR="00E772DD" w:rsidRPr="00427D18" w:rsidTr="00D77B02">
        <w:tc>
          <w:tcPr>
            <w:tcW w:w="1549" w:type="dxa"/>
            <w:shd w:val="clear" w:color="auto" w:fill="D8DCD1"/>
            <w:vAlign w:val="center"/>
          </w:tcPr>
          <w:p w:rsidR="00E772DD" w:rsidRPr="00720872" w:rsidRDefault="00E772DD" w:rsidP="00D77B02">
            <w:pPr>
              <w:pStyle w:val="NormalWeb"/>
              <w:spacing w:line="360" w:lineRule="auto"/>
              <w:rPr>
                <w:rFonts w:asciiTheme="majorBidi" w:hAnsiTheme="majorBidi" w:cstheme="majorBidi"/>
                <w:b/>
                <w:bCs/>
                <w:color w:val="000000"/>
                <w:lang w:val="fr-FR"/>
              </w:rPr>
            </w:pPr>
            <w:r w:rsidRPr="00720872">
              <w:rPr>
                <w:rFonts w:asciiTheme="majorBidi" w:hAnsiTheme="majorBidi" w:cstheme="majorBidi"/>
                <w:b/>
                <w:bCs/>
                <w:color w:val="000000"/>
                <w:lang w:val="fr-FR"/>
              </w:rPr>
              <w:t>Manque de la diversité</w:t>
            </w:r>
          </w:p>
        </w:tc>
        <w:tc>
          <w:tcPr>
            <w:tcW w:w="7461" w:type="dxa"/>
          </w:tcPr>
          <w:p w:rsidR="00E772DD" w:rsidRPr="00AD5F90" w:rsidRDefault="00E772DD" w:rsidP="00D61BD8">
            <w:pPr>
              <w:pStyle w:val="NormalWeb"/>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recours exclusif aux canaux de recrutement traditionnels peut limiter la diversité de la main-d'œuvre au sein de l'entreprise.</w:t>
            </w:r>
          </w:p>
        </w:tc>
      </w:tr>
      <w:tr w:rsidR="00E772DD" w:rsidRPr="00427D18" w:rsidTr="00D77B02">
        <w:trPr>
          <w:trHeight w:val="1062"/>
        </w:trPr>
        <w:tc>
          <w:tcPr>
            <w:tcW w:w="1549" w:type="dxa"/>
            <w:shd w:val="clear" w:color="auto" w:fill="D8DCD1"/>
            <w:vAlign w:val="center"/>
          </w:tcPr>
          <w:p w:rsidR="00E772DD" w:rsidRPr="00720872" w:rsidRDefault="00E772DD" w:rsidP="00D77B02">
            <w:pPr>
              <w:pStyle w:val="NormalWeb"/>
              <w:spacing w:line="360" w:lineRule="auto"/>
              <w:rPr>
                <w:rFonts w:asciiTheme="majorBidi" w:hAnsiTheme="majorBidi" w:cstheme="majorBidi"/>
                <w:b/>
                <w:bCs/>
                <w:color w:val="000000"/>
                <w:lang w:val="fr-FR"/>
              </w:rPr>
            </w:pPr>
            <w:r w:rsidRPr="00720872">
              <w:rPr>
                <w:rFonts w:asciiTheme="majorBidi" w:hAnsiTheme="majorBidi" w:cstheme="majorBidi"/>
                <w:b/>
                <w:bCs/>
                <w:color w:val="000000"/>
                <w:lang w:val="fr-FR"/>
              </w:rPr>
              <w:t>Incertitude des compétences</w:t>
            </w:r>
          </w:p>
        </w:tc>
        <w:tc>
          <w:tcPr>
            <w:tcW w:w="7461" w:type="dxa"/>
          </w:tcPr>
          <w:p w:rsidR="00E772DD" w:rsidRPr="00AD5F90" w:rsidRDefault="00E772DD" w:rsidP="00D61BD8">
            <w:pPr>
              <w:pStyle w:val="NormalWeb"/>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entretiens traditionnels manquent parfois de fiabilité, car la subjectivité des recruteurs peut influencer l’évaluation des compétences des candidats.</w:t>
            </w:r>
          </w:p>
        </w:tc>
      </w:tr>
      <w:tr w:rsidR="00E772DD" w:rsidRPr="00427D18" w:rsidTr="00D77B02">
        <w:tc>
          <w:tcPr>
            <w:tcW w:w="1549" w:type="dxa"/>
            <w:shd w:val="clear" w:color="auto" w:fill="D8DCD1"/>
            <w:vAlign w:val="center"/>
          </w:tcPr>
          <w:p w:rsidR="00E772DD" w:rsidRPr="00720872" w:rsidRDefault="00E772DD" w:rsidP="00D77B02">
            <w:pPr>
              <w:pStyle w:val="NormalWeb"/>
              <w:spacing w:line="360" w:lineRule="auto"/>
              <w:rPr>
                <w:rFonts w:asciiTheme="majorBidi" w:hAnsiTheme="majorBidi" w:cstheme="majorBidi"/>
                <w:b/>
                <w:bCs/>
                <w:color w:val="000000"/>
                <w:lang w:val="fr-FR"/>
              </w:rPr>
            </w:pPr>
            <w:r w:rsidRPr="00720872">
              <w:rPr>
                <w:rFonts w:asciiTheme="majorBidi" w:hAnsiTheme="majorBidi" w:cstheme="majorBidi"/>
                <w:b/>
                <w:bCs/>
                <w:color w:val="000000"/>
                <w:lang w:val="fr-FR"/>
              </w:rPr>
              <w:t>La rationalité limitée</w:t>
            </w:r>
          </w:p>
        </w:tc>
        <w:tc>
          <w:tcPr>
            <w:tcW w:w="7461" w:type="dxa"/>
          </w:tcPr>
          <w:p w:rsidR="00E772DD" w:rsidRPr="00AD5F90" w:rsidRDefault="00E772DD" w:rsidP="00D61BD8">
            <w:pPr>
              <w:pStyle w:val="NormalWeb"/>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recruteur sélectionne le candidat le plus proche du profil recherché en s’appuyant sur des critères généraux (diplôme, âge, sexe), qui ne reflètent pas toujours les compétences réelles</w:t>
            </w:r>
            <w:r w:rsidRPr="00AD5F90">
              <w:rPr>
                <w:rStyle w:val="Appelnotedebasdep"/>
                <w:rFonts w:cstheme="majorBidi"/>
                <w:color w:val="000000"/>
                <w:lang w:val="fr-FR"/>
              </w:rPr>
              <w:footnoteReference w:id="147"/>
            </w:r>
            <w:r w:rsidRPr="00AD5F90">
              <w:rPr>
                <w:rFonts w:asciiTheme="majorBidi" w:hAnsiTheme="majorBidi" w:cstheme="majorBidi"/>
                <w:color w:val="000000"/>
                <w:lang w:val="fr-FR"/>
              </w:rPr>
              <w:t xml:space="preserve">. </w:t>
            </w:r>
          </w:p>
        </w:tc>
      </w:tr>
      <w:tr w:rsidR="00E772DD" w:rsidRPr="00427D18" w:rsidTr="00D77B02">
        <w:tc>
          <w:tcPr>
            <w:tcW w:w="1549" w:type="dxa"/>
            <w:shd w:val="clear" w:color="auto" w:fill="D8DCD1"/>
            <w:vAlign w:val="center"/>
          </w:tcPr>
          <w:p w:rsidR="00E772DD" w:rsidRPr="00720872" w:rsidRDefault="00E772DD" w:rsidP="00D77B02">
            <w:pPr>
              <w:pStyle w:val="NormalWeb"/>
              <w:spacing w:line="360" w:lineRule="auto"/>
              <w:rPr>
                <w:rFonts w:asciiTheme="majorBidi" w:hAnsiTheme="majorBidi" w:cstheme="majorBidi"/>
                <w:b/>
                <w:bCs/>
                <w:color w:val="000000"/>
                <w:lang w:val="fr-FR"/>
              </w:rPr>
            </w:pPr>
            <w:r w:rsidRPr="00720872">
              <w:rPr>
                <w:rFonts w:asciiTheme="majorBidi" w:hAnsiTheme="majorBidi" w:cstheme="majorBidi"/>
                <w:b/>
                <w:bCs/>
                <w:color w:val="000000"/>
                <w:lang w:val="fr-FR"/>
              </w:rPr>
              <w:t>L’inégalité</w:t>
            </w:r>
          </w:p>
        </w:tc>
        <w:tc>
          <w:tcPr>
            <w:tcW w:w="7461" w:type="dxa"/>
          </w:tcPr>
          <w:p w:rsidR="00E772DD" w:rsidRPr="00AD5F90" w:rsidRDefault="00E772DD" w:rsidP="00D61BD8">
            <w:pPr>
              <w:pStyle w:val="NormalWeb"/>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recrutement vise à choisir le candidat le plus apte. Des critères trop stricts peuvent limiter les chances de certains candidats dès la première étape</w:t>
            </w:r>
            <w:r w:rsidRPr="00AD5F90">
              <w:rPr>
                <w:rStyle w:val="Appelnotedebasdep"/>
                <w:rFonts w:cstheme="majorBidi"/>
                <w:color w:val="000000"/>
                <w:lang w:val="fr-FR"/>
              </w:rPr>
              <w:footnoteReference w:id="148"/>
            </w:r>
            <w:r w:rsidRPr="00AD5F90">
              <w:rPr>
                <w:rFonts w:asciiTheme="majorBidi" w:hAnsiTheme="majorBidi" w:cstheme="majorBidi"/>
                <w:color w:val="000000"/>
                <w:lang w:val="fr-FR"/>
              </w:rPr>
              <w:t>.</w:t>
            </w:r>
          </w:p>
        </w:tc>
      </w:tr>
    </w:tbl>
    <w:p w:rsidR="00E772DD" w:rsidRDefault="00E772DD" w:rsidP="00720872">
      <w:pPr>
        <w:pStyle w:val="NormalWeb"/>
        <w:spacing w:line="360" w:lineRule="auto"/>
        <w:jc w:val="center"/>
        <w:rPr>
          <w:rFonts w:asciiTheme="majorBidi" w:hAnsiTheme="majorBidi" w:cstheme="majorBidi"/>
          <w:color w:val="000000"/>
          <w:lang w:val="fr-FR"/>
        </w:rPr>
      </w:pPr>
      <w:r w:rsidRPr="00041AE7">
        <w:rPr>
          <w:rFonts w:asciiTheme="majorBidi" w:hAnsiTheme="majorBidi" w:cstheme="majorBidi"/>
          <w:b/>
          <w:bCs/>
          <w:color w:val="000000"/>
          <w:lang w:val="fr-FR"/>
        </w:rPr>
        <w:t>Source :</w:t>
      </w:r>
      <w:r w:rsidRPr="00AD5F90">
        <w:rPr>
          <w:rFonts w:asciiTheme="majorBidi" w:hAnsiTheme="majorBidi" w:cstheme="majorBidi"/>
          <w:color w:val="000000"/>
          <w:lang w:val="fr-FR"/>
        </w:rPr>
        <w:t xml:space="preserve"> élaboré à partir de l’ouvrage de Eymard-Duvernay François et Marchal Emmanuelle (2000), « Qui calcule trop finit par déraisonner : les experts du marché du travail », publié dans la revue Sociologie du travail.</w:t>
      </w:r>
    </w:p>
    <w:p w:rsidR="00F05810" w:rsidRPr="00720872" w:rsidRDefault="00F05810" w:rsidP="00720872">
      <w:pPr>
        <w:pStyle w:val="NormalWeb"/>
        <w:spacing w:line="360" w:lineRule="auto"/>
        <w:jc w:val="center"/>
        <w:rPr>
          <w:rFonts w:asciiTheme="majorBidi" w:hAnsiTheme="majorBidi" w:cstheme="majorBidi"/>
          <w:color w:val="000000"/>
          <w:lang w:val="fr-FR"/>
        </w:rPr>
      </w:pPr>
    </w:p>
    <w:p w:rsidR="00220F88" w:rsidRDefault="00E772DD" w:rsidP="004D32AC">
      <w:pPr>
        <w:pStyle w:val="Titre2"/>
        <w:keepNext w:val="0"/>
        <w:keepLines w:val="0"/>
        <w:numPr>
          <w:ilvl w:val="0"/>
          <w:numId w:val="4"/>
        </w:numPr>
        <w:spacing w:before="0" w:line="360" w:lineRule="auto"/>
        <w:jc w:val="both"/>
        <w:rPr>
          <w:rFonts w:asciiTheme="majorBidi" w:hAnsiTheme="majorBidi"/>
          <w:b/>
          <w:bCs/>
          <w:color w:val="000000"/>
          <w:sz w:val="24"/>
          <w:szCs w:val="24"/>
          <w:lang w:val="fr-FR"/>
        </w:rPr>
      </w:pPr>
      <w:bookmarkStart w:id="830" w:name="_Toc200486614"/>
      <w:bookmarkStart w:id="831" w:name="_Toc200635390"/>
      <w:bookmarkStart w:id="832" w:name="_Toc200635778"/>
      <w:bookmarkStart w:id="833" w:name="_Toc200636167"/>
      <w:bookmarkStart w:id="834" w:name="_Toc200755904"/>
      <w:bookmarkStart w:id="835" w:name="_Toc199714334"/>
      <w:r w:rsidRPr="00220F88">
        <w:rPr>
          <w:rFonts w:asciiTheme="majorBidi" w:hAnsiTheme="majorBidi"/>
          <w:b/>
          <w:bCs/>
          <w:color w:val="000000"/>
          <w:sz w:val="24"/>
          <w:szCs w:val="24"/>
          <w:lang w:val="fr-FR"/>
        </w:rPr>
        <w:lastRenderedPageBreak/>
        <w:t>La formation : pratiques traditionnelles et défis</w:t>
      </w:r>
      <w:bookmarkEnd w:id="830"/>
      <w:bookmarkEnd w:id="831"/>
      <w:bookmarkEnd w:id="832"/>
      <w:bookmarkEnd w:id="833"/>
      <w:bookmarkEnd w:id="834"/>
      <w:r w:rsidR="00220F88">
        <w:rPr>
          <w:rFonts w:asciiTheme="majorBidi" w:hAnsiTheme="majorBidi"/>
          <w:b/>
          <w:bCs/>
          <w:color w:val="000000"/>
          <w:sz w:val="24"/>
          <w:szCs w:val="24"/>
          <w:lang w:val="fr-FR"/>
        </w:rPr>
        <w:t> </w:t>
      </w:r>
      <w:bookmarkEnd w:id="835"/>
    </w:p>
    <w:p w:rsidR="00E772DD" w:rsidRPr="00220F88" w:rsidRDefault="00E772DD" w:rsidP="00E16D29">
      <w:pPr>
        <w:pStyle w:val="Titre2"/>
        <w:keepNext w:val="0"/>
        <w:keepLines w:val="0"/>
        <w:spacing w:before="0" w:after="100" w:afterAutospacing="1" w:line="360" w:lineRule="auto"/>
        <w:jc w:val="both"/>
        <w:rPr>
          <w:rFonts w:asciiTheme="majorBidi" w:hAnsiTheme="majorBidi"/>
          <w:b/>
          <w:bCs/>
          <w:color w:val="000000"/>
          <w:sz w:val="24"/>
          <w:szCs w:val="24"/>
          <w:lang w:val="fr-FR"/>
        </w:rPr>
      </w:pPr>
      <w:bookmarkStart w:id="836" w:name="_Toc199685130"/>
      <w:bookmarkStart w:id="837" w:name="_Toc199713954"/>
      <w:bookmarkStart w:id="838" w:name="_Toc199714335"/>
      <w:bookmarkStart w:id="839" w:name="_Toc200486615"/>
      <w:bookmarkStart w:id="840" w:name="_Toc200635391"/>
      <w:bookmarkStart w:id="841" w:name="_Toc200635779"/>
      <w:bookmarkStart w:id="842" w:name="_Toc200636168"/>
      <w:bookmarkStart w:id="843" w:name="_Toc200755905"/>
      <w:r w:rsidRPr="00220F88">
        <w:rPr>
          <w:rFonts w:asciiTheme="majorBidi" w:hAnsiTheme="majorBidi"/>
          <w:color w:val="000000"/>
          <w:sz w:val="24"/>
          <w:szCs w:val="24"/>
          <w:lang w:val="fr-FR"/>
        </w:rPr>
        <w:t>La formation occupe une place centrale dans le développement des compétences des salariés. Toutefois, les pratiques traditionnelles montrent aujourd’hui certaines limites face aux transformations technologiques, aux besoins d’adaptation rapide et aux attentes individuelles en constante évolution.</w:t>
      </w:r>
      <w:bookmarkEnd w:id="836"/>
      <w:bookmarkEnd w:id="837"/>
      <w:bookmarkEnd w:id="838"/>
      <w:bookmarkEnd w:id="839"/>
      <w:bookmarkEnd w:id="840"/>
      <w:bookmarkEnd w:id="841"/>
      <w:bookmarkEnd w:id="842"/>
      <w:bookmarkEnd w:id="843"/>
    </w:p>
    <w:p w:rsidR="00E772DD" w:rsidRPr="00220F88" w:rsidRDefault="00E772DD" w:rsidP="004D32AC">
      <w:pPr>
        <w:pStyle w:val="Titre2"/>
        <w:keepNext w:val="0"/>
        <w:keepLines w:val="0"/>
        <w:numPr>
          <w:ilvl w:val="1"/>
          <w:numId w:val="4"/>
        </w:numPr>
        <w:spacing w:before="0" w:line="360" w:lineRule="auto"/>
        <w:jc w:val="both"/>
        <w:rPr>
          <w:rFonts w:asciiTheme="majorBidi" w:hAnsiTheme="majorBidi"/>
          <w:b/>
          <w:bCs/>
          <w:color w:val="000000"/>
          <w:sz w:val="24"/>
          <w:szCs w:val="24"/>
          <w:lang w:val="fr-FR"/>
        </w:rPr>
      </w:pPr>
      <w:bookmarkStart w:id="844" w:name="_Toc199714336"/>
      <w:bookmarkStart w:id="845" w:name="_Toc200486616"/>
      <w:bookmarkStart w:id="846" w:name="_Toc200635392"/>
      <w:bookmarkStart w:id="847" w:name="_Toc200635780"/>
      <w:bookmarkStart w:id="848" w:name="_Toc200636169"/>
      <w:bookmarkStart w:id="849" w:name="_Toc200755906"/>
      <w:r w:rsidRPr="00220F88">
        <w:rPr>
          <w:rFonts w:asciiTheme="majorBidi" w:hAnsiTheme="majorBidi"/>
          <w:b/>
          <w:bCs/>
          <w:color w:val="000000"/>
          <w:sz w:val="24"/>
          <w:szCs w:val="24"/>
          <w:lang w:val="fr-FR"/>
        </w:rPr>
        <w:t>Définition de la formation</w:t>
      </w:r>
      <w:bookmarkEnd w:id="844"/>
      <w:bookmarkEnd w:id="845"/>
      <w:bookmarkEnd w:id="846"/>
      <w:bookmarkEnd w:id="847"/>
      <w:bookmarkEnd w:id="848"/>
      <w:bookmarkEnd w:id="849"/>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La formation en entreprise peut être définie de différentes manières. Tout d’abord, selon Pierre </w:t>
      </w:r>
      <w:proofErr w:type="spellStart"/>
      <w:r w:rsidRPr="00AD5F90">
        <w:rPr>
          <w:rFonts w:asciiTheme="majorBidi" w:hAnsiTheme="majorBidi" w:cstheme="majorBidi"/>
          <w:color w:val="000000"/>
          <w:lang w:val="fr-FR"/>
        </w:rPr>
        <w:t>Louart</w:t>
      </w:r>
      <w:proofErr w:type="spellEnd"/>
      <w:r w:rsidRPr="00AD5F90">
        <w:rPr>
          <w:rFonts w:asciiTheme="majorBidi" w:hAnsiTheme="majorBidi" w:cstheme="majorBidi"/>
          <w:color w:val="000000"/>
          <w:lang w:val="fr-FR"/>
        </w:rPr>
        <w:t>, est un dispositif pédagogique visant à améliorer les compétences professionnelles des salariés. Elle ne se limite pas aux capacités techniques, mais favorise aussi leur enrichissement personnel et leur évolution vers de nouvelles responsabilités.</w:t>
      </w:r>
      <w:r w:rsidRPr="00AD5F90">
        <w:rPr>
          <w:rStyle w:val="Appelnotedebasdep"/>
          <w:rFonts w:cstheme="majorBidi"/>
          <w:color w:val="000000"/>
          <w:lang w:val="fr-FR"/>
        </w:rPr>
        <w:footnoteReference w:id="149"/>
      </w:r>
      <w:r w:rsidRPr="00AD5F90">
        <w:rPr>
          <w:rFonts w:asciiTheme="majorBidi" w:hAnsiTheme="majorBidi" w:cstheme="majorBidi"/>
          <w:color w:val="000000"/>
          <w:lang w:val="fr-FR"/>
        </w:rPr>
        <w:t>.</w:t>
      </w:r>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D’un autre point de vue, </w:t>
      </w:r>
      <w:proofErr w:type="spellStart"/>
      <w:r w:rsidRPr="00AD5F90">
        <w:rPr>
          <w:rFonts w:asciiTheme="majorBidi" w:hAnsiTheme="majorBidi" w:cstheme="majorBidi"/>
          <w:color w:val="000000"/>
          <w:lang w:val="fr-FR"/>
        </w:rPr>
        <w:t>Sekiou</w:t>
      </w:r>
      <w:proofErr w:type="spellEnd"/>
      <w:r w:rsidRPr="00AD5F90">
        <w:rPr>
          <w:rFonts w:asciiTheme="majorBidi" w:hAnsiTheme="majorBidi" w:cstheme="majorBidi"/>
          <w:color w:val="000000"/>
          <w:lang w:val="fr-FR"/>
        </w:rPr>
        <w:t xml:space="preserve"> définit la formation comme un processus structuré, combinant différents outils et supports, visant à améliorer les connaissances, comportements et aptitudes des salariés. Ce processus permet d’atteindre les objectifs organisationnels tout en répondant aux ambitions personnelles et sociales des employés, contribuant ainsi à leur adaptation au milieu professionnel et à l’optimisation de l’exécution des tâches présentes et futures.</w:t>
      </w:r>
      <w:r w:rsidRPr="00AD5F90">
        <w:rPr>
          <w:rStyle w:val="Appelnotedebasdep"/>
          <w:rFonts w:cstheme="majorBidi"/>
          <w:color w:val="000000"/>
          <w:lang w:val="fr-FR"/>
        </w:rPr>
        <w:footnoteReference w:id="150"/>
      </w:r>
      <w:r w:rsidRPr="00AD5F90">
        <w:rPr>
          <w:rFonts w:asciiTheme="majorBidi" w:hAnsiTheme="majorBidi" w:cstheme="majorBidi"/>
          <w:color w:val="000000"/>
          <w:lang w:val="fr-FR"/>
        </w:rPr>
        <w:t>.</w:t>
      </w:r>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 xml:space="preserve">Enfin, pour M. C. </w:t>
      </w:r>
      <w:proofErr w:type="spellStart"/>
      <w:r w:rsidRPr="00AD5F90">
        <w:rPr>
          <w:rFonts w:asciiTheme="majorBidi" w:hAnsiTheme="majorBidi" w:cstheme="majorBidi"/>
          <w:color w:val="000000"/>
          <w:lang w:val="fr-FR"/>
        </w:rPr>
        <w:t>Belaid</w:t>
      </w:r>
      <w:proofErr w:type="spellEnd"/>
      <w:r w:rsidRPr="00AD5F90">
        <w:rPr>
          <w:rFonts w:asciiTheme="majorBidi" w:hAnsiTheme="majorBidi" w:cstheme="majorBidi"/>
          <w:color w:val="000000"/>
          <w:lang w:val="fr-FR"/>
        </w:rPr>
        <w:t>, la formation regroupe un ensemble d’activités d’apprentissage visant à intégrer les individus et les groupes dans leur environnement socioprofessionnel. Elle s’inscrit dans une dynamique organisationnelle et professionnelle, répondant à un besoin spécifique et visant l’atteinte d’objectifs précis pour une catégorie donnée de salariés</w:t>
      </w:r>
      <w:r w:rsidRPr="00AD5F90">
        <w:rPr>
          <w:rStyle w:val="Appelnotedebasdep"/>
          <w:rFonts w:cstheme="majorBidi"/>
          <w:color w:val="000000"/>
          <w:lang w:val="fr-FR"/>
        </w:rPr>
        <w:footnoteReference w:id="151"/>
      </w:r>
      <w:r w:rsidRPr="00AD5F90">
        <w:rPr>
          <w:rFonts w:asciiTheme="majorBidi" w:hAnsiTheme="majorBidi" w:cstheme="majorBidi"/>
          <w:color w:val="000000"/>
          <w:lang w:val="fr-FR"/>
        </w:rPr>
        <w:t>.</w:t>
      </w:r>
    </w:p>
    <w:p w:rsidR="00F05810" w:rsidRDefault="00E772DD" w:rsidP="00E16D29">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À partir de ces définitions, la formation apparaît comme un ensemble structuré d'actions et de méthodes visant à transmettre des connaissances, développer des compétences et favoriser l'évolution des comportements. Elle se révèle être un levier d'efficacité, un moteur de motivation pour les salariés, et un élément essentiel pour le développement économique de l'entreprise.</w:t>
      </w:r>
    </w:p>
    <w:p w:rsidR="00E772DD" w:rsidRPr="00220F88" w:rsidRDefault="00E772DD" w:rsidP="004D32AC">
      <w:pPr>
        <w:pStyle w:val="Titre2"/>
        <w:keepNext w:val="0"/>
        <w:keepLines w:val="0"/>
        <w:numPr>
          <w:ilvl w:val="1"/>
          <w:numId w:val="4"/>
        </w:numPr>
        <w:spacing w:before="100" w:beforeAutospacing="1" w:line="360" w:lineRule="auto"/>
        <w:jc w:val="both"/>
        <w:rPr>
          <w:rFonts w:asciiTheme="majorBidi" w:hAnsiTheme="majorBidi"/>
          <w:b/>
          <w:bCs/>
          <w:color w:val="000000"/>
          <w:sz w:val="24"/>
          <w:szCs w:val="24"/>
          <w:lang w:val="fr-FR"/>
        </w:rPr>
      </w:pPr>
      <w:bookmarkStart w:id="850" w:name="_Toc199714337"/>
      <w:bookmarkStart w:id="851" w:name="_Toc200486617"/>
      <w:bookmarkStart w:id="852" w:name="_Toc200635393"/>
      <w:bookmarkStart w:id="853" w:name="_Toc200635781"/>
      <w:bookmarkStart w:id="854" w:name="_Toc200636170"/>
      <w:bookmarkStart w:id="855" w:name="_Toc200755907"/>
      <w:r w:rsidRPr="00220F88">
        <w:rPr>
          <w:rFonts w:asciiTheme="majorBidi" w:hAnsiTheme="majorBidi"/>
          <w:b/>
          <w:bCs/>
          <w:color w:val="000000"/>
          <w:sz w:val="24"/>
          <w:szCs w:val="24"/>
          <w:lang w:val="fr-FR"/>
        </w:rPr>
        <w:t>Rôle de la formation</w:t>
      </w:r>
      <w:bookmarkEnd w:id="850"/>
      <w:bookmarkEnd w:id="851"/>
      <w:bookmarkEnd w:id="852"/>
      <w:bookmarkEnd w:id="853"/>
      <w:bookmarkEnd w:id="854"/>
      <w:bookmarkEnd w:id="855"/>
    </w:p>
    <w:p w:rsidR="00E772DD" w:rsidRPr="00AD5F90" w:rsidRDefault="00E772DD" w:rsidP="00410CA6">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formation joue un rôle fondamental dans le développement des compétences et l’adaptabilité des employés aux évolutions du marché du travail. Selon </w:t>
      </w:r>
      <w:r w:rsidRPr="00220F88">
        <w:rPr>
          <w:rFonts w:asciiTheme="majorBidi" w:hAnsiTheme="majorBidi" w:cstheme="majorBidi"/>
          <w:color w:val="000000"/>
          <w:lang w:val="fr-FR"/>
        </w:rPr>
        <w:t>Peretti (2018)</w:t>
      </w:r>
      <w:r w:rsidRPr="00220F88">
        <w:rPr>
          <w:rStyle w:val="Appelnotedebasdep"/>
          <w:rFonts w:cstheme="majorBidi"/>
          <w:color w:val="000000"/>
          <w:lang w:val="fr-FR"/>
        </w:rPr>
        <w:footnoteReference w:id="152"/>
      </w:r>
      <w:r w:rsidRPr="00220F88">
        <w:rPr>
          <w:rFonts w:asciiTheme="majorBidi" w:hAnsiTheme="majorBidi" w:cstheme="majorBidi"/>
          <w:color w:val="000000"/>
          <w:lang w:val="fr-FR"/>
        </w:rPr>
        <w:t>,</w:t>
      </w:r>
      <w:r w:rsidRPr="00AD5F90">
        <w:rPr>
          <w:rFonts w:asciiTheme="majorBidi" w:hAnsiTheme="majorBidi" w:cstheme="majorBidi"/>
          <w:color w:val="000000"/>
          <w:lang w:val="fr-FR"/>
        </w:rPr>
        <w:t xml:space="preserve"> La formation aligne les compétences des salariés avec les objectifs stratégiques de l'entreprise.</w:t>
      </w:r>
    </w:p>
    <w:p w:rsidR="00E772DD" w:rsidRPr="00AD5F90" w:rsidRDefault="00E772DD" w:rsidP="008B3C84">
      <w:p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lastRenderedPageBreak/>
        <w:t>Selon </w:t>
      </w:r>
      <w:proofErr w:type="spellStart"/>
      <w:r w:rsidRPr="009F2A2E">
        <w:rPr>
          <w:rFonts w:asciiTheme="majorBidi" w:hAnsiTheme="majorBidi" w:cstheme="majorBidi"/>
          <w:color w:val="000000"/>
          <w:lang w:val="fr-FR"/>
        </w:rPr>
        <w:t>Dessler</w:t>
      </w:r>
      <w:proofErr w:type="spellEnd"/>
      <w:r w:rsidRPr="009F2A2E">
        <w:rPr>
          <w:rFonts w:asciiTheme="majorBidi" w:hAnsiTheme="majorBidi" w:cstheme="majorBidi"/>
          <w:color w:val="000000"/>
          <w:lang w:val="fr-FR"/>
        </w:rPr>
        <w:t xml:space="preserve"> (2020</w:t>
      </w:r>
      <w:r w:rsidRPr="00AD5F90">
        <w:rPr>
          <w:rFonts w:asciiTheme="majorBidi" w:hAnsiTheme="majorBidi" w:cstheme="majorBidi"/>
          <w:b/>
          <w:bCs/>
          <w:color w:val="000000"/>
          <w:lang w:val="fr-FR"/>
        </w:rPr>
        <w:t>)</w:t>
      </w:r>
      <w:r w:rsidRPr="00AD5F90">
        <w:rPr>
          <w:rStyle w:val="Appelnotedebasdep"/>
          <w:rFonts w:cstheme="majorBidi"/>
          <w:b/>
          <w:bCs/>
          <w:color w:val="000000"/>
          <w:lang w:val="fr-FR"/>
        </w:rPr>
        <w:footnoteReference w:id="153"/>
      </w:r>
      <w:r w:rsidRPr="00AD5F90">
        <w:rPr>
          <w:rFonts w:asciiTheme="majorBidi" w:hAnsiTheme="majorBidi" w:cstheme="majorBidi"/>
          <w:color w:val="000000"/>
          <w:lang w:val="fr-FR"/>
        </w:rPr>
        <w:t>, la formation contribue à :</w:t>
      </w:r>
    </w:p>
    <w:p w:rsidR="00E772DD" w:rsidRPr="00AD5F90" w:rsidRDefault="00E772DD" w:rsidP="004D32AC">
      <w:pPr>
        <w:pStyle w:val="Paragraphedeliste"/>
        <w:numPr>
          <w:ilvl w:val="0"/>
          <w:numId w:val="19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L’amélioration des compétences et des performances</w:t>
      </w:r>
      <w:r w:rsidRPr="00AD5F90">
        <w:rPr>
          <w:rFonts w:asciiTheme="majorBidi" w:hAnsiTheme="majorBidi" w:cstheme="majorBidi"/>
          <w:color w:val="000000"/>
          <w:lang w:val="fr-FR"/>
        </w:rPr>
        <w:t> : elle permet aux employés d’acquérir et de renforcer leurs capacités techniques et comportementales, favorisant ainsi leur efficacité et leur productivité</w:t>
      </w:r>
      <w:r w:rsidRPr="00AD5F90">
        <w:rPr>
          <w:rStyle w:val="Appelnotedebasdep"/>
          <w:rFonts w:cstheme="majorBidi"/>
          <w:color w:val="000000"/>
          <w:lang w:val="fr-FR"/>
        </w:rPr>
        <w:footnoteReference w:id="154"/>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19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L’adaptation aux changements technologiques</w:t>
      </w:r>
      <w:r w:rsidRPr="00AD5F90">
        <w:rPr>
          <w:rFonts w:asciiTheme="majorBidi" w:hAnsiTheme="majorBidi" w:cstheme="majorBidi"/>
          <w:color w:val="000000"/>
          <w:lang w:val="fr-FR"/>
        </w:rPr>
        <w:t> : avec la digitalisation croissante, les entreprises doivent constamment former leurs salariés pour qu’ils maîtrisent les nouveaux outils et méthodes de travail</w:t>
      </w:r>
      <w:r w:rsidRPr="00AD5F90">
        <w:rPr>
          <w:rStyle w:val="Appelnotedebasdep"/>
          <w:rFonts w:cstheme="majorBidi"/>
          <w:color w:val="000000"/>
          <w:lang w:val="fr-FR"/>
        </w:rPr>
        <w:footnoteReference w:id="155"/>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19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La gestion des talents et la fidélisation des employés</w:t>
      </w:r>
      <w:r w:rsidRPr="00AD5F90">
        <w:rPr>
          <w:rFonts w:asciiTheme="majorBidi" w:hAnsiTheme="majorBidi" w:cstheme="majorBidi"/>
          <w:color w:val="000000"/>
          <w:lang w:val="fr-FR"/>
        </w:rPr>
        <w:t> : une formation bien structurée augmente la satisfaction et l’engagement des collaborateurs, réduisant ainsi le turnover</w:t>
      </w:r>
      <w:r w:rsidRPr="00AD5F90">
        <w:rPr>
          <w:rStyle w:val="Appelnotedebasdep"/>
          <w:rFonts w:cstheme="majorBidi"/>
          <w:color w:val="000000"/>
          <w:lang w:val="fr-FR"/>
        </w:rPr>
        <w:footnoteReference w:id="156"/>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19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L’amélioration de la qualité des services et de l’innovation</w:t>
      </w:r>
      <w:r w:rsidRPr="00AD5F90">
        <w:rPr>
          <w:rFonts w:asciiTheme="majorBidi" w:hAnsiTheme="majorBidi" w:cstheme="majorBidi"/>
          <w:color w:val="000000"/>
          <w:lang w:val="fr-FR"/>
        </w:rPr>
        <w:t> : la formation stimule la créativité et l’esprit d’innovation au sein des entreprises, leur permettant de rester compétitives</w:t>
      </w:r>
      <w:r w:rsidRPr="00AD5F90">
        <w:rPr>
          <w:rStyle w:val="Appelnotedebasdep"/>
          <w:rFonts w:cstheme="majorBidi"/>
          <w:color w:val="000000"/>
          <w:lang w:val="fr-FR"/>
        </w:rPr>
        <w:footnoteReference w:id="157"/>
      </w:r>
      <w:r w:rsidRPr="00AD5F90">
        <w:rPr>
          <w:rFonts w:asciiTheme="majorBidi" w:hAnsiTheme="majorBidi" w:cstheme="majorBidi"/>
          <w:color w:val="000000"/>
          <w:lang w:val="fr-FR"/>
        </w:rPr>
        <w:t>.</w:t>
      </w:r>
    </w:p>
    <w:p w:rsidR="00E772DD" w:rsidRPr="00AD5F90" w:rsidRDefault="00E772DD" w:rsidP="004D32AC">
      <w:pPr>
        <w:pStyle w:val="Paragraphedeliste"/>
        <w:numPr>
          <w:ilvl w:val="0"/>
          <w:numId w:val="198"/>
        </w:numPr>
        <w:spacing w:before="100" w:before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Le développement du leadership et la préparation des futurs managers</w:t>
      </w:r>
      <w:r w:rsidRPr="00AD5F90">
        <w:rPr>
          <w:rFonts w:asciiTheme="majorBidi" w:hAnsiTheme="majorBidi" w:cstheme="majorBidi"/>
          <w:color w:val="000000"/>
          <w:lang w:val="fr-FR"/>
        </w:rPr>
        <w:t> : les entreprises utilisent la formation pour identifier et accompagner les futurs cadres dirigeants, garantissant ainsi une relève efficace</w:t>
      </w:r>
      <w:r w:rsidRPr="00AD5F90">
        <w:rPr>
          <w:rStyle w:val="Appelnotedebasdep"/>
          <w:rFonts w:cstheme="majorBidi"/>
          <w:color w:val="000000"/>
          <w:lang w:val="fr-FR"/>
        </w:rPr>
        <w:footnoteReference w:id="158"/>
      </w:r>
      <w:r w:rsidRPr="00AD5F90">
        <w:rPr>
          <w:rFonts w:asciiTheme="majorBidi" w:hAnsiTheme="majorBidi" w:cstheme="majorBidi"/>
          <w:color w:val="000000"/>
          <w:lang w:val="fr-FR"/>
        </w:rPr>
        <w:t>.</w:t>
      </w:r>
    </w:p>
    <w:p w:rsidR="00E772DD" w:rsidRPr="00AD5F90" w:rsidRDefault="00E772DD" w:rsidP="00410CA6">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En somme, la formation ne se limite pas à un simple transfert de connaissances ; elle joue un rôle clé dans la performance organisationnelle, la mobilisation des ressources humaines et la pérennité des entreprises</w:t>
      </w:r>
      <w:r w:rsidRPr="00AD5F90">
        <w:rPr>
          <w:rStyle w:val="Appelnotedebasdep"/>
          <w:rFonts w:cstheme="majorBidi"/>
          <w:b/>
          <w:bCs/>
          <w:color w:val="000000"/>
          <w:lang w:val="fr-FR"/>
        </w:rPr>
        <w:footnoteReference w:id="159"/>
      </w:r>
      <w:r w:rsidRPr="00AD5F90">
        <w:rPr>
          <w:rFonts w:asciiTheme="majorBidi" w:hAnsiTheme="majorBidi" w:cstheme="majorBidi"/>
          <w:color w:val="000000"/>
          <w:lang w:val="fr-FR"/>
        </w:rPr>
        <w:t>.</w:t>
      </w:r>
    </w:p>
    <w:p w:rsidR="00E772DD" w:rsidRPr="00AD5F90" w:rsidRDefault="00E772DD" w:rsidP="001300C9">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Pour mieux comprendre l’impact et le rôle central de la formation, le tableau suivant illustre son importance à différents niveaux (employé, entreprise et organisation) :</w:t>
      </w:r>
    </w:p>
    <w:p w:rsidR="00E16D29" w:rsidRDefault="00E16D29" w:rsidP="00A74C02">
      <w:pPr>
        <w:spacing w:before="100" w:beforeAutospacing="1" w:after="100" w:afterAutospacing="1" w:line="360" w:lineRule="auto"/>
        <w:jc w:val="center"/>
        <w:rPr>
          <w:rFonts w:asciiTheme="majorBidi" w:hAnsiTheme="majorBidi" w:cstheme="majorBidi"/>
          <w:b/>
          <w:bCs/>
          <w:color w:val="000000"/>
          <w:lang w:val="fr-FR"/>
        </w:rPr>
      </w:pPr>
    </w:p>
    <w:p w:rsidR="00E772DD" w:rsidRPr="00AD5F90" w:rsidRDefault="00E772DD" w:rsidP="00A74C02">
      <w:pPr>
        <w:spacing w:before="100" w:beforeAutospacing="1" w:after="100" w:afterAutospacing="1" w:line="360" w:lineRule="auto"/>
        <w:jc w:val="center"/>
        <w:rPr>
          <w:rFonts w:asciiTheme="majorBidi" w:hAnsiTheme="majorBidi" w:cstheme="majorBidi"/>
          <w:b/>
          <w:bCs/>
          <w:color w:val="000000"/>
          <w:lang w:val="fr-FR"/>
        </w:rPr>
      </w:pPr>
      <w:r w:rsidRPr="00AD5F90">
        <w:rPr>
          <w:rFonts w:asciiTheme="majorBidi" w:hAnsiTheme="majorBidi" w:cstheme="majorBidi"/>
          <w:b/>
          <w:bCs/>
          <w:color w:val="000000"/>
          <w:lang w:val="fr-FR"/>
        </w:rPr>
        <w:lastRenderedPageBreak/>
        <w:t>Tableau</w:t>
      </w:r>
      <w:r>
        <w:rPr>
          <w:rFonts w:asciiTheme="majorBidi" w:hAnsiTheme="majorBidi" w:cstheme="majorBidi"/>
          <w:b/>
          <w:bCs/>
          <w:color w:val="000000"/>
          <w:lang w:val="fr-FR"/>
        </w:rPr>
        <w:t xml:space="preserve"> N°08</w:t>
      </w:r>
      <w:r w:rsidRPr="00AD5F90">
        <w:rPr>
          <w:rFonts w:asciiTheme="majorBidi" w:hAnsiTheme="majorBidi" w:cstheme="majorBidi"/>
          <w:b/>
          <w:bCs/>
          <w:color w:val="000000"/>
          <w:lang w:val="fr-FR"/>
        </w:rPr>
        <w:t xml:space="preserve"> : </w:t>
      </w:r>
      <w:r w:rsidRPr="00894760">
        <w:rPr>
          <w:rFonts w:asciiTheme="majorBidi" w:hAnsiTheme="majorBidi" w:cstheme="majorBidi"/>
          <w:color w:val="000000"/>
          <w:lang w:val="fr-FR"/>
        </w:rPr>
        <w:t>Les impacts positifs de la formation professionnelle</w:t>
      </w:r>
    </w:p>
    <w:tbl>
      <w:tblPr>
        <w:tblStyle w:val="Grilledutableau"/>
        <w:tblW w:w="0" w:type="auto"/>
        <w:tblLook w:val="04A0" w:firstRow="1" w:lastRow="0" w:firstColumn="1" w:lastColumn="0" w:noHBand="0" w:noVBand="1"/>
      </w:tblPr>
      <w:tblGrid>
        <w:gridCol w:w="2122"/>
        <w:gridCol w:w="6888"/>
      </w:tblGrid>
      <w:tr w:rsidR="00E772DD" w:rsidRPr="00427D18" w:rsidTr="002F5C80">
        <w:tc>
          <w:tcPr>
            <w:tcW w:w="2122" w:type="dxa"/>
            <w:shd w:val="clear" w:color="auto" w:fill="D8DCD1"/>
          </w:tcPr>
          <w:p w:rsidR="00E772DD" w:rsidRPr="00894760" w:rsidRDefault="00E772DD" w:rsidP="00D61BD8">
            <w:pPr>
              <w:spacing w:before="100" w:beforeAutospacing="1" w:after="100" w:afterAutospacing="1" w:line="360" w:lineRule="auto"/>
              <w:jc w:val="both"/>
              <w:rPr>
                <w:rFonts w:asciiTheme="majorBidi" w:hAnsiTheme="majorBidi" w:cstheme="majorBidi"/>
                <w:b/>
                <w:bCs/>
                <w:color w:val="000000"/>
                <w:lang w:val="fr-FR"/>
              </w:rPr>
            </w:pPr>
            <w:r w:rsidRPr="00894760">
              <w:rPr>
                <w:rFonts w:asciiTheme="majorBidi" w:hAnsiTheme="majorBidi" w:cstheme="majorBidi"/>
                <w:b/>
                <w:bCs/>
                <w:color w:val="000000"/>
                <w:lang w:val="fr-FR"/>
              </w:rPr>
              <w:t>Bénéficiaires</w:t>
            </w:r>
          </w:p>
        </w:tc>
        <w:tc>
          <w:tcPr>
            <w:tcW w:w="6888" w:type="dxa"/>
            <w:shd w:val="clear" w:color="auto" w:fill="D8DCD1"/>
          </w:tcPr>
          <w:p w:rsidR="00E772DD" w:rsidRPr="00894760" w:rsidRDefault="00E772DD" w:rsidP="00D61BD8">
            <w:pPr>
              <w:spacing w:before="100" w:beforeAutospacing="1" w:after="100" w:afterAutospacing="1" w:line="360" w:lineRule="auto"/>
              <w:jc w:val="both"/>
              <w:rPr>
                <w:rFonts w:asciiTheme="majorBidi" w:hAnsiTheme="majorBidi" w:cstheme="majorBidi"/>
                <w:b/>
                <w:bCs/>
                <w:color w:val="000000"/>
                <w:lang w:val="fr-FR"/>
              </w:rPr>
            </w:pPr>
            <w:r w:rsidRPr="00894760">
              <w:rPr>
                <w:rFonts w:asciiTheme="majorBidi" w:hAnsiTheme="majorBidi" w:cstheme="majorBidi"/>
                <w:b/>
                <w:bCs/>
                <w:color w:val="000000"/>
                <w:lang w:val="fr-FR"/>
              </w:rPr>
              <w:t>Effets bénéfiques de la formation</w:t>
            </w:r>
          </w:p>
        </w:tc>
      </w:tr>
      <w:tr w:rsidR="00E772DD" w:rsidRPr="00427D18" w:rsidTr="002F5C80">
        <w:tc>
          <w:tcPr>
            <w:tcW w:w="2122" w:type="dxa"/>
            <w:shd w:val="clear" w:color="auto" w:fill="D8DCD1"/>
          </w:tcPr>
          <w:p w:rsidR="00E772DD" w:rsidRPr="00894760" w:rsidRDefault="00E772DD" w:rsidP="00D61BD8">
            <w:pPr>
              <w:spacing w:before="100" w:beforeAutospacing="1" w:after="100" w:afterAutospacing="1" w:line="360" w:lineRule="auto"/>
              <w:jc w:val="both"/>
              <w:rPr>
                <w:rFonts w:asciiTheme="majorBidi" w:hAnsiTheme="majorBidi" w:cstheme="majorBidi"/>
                <w:b/>
                <w:bCs/>
                <w:color w:val="000000"/>
                <w:lang w:val="fr-FR"/>
              </w:rPr>
            </w:pPr>
            <w:r w:rsidRPr="00894760">
              <w:rPr>
                <w:rFonts w:asciiTheme="majorBidi" w:hAnsiTheme="majorBidi" w:cstheme="majorBidi"/>
                <w:b/>
                <w:bCs/>
                <w:color w:val="000000"/>
                <w:lang w:val="fr-FR"/>
              </w:rPr>
              <w:t>La société</w:t>
            </w:r>
          </w:p>
        </w:tc>
        <w:tc>
          <w:tcPr>
            <w:tcW w:w="6888" w:type="dxa"/>
          </w:tcPr>
          <w:p w:rsidR="00E772DD" w:rsidRPr="00AD5F90" w:rsidRDefault="00E772DD" w:rsidP="004D32AC">
            <w:pPr>
              <w:pStyle w:val="Paragraphedeliste"/>
              <w:numPr>
                <w:ilvl w:val="0"/>
                <w:numId w:val="2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Renforcer la compétitivité des entreprises</w:t>
            </w:r>
          </w:p>
          <w:p w:rsidR="00E772DD" w:rsidRPr="00AD5F90" w:rsidRDefault="00E772DD" w:rsidP="004D32AC">
            <w:pPr>
              <w:pStyle w:val="Paragraphedeliste"/>
              <w:numPr>
                <w:ilvl w:val="0"/>
                <w:numId w:val="2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Contribuer à l’amélioration des conditions de vie</w:t>
            </w:r>
          </w:p>
        </w:tc>
      </w:tr>
      <w:tr w:rsidR="00E772DD" w:rsidRPr="00427D18" w:rsidTr="002F5C80">
        <w:tc>
          <w:tcPr>
            <w:tcW w:w="2122" w:type="dxa"/>
            <w:shd w:val="clear" w:color="auto" w:fill="D8DCD1"/>
          </w:tcPr>
          <w:p w:rsidR="00E772DD" w:rsidRPr="00894760" w:rsidRDefault="00E772DD" w:rsidP="00D61BD8">
            <w:pPr>
              <w:spacing w:before="100" w:beforeAutospacing="1" w:after="100" w:afterAutospacing="1" w:line="360" w:lineRule="auto"/>
              <w:jc w:val="both"/>
              <w:rPr>
                <w:rFonts w:asciiTheme="majorBidi" w:hAnsiTheme="majorBidi" w:cstheme="majorBidi"/>
                <w:b/>
                <w:bCs/>
                <w:color w:val="000000"/>
                <w:lang w:val="fr-FR"/>
              </w:rPr>
            </w:pPr>
            <w:r w:rsidRPr="00894760">
              <w:rPr>
                <w:rFonts w:asciiTheme="majorBidi" w:hAnsiTheme="majorBidi" w:cstheme="majorBidi"/>
                <w:b/>
                <w:bCs/>
                <w:color w:val="000000"/>
                <w:lang w:val="fr-FR"/>
              </w:rPr>
              <w:t>Les employés</w:t>
            </w:r>
          </w:p>
        </w:tc>
        <w:tc>
          <w:tcPr>
            <w:tcW w:w="6888" w:type="dxa"/>
          </w:tcPr>
          <w:p w:rsidR="00E772DD" w:rsidRPr="00AD5F90" w:rsidRDefault="00E772DD" w:rsidP="004D32AC">
            <w:pPr>
              <w:pStyle w:val="Paragraphedeliste"/>
              <w:numPr>
                <w:ilvl w:val="0"/>
                <w:numId w:val="2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Acquérir de nouvelles compétences et connaissances</w:t>
            </w:r>
          </w:p>
          <w:p w:rsidR="00E772DD" w:rsidRPr="00AD5F90" w:rsidRDefault="00E772DD" w:rsidP="004D32AC">
            <w:pPr>
              <w:pStyle w:val="Paragraphedeliste"/>
              <w:numPr>
                <w:ilvl w:val="0"/>
                <w:numId w:val="2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Développer leur polyvalence et leur employabilité</w:t>
            </w:r>
          </w:p>
        </w:tc>
      </w:tr>
      <w:tr w:rsidR="00E772DD" w:rsidRPr="00427D18" w:rsidTr="002F5C80">
        <w:trPr>
          <w:trHeight w:val="1684"/>
        </w:trPr>
        <w:tc>
          <w:tcPr>
            <w:tcW w:w="2122" w:type="dxa"/>
            <w:shd w:val="clear" w:color="auto" w:fill="D8DCD1"/>
          </w:tcPr>
          <w:p w:rsidR="00E772DD" w:rsidRPr="00894760" w:rsidRDefault="00E772DD" w:rsidP="00D61BD8">
            <w:pPr>
              <w:spacing w:before="100" w:beforeAutospacing="1" w:after="100" w:afterAutospacing="1" w:line="360" w:lineRule="auto"/>
              <w:jc w:val="both"/>
              <w:rPr>
                <w:rFonts w:asciiTheme="majorBidi" w:hAnsiTheme="majorBidi" w:cstheme="majorBidi"/>
                <w:b/>
                <w:bCs/>
                <w:color w:val="000000"/>
                <w:lang w:val="fr-FR"/>
              </w:rPr>
            </w:pPr>
            <w:r w:rsidRPr="00894760">
              <w:rPr>
                <w:rFonts w:asciiTheme="majorBidi" w:hAnsiTheme="majorBidi" w:cstheme="majorBidi"/>
                <w:b/>
                <w:bCs/>
                <w:color w:val="000000"/>
                <w:lang w:val="fr-FR"/>
              </w:rPr>
              <w:t>L’organisation</w:t>
            </w:r>
          </w:p>
        </w:tc>
        <w:tc>
          <w:tcPr>
            <w:tcW w:w="6888" w:type="dxa"/>
          </w:tcPr>
          <w:p w:rsidR="00E772DD" w:rsidRPr="00AD5F90" w:rsidRDefault="00E772DD" w:rsidP="004D32AC">
            <w:pPr>
              <w:pStyle w:val="Paragraphedeliste"/>
              <w:numPr>
                <w:ilvl w:val="0"/>
                <w:numId w:val="2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Attirer et fidéliser des talents qualifiés</w:t>
            </w:r>
          </w:p>
          <w:p w:rsidR="00E772DD" w:rsidRPr="00AD5F90" w:rsidRDefault="00E772DD" w:rsidP="004D32AC">
            <w:pPr>
              <w:pStyle w:val="Paragraphedeliste"/>
              <w:numPr>
                <w:ilvl w:val="0"/>
                <w:numId w:val="2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Améliorer la qualité des prestations et encourager l’innovation</w:t>
            </w:r>
          </w:p>
          <w:p w:rsidR="00E772DD" w:rsidRPr="00AD5F90" w:rsidRDefault="00E772DD" w:rsidP="004D32AC">
            <w:pPr>
              <w:pStyle w:val="Paragraphedeliste"/>
              <w:numPr>
                <w:ilvl w:val="0"/>
                <w:numId w:val="2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S’adapter aux avancées technologiques</w:t>
            </w:r>
          </w:p>
          <w:p w:rsidR="00E772DD" w:rsidRPr="00AD5F90" w:rsidRDefault="00E772DD" w:rsidP="004D32AC">
            <w:pPr>
              <w:pStyle w:val="Paragraphedeliste"/>
              <w:numPr>
                <w:ilvl w:val="0"/>
                <w:numId w:val="24"/>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Former les futurs leaders et cadres dirigeants</w:t>
            </w:r>
          </w:p>
        </w:tc>
      </w:tr>
    </w:tbl>
    <w:p w:rsidR="00E772DD" w:rsidRPr="00AD5F90" w:rsidRDefault="00E772DD" w:rsidP="00410CA6">
      <w:pPr>
        <w:pStyle w:val="NormalWeb"/>
        <w:spacing w:line="360" w:lineRule="auto"/>
        <w:jc w:val="center"/>
        <w:rPr>
          <w:rFonts w:asciiTheme="majorBidi" w:hAnsiTheme="majorBidi" w:cstheme="majorBidi"/>
          <w:color w:val="000000"/>
          <w:lang w:val="fr-FR"/>
        </w:rPr>
      </w:pPr>
      <w:r w:rsidRPr="00041AE7">
        <w:rPr>
          <w:rFonts w:asciiTheme="majorBidi" w:hAnsiTheme="majorBidi" w:cstheme="majorBidi"/>
          <w:b/>
          <w:bCs/>
          <w:color w:val="000000"/>
          <w:lang w:val="fr-FR"/>
        </w:rPr>
        <w:t>Source :</w:t>
      </w:r>
      <w:r w:rsidRPr="00AD5F90">
        <w:rPr>
          <w:rFonts w:asciiTheme="majorBidi" w:hAnsiTheme="majorBidi" w:cstheme="majorBidi"/>
          <w:color w:val="000000"/>
          <w:lang w:val="fr-FR"/>
        </w:rPr>
        <w:t xml:space="preserve"> St-Onge, S., Guerrero, S., &amp; autres. (2009).</w:t>
      </w:r>
      <w:r w:rsidRPr="00041AE7">
        <w:rPr>
          <w:rStyle w:val="apple-converted-space"/>
          <w:rFonts w:asciiTheme="majorBidi" w:hAnsiTheme="majorBidi" w:cstheme="majorBidi"/>
          <w:color w:val="000000"/>
          <w:lang w:val="fr-FR"/>
        </w:rPr>
        <w:t> </w:t>
      </w:r>
      <w:r w:rsidRPr="00041AE7">
        <w:rPr>
          <w:rStyle w:val="Accentuation"/>
          <w:rFonts w:asciiTheme="majorBidi" w:eastAsiaTheme="majorEastAsia" w:hAnsiTheme="majorBidi" w:cstheme="majorBidi"/>
          <w:color w:val="000000"/>
          <w:lang w:val="fr-FR"/>
        </w:rPr>
        <w:t>Relever de la gestion des ressources humaines</w:t>
      </w:r>
      <w:r w:rsidRPr="005B2A02">
        <w:rPr>
          <w:lang w:val="fr-FR"/>
        </w:rPr>
        <w:t> </w:t>
      </w:r>
      <w:r w:rsidRPr="00AD5F90">
        <w:rPr>
          <w:rFonts w:asciiTheme="majorBidi" w:hAnsiTheme="majorBidi" w:cstheme="majorBidi"/>
          <w:color w:val="000000"/>
          <w:lang w:val="fr-FR"/>
        </w:rPr>
        <w:t>(3e éd.). Gaétan Morin Éditeur, Québec, Canada, p. 141.</w:t>
      </w:r>
    </w:p>
    <w:p w:rsidR="00E772DD" w:rsidRPr="00220F88" w:rsidRDefault="00E772DD" w:rsidP="004D32AC">
      <w:pPr>
        <w:pStyle w:val="Titre2"/>
        <w:keepNext w:val="0"/>
        <w:keepLines w:val="0"/>
        <w:numPr>
          <w:ilvl w:val="1"/>
          <w:numId w:val="4"/>
        </w:numPr>
        <w:spacing w:before="0" w:line="360" w:lineRule="auto"/>
        <w:jc w:val="both"/>
        <w:rPr>
          <w:rFonts w:asciiTheme="majorBidi" w:hAnsiTheme="majorBidi"/>
          <w:b/>
          <w:bCs/>
          <w:color w:val="000000"/>
          <w:sz w:val="24"/>
          <w:szCs w:val="24"/>
          <w:lang w:val="fr-FR"/>
        </w:rPr>
      </w:pPr>
      <w:bookmarkStart w:id="856" w:name="_Toc199714338"/>
      <w:bookmarkStart w:id="857" w:name="_Toc200486618"/>
      <w:bookmarkStart w:id="858" w:name="_Toc200635394"/>
      <w:bookmarkStart w:id="859" w:name="_Toc200635782"/>
      <w:bookmarkStart w:id="860" w:name="_Toc200636171"/>
      <w:bookmarkStart w:id="861" w:name="_Toc200755908"/>
      <w:r w:rsidRPr="00220F88">
        <w:rPr>
          <w:rFonts w:asciiTheme="majorBidi" w:hAnsiTheme="majorBidi"/>
          <w:b/>
          <w:bCs/>
          <w:color w:val="000000"/>
          <w:sz w:val="24"/>
          <w:szCs w:val="24"/>
          <w:lang w:val="fr-FR"/>
        </w:rPr>
        <w:t>Objectifs de la formation</w:t>
      </w:r>
      <w:bookmarkEnd w:id="856"/>
      <w:bookmarkEnd w:id="857"/>
      <w:bookmarkEnd w:id="858"/>
      <w:bookmarkEnd w:id="859"/>
      <w:bookmarkEnd w:id="860"/>
      <w:bookmarkEnd w:id="861"/>
    </w:p>
    <w:p w:rsidR="00E772DD" w:rsidRPr="00AD5F90" w:rsidRDefault="00E772DD" w:rsidP="00410CA6">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formation vise à répondre aux besoins de l’entreprise et de ses employés en poursuivant plusieurs objectifs :</w:t>
      </w:r>
    </w:p>
    <w:p w:rsidR="00E772DD" w:rsidRPr="00AD5F90" w:rsidRDefault="00E772DD" w:rsidP="004D32AC">
      <w:pPr>
        <w:pStyle w:val="Paragraphedeliste"/>
        <w:numPr>
          <w:ilvl w:val="0"/>
          <w:numId w:val="38"/>
        </w:num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Aligner les compétences des employés avec les exigences des postes.</w:t>
      </w:r>
    </w:p>
    <w:p w:rsidR="00E772DD" w:rsidRPr="00AD5F90" w:rsidRDefault="00E772DD" w:rsidP="004D32AC">
      <w:pPr>
        <w:pStyle w:val="Paragraphedeliste"/>
        <w:numPr>
          <w:ilvl w:val="0"/>
          <w:numId w:val="3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Faciliter l’adaptation aux missions et évolutions du métier.</w:t>
      </w:r>
    </w:p>
    <w:p w:rsidR="00E772DD" w:rsidRPr="00AD5F90" w:rsidRDefault="00E772DD" w:rsidP="004D32AC">
      <w:pPr>
        <w:pStyle w:val="Paragraphedeliste"/>
        <w:numPr>
          <w:ilvl w:val="0"/>
          <w:numId w:val="3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Soutenir la croissance organisationnelle et optimiser la performance.</w:t>
      </w:r>
    </w:p>
    <w:p w:rsidR="00E772DD" w:rsidRPr="00AD5F90" w:rsidRDefault="00E772DD" w:rsidP="004D32AC">
      <w:pPr>
        <w:pStyle w:val="Paragraphedeliste"/>
        <w:numPr>
          <w:ilvl w:val="0"/>
          <w:numId w:val="3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Réduire les coûts et améliorer la qualité des services.</w:t>
      </w:r>
    </w:p>
    <w:p w:rsidR="00E772DD" w:rsidRPr="00AD5F90" w:rsidRDefault="00E772DD" w:rsidP="004D32AC">
      <w:pPr>
        <w:pStyle w:val="Paragraphedeliste"/>
        <w:numPr>
          <w:ilvl w:val="0"/>
          <w:numId w:val="3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Renforcer la prévention et le bien-être des travailleurs.</w:t>
      </w:r>
    </w:p>
    <w:p w:rsidR="00E772DD" w:rsidRPr="00AD5F90" w:rsidRDefault="00E772DD" w:rsidP="004D32AC">
      <w:pPr>
        <w:pStyle w:val="Paragraphedeliste"/>
        <w:numPr>
          <w:ilvl w:val="0"/>
          <w:numId w:val="3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Faciliter l’intégration des nouvelles recrues.</w:t>
      </w:r>
    </w:p>
    <w:p w:rsidR="003B5837" w:rsidRDefault="00E772DD" w:rsidP="004D32AC">
      <w:pPr>
        <w:pStyle w:val="Paragraphedeliste"/>
        <w:numPr>
          <w:ilvl w:val="0"/>
          <w:numId w:val="38"/>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Adapter l’entreprise aux évolutions de son environnement</w:t>
      </w:r>
      <w:r w:rsidRPr="00AD5F90">
        <w:rPr>
          <w:rStyle w:val="Appelnotedebasdep"/>
          <w:rFonts w:cstheme="majorBidi"/>
          <w:color w:val="000000"/>
          <w:lang w:val="fr-FR"/>
        </w:rPr>
        <w:footnoteReference w:id="160"/>
      </w:r>
      <w:r w:rsidRPr="00AD5F90">
        <w:rPr>
          <w:rFonts w:asciiTheme="majorBidi" w:hAnsiTheme="majorBidi" w:cstheme="majorBidi"/>
          <w:color w:val="000000"/>
          <w:lang w:val="fr-FR"/>
        </w:rPr>
        <w:t>.</w:t>
      </w:r>
    </w:p>
    <w:p w:rsidR="003B5837" w:rsidRDefault="003B5837" w:rsidP="003B5837">
      <w:pPr>
        <w:spacing w:before="100" w:beforeAutospacing="1" w:after="100" w:afterAutospacing="1" w:line="360" w:lineRule="auto"/>
        <w:jc w:val="both"/>
        <w:rPr>
          <w:rFonts w:asciiTheme="majorBidi" w:hAnsiTheme="majorBidi" w:cstheme="majorBidi"/>
          <w:color w:val="000000"/>
          <w:lang w:val="fr-FR"/>
        </w:rPr>
      </w:pPr>
    </w:p>
    <w:p w:rsidR="003B5837" w:rsidRDefault="003B5837" w:rsidP="003B5837">
      <w:pPr>
        <w:spacing w:before="100" w:beforeAutospacing="1" w:after="100" w:afterAutospacing="1" w:line="360" w:lineRule="auto"/>
        <w:jc w:val="both"/>
        <w:rPr>
          <w:rFonts w:asciiTheme="majorBidi" w:hAnsiTheme="majorBidi" w:cstheme="majorBidi"/>
          <w:color w:val="000000"/>
          <w:lang w:val="fr-FR"/>
        </w:rPr>
      </w:pPr>
    </w:p>
    <w:p w:rsidR="003B5837" w:rsidRDefault="003B5837" w:rsidP="003B5837">
      <w:pPr>
        <w:pStyle w:val="Titre2"/>
        <w:keepNext w:val="0"/>
        <w:keepLines w:val="0"/>
        <w:spacing w:before="100" w:beforeAutospacing="1" w:line="360" w:lineRule="auto"/>
        <w:ind w:left="432"/>
        <w:jc w:val="both"/>
        <w:rPr>
          <w:rFonts w:asciiTheme="majorBidi" w:hAnsiTheme="majorBidi"/>
          <w:b/>
          <w:bCs/>
          <w:color w:val="000000"/>
          <w:sz w:val="24"/>
          <w:szCs w:val="24"/>
          <w:lang w:val="fr-FR"/>
        </w:rPr>
      </w:pPr>
      <w:bookmarkStart w:id="862" w:name="_Toc199714339"/>
    </w:p>
    <w:p w:rsidR="003B5837" w:rsidRDefault="00E772DD" w:rsidP="004D32AC">
      <w:pPr>
        <w:pStyle w:val="Titre2"/>
        <w:keepNext w:val="0"/>
        <w:keepLines w:val="0"/>
        <w:numPr>
          <w:ilvl w:val="1"/>
          <w:numId w:val="4"/>
        </w:numPr>
        <w:spacing w:before="100" w:beforeAutospacing="1" w:line="360" w:lineRule="auto"/>
        <w:jc w:val="both"/>
        <w:rPr>
          <w:rFonts w:asciiTheme="majorBidi" w:hAnsiTheme="majorBidi"/>
          <w:b/>
          <w:bCs/>
          <w:color w:val="000000"/>
          <w:sz w:val="24"/>
          <w:szCs w:val="24"/>
          <w:lang w:val="fr-FR"/>
        </w:rPr>
      </w:pPr>
      <w:bookmarkStart w:id="863" w:name="_Toc200486619"/>
      <w:bookmarkStart w:id="864" w:name="_Toc200635395"/>
      <w:bookmarkStart w:id="865" w:name="_Toc200635783"/>
      <w:bookmarkStart w:id="866" w:name="_Toc200636172"/>
      <w:bookmarkStart w:id="867" w:name="_Toc200755909"/>
      <w:r w:rsidRPr="00220F88">
        <w:rPr>
          <w:rFonts w:asciiTheme="majorBidi" w:hAnsiTheme="majorBidi"/>
          <w:b/>
          <w:bCs/>
          <w:color w:val="000000"/>
          <w:sz w:val="24"/>
          <w:szCs w:val="24"/>
          <w:lang w:val="fr-FR"/>
        </w:rPr>
        <w:lastRenderedPageBreak/>
        <w:t>Types et méthodes de formation</w:t>
      </w:r>
      <w:bookmarkEnd w:id="862"/>
      <w:bookmarkEnd w:id="863"/>
      <w:bookmarkEnd w:id="864"/>
      <w:bookmarkEnd w:id="865"/>
      <w:bookmarkEnd w:id="866"/>
      <w:bookmarkEnd w:id="867"/>
    </w:p>
    <w:p w:rsidR="00E772DD" w:rsidRPr="003B5837" w:rsidRDefault="003B5837" w:rsidP="003B5837">
      <w:pPr>
        <w:spacing w:line="360" w:lineRule="auto"/>
        <w:jc w:val="both"/>
        <w:rPr>
          <w:lang w:val="fr-FR"/>
        </w:rPr>
      </w:pPr>
      <w:r w:rsidRPr="003B5837">
        <w:rPr>
          <w:rFonts w:asciiTheme="majorBidi" w:hAnsiTheme="majorBidi" w:cstheme="majorBidi"/>
          <w:color w:val="000000"/>
          <w:lang w:val="fr-FR"/>
        </w:rPr>
        <w:t>La formation en entreprise peut être classée selon plusieurs critères. Les pratiques traditionnelles reposent principalement sur des méthodes en présentiel,</w:t>
      </w:r>
      <w:r>
        <w:rPr>
          <w:rFonts w:asciiTheme="majorBidi" w:hAnsiTheme="majorBidi" w:cstheme="majorBidi"/>
          <w:color w:val="000000"/>
          <w:lang w:val="fr-FR"/>
        </w:rPr>
        <w:t xml:space="preserve"> </w:t>
      </w:r>
      <w:r w:rsidRPr="003B5837">
        <w:rPr>
          <w:rFonts w:asciiTheme="majorBidi" w:hAnsiTheme="majorBidi" w:cstheme="majorBidi"/>
          <w:color w:val="000000"/>
          <w:lang w:val="fr-FR"/>
        </w:rPr>
        <w:t>structurées et encadrées par des formateurs</w:t>
      </w:r>
      <w:r>
        <w:rPr>
          <w:rFonts w:asciiTheme="majorBidi" w:hAnsiTheme="majorBidi" w:cstheme="majorBidi"/>
          <w:color w:val="000000"/>
          <w:lang w:val="fr-FR"/>
        </w:rPr>
        <w:t>, afin d’assurer un apprentissage efficace</w:t>
      </w:r>
      <w:r w:rsidR="00E772DD" w:rsidRPr="00AD5F90">
        <w:rPr>
          <w:rStyle w:val="Appelnotedebasdep"/>
          <w:rFonts w:cstheme="majorBidi"/>
          <w:color w:val="000000"/>
          <w:lang w:val="fr-FR"/>
        </w:rPr>
        <w:footnoteReference w:id="161"/>
      </w:r>
      <w:r w:rsidR="00E772DD" w:rsidRPr="003B5837">
        <w:rPr>
          <w:rFonts w:asciiTheme="majorBidi" w:hAnsiTheme="majorBidi" w:cstheme="majorBidi"/>
          <w:color w:val="000000"/>
          <w:lang w:val="fr-FR"/>
        </w:rPr>
        <w:t>.</w:t>
      </w:r>
    </w:p>
    <w:p w:rsidR="00E772DD" w:rsidRPr="00220F88" w:rsidRDefault="00E772DD" w:rsidP="004D32AC">
      <w:pPr>
        <w:pStyle w:val="Titre3"/>
        <w:numPr>
          <w:ilvl w:val="1"/>
          <w:numId w:val="52"/>
        </w:numPr>
        <w:spacing w:line="360" w:lineRule="auto"/>
        <w:jc w:val="both"/>
        <w:rPr>
          <w:rFonts w:asciiTheme="majorBidi" w:hAnsiTheme="majorBidi"/>
          <w:b w:val="0"/>
          <w:bCs w:val="0"/>
          <w:color w:val="000000"/>
          <w:sz w:val="24"/>
          <w:szCs w:val="24"/>
          <w:lang w:val="fr-FR"/>
        </w:rPr>
      </w:pPr>
      <w:bookmarkStart w:id="868" w:name="_Toc199685135"/>
      <w:bookmarkStart w:id="869" w:name="_Toc199713959"/>
      <w:bookmarkStart w:id="870" w:name="_Toc199714340"/>
      <w:bookmarkStart w:id="871" w:name="_Toc200486620"/>
      <w:bookmarkStart w:id="872" w:name="_Toc200635396"/>
      <w:bookmarkStart w:id="873" w:name="_Toc200635784"/>
      <w:bookmarkStart w:id="874" w:name="_Toc200636173"/>
      <w:bookmarkStart w:id="875" w:name="_Toc200755910"/>
      <w:r w:rsidRPr="00220F88">
        <w:rPr>
          <w:rStyle w:val="lev"/>
          <w:rFonts w:asciiTheme="majorBidi" w:hAnsiTheme="majorBidi"/>
          <w:b/>
          <w:bCs/>
          <w:color w:val="000000"/>
          <w:sz w:val="24"/>
          <w:szCs w:val="24"/>
          <w:lang w:val="fr-FR"/>
        </w:rPr>
        <w:t>Typologie selon le moment d’acquisition des compétences</w:t>
      </w:r>
      <w:bookmarkEnd w:id="868"/>
      <w:bookmarkEnd w:id="869"/>
      <w:bookmarkEnd w:id="870"/>
      <w:bookmarkEnd w:id="871"/>
      <w:bookmarkEnd w:id="872"/>
      <w:bookmarkEnd w:id="873"/>
      <w:bookmarkEnd w:id="874"/>
      <w:bookmarkEnd w:id="875"/>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formations traditionnelles peuvent être distinguées en fonction du moment où elles interviennent dans le parcours professionnel de l’employé.</w:t>
      </w:r>
    </w:p>
    <w:p w:rsidR="00E772DD" w:rsidRPr="00AD5F90" w:rsidRDefault="00E772DD" w:rsidP="004D32AC">
      <w:pPr>
        <w:numPr>
          <w:ilvl w:val="0"/>
          <w:numId w:val="25"/>
        </w:numPr>
        <w:spacing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Formation initiale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destinée aux nouveaux employés ou jeunes diplômés, elle vise l’acquisition des compétences essentielles et l’adaptation au monde professionnel</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62"/>
      </w:r>
    </w:p>
    <w:p w:rsidR="00E772DD" w:rsidRPr="00AD5F90" w:rsidRDefault="00E772DD" w:rsidP="004D32AC">
      <w:pPr>
        <w:numPr>
          <w:ilvl w:val="0"/>
          <w:numId w:val="25"/>
        </w:numPr>
        <w:spacing w:before="100" w:beforeAutospacing="1"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Formation continue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destinée aux employés en poste, elle permet d’actualiser, perfectionner ou adapter leurs compétences aux évolutions du métier et à leur progression de carrière</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63"/>
      </w:r>
    </w:p>
    <w:p w:rsidR="00E772DD" w:rsidRPr="00220F88" w:rsidRDefault="00E772DD" w:rsidP="004D32AC">
      <w:pPr>
        <w:pStyle w:val="Titre3"/>
        <w:numPr>
          <w:ilvl w:val="1"/>
          <w:numId w:val="52"/>
        </w:numPr>
        <w:spacing w:after="0" w:afterAutospacing="0" w:line="360" w:lineRule="auto"/>
        <w:jc w:val="both"/>
        <w:rPr>
          <w:rFonts w:asciiTheme="majorBidi" w:hAnsiTheme="majorBidi"/>
          <w:b w:val="0"/>
          <w:bCs w:val="0"/>
          <w:color w:val="000000"/>
          <w:sz w:val="24"/>
          <w:szCs w:val="24"/>
          <w:lang w:val="fr-FR"/>
        </w:rPr>
      </w:pPr>
      <w:bookmarkStart w:id="876" w:name="_Toc199685136"/>
      <w:bookmarkStart w:id="877" w:name="_Toc199713960"/>
      <w:bookmarkStart w:id="878" w:name="_Toc199714341"/>
      <w:bookmarkStart w:id="879" w:name="_Toc200486621"/>
      <w:bookmarkStart w:id="880" w:name="_Toc200635397"/>
      <w:bookmarkStart w:id="881" w:name="_Toc200635785"/>
      <w:bookmarkStart w:id="882" w:name="_Toc200636174"/>
      <w:bookmarkStart w:id="883" w:name="_Toc200755911"/>
      <w:r w:rsidRPr="00220F88">
        <w:rPr>
          <w:rStyle w:val="lev"/>
          <w:rFonts w:asciiTheme="majorBidi" w:hAnsiTheme="majorBidi"/>
          <w:b/>
          <w:bCs/>
          <w:color w:val="000000"/>
          <w:sz w:val="24"/>
          <w:szCs w:val="24"/>
          <w:lang w:val="fr-FR"/>
        </w:rPr>
        <w:t>Typologie selon l’origine du formateur</w:t>
      </w:r>
      <w:bookmarkEnd w:id="876"/>
      <w:bookmarkEnd w:id="877"/>
      <w:bookmarkEnd w:id="878"/>
      <w:bookmarkEnd w:id="879"/>
      <w:bookmarkEnd w:id="880"/>
      <w:bookmarkEnd w:id="881"/>
      <w:bookmarkEnd w:id="882"/>
      <w:bookmarkEnd w:id="883"/>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Selon l’entité dispensant la formation, on distingue deux grandes catégories :</w:t>
      </w:r>
    </w:p>
    <w:p w:rsidR="00E772DD" w:rsidRPr="00AD5F90" w:rsidRDefault="00E772DD" w:rsidP="004D32AC">
      <w:pPr>
        <w:numPr>
          <w:ilvl w:val="0"/>
          <w:numId w:val="26"/>
        </w:numPr>
        <w:spacing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Formation interne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dispensée en entreprise par des formateurs ou cadres internes, elle prend la forme de séminaires, ateliers ou tutorat, et s’adapte aux besoins spécifiques de l’organisation</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64"/>
      </w:r>
    </w:p>
    <w:p w:rsidR="00E772DD" w:rsidRPr="00AD5F90" w:rsidRDefault="00E772DD" w:rsidP="004D32AC">
      <w:pPr>
        <w:numPr>
          <w:ilvl w:val="0"/>
          <w:numId w:val="26"/>
        </w:numPr>
        <w:spacing w:before="100" w:beforeAutospacing="1"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Formation externe</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Cette formation est assurée par des organismes spécialisés, des écoles de formation ou des consultants indépendants. Elle est généralement choisie lorsque l’entreprise a besoin d’une expertise spécifique qui n’est pas disponible en interne</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65"/>
      </w:r>
    </w:p>
    <w:p w:rsidR="00E772DD" w:rsidRPr="00220F88" w:rsidRDefault="00E772DD" w:rsidP="004D32AC">
      <w:pPr>
        <w:pStyle w:val="Titre3"/>
        <w:numPr>
          <w:ilvl w:val="1"/>
          <w:numId w:val="52"/>
        </w:numPr>
        <w:spacing w:before="0" w:after="0" w:afterAutospacing="0" w:line="360" w:lineRule="auto"/>
        <w:jc w:val="both"/>
        <w:rPr>
          <w:rFonts w:asciiTheme="majorBidi" w:hAnsiTheme="majorBidi"/>
          <w:b w:val="0"/>
          <w:bCs w:val="0"/>
          <w:color w:val="000000"/>
          <w:sz w:val="24"/>
          <w:szCs w:val="24"/>
          <w:lang w:val="fr-FR"/>
        </w:rPr>
      </w:pPr>
      <w:r w:rsidRPr="00220F88">
        <w:rPr>
          <w:rStyle w:val="lev"/>
          <w:rFonts w:asciiTheme="majorBidi" w:hAnsiTheme="majorBidi"/>
          <w:b/>
          <w:bCs/>
          <w:color w:val="000000"/>
          <w:sz w:val="24"/>
          <w:szCs w:val="24"/>
          <w:lang w:val="fr-FR"/>
        </w:rPr>
        <w:t xml:space="preserve"> </w:t>
      </w:r>
      <w:bookmarkStart w:id="884" w:name="_Toc199685137"/>
      <w:bookmarkStart w:id="885" w:name="_Toc199713961"/>
      <w:bookmarkStart w:id="886" w:name="_Toc199714342"/>
      <w:bookmarkStart w:id="887" w:name="_Toc200486622"/>
      <w:bookmarkStart w:id="888" w:name="_Toc200635398"/>
      <w:bookmarkStart w:id="889" w:name="_Toc200635786"/>
      <w:bookmarkStart w:id="890" w:name="_Toc200636175"/>
      <w:bookmarkStart w:id="891" w:name="_Toc200755912"/>
      <w:r w:rsidRPr="00220F88">
        <w:rPr>
          <w:rStyle w:val="lev"/>
          <w:rFonts w:asciiTheme="majorBidi" w:hAnsiTheme="majorBidi"/>
          <w:b/>
          <w:bCs/>
          <w:color w:val="000000"/>
          <w:sz w:val="24"/>
          <w:szCs w:val="24"/>
          <w:lang w:val="fr-FR"/>
        </w:rPr>
        <w:t>Typologie selon le mode de transmission des connaissances</w:t>
      </w:r>
      <w:bookmarkEnd w:id="884"/>
      <w:bookmarkEnd w:id="885"/>
      <w:bookmarkEnd w:id="886"/>
      <w:bookmarkEnd w:id="887"/>
      <w:bookmarkEnd w:id="888"/>
      <w:bookmarkEnd w:id="889"/>
      <w:bookmarkEnd w:id="890"/>
      <w:bookmarkEnd w:id="891"/>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formations traditionnelles sont principalement dispensées en présentiel, favorisant l’interaction directe entre les formateurs et les participants.</w:t>
      </w:r>
    </w:p>
    <w:p w:rsidR="00220F88" w:rsidRPr="00220F88" w:rsidRDefault="00E772DD" w:rsidP="004D32AC">
      <w:pPr>
        <w:numPr>
          <w:ilvl w:val="0"/>
          <w:numId w:val="27"/>
        </w:numPr>
        <w:spacing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Formation en présentiel</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Cette méthode inclut les</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cours en salle</w:t>
      </w:r>
      <w:r w:rsidRPr="00AD5F90">
        <w:rPr>
          <w:rFonts w:asciiTheme="majorBidi" w:hAnsiTheme="majorBidi" w:cstheme="majorBidi"/>
          <w:color w:val="000000"/>
          <w:lang w:val="fr-FR"/>
        </w:rPr>
        <w:t>, les</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séminaires</w:t>
      </w:r>
      <w:r w:rsidRPr="00AD5F90">
        <w:rPr>
          <w:rStyle w:val="lev"/>
          <w:b w:val="0"/>
          <w:bCs w:val="0"/>
          <w:lang w:val="fr-FR"/>
        </w:rPr>
        <w:t>,</w:t>
      </w:r>
      <w:r w:rsidRPr="00AD5F90">
        <w:rPr>
          <w:rFonts w:asciiTheme="majorBidi" w:hAnsiTheme="majorBidi" w:cstheme="majorBidi"/>
          <w:b/>
          <w:bCs/>
          <w:color w:val="000000"/>
          <w:lang w:val="fr-FR"/>
        </w:rPr>
        <w:t xml:space="preserve"> </w:t>
      </w:r>
      <w:r w:rsidRPr="00AD5F90">
        <w:rPr>
          <w:rFonts w:asciiTheme="majorBidi" w:hAnsiTheme="majorBidi" w:cstheme="majorBidi"/>
          <w:color w:val="000000"/>
          <w:lang w:val="fr-FR"/>
        </w:rPr>
        <w:t>les</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conférences</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et les</w:t>
      </w:r>
      <w:r w:rsidRPr="00AD5F90">
        <w:rPr>
          <w:rStyle w:val="apple-converted-space"/>
          <w:rFonts w:asciiTheme="majorBidi" w:hAnsiTheme="majorBidi" w:cstheme="majorBidi"/>
          <w:color w:val="000000"/>
          <w:lang w:val="fr-FR"/>
        </w:rPr>
        <w:t> </w:t>
      </w:r>
      <w:r w:rsidRPr="00AD5F90">
        <w:rPr>
          <w:rStyle w:val="lev"/>
          <w:rFonts w:asciiTheme="majorBidi" w:hAnsiTheme="majorBidi" w:cstheme="majorBidi"/>
          <w:b w:val="0"/>
          <w:bCs w:val="0"/>
          <w:color w:val="000000"/>
          <w:lang w:val="fr-FR"/>
        </w:rPr>
        <w:t>formations</w:t>
      </w:r>
      <w:r w:rsidRPr="00AD5F90">
        <w:rPr>
          <w:rStyle w:val="lev"/>
          <w:rFonts w:asciiTheme="majorBidi" w:hAnsiTheme="majorBidi" w:cstheme="majorBidi"/>
          <w:color w:val="000000"/>
          <w:lang w:val="fr-FR"/>
        </w:rPr>
        <w:t xml:space="preserve"> </w:t>
      </w:r>
      <w:r w:rsidRPr="00AD5F90">
        <w:rPr>
          <w:rStyle w:val="lev"/>
          <w:rFonts w:asciiTheme="majorBidi" w:hAnsiTheme="majorBidi" w:cstheme="majorBidi"/>
          <w:b w:val="0"/>
          <w:bCs w:val="0"/>
          <w:color w:val="000000"/>
          <w:lang w:val="fr-FR"/>
        </w:rPr>
        <w:t>sur le terrain</w:t>
      </w:r>
      <w:r w:rsidRPr="00AD5F90">
        <w:rPr>
          <w:rFonts w:asciiTheme="majorBidi" w:hAnsiTheme="majorBidi" w:cstheme="majorBidi"/>
          <w:color w:val="000000"/>
          <w:lang w:val="fr-FR"/>
        </w:rPr>
        <w:t xml:space="preserve">. Elle permet un apprentissage structuré </w:t>
      </w:r>
      <w:r w:rsidRPr="00AD5F90">
        <w:rPr>
          <w:rFonts w:asciiTheme="majorBidi" w:hAnsiTheme="majorBidi" w:cstheme="majorBidi"/>
          <w:color w:val="000000"/>
          <w:lang w:val="fr-FR"/>
        </w:rPr>
        <w:lastRenderedPageBreak/>
        <w:t xml:space="preserve">avec un contact direct entre les apprenants et les formateurs, ce qui favorise une meilleure assimilation des connaissances </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66"/>
      </w:r>
    </w:p>
    <w:p w:rsidR="00E772DD" w:rsidRPr="00220F88" w:rsidRDefault="00E772DD" w:rsidP="004D32AC">
      <w:pPr>
        <w:pStyle w:val="Titre3"/>
        <w:numPr>
          <w:ilvl w:val="0"/>
          <w:numId w:val="185"/>
        </w:numPr>
        <w:spacing w:after="0" w:afterAutospacing="0" w:line="360" w:lineRule="auto"/>
        <w:jc w:val="both"/>
        <w:rPr>
          <w:rFonts w:asciiTheme="majorBidi" w:hAnsiTheme="majorBidi"/>
          <w:b w:val="0"/>
          <w:bCs w:val="0"/>
          <w:color w:val="000000"/>
          <w:sz w:val="24"/>
          <w:szCs w:val="24"/>
          <w:lang w:val="fr-FR"/>
        </w:rPr>
      </w:pPr>
      <w:bookmarkStart w:id="892" w:name="_Toc199685138"/>
      <w:bookmarkStart w:id="893" w:name="_Toc199713962"/>
      <w:bookmarkStart w:id="894" w:name="_Toc199714343"/>
      <w:bookmarkStart w:id="895" w:name="_Toc200486623"/>
      <w:bookmarkStart w:id="896" w:name="_Toc200635399"/>
      <w:bookmarkStart w:id="897" w:name="_Toc200635787"/>
      <w:bookmarkStart w:id="898" w:name="_Toc200636176"/>
      <w:bookmarkStart w:id="899" w:name="_Toc200755913"/>
      <w:r w:rsidRPr="00220F88">
        <w:rPr>
          <w:rStyle w:val="lev"/>
          <w:rFonts w:asciiTheme="majorBidi" w:hAnsiTheme="majorBidi"/>
          <w:b/>
          <w:bCs/>
          <w:color w:val="000000"/>
          <w:sz w:val="24"/>
          <w:szCs w:val="24"/>
          <w:lang w:val="fr-FR"/>
        </w:rPr>
        <w:t>Typologie selon la méthodologie d’apprentissage</w:t>
      </w:r>
      <w:bookmarkEnd w:id="892"/>
      <w:bookmarkEnd w:id="893"/>
      <w:bookmarkEnd w:id="894"/>
      <w:bookmarkEnd w:id="895"/>
      <w:bookmarkEnd w:id="896"/>
      <w:bookmarkEnd w:id="897"/>
      <w:bookmarkEnd w:id="898"/>
      <w:bookmarkEnd w:id="899"/>
    </w:p>
    <w:p w:rsidR="00220F88" w:rsidRPr="00AD5F90" w:rsidRDefault="00E772DD" w:rsidP="003B5837">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formations peuvent être plus ou moins structurées selon les objectifs pédagogiques et les modalités d’apprentissage.</w:t>
      </w:r>
    </w:p>
    <w:p w:rsidR="00E772DD" w:rsidRPr="00AD5F90" w:rsidRDefault="00E772DD" w:rsidP="004D32AC">
      <w:pPr>
        <w:numPr>
          <w:ilvl w:val="0"/>
          <w:numId w:val="28"/>
        </w:numPr>
        <w:spacing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Apprentissage formel</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programme structuré avec des objectifs clairs, utilisant des supports de cours, des présentations et des exercices pratiques. Il est couramment utilisé dans les formations planifiées en entreprise</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67"/>
      </w:r>
    </w:p>
    <w:p w:rsidR="00E772DD" w:rsidRPr="00AD5F90" w:rsidRDefault="00E772DD" w:rsidP="004D32AC">
      <w:pPr>
        <w:numPr>
          <w:ilvl w:val="0"/>
          <w:numId w:val="28"/>
        </w:numPr>
        <w:spacing w:before="100" w:beforeAutospacing="1" w:after="240"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Apprentissage informel</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moins structuré, il repose sur les échanges entre collègues, les conseils d’un mentor ou l’apprentissage sur le terrain, permettant une acquisition de compétences plus intuitive et progressive</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68"/>
      </w:r>
    </w:p>
    <w:p w:rsidR="00E772DD" w:rsidRPr="00220F88" w:rsidRDefault="00E772DD" w:rsidP="004D32AC">
      <w:pPr>
        <w:pStyle w:val="Titre3"/>
        <w:numPr>
          <w:ilvl w:val="0"/>
          <w:numId w:val="185"/>
        </w:numPr>
        <w:spacing w:after="0" w:afterAutospacing="0" w:line="360" w:lineRule="auto"/>
        <w:jc w:val="both"/>
        <w:rPr>
          <w:rFonts w:asciiTheme="majorBidi" w:hAnsiTheme="majorBidi"/>
          <w:b w:val="0"/>
          <w:bCs w:val="0"/>
          <w:color w:val="000000"/>
          <w:sz w:val="24"/>
          <w:szCs w:val="24"/>
          <w:lang w:val="fr-FR"/>
        </w:rPr>
      </w:pPr>
      <w:bookmarkStart w:id="900" w:name="_Toc199685139"/>
      <w:bookmarkStart w:id="901" w:name="_Toc199713963"/>
      <w:bookmarkStart w:id="902" w:name="_Toc199714344"/>
      <w:bookmarkStart w:id="903" w:name="_Toc200486624"/>
      <w:bookmarkStart w:id="904" w:name="_Toc200635400"/>
      <w:bookmarkStart w:id="905" w:name="_Toc200635788"/>
      <w:bookmarkStart w:id="906" w:name="_Toc200636177"/>
      <w:bookmarkStart w:id="907" w:name="_Toc200755914"/>
      <w:r w:rsidRPr="00220F88">
        <w:rPr>
          <w:rStyle w:val="lev"/>
          <w:rFonts w:asciiTheme="majorBidi" w:hAnsiTheme="majorBidi"/>
          <w:b/>
          <w:bCs/>
          <w:color w:val="000000"/>
          <w:sz w:val="24"/>
          <w:szCs w:val="24"/>
          <w:lang w:val="fr-FR"/>
        </w:rPr>
        <w:t>Typologie selon la finalité de la formation</w:t>
      </w:r>
      <w:bookmarkEnd w:id="900"/>
      <w:bookmarkEnd w:id="901"/>
      <w:bookmarkEnd w:id="902"/>
      <w:bookmarkEnd w:id="903"/>
      <w:bookmarkEnd w:id="904"/>
      <w:bookmarkEnd w:id="905"/>
      <w:bookmarkEnd w:id="906"/>
      <w:bookmarkEnd w:id="907"/>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formations peuvent être classées en fonction de leurs objectifs et de l’impact attendu sur les employés et l’entreprise.</w:t>
      </w:r>
    </w:p>
    <w:p w:rsidR="00E772DD" w:rsidRPr="00AD5F90" w:rsidRDefault="00E772DD" w:rsidP="004D32AC">
      <w:pPr>
        <w:numPr>
          <w:ilvl w:val="0"/>
          <w:numId w:val="29"/>
        </w:numPr>
        <w:spacing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Formation d’adaptation</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elle aide les employés à s'intégrer efficacement dans leur poste en leur fournissant les compétences et connaissances nécessaires, souvent destinée aux nouvelles recrues ou lors d'une mobilité interne</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69"/>
      </w:r>
    </w:p>
    <w:p w:rsidR="00E772DD" w:rsidRPr="00AD5F90" w:rsidRDefault="00E772DD" w:rsidP="004D32AC">
      <w:pPr>
        <w:numPr>
          <w:ilvl w:val="0"/>
          <w:numId w:val="29"/>
        </w:numPr>
        <w:spacing w:before="100" w:beforeAutospacing="1" w:after="100" w:after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Formation de perfectionnement</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elle vise à améliorer les compétences des employés pour optimiser leur performance et efficacité, essentielle dans les secteurs où les compétences évoluent rapidement</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70"/>
      </w:r>
    </w:p>
    <w:p w:rsidR="00E772DD" w:rsidRPr="00AD5F90" w:rsidRDefault="00E772DD" w:rsidP="004D32AC">
      <w:pPr>
        <w:numPr>
          <w:ilvl w:val="0"/>
          <w:numId w:val="29"/>
        </w:numPr>
        <w:spacing w:before="100" w:beforeAutospacing="1" w:line="360" w:lineRule="auto"/>
        <w:jc w:val="both"/>
        <w:rPr>
          <w:rFonts w:asciiTheme="majorBidi" w:hAnsiTheme="majorBidi" w:cstheme="majorBidi"/>
          <w:color w:val="000000"/>
          <w:lang w:val="fr-FR"/>
        </w:rPr>
      </w:pPr>
      <w:r w:rsidRPr="00AD5F90">
        <w:rPr>
          <w:rStyle w:val="lev"/>
          <w:rFonts w:asciiTheme="majorBidi" w:hAnsiTheme="majorBidi" w:cstheme="majorBidi"/>
          <w:color w:val="000000"/>
          <w:lang w:val="fr-FR"/>
        </w:rPr>
        <w:t>Formation de reconversion</w:t>
      </w:r>
      <w:r w:rsidRPr="00AD5F90">
        <w:rPr>
          <w:rStyle w:val="apple-converted-space"/>
          <w:rFonts w:asciiTheme="majorBidi" w:hAnsiTheme="majorBidi" w:cstheme="majorBidi"/>
          <w:color w:val="000000"/>
          <w:lang w:val="fr-FR"/>
        </w:rPr>
        <w:t> </w:t>
      </w:r>
      <w:r w:rsidRPr="00AD5F90">
        <w:rPr>
          <w:rFonts w:asciiTheme="majorBidi" w:hAnsiTheme="majorBidi" w:cstheme="majorBidi"/>
          <w:color w:val="000000"/>
          <w:lang w:val="fr-FR"/>
        </w:rPr>
        <w:t>: elle permet aux salariés de changer de métier ou de se réorienter vers un autre domaine au sein de l’entreprise, souvent dans le cadre d’une restructuration ou d’un repositionnement stratégique</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71"/>
      </w:r>
    </w:p>
    <w:p w:rsidR="00E772DD" w:rsidRPr="00AD5F90" w:rsidRDefault="00E772DD" w:rsidP="00410CA6">
      <w:pPr>
        <w:pStyle w:val="NormalWeb"/>
        <w:spacing w:before="0" w:beforeAutospacing="0" w:after="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lastRenderedPageBreak/>
        <w:t>La formation en entreprise varie selon les besoins, restant essentielle pour le développement des compétences et la compétitivité dans un environnement en constante évolution</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72"/>
      </w:r>
    </w:p>
    <w:p w:rsidR="00E772DD" w:rsidRPr="00AD5F90" w:rsidRDefault="00E772DD" w:rsidP="00AA69F4">
      <w:pPr>
        <w:pStyle w:val="Titre2"/>
        <w:spacing w:before="0" w:line="360" w:lineRule="auto"/>
        <w:jc w:val="both"/>
        <w:rPr>
          <w:rFonts w:asciiTheme="majorBidi" w:hAnsiTheme="majorBidi"/>
          <w:b/>
          <w:bCs/>
          <w:color w:val="000000"/>
          <w:sz w:val="24"/>
          <w:szCs w:val="24"/>
          <w:lang w:val="fr-FR"/>
        </w:rPr>
      </w:pPr>
      <w:bookmarkStart w:id="908" w:name="_Toc199685140"/>
      <w:bookmarkStart w:id="909" w:name="_Toc199713964"/>
      <w:bookmarkStart w:id="910" w:name="_Toc199714345"/>
      <w:bookmarkStart w:id="911" w:name="_Toc200486625"/>
      <w:bookmarkStart w:id="912" w:name="_Toc200635401"/>
      <w:bookmarkStart w:id="913" w:name="_Toc200635789"/>
      <w:bookmarkStart w:id="914" w:name="_Toc200636178"/>
      <w:bookmarkStart w:id="915" w:name="_Toc200755915"/>
      <w:r w:rsidRPr="00AD5F90">
        <w:rPr>
          <w:rFonts w:asciiTheme="majorBidi" w:hAnsiTheme="majorBidi"/>
          <w:color w:val="000000"/>
          <w:sz w:val="24"/>
          <w:szCs w:val="24"/>
          <w:lang w:val="fr-FR"/>
        </w:rPr>
        <w:t>Après avoir abordé les principaux types de formation, il est important de se pencher sur les méthodes pédagogiques utilisées pour transmettre efficacement les compétences. Celles-ci varient, allant de l'apprentissage théorique en salle à des approches plus interactives et pratiques, adaptées aux besoins des apprenants et aux objectifs de l'entreprise.</w:t>
      </w:r>
      <w:bookmarkEnd w:id="908"/>
      <w:bookmarkEnd w:id="909"/>
      <w:bookmarkEnd w:id="910"/>
      <w:bookmarkEnd w:id="911"/>
      <w:bookmarkEnd w:id="912"/>
      <w:bookmarkEnd w:id="913"/>
      <w:bookmarkEnd w:id="914"/>
      <w:bookmarkEnd w:id="915"/>
    </w:p>
    <w:p w:rsidR="00E772DD" w:rsidRPr="00894760" w:rsidRDefault="00E772DD" w:rsidP="001441E2">
      <w:pPr>
        <w:pStyle w:val="Titre2"/>
        <w:spacing w:line="360" w:lineRule="auto"/>
        <w:jc w:val="center"/>
        <w:rPr>
          <w:rFonts w:asciiTheme="majorBidi" w:hAnsiTheme="majorBidi"/>
          <w:b/>
          <w:bCs/>
          <w:color w:val="000000"/>
          <w:sz w:val="24"/>
          <w:szCs w:val="24"/>
          <w:lang w:val="fr-FR"/>
        </w:rPr>
      </w:pPr>
      <w:bookmarkStart w:id="916" w:name="_Toc199685141"/>
      <w:bookmarkStart w:id="917" w:name="_Toc199713965"/>
      <w:bookmarkStart w:id="918" w:name="_Toc199714346"/>
      <w:bookmarkStart w:id="919" w:name="_Toc200486626"/>
      <w:bookmarkStart w:id="920" w:name="_Toc200635402"/>
      <w:bookmarkStart w:id="921" w:name="_Toc200635790"/>
      <w:bookmarkStart w:id="922" w:name="_Toc200636179"/>
      <w:bookmarkStart w:id="923" w:name="_Toc200755916"/>
      <w:r w:rsidRPr="00220F88">
        <w:rPr>
          <w:rFonts w:asciiTheme="majorBidi" w:hAnsiTheme="majorBidi"/>
          <w:b/>
          <w:bCs/>
          <w:noProof/>
          <w:color w:val="000000"/>
          <w:sz w:val="24"/>
          <w:szCs w:val="24"/>
          <w:lang w:val="fr-FR"/>
          <w14:ligatures w14:val="standardContextual"/>
        </w:rPr>
        <w:drawing>
          <wp:anchor distT="0" distB="0" distL="114300" distR="114300" simplePos="0" relativeHeight="251669504" behindDoc="0" locked="0" layoutInCell="1" allowOverlap="1">
            <wp:simplePos x="0" y="0"/>
            <wp:positionH relativeFrom="column">
              <wp:posOffset>83185</wp:posOffset>
            </wp:positionH>
            <wp:positionV relativeFrom="paragraph">
              <wp:posOffset>598209</wp:posOffset>
            </wp:positionV>
            <wp:extent cx="5290185" cy="1470025"/>
            <wp:effectExtent l="50800" t="38100" r="69215" b="79375"/>
            <wp:wrapTopAndBottom/>
            <wp:docPr id="225022859"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14:sizeRelH relativeFrom="page">
              <wp14:pctWidth>0</wp14:pctWidth>
            </wp14:sizeRelH>
            <wp14:sizeRelV relativeFrom="page">
              <wp14:pctHeight>0</wp14:pctHeight>
            </wp14:sizeRelV>
          </wp:anchor>
        </w:drawing>
      </w:r>
      <w:r w:rsidRPr="00220F88">
        <w:rPr>
          <w:rFonts w:asciiTheme="majorBidi" w:hAnsiTheme="majorBidi"/>
          <w:b/>
          <w:bCs/>
          <w:color w:val="000000"/>
          <w:sz w:val="24"/>
          <w:szCs w:val="24"/>
          <w:lang w:val="fr-FR"/>
        </w:rPr>
        <w:t>Figure N°10 :</w:t>
      </w:r>
      <w:r w:rsidRPr="00AD5F90">
        <w:rPr>
          <w:rFonts w:asciiTheme="majorBidi" w:hAnsiTheme="majorBidi"/>
          <w:color w:val="000000"/>
          <w:sz w:val="24"/>
          <w:szCs w:val="24"/>
          <w:lang w:val="fr-FR"/>
        </w:rPr>
        <w:t xml:space="preserve"> </w:t>
      </w:r>
      <w:r w:rsidRPr="00894760">
        <w:rPr>
          <w:rFonts w:asciiTheme="majorBidi" w:hAnsiTheme="majorBidi"/>
          <w:color w:val="000000"/>
          <w:sz w:val="24"/>
          <w:szCs w:val="24"/>
          <w:lang w:val="fr-FR"/>
        </w:rPr>
        <w:t>Méthodes traditionnelles de formation</w:t>
      </w:r>
      <w:bookmarkEnd w:id="916"/>
      <w:bookmarkEnd w:id="917"/>
      <w:bookmarkEnd w:id="918"/>
      <w:bookmarkEnd w:id="919"/>
      <w:bookmarkEnd w:id="920"/>
      <w:bookmarkEnd w:id="921"/>
      <w:bookmarkEnd w:id="922"/>
      <w:bookmarkEnd w:id="923"/>
    </w:p>
    <w:p w:rsidR="00E772DD" w:rsidRPr="00AD5F90" w:rsidRDefault="00E772DD" w:rsidP="00D61BD8">
      <w:pPr>
        <w:pStyle w:val="Titre2"/>
        <w:spacing w:line="360" w:lineRule="auto"/>
        <w:jc w:val="both"/>
        <w:rPr>
          <w:rFonts w:asciiTheme="majorBidi" w:hAnsiTheme="majorBidi"/>
          <w:i/>
          <w:iCs/>
          <w:color w:val="000000"/>
          <w:sz w:val="24"/>
          <w:szCs w:val="24"/>
          <w:lang w:val="fr-FR"/>
        </w:rPr>
      </w:pPr>
    </w:p>
    <w:p w:rsidR="00E772DD" w:rsidRPr="00AD5F90" w:rsidRDefault="00E772DD" w:rsidP="001441E2">
      <w:pPr>
        <w:pStyle w:val="Titre2"/>
        <w:spacing w:line="360" w:lineRule="auto"/>
        <w:jc w:val="center"/>
        <w:rPr>
          <w:rFonts w:asciiTheme="majorBidi" w:hAnsiTheme="majorBidi"/>
          <w:b/>
          <w:bCs/>
          <w:color w:val="000000"/>
          <w:sz w:val="24"/>
          <w:szCs w:val="24"/>
          <w:lang w:val="fr-FR"/>
        </w:rPr>
      </w:pPr>
      <w:bookmarkStart w:id="924" w:name="_Toc199685142"/>
      <w:bookmarkStart w:id="925" w:name="_Toc199713966"/>
      <w:bookmarkStart w:id="926" w:name="_Toc199714347"/>
      <w:bookmarkStart w:id="927" w:name="_Toc200486627"/>
      <w:bookmarkStart w:id="928" w:name="_Toc200635403"/>
      <w:bookmarkStart w:id="929" w:name="_Toc200635791"/>
      <w:bookmarkStart w:id="930" w:name="_Toc200636180"/>
      <w:bookmarkStart w:id="931" w:name="_Toc200755917"/>
      <w:r w:rsidRPr="00220F88">
        <w:rPr>
          <w:rFonts w:asciiTheme="majorBidi" w:hAnsiTheme="majorBidi"/>
          <w:b/>
          <w:bCs/>
          <w:color w:val="000000"/>
          <w:sz w:val="24"/>
          <w:szCs w:val="24"/>
          <w:lang w:val="fr-FR"/>
        </w:rPr>
        <w:t>Source :</w:t>
      </w:r>
      <w:r w:rsidRPr="00AD5F90">
        <w:rPr>
          <w:rFonts w:asciiTheme="majorBidi" w:hAnsiTheme="majorBidi"/>
          <w:sz w:val="24"/>
          <w:szCs w:val="24"/>
          <w:lang w:val="fr-FR"/>
        </w:rPr>
        <w:t xml:space="preserve"> </w:t>
      </w:r>
      <w:r w:rsidRPr="00AD5F90">
        <w:rPr>
          <w:rFonts w:asciiTheme="majorBidi" w:hAnsiTheme="majorBidi"/>
          <w:color w:val="000000"/>
          <w:sz w:val="24"/>
          <w:szCs w:val="24"/>
          <w:lang w:val="fr-FR"/>
        </w:rPr>
        <w:t>Peretti, J. M. (2018). Gestion des ressources humaines (20ᵉ éd.). Vuibert.</w:t>
      </w:r>
      <w:bookmarkEnd w:id="924"/>
      <w:bookmarkEnd w:id="925"/>
      <w:bookmarkEnd w:id="926"/>
      <w:bookmarkEnd w:id="927"/>
      <w:bookmarkEnd w:id="928"/>
      <w:bookmarkEnd w:id="929"/>
      <w:bookmarkEnd w:id="930"/>
      <w:bookmarkEnd w:id="931"/>
    </w:p>
    <w:p w:rsidR="00E772DD" w:rsidRPr="00AD5F90" w:rsidRDefault="00E772DD" w:rsidP="004D32AC">
      <w:pPr>
        <w:pStyle w:val="Titre2"/>
        <w:keepNext w:val="0"/>
        <w:keepLines w:val="0"/>
        <w:numPr>
          <w:ilvl w:val="0"/>
          <w:numId w:val="39"/>
        </w:numPr>
        <w:spacing w:before="100" w:beforeAutospacing="1" w:after="100" w:afterAutospacing="1" w:line="360" w:lineRule="auto"/>
        <w:rPr>
          <w:rFonts w:asciiTheme="majorBidi" w:hAnsiTheme="majorBidi"/>
          <w:b/>
          <w:bCs/>
          <w:color w:val="000000"/>
          <w:sz w:val="24"/>
          <w:szCs w:val="24"/>
          <w:lang w:val="fr-FR"/>
        </w:rPr>
      </w:pPr>
      <w:bookmarkStart w:id="932" w:name="_Toc199685143"/>
      <w:bookmarkStart w:id="933" w:name="_Toc199713967"/>
      <w:bookmarkStart w:id="934" w:name="_Toc199714348"/>
      <w:bookmarkStart w:id="935" w:name="_Toc200486628"/>
      <w:bookmarkStart w:id="936" w:name="_Toc200635404"/>
      <w:bookmarkStart w:id="937" w:name="_Toc200635792"/>
      <w:bookmarkStart w:id="938" w:name="_Toc200636181"/>
      <w:bookmarkStart w:id="939" w:name="_Toc200755918"/>
      <w:r w:rsidRPr="00AD5F90">
        <w:rPr>
          <w:rFonts w:asciiTheme="majorBidi" w:hAnsiTheme="majorBidi"/>
          <w:color w:val="000000"/>
          <w:sz w:val="24"/>
          <w:szCs w:val="24"/>
          <w:lang w:val="fr-FR"/>
        </w:rPr>
        <w:t>Cours en salle : Apprentissage structuré par un formateur, avec des supports comme des présentations et manuels.</w:t>
      </w:r>
      <w:bookmarkEnd w:id="932"/>
      <w:bookmarkEnd w:id="933"/>
      <w:bookmarkEnd w:id="934"/>
      <w:bookmarkEnd w:id="935"/>
      <w:bookmarkEnd w:id="936"/>
      <w:bookmarkEnd w:id="937"/>
      <w:bookmarkEnd w:id="938"/>
      <w:bookmarkEnd w:id="939"/>
    </w:p>
    <w:p w:rsidR="00E772DD" w:rsidRPr="00AD5F90" w:rsidRDefault="00E772DD" w:rsidP="004D32AC">
      <w:pPr>
        <w:pStyle w:val="Titre2"/>
        <w:keepNext w:val="0"/>
        <w:keepLines w:val="0"/>
        <w:numPr>
          <w:ilvl w:val="0"/>
          <w:numId w:val="39"/>
        </w:numPr>
        <w:spacing w:before="100" w:beforeAutospacing="1" w:after="100" w:afterAutospacing="1" w:line="360" w:lineRule="auto"/>
        <w:rPr>
          <w:rFonts w:asciiTheme="majorBidi" w:hAnsiTheme="majorBidi"/>
          <w:b/>
          <w:bCs/>
          <w:color w:val="000000"/>
          <w:sz w:val="24"/>
          <w:szCs w:val="24"/>
          <w:lang w:val="fr-FR"/>
        </w:rPr>
      </w:pPr>
      <w:bookmarkStart w:id="940" w:name="_Toc199685144"/>
      <w:bookmarkStart w:id="941" w:name="_Toc199713968"/>
      <w:bookmarkStart w:id="942" w:name="_Toc199714349"/>
      <w:bookmarkStart w:id="943" w:name="_Toc200486629"/>
      <w:bookmarkStart w:id="944" w:name="_Toc200635405"/>
      <w:bookmarkStart w:id="945" w:name="_Toc200635793"/>
      <w:bookmarkStart w:id="946" w:name="_Toc200636182"/>
      <w:bookmarkStart w:id="947" w:name="_Toc200755919"/>
      <w:r w:rsidRPr="00AD5F90">
        <w:rPr>
          <w:rFonts w:asciiTheme="majorBidi" w:hAnsiTheme="majorBidi"/>
          <w:color w:val="000000"/>
          <w:sz w:val="24"/>
          <w:szCs w:val="24"/>
          <w:lang w:val="fr-FR"/>
        </w:rPr>
        <w:t>Conférences et séminaires : Interventions d'experts pour partager des connaissances spécifiques et favoriser les échanges professionnels.</w:t>
      </w:r>
      <w:bookmarkEnd w:id="940"/>
      <w:bookmarkEnd w:id="941"/>
      <w:bookmarkEnd w:id="942"/>
      <w:bookmarkEnd w:id="943"/>
      <w:bookmarkEnd w:id="944"/>
      <w:bookmarkEnd w:id="945"/>
      <w:bookmarkEnd w:id="946"/>
      <w:bookmarkEnd w:id="947"/>
    </w:p>
    <w:p w:rsidR="00E772DD" w:rsidRPr="00AD5F90" w:rsidRDefault="00E772DD" w:rsidP="004D32AC">
      <w:pPr>
        <w:pStyle w:val="Titre2"/>
        <w:keepNext w:val="0"/>
        <w:keepLines w:val="0"/>
        <w:numPr>
          <w:ilvl w:val="0"/>
          <w:numId w:val="39"/>
        </w:numPr>
        <w:spacing w:before="100" w:beforeAutospacing="1" w:after="100" w:afterAutospacing="1" w:line="360" w:lineRule="auto"/>
        <w:rPr>
          <w:rFonts w:asciiTheme="majorBidi" w:hAnsiTheme="majorBidi"/>
          <w:b/>
          <w:bCs/>
          <w:color w:val="000000"/>
          <w:sz w:val="24"/>
          <w:szCs w:val="24"/>
          <w:lang w:val="fr-FR"/>
        </w:rPr>
      </w:pPr>
      <w:bookmarkStart w:id="948" w:name="_Toc199685145"/>
      <w:bookmarkStart w:id="949" w:name="_Toc199713969"/>
      <w:bookmarkStart w:id="950" w:name="_Toc199714350"/>
      <w:bookmarkStart w:id="951" w:name="_Toc200486630"/>
      <w:bookmarkStart w:id="952" w:name="_Toc200635406"/>
      <w:bookmarkStart w:id="953" w:name="_Toc200635794"/>
      <w:bookmarkStart w:id="954" w:name="_Toc200636183"/>
      <w:bookmarkStart w:id="955" w:name="_Toc200755920"/>
      <w:r w:rsidRPr="00AD5F90">
        <w:rPr>
          <w:rFonts w:asciiTheme="majorBidi" w:hAnsiTheme="majorBidi"/>
          <w:color w:val="000000"/>
          <w:sz w:val="24"/>
          <w:szCs w:val="24"/>
          <w:lang w:val="fr-FR"/>
        </w:rPr>
        <w:t>Études de cas : Analyse de situations réelles pour développer l'esprit critique et la prise de décision.</w:t>
      </w:r>
      <w:bookmarkEnd w:id="948"/>
      <w:bookmarkEnd w:id="949"/>
      <w:bookmarkEnd w:id="950"/>
      <w:bookmarkEnd w:id="951"/>
      <w:bookmarkEnd w:id="952"/>
      <w:bookmarkEnd w:id="953"/>
      <w:bookmarkEnd w:id="954"/>
      <w:bookmarkEnd w:id="955"/>
    </w:p>
    <w:p w:rsidR="00E772DD" w:rsidRPr="00AD5F90" w:rsidRDefault="00E772DD" w:rsidP="004D32AC">
      <w:pPr>
        <w:pStyle w:val="Titre2"/>
        <w:keepNext w:val="0"/>
        <w:keepLines w:val="0"/>
        <w:numPr>
          <w:ilvl w:val="0"/>
          <w:numId w:val="39"/>
        </w:numPr>
        <w:spacing w:before="100" w:beforeAutospacing="1" w:after="100" w:afterAutospacing="1" w:line="360" w:lineRule="auto"/>
        <w:rPr>
          <w:rFonts w:asciiTheme="majorBidi" w:hAnsiTheme="majorBidi"/>
          <w:b/>
          <w:bCs/>
          <w:color w:val="000000"/>
          <w:sz w:val="24"/>
          <w:szCs w:val="24"/>
          <w:lang w:val="fr-FR"/>
        </w:rPr>
      </w:pPr>
      <w:bookmarkStart w:id="956" w:name="_Toc199685146"/>
      <w:bookmarkStart w:id="957" w:name="_Toc199713970"/>
      <w:bookmarkStart w:id="958" w:name="_Toc199714351"/>
      <w:bookmarkStart w:id="959" w:name="_Toc200486631"/>
      <w:bookmarkStart w:id="960" w:name="_Toc200635407"/>
      <w:bookmarkStart w:id="961" w:name="_Toc200635795"/>
      <w:bookmarkStart w:id="962" w:name="_Toc200636184"/>
      <w:bookmarkStart w:id="963" w:name="_Toc200755921"/>
      <w:r w:rsidRPr="00AD5F90">
        <w:rPr>
          <w:rFonts w:asciiTheme="majorBidi" w:hAnsiTheme="majorBidi"/>
          <w:color w:val="000000"/>
          <w:sz w:val="24"/>
          <w:szCs w:val="24"/>
          <w:lang w:val="fr-FR"/>
        </w:rPr>
        <w:t>Formation sur le terrain : Apprentissage pratique sur le poste sous supervision d’un formateur ou d'un collègue expérimenté.</w:t>
      </w:r>
      <w:bookmarkEnd w:id="956"/>
      <w:bookmarkEnd w:id="957"/>
      <w:bookmarkEnd w:id="958"/>
      <w:bookmarkEnd w:id="959"/>
      <w:bookmarkEnd w:id="960"/>
      <w:bookmarkEnd w:id="961"/>
      <w:bookmarkEnd w:id="962"/>
      <w:bookmarkEnd w:id="963"/>
    </w:p>
    <w:p w:rsidR="00E772DD" w:rsidRPr="00AD5F90" w:rsidRDefault="00E772DD" w:rsidP="004D32AC">
      <w:pPr>
        <w:pStyle w:val="Titre2"/>
        <w:keepNext w:val="0"/>
        <w:keepLines w:val="0"/>
        <w:numPr>
          <w:ilvl w:val="0"/>
          <w:numId w:val="39"/>
        </w:numPr>
        <w:spacing w:before="100" w:beforeAutospacing="1" w:after="100" w:afterAutospacing="1" w:line="360" w:lineRule="auto"/>
        <w:rPr>
          <w:rFonts w:asciiTheme="majorBidi" w:hAnsiTheme="majorBidi"/>
          <w:b/>
          <w:bCs/>
          <w:color w:val="000000"/>
          <w:sz w:val="24"/>
          <w:szCs w:val="24"/>
          <w:lang w:val="fr-FR"/>
        </w:rPr>
      </w:pPr>
      <w:bookmarkStart w:id="964" w:name="_Toc199685147"/>
      <w:bookmarkStart w:id="965" w:name="_Toc199713971"/>
      <w:bookmarkStart w:id="966" w:name="_Toc199714352"/>
      <w:bookmarkStart w:id="967" w:name="_Toc200486632"/>
      <w:bookmarkStart w:id="968" w:name="_Toc200635408"/>
      <w:bookmarkStart w:id="969" w:name="_Toc200635796"/>
      <w:bookmarkStart w:id="970" w:name="_Toc200636185"/>
      <w:bookmarkStart w:id="971" w:name="_Toc200755922"/>
      <w:r w:rsidRPr="00AD5F90">
        <w:rPr>
          <w:rFonts w:asciiTheme="majorBidi" w:hAnsiTheme="majorBidi"/>
          <w:color w:val="000000"/>
          <w:sz w:val="24"/>
          <w:szCs w:val="24"/>
          <w:lang w:val="fr-FR"/>
        </w:rPr>
        <w:t>Tutorat et mentorat : Accompagnement personnalisé d’un employé expérimenté pour guider l’intégration du nouveau.</w:t>
      </w:r>
      <w:bookmarkEnd w:id="964"/>
      <w:bookmarkEnd w:id="965"/>
      <w:bookmarkEnd w:id="966"/>
      <w:bookmarkEnd w:id="967"/>
      <w:bookmarkEnd w:id="968"/>
      <w:bookmarkEnd w:id="969"/>
      <w:bookmarkEnd w:id="970"/>
      <w:bookmarkEnd w:id="971"/>
    </w:p>
    <w:p w:rsidR="00E772DD" w:rsidRDefault="00E772DD" w:rsidP="004D32AC">
      <w:pPr>
        <w:pStyle w:val="Titre2"/>
        <w:keepNext w:val="0"/>
        <w:keepLines w:val="0"/>
        <w:numPr>
          <w:ilvl w:val="0"/>
          <w:numId w:val="39"/>
        </w:numPr>
        <w:spacing w:before="100" w:beforeAutospacing="1" w:after="240" w:line="360" w:lineRule="auto"/>
        <w:jc w:val="both"/>
        <w:rPr>
          <w:rFonts w:asciiTheme="majorBidi" w:hAnsiTheme="majorBidi"/>
          <w:color w:val="000000"/>
          <w:sz w:val="24"/>
          <w:szCs w:val="24"/>
          <w:lang w:val="fr-FR"/>
        </w:rPr>
      </w:pPr>
      <w:bookmarkStart w:id="972" w:name="_Toc199685148"/>
      <w:bookmarkStart w:id="973" w:name="_Toc199713972"/>
      <w:bookmarkStart w:id="974" w:name="_Toc199714353"/>
      <w:bookmarkStart w:id="975" w:name="_Toc200486633"/>
      <w:bookmarkStart w:id="976" w:name="_Toc200635409"/>
      <w:bookmarkStart w:id="977" w:name="_Toc200635797"/>
      <w:bookmarkStart w:id="978" w:name="_Toc200636186"/>
      <w:bookmarkStart w:id="979" w:name="_Toc200755923"/>
      <w:r w:rsidRPr="00AD5F90">
        <w:rPr>
          <w:rFonts w:asciiTheme="majorBidi" w:hAnsiTheme="majorBidi"/>
          <w:color w:val="000000"/>
          <w:sz w:val="24"/>
          <w:szCs w:val="24"/>
          <w:lang w:val="fr-FR"/>
        </w:rPr>
        <w:t>Ateliers pratiques et groupes de discussion : Sessions interactives pour appliquer les connaissances et partager des expériences.</w:t>
      </w:r>
      <w:bookmarkEnd w:id="972"/>
      <w:bookmarkEnd w:id="973"/>
      <w:bookmarkEnd w:id="974"/>
      <w:bookmarkEnd w:id="975"/>
      <w:bookmarkEnd w:id="976"/>
      <w:bookmarkEnd w:id="977"/>
      <w:bookmarkEnd w:id="978"/>
      <w:bookmarkEnd w:id="979"/>
    </w:p>
    <w:p w:rsidR="00F05810" w:rsidRDefault="00F05810" w:rsidP="00F05810">
      <w:pPr>
        <w:rPr>
          <w:lang w:val="fr-FR"/>
        </w:rPr>
      </w:pPr>
    </w:p>
    <w:p w:rsidR="00F05810" w:rsidRDefault="00F05810" w:rsidP="00F05810">
      <w:pPr>
        <w:rPr>
          <w:lang w:val="fr-FR"/>
        </w:rPr>
      </w:pPr>
    </w:p>
    <w:p w:rsidR="00F05810" w:rsidRDefault="00F05810" w:rsidP="00F05810">
      <w:pPr>
        <w:rPr>
          <w:lang w:val="fr-FR"/>
        </w:rPr>
      </w:pPr>
    </w:p>
    <w:p w:rsidR="00F05810" w:rsidRDefault="00F05810" w:rsidP="00F05810">
      <w:pPr>
        <w:rPr>
          <w:lang w:val="fr-FR"/>
        </w:rPr>
      </w:pPr>
    </w:p>
    <w:p w:rsidR="00F05810" w:rsidRPr="00F05810" w:rsidRDefault="00F05810" w:rsidP="00F05810">
      <w:pPr>
        <w:rPr>
          <w:lang w:val="fr-FR"/>
        </w:rPr>
      </w:pPr>
    </w:p>
    <w:p w:rsidR="00E772DD" w:rsidRPr="00220F88" w:rsidRDefault="00E772DD" w:rsidP="004D32AC">
      <w:pPr>
        <w:pStyle w:val="Titre2"/>
        <w:keepNext w:val="0"/>
        <w:keepLines w:val="0"/>
        <w:numPr>
          <w:ilvl w:val="1"/>
          <w:numId w:val="4"/>
        </w:numPr>
        <w:spacing w:before="0" w:line="360" w:lineRule="auto"/>
        <w:jc w:val="both"/>
        <w:rPr>
          <w:rFonts w:asciiTheme="majorBidi" w:hAnsiTheme="majorBidi"/>
          <w:b/>
          <w:bCs/>
          <w:color w:val="000000"/>
          <w:sz w:val="24"/>
          <w:szCs w:val="24"/>
          <w:lang w:val="fr-FR"/>
        </w:rPr>
      </w:pPr>
      <w:bookmarkStart w:id="980" w:name="_Toc199714354"/>
      <w:bookmarkStart w:id="981" w:name="_Toc200486634"/>
      <w:bookmarkStart w:id="982" w:name="_Toc200635410"/>
      <w:bookmarkStart w:id="983" w:name="_Toc200635798"/>
      <w:bookmarkStart w:id="984" w:name="_Toc200636187"/>
      <w:bookmarkStart w:id="985" w:name="_Toc200755924"/>
      <w:r w:rsidRPr="00220F88">
        <w:rPr>
          <w:rFonts w:asciiTheme="majorBidi" w:hAnsiTheme="majorBidi"/>
          <w:b/>
          <w:bCs/>
          <w:color w:val="000000"/>
          <w:sz w:val="24"/>
          <w:szCs w:val="24"/>
          <w:lang w:val="fr-FR"/>
        </w:rPr>
        <w:lastRenderedPageBreak/>
        <w:t>Processus de formation</w:t>
      </w:r>
      <w:bookmarkEnd w:id="980"/>
      <w:bookmarkEnd w:id="981"/>
      <w:bookmarkEnd w:id="982"/>
      <w:bookmarkEnd w:id="983"/>
      <w:bookmarkEnd w:id="984"/>
      <w:bookmarkEnd w:id="985"/>
    </w:p>
    <w:p w:rsidR="00E772DD" w:rsidRPr="00AD5F90" w:rsidRDefault="00E772DD" w:rsidP="00AA69F4">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mise en place d’un programme de formation suit des étapes clés, de l’identification des besoins à l’évaluation de son efficacité, assurant une montée en compétences alignée avec les objectifs de l’organisation</w:t>
      </w:r>
      <w:r w:rsidR="00220F88">
        <w:rPr>
          <w:rFonts w:asciiTheme="majorBidi" w:hAnsiTheme="majorBidi" w:cstheme="majorBidi"/>
          <w:color w:val="000000"/>
          <w:lang w:val="fr-FR"/>
        </w:rPr>
        <w:t>.</w:t>
      </w:r>
      <w:r w:rsidRPr="00AD5F90">
        <w:rPr>
          <w:rStyle w:val="Appelnotedebasdep"/>
          <w:rFonts w:cstheme="majorBidi"/>
          <w:color w:val="000000"/>
          <w:lang w:val="fr-FR"/>
        </w:rPr>
        <w:footnoteReference w:id="173"/>
      </w:r>
    </w:p>
    <w:p w:rsidR="00E772DD" w:rsidRPr="00AD5F90" w:rsidRDefault="0014597E" w:rsidP="001441E2">
      <w:pPr>
        <w:pStyle w:val="NormalWeb"/>
        <w:spacing w:line="360" w:lineRule="auto"/>
        <w:jc w:val="center"/>
        <w:rPr>
          <w:rFonts w:asciiTheme="majorBidi" w:hAnsiTheme="majorBidi" w:cstheme="majorBidi"/>
          <w:b/>
          <w:bCs/>
          <w:color w:val="000000"/>
          <w:lang w:val="fr-FR"/>
        </w:rPr>
      </w:pPr>
      <w:r w:rsidRPr="00AD5F90">
        <w:rPr>
          <w:rFonts w:asciiTheme="majorBidi" w:hAnsiTheme="majorBidi" w:cstheme="majorBidi"/>
          <w:b/>
          <w:bCs/>
          <w:noProof/>
          <w:color w:val="000000"/>
          <w:lang w:val="fr-FR"/>
          <w14:ligatures w14:val="standardContextual"/>
        </w:rPr>
        <w:drawing>
          <wp:anchor distT="0" distB="0" distL="114300" distR="114300" simplePos="0" relativeHeight="251674624" behindDoc="0" locked="0" layoutInCell="1" allowOverlap="1" wp14:anchorId="68887637">
            <wp:simplePos x="0" y="0"/>
            <wp:positionH relativeFrom="column">
              <wp:posOffset>132715</wp:posOffset>
            </wp:positionH>
            <wp:positionV relativeFrom="paragraph">
              <wp:posOffset>216757</wp:posOffset>
            </wp:positionV>
            <wp:extent cx="5372735" cy="1879600"/>
            <wp:effectExtent l="0" t="0" r="0" b="0"/>
            <wp:wrapTopAndBottom/>
            <wp:docPr id="161814934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14:sizeRelH relativeFrom="page">
              <wp14:pctWidth>0</wp14:pctWidth>
            </wp14:sizeRelH>
            <wp14:sizeRelV relativeFrom="page">
              <wp14:pctHeight>0</wp14:pctHeight>
            </wp14:sizeRelV>
          </wp:anchor>
        </w:drawing>
      </w:r>
      <w:r w:rsidR="00E772DD" w:rsidRPr="00AD5F90">
        <w:rPr>
          <w:rFonts w:asciiTheme="majorBidi" w:hAnsiTheme="majorBidi" w:cstheme="majorBidi"/>
          <w:b/>
          <w:bCs/>
          <w:color w:val="000000"/>
          <w:lang w:val="fr-FR"/>
        </w:rPr>
        <w:t xml:space="preserve">Figure </w:t>
      </w:r>
      <w:r w:rsidR="00E772DD">
        <w:rPr>
          <w:rFonts w:asciiTheme="majorBidi" w:hAnsiTheme="majorBidi" w:cstheme="majorBidi"/>
          <w:b/>
          <w:bCs/>
          <w:color w:val="000000"/>
          <w:lang w:val="fr-FR"/>
        </w:rPr>
        <w:t>N°11</w:t>
      </w:r>
      <w:r w:rsidR="00E772DD" w:rsidRPr="00AD5F90">
        <w:rPr>
          <w:rFonts w:asciiTheme="majorBidi" w:hAnsiTheme="majorBidi" w:cstheme="majorBidi"/>
          <w:b/>
          <w:bCs/>
          <w:color w:val="000000"/>
          <w:lang w:val="fr-FR"/>
        </w:rPr>
        <w:t xml:space="preserve"> : </w:t>
      </w:r>
      <w:r w:rsidR="00E772DD" w:rsidRPr="00490182">
        <w:rPr>
          <w:rFonts w:asciiTheme="majorBidi" w:hAnsiTheme="majorBidi" w:cstheme="majorBidi"/>
          <w:color w:val="000000"/>
          <w:lang w:val="fr-FR"/>
        </w:rPr>
        <w:t>Processus de formation</w:t>
      </w:r>
    </w:p>
    <w:p w:rsidR="00E772DD" w:rsidRPr="00AD5F90" w:rsidRDefault="00E772DD" w:rsidP="001441E2">
      <w:pPr>
        <w:pStyle w:val="Titre2"/>
        <w:spacing w:line="360" w:lineRule="auto"/>
        <w:jc w:val="center"/>
        <w:rPr>
          <w:rFonts w:asciiTheme="majorBidi" w:hAnsiTheme="majorBidi"/>
          <w:b/>
          <w:bCs/>
          <w:color w:val="000000"/>
          <w:sz w:val="24"/>
          <w:szCs w:val="24"/>
          <w:lang w:val="fr-FR"/>
        </w:rPr>
      </w:pPr>
      <w:bookmarkStart w:id="986" w:name="_Toc199685150"/>
      <w:bookmarkStart w:id="987" w:name="_Toc199714355"/>
      <w:bookmarkStart w:id="988" w:name="_Toc200486635"/>
      <w:bookmarkStart w:id="989" w:name="_Toc200635411"/>
      <w:bookmarkStart w:id="990" w:name="_Toc200635799"/>
      <w:bookmarkStart w:id="991" w:name="_Toc200636188"/>
      <w:bookmarkStart w:id="992" w:name="_Toc200755925"/>
      <w:r w:rsidRPr="00220F88">
        <w:rPr>
          <w:rFonts w:asciiTheme="majorBidi" w:hAnsiTheme="majorBidi"/>
          <w:b/>
          <w:bCs/>
          <w:color w:val="000000"/>
          <w:sz w:val="24"/>
          <w:szCs w:val="24"/>
          <w:lang w:val="fr-FR"/>
        </w:rPr>
        <w:t>Source :</w:t>
      </w:r>
      <w:r w:rsidRPr="00AD5F90">
        <w:rPr>
          <w:rFonts w:asciiTheme="majorBidi" w:hAnsiTheme="majorBidi"/>
          <w:color w:val="000000"/>
          <w:sz w:val="24"/>
          <w:szCs w:val="24"/>
          <w:lang w:val="fr-FR"/>
        </w:rPr>
        <w:t xml:space="preserve"> Peretti, J. M. (2018). Gestion des ressources humaines (20ᵉ éd.). Vuibert.</w:t>
      </w:r>
      <w:bookmarkEnd w:id="986"/>
      <w:bookmarkEnd w:id="987"/>
      <w:bookmarkEnd w:id="988"/>
      <w:bookmarkEnd w:id="989"/>
      <w:bookmarkEnd w:id="990"/>
      <w:bookmarkEnd w:id="991"/>
      <w:bookmarkEnd w:id="992"/>
    </w:p>
    <w:p w:rsidR="00E772DD" w:rsidRPr="00220F88" w:rsidRDefault="00E772DD" w:rsidP="004D32AC">
      <w:pPr>
        <w:pStyle w:val="Titre2"/>
        <w:keepNext w:val="0"/>
        <w:keepLines w:val="0"/>
        <w:numPr>
          <w:ilvl w:val="2"/>
          <w:numId w:val="4"/>
        </w:numPr>
        <w:spacing w:before="100" w:beforeAutospacing="1" w:line="360" w:lineRule="auto"/>
        <w:jc w:val="both"/>
        <w:rPr>
          <w:rFonts w:asciiTheme="majorBidi" w:hAnsiTheme="majorBidi"/>
          <w:b/>
          <w:bCs/>
          <w:color w:val="000000"/>
          <w:sz w:val="24"/>
          <w:szCs w:val="24"/>
          <w:lang w:val="fr-FR"/>
        </w:rPr>
      </w:pPr>
      <w:bookmarkStart w:id="993" w:name="_Toc199714356"/>
      <w:bookmarkStart w:id="994" w:name="_Toc200486636"/>
      <w:bookmarkStart w:id="995" w:name="_Toc200635412"/>
      <w:bookmarkStart w:id="996" w:name="_Toc200635800"/>
      <w:bookmarkStart w:id="997" w:name="_Toc200636189"/>
      <w:bookmarkStart w:id="998" w:name="_Toc200755926"/>
      <w:r w:rsidRPr="00220F88">
        <w:rPr>
          <w:rFonts w:asciiTheme="majorBidi" w:hAnsiTheme="majorBidi"/>
          <w:b/>
          <w:bCs/>
          <w:color w:val="000000"/>
          <w:sz w:val="24"/>
          <w:szCs w:val="24"/>
          <w:lang w:val="fr-FR"/>
        </w:rPr>
        <w:t>Identification et analyse des besoins en formation</w:t>
      </w:r>
      <w:bookmarkEnd w:id="993"/>
      <w:bookmarkEnd w:id="994"/>
      <w:bookmarkEnd w:id="995"/>
      <w:bookmarkEnd w:id="996"/>
      <w:bookmarkEnd w:id="997"/>
      <w:bookmarkEnd w:id="998"/>
      <w:r w:rsidRPr="00220F88">
        <w:rPr>
          <w:rFonts w:asciiTheme="majorBidi" w:hAnsiTheme="majorBidi"/>
          <w:b/>
          <w:bCs/>
          <w:color w:val="000000"/>
          <w:sz w:val="24"/>
          <w:szCs w:val="24"/>
          <w:lang w:val="fr-FR"/>
        </w:rPr>
        <w:t xml:space="preserve"> </w:t>
      </w:r>
    </w:p>
    <w:p w:rsidR="00220F88" w:rsidRDefault="00E772DD" w:rsidP="00220F88">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première étape est d'identifier les écarts de compétences et de définir le besoin en formation pour combler cette lacune</w:t>
      </w:r>
      <w:r w:rsidR="00220F88">
        <w:rPr>
          <w:rFonts w:asciiTheme="majorBidi" w:hAnsiTheme="majorBidi" w:cstheme="majorBidi"/>
          <w:color w:val="000000"/>
          <w:lang w:val="fr-FR"/>
        </w:rPr>
        <w:t>.</w:t>
      </w:r>
    </w:p>
    <w:p w:rsidR="00E772DD" w:rsidRPr="00AD5F90" w:rsidRDefault="00E772DD" w:rsidP="00220F88">
      <w:pPr>
        <w:spacing w:after="24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Cette phase est généralement menée en début d’année par le comité de formation, qui structure ces besoins, élabore un plan de formation et en supervise la mise en œuvre, à travers des entretiens avec les managers et des évaluations des compétences internes.</w:t>
      </w:r>
      <w:r w:rsidR="00430A10">
        <w:rPr>
          <w:rStyle w:val="Appelnotedebasdep"/>
          <w:rFonts w:cstheme="majorBidi"/>
          <w:color w:val="000000"/>
          <w:lang w:val="fr-FR"/>
        </w:rPr>
        <w:footnoteReference w:id="174"/>
      </w:r>
    </w:p>
    <w:p w:rsidR="00E772DD" w:rsidRPr="00220F88" w:rsidRDefault="00E772DD" w:rsidP="004D32AC">
      <w:pPr>
        <w:pStyle w:val="Titre2"/>
        <w:keepNext w:val="0"/>
        <w:keepLines w:val="0"/>
        <w:numPr>
          <w:ilvl w:val="2"/>
          <w:numId w:val="4"/>
        </w:numPr>
        <w:spacing w:before="100" w:beforeAutospacing="1" w:line="360" w:lineRule="auto"/>
        <w:jc w:val="both"/>
        <w:rPr>
          <w:rFonts w:asciiTheme="majorBidi" w:hAnsiTheme="majorBidi"/>
          <w:b/>
          <w:bCs/>
          <w:color w:val="000000"/>
          <w:sz w:val="24"/>
          <w:szCs w:val="24"/>
          <w:lang w:val="fr-FR"/>
        </w:rPr>
      </w:pPr>
      <w:bookmarkStart w:id="999" w:name="_Toc199714357"/>
      <w:bookmarkStart w:id="1000" w:name="_Toc200486637"/>
      <w:bookmarkStart w:id="1001" w:name="_Toc200635413"/>
      <w:bookmarkStart w:id="1002" w:name="_Toc200635801"/>
      <w:bookmarkStart w:id="1003" w:name="_Toc200636190"/>
      <w:bookmarkStart w:id="1004" w:name="_Toc200755927"/>
      <w:r w:rsidRPr="00220F88">
        <w:rPr>
          <w:rFonts w:asciiTheme="majorBidi" w:hAnsiTheme="majorBidi"/>
          <w:b/>
          <w:bCs/>
          <w:color w:val="000000"/>
          <w:sz w:val="24"/>
          <w:szCs w:val="24"/>
          <w:lang w:val="fr-FR"/>
        </w:rPr>
        <w:t>Élaboration et validation du plan de formation</w:t>
      </w:r>
      <w:bookmarkEnd w:id="999"/>
      <w:bookmarkEnd w:id="1000"/>
      <w:bookmarkEnd w:id="1001"/>
      <w:bookmarkEnd w:id="1002"/>
      <w:bookmarkEnd w:id="1003"/>
      <w:bookmarkEnd w:id="1004"/>
      <w:r w:rsidRPr="00220F88">
        <w:rPr>
          <w:rFonts w:asciiTheme="majorBidi" w:hAnsiTheme="majorBidi"/>
          <w:b/>
          <w:bCs/>
          <w:color w:val="000000"/>
          <w:sz w:val="24"/>
          <w:szCs w:val="24"/>
          <w:lang w:val="fr-FR"/>
        </w:rPr>
        <w:t xml:space="preserve"> </w:t>
      </w:r>
    </w:p>
    <w:p w:rsidR="00E772DD" w:rsidRPr="00AD5F90" w:rsidRDefault="00E772DD" w:rsidP="00EB2AFE">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Une fois les besoins recensés, un plan de formation est établi afin de définir les actions pédagogiques à mettre en place. Ce plan représente une traduction concrète et budgétaire des choix managériaux en matière de développement des compétences</w:t>
      </w:r>
      <w:r w:rsidR="00430A10">
        <w:rPr>
          <w:rFonts w:asciiTheme="majorBidi" w:hAnsiTheme="majorBidi" w:cstheme="majorBidi"/>
          <w:color w:val="000000"/>
          <w:lang w:val="fr-FR"/>
        </w:rPr>
        <w:t>.</w:t>
      </w:r>
      <w:r w:rsidRPr="00AD5F90">
        <w:rPr>
          <w:rStyle w:val="Appelnotedebasdep"/>
          <w:rFonts w:cstheme="majorBidi"/>
          <w:color w:val="000000"/>
          <w:lang w:val="fr-FR"/>
        </w:rPr>
        <w:footnoteReference w:id="175"/>
      </w:r>
    </w:p>
    <w:p w:rsidR="00E772DD" w:rsidRPr="00AD5F90" w:rsidRDefault="00E772DD" w:rsidP="00EB2AFE">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Son élaboration passe par plusieurs étapes :</w:t>
      </w:r>
    </w:p>
    <w:p w:rsidR="00E772DD" w:rsidRPr="00AD5F90" w:rsidRDefault="00E772DD" w:rsidP="004D32AC">
      <w:pPr>
        <w:numPr>
          <w:ilvl w:val="0"/>
          <w:numId w:val="30"/>
        </w:num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Définition des objectifs pédagogiques en fonction des attentes organisationnelles,</w:t>
      </w:r>
    </w:p>
    <w:p w:rsidR="00E772DD" w:rsidRPr="00AD5F90" w:rsidRDefault="00E772DD" w:rsidP="004D32AC">
      <w:pPr>
        <w:numPr>
          <w:ilvl w:val="0"/>
          <w:numId w:val="3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Sélection des contenus et supports pédagogiques,</w:t>
      </w:r>
    </w:p>
    <w:p w:rsidR="00E772DD" w:rsidRPr="00AD5F90" w:rsidRDefault="00E772DD" w:rsidP="004D32AC">
      <w:pPr>
        <w:numPr>
          <w:ilvl w:val="0"/>
          <w:numId w:val="3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Choix des méthodes d’apprentissage adaptées aux employés concernés,</w:t>
      </w:r>
    </w:p>
    <w:p w:rsidR="00E772DD" w:rsidRPr="00AD5F90" w:rsidRDefault="00E772DD" w:rsidP="004D32AC">
      <w:pPr>
        <w:numPr>
          <w:ilvl w:val="0"/>
          <w:numId w:val="3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Planification du calendrier des sessions,</w:t>
      </w:r>
    </w:p>
    <w:p w:rsidR="00E772DD" w:rsidRPr="00AD5F90" w:rsidRDefault="00E772DD" w:rsidP="004D32AC">
      <w:pPr>
        <w:numPr>
          <w:ilvl w:val="0"/>
          <w:numId w:val="30"/>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lastRenderedPageBreak/>
        <w:t>Allocation des ressources humaines et matérielles,</w:t>
      </w:r>
    </w:p>
    <w:p w:rsidR="00E772DD" w:rsidRPr="00AD5F90" w:rsidRDefault="00E772DD" w:rsidP="004D32AC">
      <w:pPr>
        <w:numPr>
          <w:ilvl w:val="0"/>
          <w:numId w:val="30"/>
        </w:num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Estimation budgétaire et validation finale par la direction générale</w:t>
      </w:r>
      <w:r w:rsidR="00430A10">
        <w:rPr>
          <w:rFonts w:asciiTheme="majorBidi" w:hAnsiTheme="majorBidi" w:cstheme="majorBidi"/>
          <w:color w:val="000000"/>
          <w:lang w:val="fr-FR"/>
        </w:rPr>
        <w:t>.</w:t>
      </w:r>
      <w:r w:rsidRPr="00AD5F90">
        <w:rPr>
          <w:rStyle w:val="Appelnotedebasdep"/>
          <w:rFonts w:cstheme="majorBidi"/>
          <w:color w:val="000000"/>
          <w:lang w:val="fr-FR"/>
        </w:rPr>
        <w:footnoteReference w:id="176"/>
      </w:r>
    </w:p>
    <w:p w:rsidR="00E772DD" w:rsidRPr="00AD5F90" w:rsidRDefault="00E772DD" w:rsidP="00EB2AFE">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directeur des ressources humaines et le responsable de la formation sont chargés de soumettre ce plan pour approbation avant son déploiement.</w:t>
      </w:r>
    </w:p>
    <w:p w:rsidR="00E772DD" w:rsidRPr="00430A10" w:rsidRDefault="00E772DD" w:rsidP="004D32AC">
      <w:pPr>
        <w:pStyle w:val="Titre2"/>
        <w:keepNext w:val="0"/>
        <w:keepLines w:val="0"/>
        <w:numPr>
          <w:ilvl w:val="2"/>
          <w:numId w:val="4"/>
        </w:numPr>
        <w:spacing w:before="100" w:beforeAutospacing="1" w:line="360" w:lineRule="auto"/>
        <w:jc w:val="both"/>
        <w:rPr>
          <w:rFonts w:asciiTheme="majorBidi" w:hAnsiTheme="majorBidi"/>
          <w:b/>
          <w:bCs/>
          <w:color w:val="000000"/>
          <w:sz w:val="24"/>
          <w:szCs w:val="24"/>
          <w:lang w:val="fr-FR"/>
        </w:rPr>
      </w:pPr>
      <w:bookmarkStart w:id="1005" w:name="_Toc199714358"/>
      <w:bookmarkStart w:id="1006" w:name="_Toc200486638"/>
      <w:bookmarkStart w:id="1007" w:name="_Toc200635414"/>
      <w:bookmarkStart w:id="1008" w:name="_Toc200635802"/>
      <w:bookmarkStart w:id="1009" w:name="_Toc200636191"/>
      <w:bookmarkStart w:id="1010" w:name="_Toc200755928"/>
      <w:r w:rsidRPr="00430A10">
        <w:rPr>
          <w:rFonts w:asciiTheme="majorBidi" w:hAnsiTheme="majorBidi"/>
          <w:b/>
          <w:bCs/>
          <w:color w:val="000000"/>
          <w:sz w:val="24"/>
          <w:szCs w:val="24"/>
          <w:lang w:val="fr-FR"/>
        </w:rPr>
        <w:t>Mise en œuvre du programme de formation</w:t>
      </w:r>
      <w:bookmarkEnd w:id="1005"/>
      <w:bookmarkEnd w:id="1006"/>
      <w:bookmarkEnd w:id="1007"/>
      <w:bookmarkEnd w:id="1008"/>
      <w:bookmarkEnd w:id="1009"/>
      <w:bookmarkEnd w:id="1010"/>
    </w:p>
    <w:p w:rsidR="00E772DD" w:rsidRPr="00AD5F90" w:rsidRDefault="00E772DD" w:rsidP="00EB2AFE">
      <w:pPr>
        <w:spacing w:after="100" w:afterAutospacing="1"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Après validation, la formation est mise en œuvre selon le calendrier prévu. Le responsable de la formation gère la communication avec les participants, organise les sessions et minimise les perturbations. Il s'assure aussi de la gestion administrative (convocations, suivi des présences) et financière (suivi des coûts) pour garantir le bon déroulement du programme</w:t>
      </w:r>
      <w:r w:rsidR="00430A10">
        <w:rPr>
          <w:rFonts w:asciiTheme="majorBidi" w:hAnsiTheme="majorBidi" w:cstheme="majorBidi"/>
          <w:color w:val="000000"/>
          <w:lang w:val="fr-FR"/>
        </w:rPr>
        <w:t>.</w:t>
      </w:r>
      <w:r w:rsidRPr="00AD5F90">
        <w:rPr>
          <w:rStyle w:val="Appelnotedebasdep"/>
          <w:rFonts w:cstheme="majorBidi"/>
          <w:color w:val="000000"/>
          <w:lang w:val="fr-FR"/>
        </w:rPr>
        <w:footnoteReference w:id="177"/>
      </w:r>
    </w:p>
    <w:p w:rsidR="00E772DD" w:rsidRPr="00430A10" w:rsidRDefault="00E772DD" w:rsidP="004D32AC">
      <w:pPr>
        <w:pStyle w:val="Titre2"/>
        <w:keepNext w:val="0"/>
        <w:keepLines w:val="0"/>
        <w:numPr>
          <w:ilvl w:val="2"/>
          <w:numId w:val="4"/>
        </w:numPr>
        <w:spacing w:before="0" w:line="360" w:lineRule="auto"/>
        <w:jc w:val="both"/>
        <w:rPr>
          <w:rFonts w:asciiTheme="majorBidi" w:hAnsiTheme="majorBidi"/>
          <w:b/>
          <w:bCs/>
          <w:color w:val="000000"/>
          <w:sz w:val="24"/>
          <w:szCs w:val="24"/>
          <w:lang w:val="fr-FR"/>
        </w:rPr>
      </w:pPr>
      <w:bookmarkStart w:id="1011" w:name="_Toc199714359"/>
      <w:bookmarkStart w:id="1012" w:name="_Toc200486639"/>
      <w:bookmarkStart w:id="1013" w:name="_Toc200635415"/>
      <w:bookmarkStart w:id="1014" w:name="_Toc200635803"/>
      <w:bookmarkStart w:id="1015" w:name="_Toc200636192"/>
      <w:bookmarkStart w:id="1016" w:name="_Toc200755929"/>
      <w:r w:rsidRPr="00430A10">
        <w:rPr>
          <w:rFonts w:asciiTheme="majorBidi" w:hAnsiTheme="majorBidi"/>
          <w:b/>
          <w:bCs/>
          <w:color w:val="000000"/>
          <w:sz w:val="24"/>
          <w:szCs w:val="24"/>
          <w:lang w:val="fr-FR"/>
        </w:rPr>
        <w:t>Suivi de la formation</w:t>
      </w:r>
      <w:bookmarkEnd w:id="1011"/>
      <w:bookmarkEnd w:id="1012"/>
      <w:bookmarkEnd w:id="1013"/>
      <w:bookmarkEnd w:id="1014"/>
      <w:bookmarkEnd w:id="1015"/>
      <w:bookmarkEnd w:id="1016"/>
    </w:p>
    <w:p w:rsidR="00E772DD" w:rsidRPr="00AD5F90" w:rsidRDefault="00E772DD" w:rsidP="00EB2AFE">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 suivi a pour objectif de s’assurer que les compétences acquises sont bien appliquées dans le cadre professionnel. Il repose sur deux volets complémentaires :</w:t>
      </w:r>
    </w:p>
    <w:p w:rsidR="00E772DD" w:rsidRPr="00AD5F90" w:rsidRDefault="00E772DD" w:rsidP="004D32AC">
      <w:pPr>
        <w:numPr>
          <w:ilvl w:val="0"/>
          <w:numId w:val="31"/>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Le suivi administratif</w:t>
      </w:r>
      <w:r w:rsidRPr="00AD5F90">
        <w:rPr>
          <w:rFonts w:asciiTheme="majorBidi" w:hAnsiTheme="majorBidi" w:cstheme="majorBidi"/>
          <w:color w:val="000000"/>
          <w:lang w:val="fr-FR"/>
        </w:rPr>
        <w:t> : il concerne l’organisation des sessions, la participation des employés et la conformité aux exigences réglementaires.</w:t>
      </w:r>
    </w:p>
    <w:p w:rsidR="00E772DD" w:rsidRPr="00490182" w:rsidRDefault="00E772DD" w:rsidP="004D32AC">
      <w:pPr>
        <w:numPr>
          <w:ilvl w:val="0"/>
          <w:numId w:val="31"/>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Le suivi comptable</w:t>
      </w:r>
      <w:r w:rsidRPr="00AD5F90">
        <w:rPr>
          <w:rFonts w:asciiTheme="majorBidi" w:hAnsiTheme="majorBidi" w:cstheme="majorBidi"/>
          <w:color w:val="000000"/>
          <w:lang w:val="fr-FR"/>
        </w:rPr>
        <w:t> : il permet d’évaluer les investissements réalisés et de vérifier l’adéquation entre les coûts engagés et les bénéfices obtenus.</w:t>
      </w:r>
    </w:p>
    <w:p w:rsidR="00E772DD" w:rsidRPr="00430A10" w:rsidRDefault="00E772DD" w:rsidP="004D32AC">
      <w:pPr>
        <w:pStyle w:val="Titre2"/>
        <w:keepNext w:val="0"/>
        <w:keepLines w:val="0"/>
        <w:numPr>
          <w:ilvl w:val="2"/>
          <w:numId w:val="4"/>
        </w:numPr>
        <w:spacing w:before="100" w:beforeAutospacing="1" w:line="360" w:lineRule="auto"/>
        <w:jc w:val="both"/>
        <w:rPr>
          <w:rFonts w:asciiTheme="majorBidi" w:hAnsiTheme="majorBidi"/>
          <w:b/>
          <w:bCs/>
          <w:color w:val="000000"/>
          <w:sz w:val="24"/>
          <w:szCs w:val="24"/>
          <w:lang w:val="fr-FR"/>
        </w:rPr>
      </w:pPr>
      <w:bookmarkStart w:id="1017" w:name="_Toc199714360"/>
      <w:bookmarkStart w:id="1018" w:name="_Toc200486640"/>
      <w:bookmarkStart w:id="1019" w:name="_Toc200635416"/>
      <w:bookmarkStart w:id="1020" w:name="_Toc200635804"/>
      <w:bookmarkStart w:id="1021" w:name="_Toc200636193"/>
      <w:bookmarkStart w:id="1022" w:name="_Toc200755930"/>
      <w:r w:rsidRPr="00430A10">
        <w:rPr>
          <w:rFonts w:asciiTheme="majorBidi" w:hAnsiTheme="majorBidi"/>
          <w:b/>
          <w:bCs/>
          <w:color w:val="000000"/>
          <w:sz w:val="24"/>
          <w:szCs w:val="24"/>
          <w:lang w:val="fr-FR"/>
        </w:rPr>
        <w:t>Évaluation de la formation</w:t>
      </w:r>
      <w:bookmarkEnd w:id="1017"/>
      <w:bookmarkEnd w:id="1018"/>
      <w:bookmarkEnd w:id="1019"/>
      <w:bookmarkEnd w:id="1020"/>
      <w:bookmarkEnd w:id="1021"/>
      <w:bookmarkEnd w:id="1022"/>
      <w:r w:rsidRPr="00430A10">
        <w:rPr>
          <w:rFonts w:asciiTheme="majorBidi" w:hAnsiTheme="majorBidi"/>
          <w:b/>
          <w:bCs/>
          <w:color w:val="000000"/>
          <w:sz w:val="24"/>
          <w:szCs w:val="24"/>
          <w:lang w:val="fr-FR"/>
        </w:rPr>
        <w:t xml:space="preserve"> </w:t>
      </w:r>
    </w:p>
    <w:p w:rsidR="00E772DD" w:rsidRPr="00AD5F90" w:rsidRDefault="00E772DD" w:rsidP="00EB2AFE">
      <w:pPr>
        <w:spacing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L’évaluation vise à mesurer l’efficacité du programme et à ajuster les futures actions de formation en fonction des résultats obtenus. Elle s’effectue à plusieurs niveaux :</w:t>
      </w:r>
    </w:p>
    <w:p w:rsidR="00E772DD" w:rsidRPr="00AD5F90" w:rsidRDefault="00E772DD" w:rsidP="004D32AC">
      <w:pPr>
        <w:numPr>
          <w:ilvl w:val="0"/>
          <w:numId w:val="32"/>
        </w:numPr>
        <w:spacing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Évaluation des participants</w:t>
      </w:r>
      <w:r w:rsidRPr="00AD5F90">
        <w:rPr>
          <w:rFonts w:asciiTheme="majorBidi" w:hAnsiTheme="majorBidi" w:cstheme="majorBidi"/>
          <w:color w:val="000000"/>
          <w:lang w:val="fr-FR"/>
        </w:rPr>
        <w:t> : tests de compétences avant et après la formation, questionnaires de satisfaction, entretiens d’évaluation.</w:t>
      </w:r>
    </w:p>
    <w:p w:rsidR="00E772DD" w:rsidRPr="00AD5F90" w:rsidRDefault="00E772DD" w:rsidP="004D32AC">
      <w:pPr>
        <w:numPr>
          <w:ilvl w:val="0"/>
          <w:numId w:val="32"/>
        </w:numPr>
        <w:spacing w:before="100" w:beforeAutospacing="1" w:after="100" w:after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Impact sur la performance</w:t>
      </w:r>
      <w:r w:rsidRPr="00AD5F90">
        <w:rPr>
          <w:rFonts w:asciiTheme="majorBidi" w:hAnsiTheme="majorBidi" w:cstheme="majorBidi"/>
          <w:color w:val="000000"/>
          <w:lang w:val="fr-FR"/>
        </w:rPr>
        <w:t> : observation des évolutions professionnelles des employés, amélioration des indicateurs de productivité.</w:t>
      </w:r>
    </w:p>
    <w:p w:rsidR="00E772DD" w:rsidRPr="00AD5F90" w:rsidRDefault="00E772DD" w:rsidP="004D32AC">
      <w:pPr>
        <w:numPr>
          <w:ilvl w:val="0"/>
          <w:numId w:val="32"/>
        </w:numPr>
        <w:spacing w:before="100" w:beforeAutospacing="1" w:line="360" w:lineRule="auto"/>
        <w:jc w:val="both"/>
        <w:rPr>
          <w:rFonts w:asciiTheme="majorBidi" w:hAnsiTheme="majorBidi" w:cstheme="majorBidi"/>
          <w:color w:val="000000"/>
          <w:lang w:val="fr-FR"/>
        </w:rPr>
      </w:pPr>
      <w:r w:rsidRPr="00AD5F90">
        <w:rPr>
          <w:rFonts w:asciiTheme="majorBidi" w:hAnsiTheme="majorBidi" w:cstheme="majorBidi"/>
          <w:b/>
          <w:bCs/>
          <w:color w:val="000000"/>
          <w:lang w:val="fr-FR"/>
        </w:rPr>
        <w:t>Appréciation globale</w:t>
      </w:r>
      <w:r w:rsidRPr="00AD5F90">
        <w:rPr>
          <w:rFonts w:asciiTheme="majorBidi" w:hAnsiTheme="majorBidi" w:cstheme="majorBidi"/>
          <w:color w:val="000000"/>
          <w:lang w:val="fr-FR"/>
        </w:rPr>
        <w:t> : adéquation entre les objectifs fixés et les résultats atteints, optimisation des futures formations</w:t>
      </w:r>
      <w:r w:rsidR="00430A10">
        <w:rPr>
          <w:rFonts w:asciiTheme="majorBidi" w:hAnsiTheme="majorBidi" w:cstheme="majorBidi"/>
          <w:color w:val="000000"/>
          <w:lang w:val="fr-FR"/>
        </w:rPr>
        <w:t>.</w:t>
      </w:r>
      <w:r w:rsidRPr="00AD5F90">
        <w:rPr>
          <w:rStyle w:val="Appelnotedebasdep"/>
          <w:rFonts w:cstheme="majorBidi"/>
          <w:color w:val="000000"/>
          <w:lang w:val="fr-FR"/>
        </w:rPr>
        <w:footnoteReference w:id="178"/>
      </w:r>
    </w:p>
    <w:p w:rsidR="00430A10" w:rsidRPr="00F05810" w:rsidRDefault="00E772DD" w:rsidP="00F05810">
      <w:pPr>
        <w:pStyle w:val="Titre2"/>
        <w:spacing w:before="0" w:line="360" w:lineRule="auto"/>
        <w:jc w:val="both"/>
        <w:rPr>
          <w:rFonts w:asciiTheme="majorBidi" w:hAnsiTheme="majorBidi"/>
          <w:color w:val="000000"/>
          <w:sz w:val="24"/>
          <w:szCs w:val="24"/>
          <w:lang w:val="fr-FR"/>
        </w:rPr>
      </w:pPr>
      <w:bookmarkStart w:id="1023" w:name="_Toc199685156"/>
      <w:bookmarkStart w:id="1024" w:name="_Toc199713980"/>
      <w:bookmarkStart w:id="1025" w:name="_Toc199714361"/>
      <w:bookmarkStart w:id="1026" w:name="_Toc200486641"/>
      <w:bookmarkStart w:id="1027" w:name="_Toc200635417"/>
      <w:bookmarkStart w:id="1028" w:name="_Toc200635805"/>
      <w:bookmarkStart w:id="1029" w:name="_Toc200636194"/>
      <w:bookmarkStart w:id="1030" w:name="_Toc200755931"/>
      <w:r w:rsidRPr="00AD5F90">
        <w:rPr>
          <w:rFonts w:asciiTheme="majorBidi" w:hAnsiTheme="majorBidi"/>
          <w:color w:val="000000"/>
          <w:sz w:val="24"/>
          <w:szCs w:val="24"/>
          <w:lang w:val="fr-FR"/>
        </w:rPr>
        <w:lastRenderedPageBreak/>
        <w:t>Le processus de formation doit être pensé comme un cycle d’amélioration continue. Une bonne évaluation permet d’optimiser les futurs programmes et d’adapter les méthodes aux besoins évolutifs de l’entreprise</w:t>
      </w:r>
      <w:r w:rsidR="00430A10">
        <w:rPr>
          <w:rFonts w:asciiTheme="majorBidi" w:hAnsiTheme="majorBidi"/>
          <w:color w:val="000000"/>
          <w:sz w:val="24"/>
          <w:szCs w:val="24"/>
          <w:lang w:val="fr-FR"/>
        </w:rPr>
        <w:t>.</w:t>
      </w:r>
      <w:r w:rsidRPr="00AD5F90">
        <w:rPr>
          <w:rStyle w:val="Appelnotedebasdep"/>
          <w:color w:val="000000"/>
          <w:sz w:val="24"/>
          <w:szCs w:val="24"/>
          <w:lang w:val="fr-FR"/>
        </w:rPr>
        <w:footnoteReference w:id="179"/>
      </w:r>
      <w:bookmarkEnd w:id="1023"/>
      <w:bookmarkEnd w:id="1024"/>
      <w:bookmarkEnd w:id="1025"/>
      <w:bookmarkEnd w:id="1026"/>
      <w:bookmarkEnd w:id="1027"/>
      <w:bookmarkEnd w:id="1028"/>
      <w:bookmarkEnd w:id="1029"/>
      <w:bookmarkEnd w:id="1030"/>
    </w:p>
    <w:p w:rsidR="00E772DD" w:rsidRPr="00430A10" w:rsidRDefault="00E772DD" w:rsidP="004D32AC">
      <w:pPr>
        <w:pStyle w:val="Titre2"/>
        <w:keepNext w:val="0"/>
        <w:keepLines w:val="0"/>
        <w:numPr>
          <w:ilvl w:val="1"/>
          <w:numId w:val="4"/>
        </w:numPr>
        <w:spacing w:before="240" w:line="360" w:lineRule="auto"/>
        <w:jc w:val="both"/>
        <w:rPr>
          <w:rFonts w:asciiTheme="majorBidi" w:hAnsiTheme="majorBidi"/>
          <w:b/>
          <w:bCs/>
          <w:color w:val="000000"/>
          <w:sz w:val="24"/>
          <w:szCs w:val="24"/>
          <w:lang w:val="fr-FR"/>
        </w:rPr>
      </w:pPr>
      <w:bookmarkStart w:id="1031" w:name="_Toc199714362"/>
      <w:bookmarkStart w:id="1032" w:name="_Toc200486642"/>
      <w:bookmarkStart w:id="1033" w:name="_Toc200635418"/>
      <w:bookmarkStart w:id="1034" w:name="_Toc200635806"/>
      <w:bookmarkStart w:id="1035" w:name="_Toc200636195"/>
      <w:bookmarkStart w:id="1036" w:name="_Toc200755932"/>
      <w:r w:rsidRPr="00430A10">
        <w:rPr>
          <w:rFonts w:asciiTheme="majorBidi" w:hAnsiTheme="majorBidi"/>
          <w:b/>
          <w:bCs/>
          <w:color w:val="000000"/>
          <w:sz w:val="24"/>
          <w:szCs w:val="24"/>
          <w:lang w:val="fr-FR"/>
        </w:rPr>
        <w:t>Défis de la formation</w:t>
      </w:r>
      <w:bookmarkEnd w:id="1031"/>
      <w:bookmarkEnd w:id="1032"/>
      <w:bookmarkEnd w:id="1033"/>
      <w:bookmarkEnd w:id="1034"/>
      <w:bookmarkEnd w:id="1035"/>
      <w:bookmarkEnd w:id="1036"/>
    </w:p>
    <w:p w:rsidR="00E772DD" w:rsidRPr="00AD5F90" w:rsidRDefault="00E772DD" w:rsidP="00AA69F4">
      <w:pPr>
        <w:pStyle w:val="NormalWeb"/>
        <w:spacing w:before="0" w:before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La formation est cruciale pour le développement des compétences et la performance, mais elle fait face à des défis budgétaires, au changement et à l'intégration des nouvelles technologies.</w:t>
      </w:r>
    </w:p>
    <w:p w:rsidR="00E772DD" w:rsidRPr="003B5837" w:rsidRDefault="00E772DD" w:rsidP="003B5837">
      <w:pPr>
        <w:pStyle w:val="NormalWeb"/>
        <w:spacing w:line="360" w:lineRule="auto"/>
        <w:jc w:val="center"/>
        <w:rPr>
          <w:rFonts w:asciiTheme="majorBidi" w:hAnsiTheme="majorBidi" w:cstheme="majorBidi"/>
          <w:color w:val="000000"/>
          <w:lang w:val="fr-FR"/>
        </w:rPr>
      </w:pPr>
      <w:r w:rsidRPr="00AD5F90">
        <w:rPr>
          <w:rFonts w:asciiTheme="majorBidi" w:hAnsiTheme="majorBidi" w:cstheme="majorBidi"/>
          <w:b/>
          <w:bCs/>
          <w:noProof/>
          <w:color w:val="000000"/>
          <w:lang w:val="fr-FR"/>
          <w14:ligatures w14:val="standardContextual"/>
        </w:rPr>
        <w:drawing>
          <wp:anchor distT="0" distB="0" distL="114300" distR="114300" simplePos="0" relativeHeight="251670528" behindDoc="0" locked="0" layoutInCell="1" allowOverlap="1">
            <wp:simplePos x="0" y="0"/>
            <wp:positionH relativeFrom="column">
              <wp:posOffset>92710</wp:posOffset>
            </wp:positionH>
            <wp:positionV relativeFrom="paragraph">
              <wp:posOffset>280670</wp:posOffset>
            </wp:positionV>
            <wp:extent cx="5864860" cy="1969770"/>
            <wp:effectExtent l="0" t="38100" r="0" b="74930"/>
            <wp:wrapTopAndBottom/>
            <wp:docPr id="1579934522"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14:sizeRelH relativeFrom="page">
              <wp14:pctWidth>0</wp14:pctWidth>
            </wp14:sizeRelH>
            <wp14:sizeRelV relativeFrom="page">
              <wp14:pctHeight>0</wp14:pctHeight>
            </wp14:sizeRelV>
          </wp:anchor>
        </w:drawing>
      </w:r>
      <w:r w:rsidRPr="00AD5F90">
        <w:rPr>
          <w:rFonts w:asciiTheme="majorBidi" w:hAnsiTheme="majorBidi" w:cstheme="majorBidi"/>
          <w:b/>
          <w:bCs/>
          <w:color w:val="000000"/>
          <w:lang w:val="fr-FR"/>
        </w:rPr>
        <w:t xml:space="preserve">Figure </w:t>
      </w:r>
      <w:r>
        <w:rPr>
          <w:rFonts w:asciiTheme="majorBidi" w:hAnsiTheme="majorBidi" w:cstheme="majorBidi"/>
          <w:b/>
          <w:bCs/>
          <w:color w:val="000000"/>
          <w:lang w:val="fr-FR"/>
        </w:rPr>
        <w:t>N°12</w:t>
      </w:r>
      <w:r w:rsidRPr="00AD5F90">
        <w:rPr>
          <w:rFonts w:asciiTheme="majorBidi" w:hAnsiTheme="majorBidi" w:cstheme="majorBidi"/>
          <w:b/>
          <w:bCs/>
          <w:color w:val="000000"/>
          <w:lang w:val="fr-FR"/>
        </w:rPr>
        <w:t xml:space="preserve"> : </w:t>
      </w:r>
      <w:r w:rsidRPr="00490182">
        <w:rPr>
          <w:rFonts w:asciiTheme="majorBidi" w:hAnsiTheme="majorBidi" w:cstheme="majorBidi"/>
          <w:color w:val="000000"/>
          <w:lang w:val="fr-FR"/>
        </w:rPr>
        <w:t>Défis de la formation traditionnelle</w:t>
      </w:r>
    </w:p>
    <w:p w:rsidR="003B5837" w:rsidRDefault="003B5837" w:rsidP="003B5837">
      <w:pPr>
        <w:pStyle w:val="Titre2"/>
        <w:spacing w:after="240" w:line="360" w:lineRule="auto"/>
        <w:jc w:val="center"/>
        <w:rPr>
          <w:rFonts w:asciiTheme="majorBidi" w:hAnsiTheme="majorBidi"/>
          <w:b/>
          <w:bCs/>
          <w:color w:val="000000"/>
          <w:sz w:val="24"/>
          <w:szCs w:val="24"/>
          <w:lang w:val="fr-FR"/>
        </w:rPr>
      </w:pPr>
      <w:bookmarkStart w:id="1037" w:name="_Toc199685158"/>
      <w:bookmarkStart w:id="1038" w:name="_Toc199713982"/>
      <w:bookmarkStart w:id="1039" w:name="_Toc199714363"/>
    </w:p>
    <w:p w:rsidR="00E772DD" w:rsidRPr="00AD5F90" w:rsidRDefault="00E772DD" w:rsidP="003B5837">
      <w:pPr>
        <w:pStyle w:val="Titre2"/>
        <w:spacing w:after="240" w:line="360" w:lineRule="auto"/>
        <w:jc w:val="center"/>
        <w:rPr>
          <w:rFonts w:asciiTheme="majorBidi" w:hAnsiTheme="majorBidi"/>
          <w:b/>
          <w:bCs/>
          <w:color w:val="000000"/>
          <w:sz w:val="24"/>
          <w:szCs w:val="24"/>
          <w:lang w:val="fr-FR"/>
        </w:rPr>
      </w:pPr>
      <w:bookmarkStart w:id="1040" w:name="_Toc200486643"/>
      <w:bookmarkStart w:id="1041" w:name="_Toc200635419"/>
      <w:bookmarkStart w:id="1042" w:name="_Toc200635807"/>
      <w:bookmarkStart w:id="1043" w:name="_Toc200636196"/>
      <w:bookmarkStart w:id="1044" w:name="_Toc200755933"/>
      <w:r w:rsidRPr="00430A10">
        <w:rPr>
          <w:rFonts w:asciiTheme="majorBidi" w:hAnsiTheme="majorBidi"/>
          <w:b/>
          <w:bCs/>
          <w:color w:val="000000"/>
          <w:sz w:val="24"/>
          <w:szCs w:val="24"/>
          <w:lang w:val="fr-FR"/>
        </w:rPr>
        <w:t>Source :</w:t>
      </w:r>
      <w:r w:rsidRPr="00AD5F90">
        <w:rPr>
          <w:rFonts w:asciiTheme="majorBidi" w:hAnsiTheme="majorBidi"/>
          <w:color w:val="000000"/>
          <w:sz w:val="24"/>
          <w:szCs w:val="24"/>
          <w:lang w:val="fr-FR"/>
        </w:rPr>
        <w:t xml:space="preserve"> Adapté de </w:t>
      </w:r>
      <w:proofErr w:type="spellStart"/>
      <w:r w:rsidRPr="00AD5F90">
        <w:rPr>
          <w:rFonts w:asciiTheme="majorBidi" w:hAnsiTheme="majorBidi"/>
          <w:color w:val="000000"/>
          <w:sz w:val="24"/>
          <w:szCs w:val="24"/>
          <w:lang w:val="fr-FR"/>
        </w:rPr>
        <w:t>Aguinis</w:t>
      </w:r>
      <w:proofErr w:type="spellEnd"/>
      <w:r w:rsidRPr="00AD5F90">
        <w:rPr>
          <w:rFonts w:asciiTheme="majorBidi" w:hAnsiTheme="majorBidi"/>
          <w:color w:val="000000"/>
          <w:sz w:val="24"/>
          <w:szCs w:val="24"/>
          <w:lang w:val="fr-FR"/>
        </w:rPr>
        <w:t xml:space="preserve"> &amp; </w:t>
      </w:r>
      <w:proofErr w:type="spellStart"/>
      <w:r w:rsidRPr="00AD5F90">
        <w:rPr>
          <w:rFonts w:asciiTheme="majorBidi" w:hAnsiTheme="majorBidi"/>
          <w:color w:val="000000"/>
          <w:sz w:val="24"/>
          <w:szCs w:val="24"/>
          <w:lang w:val="fr-FR"/>
        </w:rPr>
        <w:t>Kraiger</w:t>
      </w:r>
      <w:proofErr w:type="spellEnd"/>
      <w:r w:rsidRPr="00AD5F90">
        <w:rPr>
          <w:rFonts w:asciiTheme="majorBidi" w:hAnsiTheme="majorBidi"/>
          <w:color w:val="000000"/>
          <w:sz w:val="24"/>
          <w:szCs w:val="24"/>
          <w:lang w:val="fr-FR"/>
        </w:rPr>
        <w:t xml:space="preserve"> (2009), </w:t>
      </w:r>
      <w:proofErr w:type="spellStart"/>
      <w:r w:rsidRPr="00AD5F90">
        <w:rPr>
          <w:rFonts w:asciiTheme="majorBidi" w:hAnsiTheme="majorBidi"/>
          <w:color w:val="000000"/>
          <w:sz w:val="24"/>
          <w:szCs w:val="24"/>
          <w:lang w:val="fr-FR"/>
        </w:rPr>
        <w:t>Noe</w:t>
      </w:r>
      <w:proofErr w:type="spellEnd"/>
      <w:r w:rsidRPr="00AD5F90">
        <w:rPr>
          <w:rFonts w:asciiTheme="majorBidi" w:hAnsiTheme="majorBidi"/>
          <w:color w:val="000000"/>
          <w:sz w:val="24"/>
          <w:szCs w:val="24"/>
          <w:lang w:val="fr-FR"/>
        </w:rPr>
        <w:t xml:space="preserve"> et al. (2019), Salas et al. (2012), Tannenbaum &amp; </w:t>
      </w:r>
      <w:proofErr w:type="spellStart"/>
      <w:r w:rsidRPr="00AD5F90">
        <w:rPr>
          <w:rFonts w:asciiTheme="majorBidi" w:hAnsiTheme="majorBidi"/>
          <w:color w:val="000000"/>
          <w:sz w:val="24"/>
          <w:szCs w:val="24"/>
          <w:lang w:val="fr-FR"/>
        </w:rPr>
        <w:t>Yukl</w:t>
      </w:r>
      <w:proofErr w:type="spellEnd"/>
      <w:r w:rsidRPr="00AD5F90">
        <w:rPr>
          <w:rFonts w:asciiTheme="majorBidi" w:hAnsiTheme="majorBidi"/>
          <w:color w:val="000000"/>
          <w:sz w:val="24"/>
          <w:szCs w:val="24"/>
          <w:lang w:val="fr-FR"/>
        </w:rPr>
        <w:t xml:space="preserve"> (1992), et </w:t>
      </w:r>
      <w:proofErr w:type="spellStart"/>
      <w:r w:rsidRPr="00AD5F90">
        <w:rPr>
          <w:rFonts w:asciiTheme="majorBidi" w:hAnsiTheme="majorBidi"/>
          <w:color w:val="000000"/>
          <w:sz w:val="24"/>
          <w:szCs w:val="24"/>
          <w:lang w:val="fr-FR"/>
        </w:rPr>
        <w:t>Garavan</w:t>
      </w:r>
      <w:proofErr w:type="spellEnd"/>
      <w:r w:rsidRPr="00AD5F90">
        <w:rPr>
          <w:rFonts w:asciiTheme="majorBidi" w:hAnsiTheme="majorBidi"/>
          <w:color w:val="000000"/>
          <w:sz w:val="24"/>
          <w:szCs w:val="24"/>
          <w:lang w:val="fr-FR"/>
        </w:rPr>
        <w:t xml:space="preserve"> et al. (2016).</w:t>
      </w:r>
      <w:bookmarkEnd w:id="1037"/>
      <w:bookmarkEnd w:id="1038"/>
      <w:bookmarkEnd w:id="1039"/>
      <w:bookmarkEnd w:id="1040"/>
      <w:bookmarkEnd w:id="1041"/>
      <w:bookmarkEnd w:id="1042"/>
      <w:bookmarkEnd w:id="1043"/>
      <w:bookmarkEnd w:id="1044"/>
    </w:p>
    <w:p w:rsidR="00E772DD" w:rsidRPr="00430A10" w:rsidRDefault="00E772DD" w:rsidP="004D32AC">
      <w:pPr>
        <w:pStyle w:val="Titre2"/>
        <w:keepNext w:val="0"/>
        <w:keepLines w:val="0"/>
        <w:numPr>
          <w:ilvl w:val="2"/>
          <w:numId w:val="4"/>
        </w:numPr>
        <w:spacing w:before="0" w:line="360" w:lineRule="auto"/>
        <w:jc w:val="both"/>
        <w:rPr>
          <w:rFonts w:asciiTheme="majorBidi" w:hAnsiTheme="majorBidi"/>
          <w:b/>
          <w:bCs/>
          <w:color w:val="000000"/>
          <w:sz w:val="24"/>
          <w:szCs w:val="24"/>
          <w:lang w:val="fr-FR"/>
        </w:rPr>
      </w:pPr>
      <w:bookmarkStart w:id="1045" w:name="_Toc199714364"/>
      <w:bookmarkStart w:id="1046" w:name="_Toc200486644"/>
      <w:bookmarkStart w:id="1047" w:name="_Toc200635420"/>
      <w:bookmarkStart w:id="1048" w:name="_Toc200635808"/>
      <w:bookmarkStart w:id="1049" w:name="_Toc200636197"/>
      <w:bookmarkStart w:id="1050" w:name="_Toc200755934"/>
      <w:r w:rsidRPr="00430A10">
        <w:rPr>
          <w:rFonts w:asciiTheme="majorBidi" w:hAnsiTheme="majorBidi"/>
          <w:b/>
          <w:bCs/>
          <w:color w:val="000000"/>
          <w:sz w:val="24"/>
          <w:szCs w:val="24"/>
          <w:lang w:val="fr-FR"/>
        </w:rPr>
        <w:t>Contraintes budgétaires et optimisation des coûts</w:t>
      </w:r>
      <w:bookmarkEnd w:id="1045"/>
      <w:bookmarkEnd w:id="1046"/>
      <w:bookmarkEnd w:id="1047"/>
      <w:bookmarkEnd w:id="1048"/>
      <w:bookmarkEnd w:id="1049"/>
      <w:bookmarkEnd w:id="1050"/>
    </w:p>
    <w:p w:rsidR="00E772DD" w:rsidRDefault="00E772DD" w:rsidP="00430A10">
      <w:pPr>
        <w:pStyle w:val="Titre2"/>
        <w:spacing w:before="0" w:after="240" w:line="360" w:lineRule="auto"/>
        <w:jc w:val="both"/>
        <w:rPr>
          <w:rFonts w:asciiTheme="majorBidi" w:hAnsiTheme="majorBidi"/>
          <w:color w:val="000000"/>
          <w:sz w:val="24"/>
          <w:szCs w:val="24"/>
          <w:lang w:val="fr-FR"/>
        </w:rPr>
      </w:pPr>
      <w:bookmarkStart w:id="1051" w:name="_Toc199685160"/>
      <w:bookmarkStart w:id="1052" w:name="_Toc199713984"/>
      <w:bookmarkStart w:id="1053" w:name="_Toc199714365"/>
      <w:bookmarkStart w:id="1054" w:name="_Toc200486645"/>
      <w:bookmarkStart w:id="1055" w:name="_Toc200635421"/>
      <w:bookmarkStart w:id="1056" w:name="_Toc200635809"/>
      <w:bookmarkStart w:id="1057" w:name="_Toc200636198"/>
      <w:bookmarkStart w:id="1058" w:name="_Toc200755935"/>
      <w:r w:rsidRPr="00AD5F90">
        <w:rPr>
          <w:rFonts w:asciiTheme="majorBidi" w:hAnsiTheme="majorBidi"/>
          <w:color w:val="000000"/>
          <w:sz w:val="24"/>
          <w:szCs w:val="24"/>
          <w:lang w:val="fr-FR"/>
        </w:rPr>
        <w:t>La formation représente un coût important, surtout pour les PME, incluant les frais pédagogiques, les formateurs, les dépenses logistiques et la perte de productivité due à l’indisponibilité des salariés</w:t>
      </w:r>
      <w:r w:rsidR="00430A10">
        <w:rPr>
          <w:rFonts w:asciiTheme="majorBidi" w:hAnsiTheme="majorBidi"/>
          <w:color w:val="000000"/>
          <w:sz w:val="24"/>
          <w:szCs w:val="24"/>
          <w:lang w:val="fr-FR"/>
        </w:rPr>
        <w:t>.</w:t>
      </w:r>
      <w:r w:rsidRPr="00AD5F90">
        <w:rPr>
          <w:rFonts w:asciiTheme="majorBidi" w:hAnsiTheme="majorBidi"/>
          <w:color w:val="000000"/>
          <w:sz w:val="24"/>
          <w:szCs w:val="24"/>
          <w:lang w:val="fr-FR"/>
        </w:rPr>
        <w:t xml:space="preserve"> Une mauvaise gestion budgétaire peut compromettre la pérennité des initiatives de formation et limiter leur impact.</w:t>
      </w:r>
      <w:r w:rsidR="00430A10">
        <w:rPr>
          <w:rStyle w:val="Appelnotedebasdep"/>
          <w:color w:val="000000"/>
          <w:sz w:val="24"/>
          <w:szCs w:val="24"/>
          <w:lang w:val="fr-FR"/>
        </w:rPr>
        <w:footnoteReference w:id="180"/>
      </w:r>
      <w:bookmarkEnd w:id="1051"/>
      <w:bookmarkEnd w:id="1052"/>
      <w:bookmarkEnd w:id="1053"/>
      <w:bookmarkEnd w:id="1054"/>
      <w:bookmarkEnd w:id="1055"/>
      <w:bookmarkEnd w:id="1056"/>
      <w:bookmarkEnd w:id="1057"/>
      <w:bookmarkEnd w:id="1058"/>
    </w:p>
    <w:p w:rsidR="00F05810" w:rsidRDefault="00F05810" w:rsidP="00F05810">
      <w:pPr>
        <w:rPr>
          <w:lang w:val="fr-FR"/>
        </w:rPr>
      </w:pPr>
    </w:p>
    <w:p w:rsidR="00F05810" w:rsidRDefault="00F05810" w:rsidP="00F05810">
      <w:pPr>
        <w:rPr>
          <w:lang w:val="fr-FR"/>
        </w:rPr>
      </w:pPr>
    </w:p>
    <w:p w:rsidR="00F05810" w:rsidRDefault="00F05810" w:rsidP="00F05810">
      <w:pPr>
        <w:rPr>
          <w:lang w:val="fr-FR"/>
        </w:rPr>
      </w:pPr>
    </w:p>
    <w:p w:rsidR="00F05810" w:rsidRDefault="00F05810" w:rsidP="00F05810">
      <w:pPr>
        <w:rPr>
          <w:lang w:val="fr-FR"/>
        </w:rPr>
      </w:pPr>
    </w:p>
    <w:p w:rsidR="00F05810" w:rsidRDefault="00F05810" w:rsidP="00F05810">
      <w:pPr>
        <w:rPr>
          <w:lang w:val="fr-FR"/>
        </w:rPr>
      </w:pPr>
    </w:p>
    <w:p w:rsidR="00F05810" w:rsidRDefault="00F05810" w:rsidP="00F05810">
      <w:pPr>
        <w:rPr>
          <w:lang w:val="fr-FR"/>
        </w:rPr>
      </w:pPr>
    </w:p>
    <w:p w:rsidR="00F05810" w:rsidRDefault="00F05810" w:rsidP="00F05810">
      <w:pPr>
        <w:rPr>
          <w:lang w:val="fr-FR"/>
        </w:rPr>
      </w:pPr>
    </w:p>
    <w:p w:rsidR="00F05810" w:rsidRPr="00F05810" w:rsidRDefault="00F05810" w:rsidP="00F05810">
      <w:pPr>
        <w:rPr>
          <w:lang w:val="fr-FR"/>
        </w:rPr>
      </w:pPr>
    </w:p>
    <w:p w:rsidR="00E772DD" w:rsidRPr="00430A10" w:rsidRDefault="00E772DD" w:rsidP="004D32AC">
      <w:pPr>
        <w:pStyle w:val="Titre2"/>
        <w:keepNext w:val="0"/>
        <w:keepLines w:val="0"/>
        <w:numPr>
          <w:ilvl w:val="2"/>
          <w:numId w:val="4"/>
        </w:numPr>
        <w:spacing w:before="0" w:line="360" w:lineRule="auto"/>
        <w:jc w:val="both"/>
        <w:rPr>
          <w:rFonts w:asciiTheme="majorBidi" w:hAnsiTheme="majorBidi"/>
          <w:b/>
          <w:bCs/>
          <w:color w:val="000000"/>
          <w:sz w:val="24"/>
          <w:szCs w:val="24"/>
          <w:lang w:val="fr-FR"/>
        </w:rPr>
      </w:pPr>
      <w:bookmarkStart w:id="1059" w:name="_Toc199714366"/>
      <w:bookmarkStart w:id="1060" w:name="_Toc200486646"/>
      <w:bookmarkStart w:id="1061" w:name="_Toc200635422"/>
      <w:bookmarkStart w:id="1062" w:name="_Toc200635810"/>
      <w:bookmarkStart w:id="1063" w:name="_Toc200636199"/>
      <w:bookmarkStart w:id="1064" w:name="_Toc200755936"/>
      <w:r w:rsidRPr="00430A10">
        <w:rPr>
          <w:rFonts w:asciiTheme="majorBidi" w:hAnsiTheme="majorBidi"/>
          <w:b/>
          <w:bCs/>
          <w:color w:val="000000"/>
          <w:sz w:val="24"/>
          <w:szCs w:val="24"/>
          <w:lang w:val="fr-FR"/>
        </w:rPr>
        <w:lastRenderedPageBreak/>
        <w:t>Difficulté d’identification des besoins réels</w:t>
      </w:r>
      <w:bookmarkEnd w:id="1059"/>
      <w:bookmarkEnd w:id="1060"/>
      <w:bookmarkEnd w:id="1061"/>
      <w:bookmarkEnd w:id="1062"/>
      <w:bookmarkEnd w:id="1063"/>
      <w:bookmarkEnd w:id="1064"/>
    </w:p>
    <w:p w:rsidR="00E772DD" w:rsidRPr="00AD5F90" w:rsidRDefault="00E772DD" w:rsidP="00AA69F4">
      <w:pPr>
        <w:pStyle w:val="Titre2"/>
        <w:spacing w:before="0" w:after="240" w:line="360" w:lineRule="auto"/>
        <w:jc w:val="both"/>
        <w:rPr>
          <w:rFonts w:asciiTheme="majorBidi" w:hAnsiTheme="majorBidi"/>
          <w:b/>
          <w:bCs/>
          <w:color w:val="000000"/>
          <w:sz w:val="24"/>
          <w:szCs w:val="24"/>
          <w:lang w:val="fr-FR"/>
        </w:rPr>
      </w:pPr>
      <w:bookmarkStart w:id="1065" w:name="_Toc199685162"/>
      <w:bookmarkStart w:id="1066" w:name="_Toc199713986"/>
      <w:bookmarkStart w:id="1067" w:name="_Toc199714367"/>
      <w:bookmarkStart w:id="1068" w:name="_Toc200486647"/>
      <w:bookmarkStart w:id="1069" w:name="_Toc200635423"/>
      <w:bookmarkStart w:id="1070" w:name="_Toc200635811"/>
      <w:bookmarkStart w:id="1071" w:name="_Toc200636200"/>
      <w:bookmarkStart w:id="1072" w:name="_Toc200755937"/>
      <w:r w:rsidRPr="00AD5F90">
        <w:rPr>
          <w:rFonts w:asciiTheme="majorBidi" w:hAnsiTheme="majorBidi"/>
          <w:color w:val="000000"/>
          <w:sz w:val="24"/>
          <w:szCs w:val="24"/>
          <w:lang w:val="fr-FR"/>
        </w:rPr>
        <w:t>Une formation efficace dépend d’une analyse précise des compétences à acquérir. Beaucoup d’entreprises peinent à définir ces besoins, ce qui entraîne des formations inadaptées</w:t>
      </w:r>
      <w:r w:rsidR="00430A10">
        <w:rPr>
          <w:rFonts w:asciiTheme="majorBidi" w:hAnsiTheme="majorBidi"/>
          <w:color w:val="000000"/>
          <w:sz w:val="24"/>
          <w:szCs w:val="24"/>
          <w:lang w:val="fr-FR"/>
        </w:rPr>
        <w:t>.</w:t>
      </w:r>
      <w:r w:rsidRPr="00AD5F90">
        <w:rPr>
          <w:rStyle w:val="Appelnotedebasdep"/>
          <w:color w:val="000000"/>
          <w:sz w:val="24"/>
          <w:szCs w:val="24"/>
          <w:lang w:val="fr-FR"/>
        </w:rPr>
        <w:footnoteReference w:id="181"/>
      </w:r>
      <w:bookmarkEnd w:id="1065"/>
      <w:bookmarkEnd w:id="1066"/>
      <w:bookmarkEnd w:id="1067"/>
      <w:bookmarkEnd w:id="1068"/>
      <w:bookmarkEnd w:id="1069"/>
      <w:bookmarkEnd w:id="1070"/>
      <w:bookmarkEnd w:id="1071"/>
      <w:bookmarkEnd w:id="1072"/>
    </w:p>
    <w:p w:rsidR="00E772DD" w:rsidRPr="00430A10" w:rsidRDefault="00E772DD" w:rsidP="004D32AC">
      <w:pPr>
        <w:pStyle w:val="Titre2"/>
        <w:keepNext w:val="0"/>
        <w:keepLines w:val="0"/>
        <w:numPr>
          <w:ilvl w:val="2"/>
          <w:numId w:val="4"/>
        </w:numPr>
        <w:spacing w:before="0" w:line="360" w:lineRule="auto"/>
        <w:jc w:val="both"/>
        <w:rPr>
          <w:rFonts w:asciiTheme="majorBidi" w:hAnsiTheme="majorBidi"/>
          <w:b/>
          <w:bCs/>
          <w:color w:val="000000"/>
          <w:sz w:val="24"/>
          <w:szCs w:val="24"/>
          <w:lang w:val="fr-FR"/>
        </w:rPr>
      </w:pPr>
      <w:bookmarkStart w:id="1073" w:name="_Toc199714368"/>
      <w:bookmarkStart w:id="1074" w:name="_Toc200486648"/>
      <w:bookmarkStart w:id="1075" w:name="_Toc200635424"/>
      <w:bookmarkStart w:id="1076" w:name="_Toc200635812"/>
      <w:bookmarkStart w:id="1077" w:name="_Toc200636201"/>
      <w:bookmarkStart w:id="1078" w:name="_Toc200755938"/>
      <w:r w:rsidRPr="00430A10">
        <w:rPr>
          <w:rFonts w:asciiTheme="majorBidi" w:hAnsiTheme="majorBidi"/>
          <w:b/>
          <w:bCs/>
          <w:color w:val="000000"/>
          <w:sz w:val="24"/>
          <w:szCs w:val="24"/>
          <w:lang w:val="fr-FR"/>
        </w:rPr>
        <w:t>Manque de motivation et résistance au changement</w:t>
      </w:r>
      <w:bookmarkEnd w:id="1073"/>
      <w:bookmarkEnd w:id="1074"/>
      <w:bookmarkEnd w:id="1075"/>
      <w:bookmarkEnd w:id="1076"/>
      <w:bookmarkEnd w:id="1077"/>
      <w:bookmarkEnd w:id="1078"/>
    </w:p>
    <w:p w:rsidR="00E772DD" w:rsidRPr="00AD5F90" w:rsidRDefault="00E772DD" w:rsidP="00AA69F4">
      <w:pPr>
        <w:pStyle w:val="Titre2"/>
        <w:spacing w:before="0" w:after="240" w:line="360" w:lineRule="auto"/>
        <w:jc w:val="both"/>
        <w:rPr>
          <w:rFonts w:asciiTheme="majorBidi" w:hAnsiTheme="majorBidi"/>
          <w:b/>
          <w:bCs/>
          <w:color w:val="000000"/>
          <w:sz w:val="24"/>
          <w:szCs w:val="24"/>
          <w:lang w:val="fr-FR"/>
        </w:rPr>
      </w:pPr>
      <w:bookmarkStart w:id="1079" w:name="_Toc199685164"/>
      <w:bookmarkStart w:id="1080" w:name="_Toc199713988"/>
      <w:bookmarkStart w:id="1081" w:name="_Toc199714369"/>
      <w:bookmarkStart w:id="1082" w:name="_Toc200486649"/>
      <w:bookmarkStart w:id="1083" w:name="_Toc200635425"/>
      <w:bookmarkStart w:id="1084" w:name="_Toc200635813"/>
      <w:bookmarkStart w:id="1085" w:name="_Toc200636202"/>
      <w:bookmarkStart w:id="1086" w:name="_Toc200755939"/>
      <w:r w:rsidRPr="00AD5F90">
        <w:rPr>
          <w:rFonts w:asciiTheme="majorBidi" w:hAnsiTheme="majorBidi"/>
          <w:color w:val="000000"/>
          <w:sz w:val="24"/>
          <w:szCs w:val="24"/>
          <w:lang w:val="fr-FR"/>
        </w:rPr>
        <w:t>Les employés ne voient pas toujours la formation comme un atout. Un manque de sensibilisation aux avantages peut entraîner une faible participation, surtout lorsque les formations sont perçues comme une contrainte plutôt qu'une opportunité d'évolution.</w:t>
      </w:r>
      <w:r w:rsidRPr="00AD5F90">
        <w:rPr>
          <w:rStyle w:val="Appelnotedebasdep"/>
          <w:color w:val="000000"/>
          <w:sz w:val="24"/>
          <w:szCs w:val="24"/>
          <w:lang w:val="fr-FR"/>
        </w:rPr>
        <w:footnoteReference w:id="182"/>
      </w:r>
      <w:bookmarkEnd w:id="1079"/>
      <w:bookmarkEnd w:id="1080"/>
      <w:bookmarkEnd w:id="1081"/>
      <w:bookmarkEnd w:id="1082"/>
      <w:bookmarkEnd w:id="1083"/>
      <w:bookmarkEnd w:id="1084"/>
      <w:bookmarkEnd w:id="1085"/>
      <w:bookmarkEnd w:id="1086"/>
    </w:p>
    <w:p w:rsidR="00E772DD" w:rsidRPr="00430A10" w:rsidRDefault="00E772DD" w:rsidP="004D32AC">
      <w:pPr>
        <w:pStyle w:val="Titre2"/>
        <w:keepNext w:val="0"/>
        <w:keepLines w:val="0"/>
        <w:numPr>
          <w:ilvl w:val="2"/>
          <w:numId w:val="4"/>
        </w:numPr>
        <w:spacing w:before="0" w:line="360" w:lineRule="auto"/>
        <w:jc w:val="both"/>
        <w:rPr>
          <w:rFonts w:asciiTheme="majorBidi" w:hAnsiTheme="majorBidi"/>
          <w:b/>
          <w:bCs/>
          <w:color w:val="000000"/>
          <w:sz w:val="24"/>
          <w:szCs w:val="24"/>
          <w:lang w:val="fr-FR"/>
        </w:rPr>
      </w:pPr>
      <w:bookmarkStart w:id="1087" w:name="_Toc199714370"/>
      <w:bookmarkStart w:id="1088" w:name="_Toc200486650"/>
      <w:bookmarkStart w:id="1089" w:name="_Toc200635426"/>
      <w:bookmarkStart w:id="1090" w:name="_Toc200635814"/>
      <w:bookmarkStart w:id="1091" w:name="_Toc200636203"/>
      <w:bookmarkStart w:id="1092" w:name="_Toc200755940"/>
      <w:r w:rsidRPr="00430A10">
        <w:rPr>
          <w:rFonts w:asciiTheme="majorBidi" w:hAnsiTheme="majorBidi"/>
          <w:b/>
          <w:bCs/>
          <w:color w:val="000000"/>
          <w:sz w:val="24"/>
          <w:szCs w:val="24"/>
          <w:lang w:val="fr-FR"/>
        </w:rPr>
        <w:t>Contraintes organisationnelles et manque de flexibilité</w:t>
      </w:r>
      <w:bookmarkEnd w:id="1087"/>
      <w:bookmarkEnd w:id="1088"/>
      <w:bookmarkEnd w:id="1089"/>
      <w:bookmarkEnd w:id="1090"/>
      <w:bookmarkEnd w:id="1091"/>
      <w:bookmarkEnd w:id="1092"/>
    </w:p>
    <w:p w:rsidR="00E772DD" w:rsidRPr="00AD5F90" w:rsidRDefault="00E772DD" w:rsidP="00AA69F4">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entreprises doivent concilier leurs impératifs opérationnels avec la nécessité de former leurs employés. Intégrer des sessions dans un emploi du temps chargé, surtout dans des secteurs réactifs, est un défi sans solutions flexibles</w:t>
      </w:r>
      <w:r w:rsidR="00430A10">
        <w:rPr>
          <w:rFonts w:asciiTheme="majorBidi" w:hAnsiTheme="majorBidi" w:cstheme="majorBidi"/>
          <w:color w:val="000000"/>
          <w:lang w:val="fr-FR"/>
        </w:rPr>
        <w:t>.</w:t>
      </w:r>
      <w:r w:rsidRPr="00AD5F90">
        <w:rPr>
          <w:rStyle w:val="Appelnotedebasdep"/>
          <w:rFonts w:cstheme="majorBidi"/>
          <w:color w:val="000000"/>
          <w:lang w:val="fr-FR"/>
        </w:rPr>
        <w:footnoteReference w:id="183"/>
      </w:r>
    </w:p>
    <w:p w:rsidR="00E772DD" w:rsidRPr="00430A10" w:rsidRDefault="00E772DD" w:rsidP="004D32AC">
      <w:pPr>
        <w:pStyle w:val="Titre2"/>
        <w:keepNext w:val="0"/>
        <w:keepLines w:val="0"/>
        <w:numPr>
          <w:ilvl w:val="2"/>
          <w:numId w:val="4"/>
        </w:numPr>
        <w:spacing w:before="0" w:line="360" w:lineRule="auto"/>
        <w:jc w:val="both"/>
        <w:rPr>
          <w:rFonts w:asciiTheme="majorBidi" w:hAnsiTheme="majorBidi"/>
          <w:b/>
          <w:bCs/>
          <w:color w:val="000000"/>
          <w:sz w:val="24"/>
          <w:szCs w:val="24"/>
          <w:lang w:val="fr-FR"/>
        </w:rPr>
      </w:pPr>
      <w:bookmarkStart w:id="1093" w:name="_Toc199714371"/>
      <w:bookmarkStart w:id="1094" w:name="_Toc200486651"/>
      <w:bookmarkStart w:id="1095" w:name="_Toc200635427"/>
      <w:bookmarkStart w:id="1096" w:name="_Toc200635815"/>
      <w:bookmarkStart w:id="1097" w:name="_Toc200636204"/>
      <w:bookmarkStart w:id="1098" w:name="_Toc200755941"/>
      <w:r w:rsidRPr="00430A10">
        <w:rPr>
          <w:rFonts w:asciiTheme="majorBidi" w:hAnsiTheme="majorBidi"/>
          <w:b/>
          <w:bCs/>
          <w:color w:val="000000"/>
          <w:sz w:val="24"/>
          <w:szCs w:val="24"/>
          <w:lang w:val="fr-FR"/>
        </w:rPr>
        <w:t>Évaluation de l’impact et retour sur investissement</w:t>
      </w:r>
      <w:bookmarkEnd w:id="1093"/>
      <w:bookmarkEnd w:id="1094"/>
      <w:bookmarkEnd w:id="1095"/>
      <w:bookmarkEnd w:id="1096"/>
      <w:bookmarkEnd w:id="1097"/>
      <w:bookmarkEnd w:id="1098"/>
    </w:p>
    <w:p w:rsidR="00E772DD" w:rsidRPr="00AD5F90" w:rsidRDefault="00E772DD" w:rsidP="00041AE7">
      <w:pPr>
        <w:pStyle w:val="Titre2"/>
        <w:spacing w:before="0" w:line="360" w:lineRule="auto"/>
        <w:jc w:val="both"/>
        <w:rPr>
          <w:rFonts w:asciiTheme="majorBidi" w:hAnsiTheme="majorBidi"/>
          <w:b/>
          <w:bCs/>
          <w:color w:val="000000"/>
          <w:sz w:val="24"/>
          <w:szCs w:val="24"/>
          <w:lang w:val="fr-FR"/>
        </w:rPr>
      </w:pPr>
      <w:bookmarkStart w:id="1099" w:name="_Toc199685167"/>
      <w:bookmarkStart w:id="1100" w:name="_Toc199713991"/>
      <w:bookmarkStart w:id="1101" w:name="_Toc199714372"/>
      <w:bookmarkStart w:id="1102" w:name="_Toc200486652"/>
      <w:bookmarkStart w:id="1103" w:name="_Toc200635428"/>
      <w:bookmarkStart w:id="1104" w:name="_Toc200635816"/>
      <w:bookmarkStart w:id="1105" w:name="_Toc200636205"/>
      <w:bookmarkStart w:id="1106" w:name="_Toc200755942"/>
      <w:r w:rsidRPr="00AD5F90">
        <w:rPr>
          <w:rFonts w:asciiTheme="majorBidi" w:hAnsiTheme="majorBidi"/>
          <w:color w:val="000000"/>
          <w:sz w:val="24"/>
          <w:szCs w:val="24"/>
          <w:lang w:val="fr-FR"/>
        </w:rPr>
        <w:t>Un défi majeur est de mesurer l’impact des formations sur la performance. L’évaluation devrait aller au-delà des questionnaires de satisfaction et analyser l’application des acquis en situation professionnelle</w:t>
      </w:r>
      <w:r w:rsidR="00430A10">
        <w:rPr>
          <w:rFonts w:asciiTheme="majorBidi" w:hAnsiTheme="majorBidi"/>
          <w:color w:val="000000"/>
          <w:sz w:val="24"/>
          <w:szCs w:val="24"/>
          <w:lang w:val="fr-FR"/>
        </w:rPr>
        <w:t>.</w:t>
      </w:r>
      <w:r w:rsidRPr="00AD5F90">
        <w:rPr>
          <w:rStyle w:val="Appelnotedebasdep"/>
          <w:color w:val="000000"/>
          <w:sz w:val="24"/>
          <w:szCs w:val="24"/>
          <w:lang w:val="fr-FR"/>
        </w:rPr>
        <w:footnoteReference w:id="184"/>
      </w:r>
      <w:bookmarkEnd w:id="1099"/>
      <w:bookmarkEnd w:id="1100"/>
      <w:bookmarkEnd w:id="1101"/>
      <w:bookmarkEnd w:id="1102"/>
      <w:bookmarkEnd w:id="1103"/>
      <w:bookmarkEnd w:id="1104"/>
      <w:bookmarkEnd w:id="1105"/>
      <w:bookmarkEnd w:id="1106"/>
    </w:p>
    <w:p w:rsidR="00E772DD" w:rsidRPr="00430A10" w:rsidRDefault="00E772DD" w:rsidP="004D32AC">
      <w:pPr>
        <w:pStyle w:val="Titre2"/>
        <w:keepNext w:val="0"/>
        <w:keepLines w:val="0"/>
        <w:numPr>
          <w:ilvl w:val="2"/>
          <w:numId w:val="4"/>
        </w:numPr>
        <w:spacing w:before="100" w:beforeAutospacing="1" w:line="360" w:lineRule="auto"/>
        <w:jc w:val="both"/>
        <w:rPr>
          <w:rFonts w:asciiTheme="majorBidi" w:hAnsiTheme="majorBidi"/>
          <w:b/>
          <w:bCs/>
          <w:color w:val="000000"/>
          <w:sz w:val="24"/>
          <w:szCs w:val="24"/>
          <w:lang w:val="fr-FR"/>
        </w:rPr>
      </w:pPr>
      <w:bookmarkStart w:id="1107" w:name="_Toc199714373"/>
      <w:bookmarkStart w:id="1108" w:name="_Toc200486653"/>
      <w:bookmarkStart w:id="1109" w:name="_Toc200635429"/>
      <w:bookmarkStart w:id="1110" w:name="_Toc200635817"/>
      <w:bookmarkStart w:id="1111" w:name="_Toc200636206"/>
      <w:bookmarkStart w:id="1112" w:name="_Toc200755943"/>
      <w:r w:rsidRPr="00430A10">
        <w:rPr>
          <w:rFonts w:asciiTheme="majorBidi" w:hAnsiTheme="majorBidi"/>
          <w:b/>
          <w:bCs/>
          <w:color w:val="000000"/>
          <w:sz w:val="24"/>
          <w:szCs w:val="24"/>
          <w:lang w:val="fr-FR"/>
        </w:rPr>
        <w:t>Adaptation aux évolutions technologiques et aux nouvelles attentes</w:t>
      </w:r>
      <w:bookmarkEnd w:id="1107"/>
      <w:bookmarkEnd w:id="1108"/>
      <w:bookmarkEnd w:id="1109"/>
      <w:bookmarkEnd w:id="1110"/>
      <w:bookmarkEnd w:id="1111"/>
      <w:bookmarkEnd w:id="1112"/>
    </w:p>
    <w:p w:rsidR="00E772DD" w:rsidRDefault="00E772DD" w:rsidP="00D1671C">
      <w:pPr>
        <w:pStyle w:val="NormalWeb"/>
        <w:spacing w:before="0" w:beforeAutospacing="0" w:after="240" w:afterAutospacing="0" w:line="360" w:lineRule="auto"/>
        <w:jc w:val="both"/>
        <w:rPr>
          <w:rFonts w:asciiTheme="majorBidi" w:hAnsiTheme="majorBidi" w:cstheme="majorBidi"/>
          <w:color w:val="000000"/>
          <w:lang w:val="fr-FR"/>
        </w:rPr>
      </w:pPr>
      <w:r w:rsidRPr="00AD5F90">
        <w:rPr>
          <w:rFonts w:asciiTheme="majorBidi" w:hAnsiTheme="majorBidi" w:cstheme="majorBidi"/>
          <w:color w:val="000000"/>
          <w:lang w:val="fr-FR"/>
        </w:rPr>
        <w:t>Les progrès technologiques transforment les attentes en matière de formation. Les nouvelles générations d’employés privilégient des formats interactifs, flexibles et accessibles à distance. Cependant, les entreprises peinent parfois à moderniser leurs approches pédagogiques et à intégrer des outils numériques dans leurs programmes de formation traditionnels</w:t>
      </w:r>
      <w:r w:rsidR="00430A10">
        <w:rPr>
          <w:rFonts w:asciiTheme="majorBidi" w:hAnsiTheme="majorBidi" w:cstheme="majorBidi"/>
          <w:color w:val="000000"/>
          <w:lang w:val="fr-FR"/>
        </w:rPr>
        <w:t>.</w:t>
      </w:r>
      <w:r w:rsidRPr="00AD5F90">
        <w:rPr>
          <w:rStyle w:val="Appelnotedebasdep"/>
          <w:rFonts w:cstheme="majorBidi"/>
          <w:color w:val="000000"/>
          <w:lang w:val="fr-FR"/>
        </w:rPr>
        <w:footnoteReference w:id="185"/>
      </w:r>
    </w:p>
    <w:p w:rsidR="00E772DD" w:rsidRDefault="00E772DD" w:rsidP="00A62566">
      <w:pPr>
        <w:pStyle w:val="NormalWeb"/>
        <w:spacing w:before="0" w:beforeAutospacing="0" w:after="0" w:afterAutospacing="0" w:line="360" w:lineRule="auto"/>
        <w:jc w:val="both"/>
        <w:rPr>
          <w:rFonts w:asciiTheme="majorBidi" w:hAnsiTheme="majorBidi" w:cstheme="majorBidi"/>
          <w:color w:val="000000"/>
          <w:lang w:val="fr-FR"/>
        </w:rPr>
      </w:pPr>
      <w:r w:rsidRPr="00D1671C">
        <w:rPr>
          <w:rFonts w:asciiTheme="majorBidi" w:hAnsiTheme="majorBidi" w:cstheme="majorBidi"/>
          <w:color w:val="000000"/>
          <w:lang w:val="fr-FR"/>
        </w:rPr>
        <w:t xml:space="preserve">En somme, bien que les méthodes traditionnelles de recrutement et de formation aient prouvé leur efficacité dans des contextes plus stables, elles montrent aujourd'hui leurs limites face aux exigences d’un marché du travail en constante évolution. Les organisations doivent ainsi </w:t>
      </w:r>
      <w:r w:rsidRPr="00D1671C">
        <w:rPr>
          <w:rFonts w:asciiTheme="majorBidi" w:hAnsiTheme="majorBidi" w:cstheme="majorBidi"/>
          <w:color w:val="000000"/>
          <w:lang w:val="fr-FR"/>
        </w:rPr>
        <w:lastRenderedPageBreak/>
        <w:t>repenser ces pratiques pour mieux répondre aux défis modernes, en intégrant des approches plus flexibles et innovantes. La transition vers des outils numériques, tout en conservant une dimension humaine, semble être une solution clé pour améliorer l’efficacité des processus de recrutement et de formation.</w:t>
      </w:r>
    </w:p>
    <w:p w:rsidR="00E772DD" w:rsidRDefault="00E772DD" w:rsidP="00A62566">
      <w:pPr>
        <w:pStyle w:val="NormalWeb"/>
        <w:spacing w:before="0" w:beforeAutospacing="0" w:after="0" w:afterAutospacing="0" w:line="360" w:lineRule="auto"/>
        <w:jc w:val="both"/>
        <w:rPr>
          <w:rFonts w:asciiTheme="majorBidi" w:hAnsiTheme="majorBidi" w:cstheme="majorBidi"/>
          <w:color w:val="000000"/>
          <w:lang w:val="fr-FR"/>
        </w:rPr>
      </w:pPr>
    </w:p>
    <w:p w:rsidR="00E772DD" w:rsidRDefault="00E772DD" w:rsidP="00A62566">
      <w:pPr>
        <w:pStyle w:val="NormalWeb"/>
        <w:spacing w:before="0" w:beforeAutospacing="0" w:after="0" w:afterAutospacing="0" w:line="360" w:lineRule="auto"/>
        <w:jc w:val="both"/>
        <w:rPr>
          <w:rFonts w:asciiTheme="majorBidi" w:hAnsiTheme="majorBidi" w:cstheme="majorBidi"/>
          <w:color w:val="000000"/>
          <w:lang w:val="fr-FR"/>
        </w:rPr>
      </w:pPr>
    </w:p>
    <w:p w:rsidR="00E772DD" w:rsidRDefault="00E772DD"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F05810" w:rsidRDefault="00F05810" w:rsidP="00A62566">
      <w:pPr>
        <w:pStyle w:val="NormalWeb"/>
        <w:spacing w:before="0" w:beforeAutospacing="0" w:after="0" w:afterAutospacing="0" w:line="360" w:lineRule="auto"/>
        <w:jc w:val="both"/>
        <w:rPr>
          <w:rFonts w:asciiTheme="majorBidi" w:hAnsiTheme="majorBidi" w:cstheme="majorBidi"/>
          <w:color w:val="000000"/>
          <w:lang w:val="fr-FR"/>
        </w:rPr>
      </w:pPr>
    </w:p>
    <w:p w:rsidR="00E772DD" w:rsidRPr="00194E42" w:rsidRDefault="00E772DD" w:rsidP="00194E42">
      <w:pPr>
        <w:pStyle w:val="Titre3"/>
        <w:rPr>
          <w:b w:val="0"/>
          <w:bCs w:val="0"/>
          <w:lang w:val="fr-FR"/>
        </w:rPr>
      </w:pPr>
      <w:bookmarkStart w:id="1113" w:name="_Toc200486654"/>
      <w:bookmarkStart w:id="1114" w:name="_Toc200635430"/>
      <w:bookmarkStart w:id="1115" w:name="_Toc200635818"/>
      <w:bookmarkStart w:id="1116" w:name="_Toc200636207"/>
      <w:bookmarkStart w:id="1117" w:name="_Toc200755944"/>
      <w:r w:rsidRPr="00194E42">
        <w:rPr>
          <w:rStyle w:val="lev"/>
          <w:b/>
          <w:bCs/>
          <w:color w:val="000000"/>
          <w:sz w:val="28"/>
          <w:szCs w:val="28"/>
          <w:lang w:val="fr-FR"/>
        </w:rPr>
        <w:lastRenderedPageBreak/>
        <w:t>Conclusion</w:t>
      </w:r>
      <w:r w:rsidR="00194E42" w:rsidRPr="00194E42">
        <w:rPr>
          <w:rStyle w:val="lev"/>
          <w:b/>
          <w:bCs/>
          <w:color w:val="000000"/>
          <w:sz w:val="28"/>
          <w:szCs w:val="28"/>
          <w:lang w:val="fr-FR"/>
        </w:rPr>
        <w:t xml:space="preserve"> du chapitre :</w:t>
      </w:r>
      <w:bookmarkEnd w:id="1113"/>
      <w:bookmarkEnd w:id="1114"/>
      <w:bookmarkEnd w:id="1115"/>
      <w:bookmarkEnd w:id="1116"/>
      <w:bookmarkEnd w:id="1117"/>
    </w:p>
    <w:p w:rsidR="00E772DD" w:rsidRPr="00AD5F90" w:rsidRDefault="00E772DD" w:rsidP="00A62566">
      <w:pPr>
        <w:pStyle w:val="NormalWeb"/>
        <w:spacing w:after="240" w:afterAutospacing="0" w:line="360" w:lineRule="auto"/>
        <w:jc w:val="both"/>
        <w:rPr>
          <w:color w:val="000000"/>
          <w:lang w:val="fr-FR"/>
        </w:rPr>
      </w:pPr>
      <w:r w:rsidRPr="00AD5F90">
        <w:rPr>
          <w:color w:val="000000"/>
          <w:lang w:val="fr-FR"/>
        </w:rPr>
        <w:t>Ce premier chapitre a permis de poser les bases théoriques et conceptuelles nécessaires pour comprendre les éléments fondamentaux de notre étude sur l'impact de la digitalisation sur l'optimisation des processus de gestion des ressources humaines. En nous appuyant sur les recherches antérieures les plus pertinentes, nous avons enrichi nos objectifs et situés notre travail dans le contexte actuel de l’évolution des pratiques RH.</w:t>
      </w:r>
    </w:p>
    <w:p w:rsidR="00E772DD" w:rsidRPr="00AD5F90" w:rsidRDefault="00E772DD" w:rsidP="00FD32F7">
      <w:pPr>
        <w:pStyle w:val="NormalWeb"/>
        <w:spacing w:line="360" w:lineRule="auto"/>
        <w:jc w:val="both"/>
        <w:rPr>
          <w:color w:val="000000"/>
          <w:lang w:val="fr-FR"/>
        </w:rPr>
      </w:pPr>
      <w:r w:rsidRPr="00AD5F90">
        <w:rPr>
          <w:color w:val="000000"/>
          <w:lang w:val="fr-FR"/>
        </w:rPr>
        <w:t>La structure de ce chapitre, divisée en trois sections, visait à examiner chaque aspect de la gestion des ressources humaines afin de mieux comprendre son influence sur le fonctionnement des entreprises et orienter notre étude empirique. En analysant séparément les généralités sur la GRH, ses fonctions stratégiques et les processus de recrutement et de formation, nous cherchons à dresser un état des lieux des évolutions de ces pratiques, tout en tenant compte des défis contemporains rencontrés par les entreprises dans un environnement en constante mutation.</w:t>
      </w:r>
    </w:p>
    <w:p w:rsidR="00E772DD" w:rsidRPr="00AD5F90" w:rsidRDefault="00E772DD" w:rsidP="00FD32F7">
      <w:pPr>
        <w:pStyle w:val="NormalWeb"/>
        <w:spacing w:line="360" w:lineRule="auto"/>
        <w:jc w:val="both"/>
        <w:rPr>
          <w:color w:val="000000"/>
          <w:lang w:val="fr-FR"/>
        </w:rPr>
      </w:pPr>
      <w:r w:rsidRPr="00AD5F90">
        <w:rPr>
          <w:color w:val="000000"/>
          <w:lang w:val="fr-FR"/>
        </w:rPr>
        <w:t>Les recherches récentes sur ces thématiques ont enrichi notre analyse en apportant une dimension actuelle et nous ont permis de mieux nous situer dans le paysage des ressources humaines. Elles ont également mis en lumière l’importance de certaines dimensions encore insuffisamment explorées, notamment en matière de digitalisation des processus RH.</w:t>
      </w:r>
    </w:p>
    <w:p w:rsidR="00E772DD" w:rsidRPr="00AD5F90" w:rsidRDefault="00E772DD" w:rsidP="00FD32F7">
      <w:pPr>
        <w:pStyle w:val="NormalWeb"/>
        <w:spacing w:line="360" w:lineRule="auto"/>
        <w:jc w:val="both"/>
        <w:rPr>
          <w:color w:val="000000"/>
          <w:lang w:val="fr-FR"/>
        </w:rPr>
      </w:pPr>
      <w:r w:rsidRPr="00AD5F90">
        <w:rPr>
          <w:color w:val="000000"/>
          <w:lang w:val="fr-FR"/>
        </w:rPr>
        <w:t>Un consensus se dégage des études récentes quant à l’importance de bien gérer ces éléments clés dans le contexte actuel, compte tenu de leur impact direct sur les employés, les employeurs et l’organisation dans son ensemble. Bien que leurs effets puissent varier selon les spécificités des secteurs et des entreprises, les principes fondamentaux restent pertinents.</w:t>
      </w:r>
    </w:p>
    <w:p w:rsidR="00E772DD" w:rsidRPr="00AD5F90" w:rsidRDefault="00E772DD" w:rsidP="00FD32F7">
      <w:pPr>
        <w:pStyle w:val="NormalWeb"/>
        <w:spacing w:line="360" w:lineRule="auto"/>
        <w:jc w:val="both"/>
        <w:rPr>
          <w:color w:val="000000"/>
          <w:lang w:val="fr-FR"/>
        </w:rPr>
      </w:pPr>
      <w:r w:rsidRPr="00AD5F90">
        <w:rPr>
          <w:color w:val="000000"/>
          <w:lang w:val="fr-FR"/>
        </w:rPr>
        <w:t>Les recherches ont également mis en évidence la nécessité d’intégrer les technologies numériques et l’intelligence artificielle pour optimiser la gestion des ressources humaines, en particulier dans les domaines du recrutement, de la formation et du développement des talents.</w:t>
      </w:r>
    </w:p>
    <w:p w:rsidR="008476E2" w:rsidRDefault="00E772DD" w:rsidP="009F2A2E">
      <w:pPr>
        <w:pStyle w:val="NormalWeb"/>
        <w:spacing w:line="360" w:lineRule="auto"/>
        <w:jc w:val="both"/>
        <w:rPr>
          <w:color w:val="000000"/>
          <w:lang w:val="fr-FR"/>
        </w:rPr>
        <w:sectPr w:rsidR="008476E2" w:rsidSect="00376CBF">
          <w:headerReference w:type="default" r:id="rId71"/>
          <w:pgSz w:w="11900" w:h="16840"/>
          <w:pgMar w:top="1440" w:right="1440" w:bottom="1440" w:left="1440" w:header="708" w:footer="708" w:gutter="0"/>
          <w:cols w:space="708"/>
          <w:docGrid w:linePitch="360"/>
        </w:sectPr>
      </w:pPr>
      <w:r w:rsidRPr="00AD5F90">
        <w:rPr>
          <w:color w:val="000000"/>
          <w:lang w:val="fr-FR"/>
        </w:rPr>
        <w:t>En somme, ce chapitre fournit une base théorique solide pour aborder les questions de recherche à venir, en offrant une compréhension approfondie des processus de gestion des ressources humaines à l’ère digitale. Cette fondation nous permettra d'explorer de manière rigoureuse les hypothèses de notre étude et de proposer des recommandations pratiques pour les entreprises souhaitant tirer parti de la digitalisation pour améliorer leur gestion des ressources humaines.</w:t>
      </w:r>
    </w:p>
    <w:p w:rsidR="00E772DD" w:rsidRPr="005B2A02" w:rsidRDefault="00E772DD" w:rsidP="009F2A2E">
      <w:pPr>
        <w:pStyle w:val="NormalWeb"/>
        <w:spacing w:line="360" w:lineRule="auto"/>
        <w:jc w:val="both"/>
        <w:rPr>
          <w:color w:val="000000"/>
          <w:lang w:val="fr-FR"/>
        </w:rPr>
      </w:pPr>
    </w:p>
    <w:p w:rsidR="00E772DD" w:rsidRPr="005B2A02" w:rsidRDefault="00E772DD" w:rsidP="00347FC5">
      <w:pPr>
        <w:pStyle w:val="NormalWeb"/>
        <w:spacing w:line="360" w:lineRule="auto"/>
        <w:jc w:val="both"/>
        <w:rPr>
          <w:rFonts w:asciiTheme="majorBidi" w:hAnsiTheme="majorBidi" w:cstheme="majorBidi"/>
          <w:color w:val="000000"/>
          <w:sz w:val="20"/>
          <w:szCs w:val="20"/>
          <w:lang w:val="fr-FR"/>
        </w:rPr>
      </w:pPr>
    </w:p>
    <w:p w:rsidR="00E772DD" w:rsidRPr="005B2A02" w:rsidRDefault="00E772DD" w:rsidP="00347FC5">
      <w:pPr>
        <w:pStyle w:val="NormalWeb"/>
        <w:spacing w:line="360" w:lineRule="auto"/>
        <w:jc w:val="both"/>
        <w:rPr>
          <w:rFonts w:asciiTheme="majorBidi" w:hAnsiTheme="majorBidi" w:cstheme="majorBidi"/>
          <w:color w:val="000000"/>
          <w:sz w:val="20"/>
          <w:szCs w:val="20"/>
          <w:lang w:val="fr-FR"/>
        </w:rPr>
      </w:pPr>
    </w:p>
    <w:p w:rsidR="00E772DD" w:rsidRPr="005B2A02" w:rsidRDefault="00E772DD" w:rsidP="00347FC5">
      <w:pPr>
        <w:pStyle w:val="NormalWeb"/>
        <w:spacing w:line="360" w:lineRule="auto"/>
        <w:jc w:val="both"/>
        <w:rPr>
          <w:rFonts w:asciiTheme="majorBidi" w:hAnsiTheme="majorBidi" w:cstheme="majorBidi"/>
          <w:color w:val="000000"/>
          <w:sz w:val="20"/>
          <w:szCs w:val="20"/>
          <w:lang w:val="fr-FR"/>
        </w:rPr>
      </w:pPr>
    </w:p>
    <w:p w:rsidR="00E772DD" w:rsidRPr="005B2A02" w:rsidRDefault="00E772DD" w:rsidP="00347FC5">
      <w:pPr>
        <w:pStyle w:val="NormalWeb"/>
        <w:spacing w:line="360" w:lineRule="auto"/>
        <w:jc w:val="both"/>
        <w:rPr>
          <w:rFonts w:asciiTheme="majorBidi" w:hAnsiTheme="majorBidi" w:cstheme="majorBidi"/>
          <w:color w:val="000000"/>
          <w:sz w:val="20"/>
          <w:szCs w:val="20"/>
          <w:lang w:val="fr-FR"/>
        </w:rPr>
      </w:pPr>
    </w:p>
    <w:p w:rsidR="00E772DD" w:rsidRPr="005B2A02" w:rsidRDefault="00E772DD" w:rsidP="00347FC5">
      <w:pPr>
        <w:pStyle w:val="NormalWeb"/>
        <w:spacing w:line="360" w:lineRule="auto"/>
        <w:jc w:val="both"/>
        <w:rPr>
          <w:rFonts w:asciiTheme="majorBidi" w:hAnsiTheme="majorBidi" w:cstheme="majorBidi"/>
          <w:color w:val="000000"/>
          <w:sz w:val="20"/>
          <w:szCs w:val="20"/>
          <w:lang w:val="fr-FR"/>
        </w:rPr>
      </w:pPr>
    </w:p>
    <w:p w:rsidR="00E772DD" w:rsidRPr="005B2A02" w:rsidRDefault="00E772DD" w:rsidP="00347FC5">
      <w:pPr>
        <w:pStyle w:val="NormalWeb"/>
        <w:spacing w:line="360" w:lineRule="auto"/>
        <w:jc w:val="both"/>
        <w:rPr>
          <w:rFonts w:asciiTheme="majorBidi" w:hAnsiTheme="majorBidi" w:cstheme="majorBidi"/>
          <w:color w:val="000000"/>
          <w:sz w:val="20"/>
          <w:szCs w:val="20"/>
          <w:lang w:val="fr-FR"/>
        </w:rPr>
      </w:pPr>
    </w:p>
    <w:p w:rsidR="00E772DD" w:rsidRDefault="00E772DD" w:rsidP="00347FC5">
      <w:pPr>
        <w:pStyle w:val="NormalWeb"/>
        <w:spacing w:line="360" w:lineRule="auto"/>
        <w:jc w:val="both"/>
        <w:rPr>
          <w:rFonts w:asciiTheme="majorBidi" w:hAnsiTheme="majorBidi" w:cstheme="majorBidi"/>
          <w:color w:val="000000"/>
          <w:sz w:val="20"/>
          <w:szCs w:val="20"/>
          <w:lang w:val="fr-FR"/>
        </w:rPr>
      </w:pPr>
    </w:p>
    <w:p w:rsidR="00982D25" w:rsidRPr="005B2A02" w:rsidRDefault="00982D25" w:rsidP="00347FC5">
      <w:pPr>
        <w:pStyle w:val="NormalWeb"/>
        <w:spacing w:line="360" w:lineRule="auto"/>
        <w:jc w:val="both"/>
        <w:rPr>
          <w:rFonts w:asciiTheme="majorBidi" w:hAnsiTheme="majorBidi" w:cstheme="majorBidi"/>
          <w:color w:val="000000"/>
          <w:sz w:val="20"/>
          <w:szCs w:val="20"/>
          <w:lang w:val="fr-FR"/>
        </w:rPr>
      </w:pPr>
    </w:p>
    <w:p w:rsidR="00DB56EB" w:rsidRPr="00045019" w:rsidRDefault="00E772DD" w:rsidP="00045019">
      <w:pPr>
        <w:pStyle w:val="Titre3"/>
        <w:jc w:val="center"/>
        <w:rPr>
          <w:sz w:val="72"/>
          <w:szCs w:val="72"/>
        </w:rPr>
      </w:pPr>
      <w:bookmarkStart w:id="1118" w:name="_Toc200486655"/>
      <w:bookmarkStart w:id="1119" w:name="_Toc200635431"/>
      <w:bookmarkStart w:id="1120" w:name="_Toc200635819"/>
      <w:bookmarkStart w:id="1121" w:name="_Toc200636208"/>
      <w:bookmarkStart w:id="1122" w:name="_Toc200755945"/>
      <w:r w:rsidRPr="00045019">
        <w:rPr>
          <w:sz w:val="72"/>
          <w:szCs w:val="72"/>
        </w:rPr>
        <w:t>Chapitre II :</w:t>
      </w:r>
      <w:bookmarkEnd w:id="1118"/>
      <w:bookmarkEnd w:id="1119"/>
      <w:bookmarkEnd w:id="1120"/>
      <w:bookmarkEnd w:id="1121"/>
      <w:bookmarkEnd w:id="1122"/>
    </w:p>
    <w:p w:rsidR="00E772DD" w:rsidRPr="00045019" w:rsidRDefault="00E772DD" w:rsidP="00045019">
      <w:pPr>
        <w:pStyle w:val="Titre3"/>
        <w:jc w:val="center"/>
        <w:rPr>
          <w:sz w:val="72"/>
          <w:szCs w:val="72"/>
        </w:rPr>
      </w:pPr>
      <w:bookmarkStart w:id="1123" w:name="_Toc200486656"/>
      <w:bookmarkStart w:id="1124" w:name="_Toc200635432"/>
      <w:bookmarkStart w:id="1125" w:name="_Toc200635820"/>
      <w:bookmarkStart w:id="1126" w:name="_Toc200636209"/>
      <w:bookmarkStart w:id="1127" w:name="_Toc200755946"/>
      <w:r w:rsidRPr="00045019">
        <w:rPr>
          <w:sz w:val="72"/>
          <w:szCs w:val="72"/>
        </w:rPr>
        <w:t>La digitalisation des ressources humaines</w:t>
      </w:r>
      <w:bookmarkEnd w:id="1123"/>
      <w:bookmarkEnd w:id="1124"/>
      <w:bookmarkEnd w:id="1125"/>
      <w:bookmarkEnd w:id="1126"/>
      <w:bookmarkEnd w:id="1127"/>
    </w:p>
    <w:p w:rsidR="00E772DD" w:rsidRDefault="00E772DD" w:rsidP="00172BCB">
      <w:pPr>
        <w:pStyle w:val="NormalWeb"/>
        <w:jc w:val="center"/>
        <w:rPr>
          <w:b/>
          <w:bCs/>
          <w:color w:val="000000"/>
          <w:sz w:val="72"/>
          <w:szCs w:val="72"/>
          <w:lang w:val="fr-FR"/>
        </w:rPr>
      </w:pPr>
    </w:p>
    <w:p w:rsidR="00E772DD" w:rsidRDefault="00E772DD" w:rsidP="00172BCB">
      <w:pPr>
        <w:pStyle w:val="NormalWeb"/>
        <w:jc w:val="center"/>
        <w:rPr>
          <w:b/>
          <w:bCs/>
          <w:color w:val="000000"/>
          <w:sz w:val="72"/>
          <w:szCs w:val="72"/>
          <w:lang w:val="fr-FR"/>
        </w:rPr>
      </w:pPr>
    </w:p>
    <w:p w:rsidR="008476E2" w:rsidRDefault="008476E2" w:rsidP="008476E2">
      <w:pPr>
        <w:pStyle w:val="NormalWeb"/>
        <w:rPr>
          <w:b/>
          <w:bCs/>
          <w:color w:val="000000"/>
          <w:sz w:val="72"/>
          <w:szCs w:val="72"/>
          <w:lang w:val="fr-FR"/>
        </w:rPr>
        <w:sectPr w:rsidR="008476E2" w:rsidSect="00376CBF">
          <w:headerReference w:type="default" r:id="rId72"/>
          <w:pgSz w:w="11900" w:h="16840"/>
          <w:pgMar w:top="1440" w:right="1440" w:bottom="1440" w:left="1440" w:header="708" w:footer="708" w:gutter="0"/>
          <w:cols w:space="708"/>
          <w:docGrid w:linePitch="360"/>
        </w:sectPr>
      </w:pPr>
    </w:p>
    <w:p w:rsidR="00E772DD" w:rsidRPr="00194E42" w:rsidRDefault="00E772DD" w:rsidP="00194E42">
      <w:pPr>
        <w:pStyle w:val="Titre3"/>
        <w:rPr>
          <w:rStyle w:val="lev"/>
          <w:b/>
          <w:bCs/>
          <w:color w:val="000000"/>
          <w:sz w:val="28"/>
          <w:szCs w:val="28"/>
          <w:lang w:val="fr-FR"/>
        </w:rPr>
      </w:pPr>
      <w:bookmarkStart w:id="1128" w:name="_Toc200486657"/>
      <w:bookmarkStart w:id="1129" w:name="_Toc200635433"/>
      <w:bookmarkStart w:id="1130" w:name="_Toc200635821"/>
      <w:bookmarkStart w:id="1131" w:name="_Toc200636210"/>
      <w:bookmarkStart w:id="1132" w:name="_Toc200755947"/>
      <w:r w:rsidRPr="00194E42">
        <w:rPr>
          <w:rStyle w:val="lev"/>
          <w:b/>
          <w:bCs/>
          <w:color w:val="000000"/>
          <w:sz w:val="28"/>
          <w:szCs w:val="28"/>
          <w:lang w:val="fr-FR"/>
        </w:rPr>
        <w:lastRenderedPageBreak/>
        <w:t>Introduction</w:t>
      </w:r>
      <w:r w:rsidR="00194E42">
        <w:rPr>
          <w:rStyle w:val="lev"/>
          <w:b/>
          <w:bCs/>
          <w:color w:val="000000"/>
          <w:sz w:val="28"/>
          <w:szCs w:val="28"/>
          <w:lang w:val="fr-FR"/>
        </w:rPr>
        <w:t xml:space="preserve"> du chapitre</w:t>
      </w:r>
      <w:bookmarkEnd w:id="1128"/>
      <w:bookmarkEnd w:id="1129"/>
      <w:bookmarkEnd w:id="1130"/>
      <w:bookmarkEnd w:id="1131"/>
      <w:bookmarkEnd w:id="1132"/>
      <w:r w:rsidR="00194E42">
        <w:rPr>
          <w:rStyle w:val="lev"/>
          <w:b/>
          <w:bCs/>
          <w:color w:val="000000"/>
          <w:sz w:val="28"/>
          <w:szCs w:val="28"/>
          <w:lang w:val="fr-FR"/>
        </w:rPr>
        <w:t xml:space="preserve"> </w:t>
      </w:r>
    </w:p>
    <w:p w:rsidR="00E772DD" w:rsidRPr="00666912" w:rsidRDefault="00E772DD" w:rsidP="00666912">
      <w:pPr>
        <w:pStyle w:val="NormalWeb"/>
        <w:spacing w:line="360" w:lineRule="auto"/>
        <w:jc w:val="both"/>
        <w:rPr>
          <w:color w:val="000000"/>
          <w:lang w:val="fr-FR"/>
        </w:rPr>
      </w:pPr>
      <w:r w:rsidRPr="00666912">
        <w:rPr>
          <w:color w:val="000000"/>
          <w:lang w:val="fr-FR"/>
        </w:rPr>
        <w:t>À l’ère du numérique, les entreprises doivent adapter leurs pratiques en gestion des ressources humaines pour rester compétitives et répondre aux évolutions du marché du travail. La transformation digitale ne se limite plus à une simple adoption de technologies, mais constitue un véritable levier stratégique pour optimiser les processus RH, améliorer l’expérience des collaborateurs et renforcer la performance organisationnelle. Ainsi, la digitalisation de la GRH s’impose comme une étape essentielle pour moderniser les pratiques et favoriser une gestion plus agile des talents.</w:t>
      </w:r>
    </w:p>
    <w:p w:rsidR="00E772DD" w:rsidRPr="00666912" w:rsidRDefault="00E772DD" w:rsidP="00666912">
      <w:pPr>
        <w:pStyle w:val="NormalWeb"/>
        <w:spacing w:line="360" w:lineRule="auto"/>
        <w:jc w:val="both"/>
        <w:rPr>
          <w:color w:val="000000"/>
          <w:lang w:val="fr-FR"/>
        </w:rPr>
      </w:pPr>
      <w:r w:rsidRPr="00666912">
        <w:rPr>
          <w:color w:val="000000"/>
          <w:lang w:val="fr-FR"/>
        </w:rPr>
        <w:t>Ce chapitre s’articule autour de trois sections afin d’examiner en profondeur cette transformation. La première section apporte un regard général sur la digitalisation en entreprise, en mettant en évidence ses impacts et les mutations qu’elle entraîne. Nous y analyserons les principes fondamentaux de cette transition ainsi que les défis et opportunités qu’elle représente pour les organisations.</w:t>
      </w:r>
    </w:p>
    <w:p w:rsidR="00E772DD" w:rsidRPr="00666912" w:rsidRDefault="00E772DD" w:rsidP="00666912">
      <w:pPr>
        <w:pStyle w:val="NormalWeb"/>
        <w:spacing w:line="360" w:lineRule="auto"/>
        <w:jc w:val="both"/>
        <w:rPr>
          <w:color w:val="000000"/>
          <w:lang w:val="fr-FR"/>
        </w:rPr>
      </w:pPr>
      <w:r w:rsidRPr="00666912">
        <w:rPr>
          <w:color w:val="000000"/>
          <w:lang w:val="fr-FR"/>
        </w:rPr>
        <w:t>La seconde section se concentre spécifiquement sur</w:t>
      </w:r>
      <w:r w:rsidRPr="00666912">
        <w:rPr>
          <w:rStyle w:val="apple-converted-space"/>
          <w:color w:val="000000"/>
          <w:lang w:val="fr-FR"/>
        </w:rPr>
        <w:t> </w:t>
      </w:r>
      <w:r w:rsidRPr="00666912">
        <w:rPr>
          <w:rStyle w:val="lev"/>
          <w:rFonts w:eastAsiaTheme="majorEastAsia"/>
          <w:b w:val="0"/>
          <w:bCs w:val="0"/>
          <w:color w:val="000000"/>
          <w:lang w:val="fr-FR"/>
        </w:rPr>
        <w:t>la digitalisation de la gestion des ressources humaines</w:t>
      </w:r>
      <w:r w:rsidRPr="00666912">
        <w:rPr>
          <w:rStyle w:val="apple-converted-space"/>
          <w:color w:val="000000"/>
          <w:lang w:val="fr-FR"/>
        </w:rPr>
        <w:t> </w:t>
      </w:r>
      <w:r w:rsidRPr="00666912">
        <w:rPr>
          <w:color w:val="000000"/>
          <w:lang w:val="fr-FR"/>
        </w:rPr>
        <w:t>en explorant les nouvelles technologies qui transforment les pratiques RH. De l’automatisation des tâches administratives à l’intelligence artificielle appliquée, nous verrons comment ces innovations redéfinissent le rôle des professionnels RH et contribuent à améliorer l’efficience des entreprises.</w:t>
      </w:r>
    </w:p>
    <w:p w:rsidR="00E772DD" w:rsidRPr="00666912" w:rsidRDefault="00E772DD" w:rsidP="00666912">
      <w:pPr>
        <w:pStyle w:val="NormalWeb"/>
        <w:spacing w:line="360" w:lineRule="auto"/>
        <w:jc w:val="both"/>
        <w:rPr>
          <w:color w:val="000000"/>
          <w:lang w:val="fr-FR"/>
        </w:rPr>
      </w:pPr>
      <w:r w:rsidRPr="00666912">
        <w:rPr>
          <w:color w:val="000000"/>
          <w:lang w:val="fr-FR"/>
        </w:rPr>
        <w:t>Enfin, la troisième section aborde deux aspects fondamentaux de cette transformation :</w:t>
      </w:r>
      <w:r w:rsidRPr="00666912">
        <w:rPr>
          <w:rStyle w:val="apple-converted-space"/>
          <w:color w:val="000000"/>
          <w:lang w:val="fr-FR"/>
        </w:rPr>
        <w:t> </w:t>
      </w:r>
      <w:r w:rsidRPr="00666912">
        <w:rPr>
          <w:rStyle w:val="lev"/>
          <w:rFonts w:eastAsiaTheme="majorEastAsia"/>
          <w:b w:val="0"/>
          <w:bCs w:val="0"/>
          <w:color w:val="000000"/>
          <w:lang w:val="fr-FR"/>
        </w:rPr>
        <w:t>l’e-recrutement et l’e-formation</w:t>
      </w:r>
      <w:r w:rsidRPr="00666912">
        <w:rPr>
          <w:color w:val="000000"/>
          <w:lang w:val="fr-FR"/>
        </w:rPr>
        <w:t>. Nous examinerons comment les solutions numériques facilitent le recrutement en permettant une meilleure identification des talents et simplifient les processus de formation en les rendant plus accessibles et personnalisés. Ces évolutions offrent des réponses adaptées aux nouveaux enjeux du travail, en assurant à la fois flexibilité et performance.</w:t>
      </w:r>
    </w:p>
    <w:p w:rsidR="00E772DD" w:rsidRPr="00666912" w:rsidRDefault="00E772DD" w:rsidP="00666912">
      <w:pPr>
        <w:pStyle w:val="NormalWeb"/>
        <w:spacing w:line="360" w:lineRule="auto"/>
        <w:jc w:val="both"/>
        <w:rPr>
          <w:color w:val="000000"/>
          <w:lang w:val="fr-FR"/>
        </w:rPr>
      </w:pPr>
      <w:r w:rsidRPr="00666912">
        <w:rPr>
          <w:color w:val="000000"/>
          <w:lang w:val="fr-FR"/>
        </w:rPr>
        <w:t>À travers ces trois axes, ce chapitre vise à approfondir la compréhension des enjeux liés à la digitalisation de la GRH et à mettre en lumière son rôle déterminant dans la modernisation des entreprises.</w:t>
      </w:r>
    </w:p>
    <w:p w:rsidR="00E772DD" w:rsidRPr="005B2A02" w:rsidRDefault="00E772DD" w:rsidP="00347FC5">
      <w:pPr>
        <w:pStyle w:val="NormalWeb"/>
        <w:spacing w:line="360" w:lineRule="auto"/>
        <w:jc w:val="both"/>
        <w:rPr>
          <w:rFonts w:asciiTheme="majorBidi" w:hAnsiTheme="majorBidi" w:cstheme="majorBidi"/>
          <w:color w:val="000000"/>
          <w:sz w:val="20"/>
          <w:szCs w:val="20"/>
          <w:lang w:val="fr-FR"/>
        </w:rPr>
      </w:pPr>
    </w:p>
    <w:p w:rsidR="00E772DD" w:rsidRPr="005B2A02" w:rsidRDefault="00E772DD" w:rsidP="00172BCB">
      <w:pPr>
        <w:pStyle w:val="NormalWeb"/>
        <w:spacing w:line="360" w:lineRule="auto"/>
        <w:jc w:val="both"/>
        <w:rPr>
          <w:b/>
          <w:bCs/>
          <w:color w:val="000000"/>
          <w:lang w:val="fr-FR"/>
        </w:rPr>
      </w:pPr>
    </w:p>
    <w:p w:rsidR="00E772DD" w:rsidRPr="00DB56EB" w:rsidRDefault="00E772DD" w:rsidP="00DB56EB">
      <w:pPr>
        <w:pStyle w:val="Titre3"/>
        <w:rPr>
          <w:sz w:val="28"/>
          <w:szCs w:val="28"/>
          <w:lang w:val="fr-FR"/>
        </w:rPr>
      </w:pPr>
      <w:bookmarkStart w:id="1133" w:name="_Toc200486658"/>
      <w:bookmarkStart w:id="1134" w:name="_Toc200635434"/>
      <w:bookmarkStart w:id="1135" w:name="_Toc200635822"/>
      <w:bookmarkStart w:id="1136" w:name="_Toc200636211"/>
      <w:bookmarkStart w:id="1137" w:name="_Toc200755948"/>
      <w:r w:rsidRPr="00DB56EB">
        <w:rPr>
          <w:sz w:val="28"/>
          <w:szCs w:val="28"/>
          <w:lang w:val="fr-FR"/>
        </w:rPr>
        <w:lastRenderedPageBreak/>
        <w:t>Section 1 : Généralité sur la digitalisation</w:t>
      </w:r>
      <w:bookmarkEnd w:id="1133"/>
      <w:bookmarkEnd w:id="1134"/>
      <w:bookmarkEnd w:id="1135"/>
      <w:bookmarkEnd w:id="1136"/>
      <w:bookmarkEnd w:id="1137"/>
    </w:p>
    <w:p w:rsidR="00E772DD" w:rsidRPr="004D7855" w:rsidRDefault="00E772DD" w:rsidP="00A77553">
      <w:pPr>
        <w:pStyle w:val="NormalWeb"/>
        <w:spacing w:line="360" w:lineRule="auto"/>
        <w:jc w:val="both"/>
        <w:rPr>
          <w:color w:val="000000"/>
          <w:lang w:val="fr-FR"/>
        </w:rPr>
      </w:pPr>
      <w:r w:rsidRPr="004D7855">
        <w:rPr>
          <w:color w:val="000000"/>
          <w:lang w:val="fr-FR"/>
        </w:rPr>
        <w:t>La digitalisation constitue un levier fondamental pour toutes les entreprises, influençant directement leur capacité à innover et à renforcer leur compétitivité. Bien au-delà d’une simple adoption de technologies numériques, elle induit une transformation profonde des processus opérationnels, des modèles économiques et des dynamiques organisationnelles. En s’appuyant sur les outils numériques, les entreprises améliorent leur performance, accroissent leur agilité face aux mutations du marché et exploitent de nouvelles opportunités stratégiques. Cette section analyse en profondeur la digitalisation au sein des organisations, en mettant en lumière ses étapes, ses outils et ses enjeux, afin de mieux appréhender son impact sur les structures internes et les interactions externes des entreprises.</w:t>
      </w:r>
    </w:p>
    <w:p w:rsidR="00E772DD" w:rsidRPr="00DB56EB" w:rsidRDefault="00E772DD" w:rsidP="004D32AC">
      <w:pPr>
        <w:pStyle w:val="Titre3"/>
        <w:numPr>
          <w:ilvl w:val="1"/>
          <w:numId w:val="32"/>
        </w:numPr>
        <w:spacing w:after="0" w:afterAutospacing="0" w:line="360" w:lineRule="auto"/>
        <w:rPr>
          <w:sz w:val="24"/>
          <w:szCs w:val="24"/>
          <w:lang w:val="fr-FR"/>
        </w:rPr>
      </w:pPr>
      <w:bookmarkStart w:id="1138" w:name="_Toc199714379"/>
      <w:bookmarkStart w:id="1139" w:name="_Toc200486659"/>
      <w:bookmarkStart w:id="1140" w:name="_Toc200635435"/>
      <w:bookmarkStart w:id="1141" w:name="_Toc200635823"/>
      <w:bookmarkStart w:id="1142" w:name="_Toc200636212"/>
      <w:bookmarkStart w:id="1143" w:name="_Toc200755949"/>
      <w:r w:rsidRPr="00DB56EB">
        <w:rPr>
          <w:sz w:val="24"/>
          <w:szCs w:val="24"/>
          <w:lang w:val="fr-FR"/>
        </w:rPr>
        <w:t>Contexte théorique de la digitalisation</w:t>
      </w:r>
      <w:bookmarkEnd w:id="1138"/>
      <w:bookmarkEnd w:id="1139"/>
      <w:bookmarkEnd w:id="1140"/>
      <w:bookmarkEnd w:id="1141"/>
      <w:bookmarkEnd w:id="1142"/>
      <w:bookmarkEnd w:id="1143"/>
      <w:r w:rsidRPr="00DB56EB">
        <w:rPr>
          <w:sz w:val="24"/>
          <w:szCs w:val="24"/>
          <w:lang w:val="fr-FR"/>
        </w:rPr>
        <w:t xml:space="preserve"> </w:t>
      </w:r>
    </w:p>
    <w:p w:rsidR="00E772DD" w:rsidRDefault="00E772DD" w:rsidP="00DB56EB">
      <w:pPr>
        <w:pStyle w:val="NormalWeb"/>
        <w:spacing w:before="0" w:beforeAutospacing="0" w:after="240" w:afterAutospacing="0" w:line="360" w:lineRule="auto"/>
        <w:jc w:val="both"/>
        <w:rPr>
          <w:rFonts w:asciiTheme="majorBidi" w:hAnsiTheme="majorBidi" w:cstheme="majorBidi"/>
          <w:color w:val="000000"/>
          <w:lang w:val="fr-FR"/>
        </w:rPr>
      </w:pPr>
      <w:r w:rsidRPr="004D7855">
        <w:rPr>
          <w:rFonts w:asciiTheme="majorBidi" w:hAnsiTheme="majorBidi" w:cstheme="majorBidi"/>
          <w:color w:val="000000"/>
          <w:lang w:val="fr-FR"/>
        </w:rPr>
        <w:t>La digitalisation est un concept multidimensionnel qui englobe la transformation des processus, des activités et des modèles d'affaires par l'intégration des technologies numériques. Son importance croissante dans divers domaines académiques et professionnels a conduit à une diversité de définitions et d'approches.</w:t>
      </w:r>
    </w:p>
    <w:p w:rsidR="00DE1ED0" w:rsidRPr="00DB56EB" w:rsidRDefault="00DE1ED0" w:rsidP="004D32AC">
      <w:pPr>
        <w:pStyle w:val="Titre3"/>
        <w:numPr>
          <w:ilvl w:val="1"/>
          <w:numId w:val="184"/>
        </w:numPr>
        <w:spacing w:after="0" w:afterAutospacing="0" w:line="360" w:lineRule="auto"/>
        <w:rPr>
          <w:sz w:val="24"/>
          <w:szCs w:val="24"/>
          <w:lang w:val="fr-FR"/>
        </w:rPr>
      </w:pPr>
      <w:bookmarkStart w:id="1144" w:name="_Toc199714380"/>
      <w:bookmarkStart w:id="1145" w:name="_Toc200486660"/>
      <w:bookmarkStart w:id="1146" w:name="_Toc200635436"/>
      <w:bookmarkStart w:id="1147" w:name="_Toc200635824"/>
      <w:bookmarkStart w:id="1148" w:name="_Toc200636213"/>
      <w:bookmarkStart w:id="1149" w:name="_Toc200755950"/>
      <w:r w:rsidRPr="00DB56EB">
        <w:rPr>
          <w:sz w:val="24"/>
          <w:szCs w:val="24"/>
          <w:lang w:val="fr-FR"/>
        </w:rPr>
        <w:t>Définition de la digitalisation</w:t>
      </w:r>
      <w:bookmarkEnd w:id="1144"/>
      <w:bookmarkEnd w:id="1145"/>
      <w:bookmarkEnd w:id="1146"/>
      <w:bookmarkEnd w:id="1147"/>
      <w:bookmarkEnd w:id="1148"/>
      <w:bookmarkEnd w:id="1149"/>
      <w:r w:rsidRPr="00DB56EB">
        <w:rPr>
          <w:sz w:val="24"/>
          <w:szCs w:val="24"/>
          <w:lang w:val="fr-FR"/>
        </w:rPr>
        <w:t xml:space="preserve"> </w:t>
      </w:r>
    </w:p>
    <w:p w:rsidR="00E772DD" w:rsidRPr="004D7855" w:rsidRDefault="00E772DD" w:rsidP="004D32AC">
      <w:pPr>
        <w:pStyle w:val="NormalWeb"/>
        <w:numPr>
          <w:ilvl w:val="0"/>
          <w:numId w:val="68"/>
        </w:numPr>
        <w:spacing w:before="0" w:beforeAutospacing="0" w:after="0" w:afterAutospacing="0" w:line="360" w:lineRule="auto"/>
        <w:jc w:val="both"/>
        <w:rPr>
          <w:rFonts w:asciiTheme="majorBidi" w:hAnsiTheme="majorBidi" w:cstheme="majorBidi"/>
          <w:color w:val="000000"/>
          <w:lang w:val="fr-FR"/>
        </w:rPr>
      </w:pPr>
      <w:proofErr w:type="spellStart"/>
      <w:r w:rsidRPr="004D7855">
        <w:rPr>
          <w:rFonts w:asciiTheme="majorBidi" w:hAnsiTheme="majorBidi" w:cstheme="majorBidi"/>
          <w:color w:val="000000"/>
          <w:lang w:val="fr-FR"/>
        </w:rPr>
        <w:t>Tilson</w:t>
      </w:r>
      <w:proofErr w:type="spellEnd"/>
      <w:r w:rsidRPr="004D7855">
        <w:rPr>
          <w:rFonts w:asciiTheme="majorBidi" w:hAnsiTheme="majorBidi" w:cstheme="majorBidi"/>
          <w:color w:val="000000"/>
          <w:lang w:val="fr-FR"/>
        </w:rPr>
        <w:t xml:space="preserve">, </w:t>
      </w:r>
      <w:proofErr w:type="spellStart"/>
      <w:r w:rsidRPr="004D7855">
        <w:rPr>
          <w:rFonts w:asciiTheme="majorBidi" w:hAnsiTheme="majorBidi" w:cstheme="majorBidi"/>
          <w:color w:val="000000"/>
          <w:lang w:val="fr-FR"/>
        </w:rPr>
        <w:t>Lyytinen</w:t>
      </w:r>
      <w:proofErr w:type="spellEnd"/>
      <w:r w:rsidRPr="004D7855">
        <w:rPr>
          <w:rFonts w:asciiTheme="majorBidi" w:hAnsiTheme="majorBidi" w:cstheme="majorBidi"/>
          <w:color w:val="000000"/>
          <w:lang w:val="fr-FR"/>
        </w:rPr>
        <w:t xml:space="preserve"> et S</w:t>
      </w:r>
      <w:r w:rsidR="00430A10">
        <w:rPr>
          <w:rFonts w:asciiTheme="majorBidi" w:hAnsiTheme="majorBidi" w:cstheme="majorBidi"/>
          <w:color w:val="000000"/>
          <w:lang w:val="fr-FR"/>
        </w:rPr>
        <w:t>o</w:t>
      </w:r>
      <w:r w:rsidRPr="004D7855">
        <w:rPr>
          <w:rFonts w:asciiTheme="majorBidi" w:hAnsiTheme="majorBidi" w:cstheme="majorBidi"/>
          <w:color w:val="000000"/>
          <w:lang w:val="fr-FR"/>
        </w:rPr>
        <w:t xml:space="preserve">rensen (2010) mettent en avant le caractère évolutif de la digitalisation, la considérant comme un phénomène </w:t>
      </w:r>
      <w:proofErr w:type="spellStart"/>
      <w:r w:rsidRPr="004D7855">
        <w:rPr>
          <w:rFonts w:asciiTheme="majorBidi" w:hAnsiTheme="majorBidi" w:cstheme="majorBidi"/>
          <w:color w:val="000000"/>
          <w:lang w:val="fr-FR"/>
        </w:rPr>
        <w:t>socio-technique</w:t>
      </w:r>
      <w:proofErr w:type="spellEnd"/>
      <w:r w:rsidRPr="004D7855">
        <w:rPr>
          <w:rFonts w:asciiTheme="majorBidi" w:hAnsiTheme="majorBidi" w:cstheme="majorBidi"/>
          <w:color w:val="000000"/>
          <w:lang w:val="fr-FR"/>
        </w:rPr>
        <w:t xml:space="preserve"> qui transforme les interactions entre les acteurs organisationnels, les infrastructures technologiques et les dynamiques économiques. Ils soulignent qu'elle repose sur un processus de convergence entre les technologies et leurs usages, exerçant ainsi une influence significative sur les stratégies des entreprises ainsi que sur les comportements des consommateurs.</w:t>
      </w:r>
      <w:r w:rsidRPr="004D7855">
        <w:rPr>
          <w:rStyle w:val="Appelnotedebasdep"/>
          <w:rFonts w:cstheme="majorBidi"/>
          <w:color w:val="000000"/>
          <w:lang w:val="fr-FR"/>
        </w:rPr>
        <w:footnoteReference w:id="186"/>
      </w:r>
    </w:p>
    <w:p w:rsidR="00E772DD" w:rsidRPr="00430A10" w:rsidRDefault="00E772DD" w:rsidP="004D32AC">
      <w:pPr>
        <w:pStyle w:val="NormalWeb"/>
        <w:numPr>
          <w:ilvl w:val="0"/>
          <w:numId w:val="68"/>
        </w:numPr>
        <w:spacing w:before="0" w:beforeAutospacing="0" w:after="0" w:afterAutospacing="0" w:line="360" w:lineRule="auto"/>
        <w:jc w:val="both"/>
        <w:rPr>
          <w:rFonts w:asciiTheme="majorBidi" w:hAnsiTheme="majorBidi" w:cstheme="majorBidi"/>
          <w:color w:val="000000"/>
          <w:lang w:val="fr-FR"/>
        </w:rPr>
      </w:pPr>
      <w:r w:rsidRPr="004D7855">
        <w:rPr>
          <w:rFonts w:asciiTheme="majorBidi" w:hAnsiTheme="majorBidi" w:cstheme="majorBidi"/>
          <w:color w:val="000000"/>
          <w:lang w:val="fr-FR"/>
        </w:rPr>
        <w:t xml:space="preserve">Yoo, </w:t>
      </w:r>
      <w:proofErr w:type="spellStart"/>
      <w:r w:rsidRPr="004D7855">
        <w:rPr>
          <w:rFonts w:asciiTheme="majorBidi" w:hAnsiTheme="majorBidi" w:cstheme="majorBidi"/>
          <w:color w:val="000000"/>
          <w:lang w:val="fr-FR"/>
        </w:rPr>
        <w:t>Boland</w:t>
      </w:r>
      <w:proofErr w:type="spellEnd"/>
      <w:r w:rsidRPr="004D7855">
        <w:rPr>
          <w:rFonts w:asciiTheme="majorBidi" w:hAnsiTheme="majorBidi" w:cstheme="majorBidi"/>
          <w:color w:val="000000"/>
          <w:lang w:val="fr-FR"/>
        </w:rPr>
        <w:t xml:space="preserve">, </w:t>
      </w:r>
      <w:proofErr w:type="spellStart"/>
      <w:r w:rsidRPr="004D7855">
        <w:rPr>
          <w:rFonts w:asciiTheme="majorBidi" w:hAnsiTheme="majorBidi" w:cstheme="majorBidi"/>
          <w:color w:val="000000"/>
          <w:lang w:val="fr-FR"/>
        </w:rPr>
        <w:t>Lyytinen</w:t>
      </w:r>
      <w:proofErr w:type="spellEnd"/>
      <w:r w:rsidRPr="004D7855">
        <w:rPr>
          <w:rFonts w:asciiTheme="majorBidi" w:hAnsiTheme="majorBidi" w:cstheme="majorBidi"/>
          <w:color w:val="000000"/>
          <w:lang w:val="fr-FR"/>
        </w:rPr>
        <w:t xml:space="preserve"> et </w:t>
      </w:r>
      <w:proofErr w:type="spellStart"/>
      <w:r w:rsidRPr="004D7855">
        <w:rPr>
          <w:rFonts w:asciiTheme="majorBidi" w:hAnsiTheme="majorBidi" w:cstheme="majorBidi"/>
          <w:color w:val="000000"/>
          <w:lang w:val="fr-FR"/>
        </w:rPr>
        <w:t>Majchrzak</w:t>
      </w:r>
      <w:proofErr w:type="spellEnd"/>
      <w:r w:rsidRPr="004D7855">
        <w:rPr>
          <w:rFonts w:asciiTheme="majorBidi" w:hAnsiTheme="majorBidi" w:cstheme="majorBidi"/>
          <w:color w:val="000000"/>
          <w:lang w:val="fr-FR"/>
        </w:rPr>
        <w:t xml:space="preserve"> (2012) mettent en évidence l'impact de la digitalisation sur le développement de nouvelles capacités organisationnelles. Ils expliquent que ce processus ne se limite pas à la transformation des pratiques existantes, mais favorise également l’émergence de nouveaux modèles de gestion et d’innovation, contribuant ainsi à une reconfiguration des dynamiques organisationnelles.</w:t>
      </w:r>
      <w:r w:rsidRPr="004D7855">
        <w:rPr>
          <w:rStyle w:val="Appelnotedebasdep"/>
          <w:rFonts w:cstheme="majorBidi"/>
          <w:color w:val="000000"/>
          <w:lang w:val="fr-FR"/>
        </w:rPr>
        <w:footnoteReference w:id="187"/>
      </w:r>
    </w:p>
    <w:p w:rsidR="00E772DD" w:rsidRPr="004D7855" w:rsidRDefault="00E772DD" w:rsidP="004D32AC">
      <w:pPr>
        <w:pStyle w:val="NormalWeb"/>
        <w:numPr>
          <w:ilvl w:val="0"/>
          <w:numId w:val="68"/>
        </w:numPr>
        <w:spacing w:before="0" w:beforeAutospacing="0" w:after="0" w:afterAutospacing="0" w:line="360" w:lineRule="auto"/>
        <w:jc w:val="both"/>
        <w:rPr>
          <w:rFonts w:asciiTheme="majorBidi" w:hAnsiTheme="majorBidi" w:cstheme="majorBidi"/>
          <w:color w:val="000000"/>
          <w:lang w:val="fr-FR"/>
        </w:rPr>
      </w:pPr>
      <w:r w:rsidRPr="004D7855">
        <w:rPr>
          <w:rFonts w:asciiTheme="majorBidi" w:hAnsiTheme="majorBidi" w:cstheme="majorBidi"/>
          <w:color w:val="000000"/>
          <w:lang w:val="fr-FR"/>
        </w:rPr>
        <w:lastRenderedPageBreak/>
        <w:t>Selon Bharadwaj et al. (2013), la digitalisation désigne l'intégration stratégique des technologies numériques dans le but d'optimiser les performances organisationnelles et de générer de nouvelles sources de valeur. Elle ne se résume pas uniquement à l'implémentation de nouvelles technologies, mais requiert une transformation profonde des processus internes ainsi que des modèles économiques, permettant ainsi aux organisations de s'adapter efficacement aux évolutions du contexte numérique.</w:t>
      </w:r>
      <w:r w:rsidRPr="004D7855">
        <w:rPr>
          <w:rStyle w:val="Appelnotedebasdep"/>
          <w:rFonts w:cstheme="majorBidi"/>
          <w:color w:val="000000"/>
          <w:lang w:val="fr-FR"/>
        </w:rPr>
        <w:footnoteReference w:id="188"/>
      </w:r>
    </w:p>
    <w:p w:rsidR="00E772DD" w:rsidRPr="004D7855" w:rsidRDefault="00E772DD" w:rsidP="004D32AC">
      <w:pPr>
        <w:pStyle w:val="NormalWeb"/>
        <w:numPr>
          <w:ilvl w:val="0"/>
          <w:numId w:val="68"/>
        </w:numPr>
        <w:spacing w:before="0" w:beforeAutospacing="0" w:after="0" w:afterAutospacing="0" w:line="360" w:lineRule="auto"/>
        <w:jc w:val="both"/>
        <w:rPr>
          <w:rFonts w:asciiTheme="majorBidi" w:hAnsiTheme="majorBidi" w:cstheme="majorBidi"/>
          <w:color w:val="000000"/>
          <w:lang w:val="fr-FR"/>
        </w:rPr>
      </w:pPr>
      <w:proofErr w:type="spellStart"/>
      <w:r w:rsidRPr="004D7855">
        <w:rPr>
          <w:rFonts w:asciiTheme="majorBidi" w:hAnsiTheme="majorBidi" w:cstheme="majorBidi"/>
          <w:color w:val="000000"/>
          <w:lang w:val="fr-FR"/>
        </w:rPr>
        <w:t>Henfridsson</w:t>
      </w:r>
      <w:proofErr w:type="spellEnd"/>
      <w:r w:rsidRPr="004D7855">
        <w:rPr>
          <w:rFonts w:asciiTheme="majorBidi" w:hAnsiTheme="majorBidi" w:cstheme="majorBidi"/>
          <w:color w:val="000000"/>
          <w:lang w:val="fr-FR"/>
        </w:rPr>
        <w:t xml:space="preserve"> et </w:t>
      </w:r>
      <w:proofErr w:type="spellStart"/>
      <w:r w:rsidRPr="004D7855">
        <w:rPr>
          <w:rFonts w:asciiTheme="majorBidi" w:hAnsiTheme="majorBidi" w:cstheme="majorBidi"/>
          <w:color w:val="000000"/>
          <w:lang w:val="fr-FR"/>
        </w:rPr>
        <w:t>Bygstad</w:t>
      </w:r>
      <w:proofErr w:type="spellEnd"/>
      <w:r w:rsidRPr="004D7855">
        <w:rPr>
          <w:rFonts w:asciiTheme="majorBidi" w:hAnsiTheme="majorBidi" w:cstheme="majorBidi"/>
          <w:color w:val="000000"/>
          <w:lang w:val="fr-FR"/>
        </w:rPr>
        <w:t xml:space="preserve"> (2013) définissent la digitalisation comme un processus évolutif au sein duquel les technologies numériques redéfinissent les structures organisationnelles ainsi que les modes de fonctionnement des entreprises. Elle ne se limite pas à la simple automatisation des tâches, mais engendre une transformation plus profonde des interactions internes et des mécanismes de prise de décision.</w:t>
      </w:r>
      <w:r w:rsidRPr="004D7855">
        <w:rPr>
          <w:rStyle w:val="Appelnotedebasdep"/>
          <w:rFonts w:cstheme="majorBidi"/>
          <w:color w:val="000000"/>
          <w:lang w:val="fr-FR"/>
        </w:rPr>
        <w:footnoteReference w:id="189"/>
      </w:r>
    </w:p>
    <w:p w:rsidR="00E772DD" w:rsidRPr="004D7855" w:rsidRDefault="00E772DD" w:rsidP="002A70FE">
      <w:pPr>
        <w:pStyle w:val="NormalWeb"/>
        <w:spacing w:before="0" w:beforeAutospacing="0" w:after="0" w:afterAutospacing="0" w:line="360" w:lineRule="auto"/>
        <w:jc w:val="both"/>
        <w:rPr>
          <w:rFonts w:asciiTheme="majorBidi" w:hAnsiTheme="majorBidi" w:cstheme="majorBidi"/>
          <w:color w:val="000000"/>
          <w:lang w:val="fr-FR"/>
        </w:rPr>
      </w:pPr>
      <w:r w:rsidRPr="004D7855">
        <w:rPr>
          <w:rFonts w:asciiTheme="majorBidi" w:hAnsiTheme="majorBidi" w:cstheme="majorBidi"/>
          <w:color w:val="000000"/>
          <w:lang w:val="fr-FR"/>
        </w:rPr>
        <w:t>En résumé, bien que la digitalisation soit définie de diverses manières, un consensus émerge autour de son rôle transformateur dans les entreprises et les sociétés. Elle implique une intégration stratégique des technologies numériques visant à optimiser les processus, à améliorer la prise de décision et à favoriser l'innovation dans un environnement en perpétuelle évolution.</w:t>
      </w:r>
    </w:p>
    <w:p w:rsidR="00E772DD" w:rsidRPr="00DB56EB" w:rsidRDefault="00DB56EB"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150" w:name="_Toc199714381"/>
      <w:bookmarkStart w:id="1151" w:name="_Toc200486661"/>
      <w:bookmarkStart w:id="1152" w:name="_Toc200635437"/>
      <w:bookmarkStart w:id="1153" w:name="_Toc200635825"/>
      <w:bookmarkStart w:id="1154" w:name="_Toc200636214"/>
      <w:bookmarkStart w:id="1155" w:name="_Toc200755951"/>
      <w:r w:rsidR="00E772DD" w:rsidRPr="00DB56EB">
        <w:rPr>
          <w:sz w:val="24"/>
          <w:szCs w:val="24"/>
          <w:lang w:val="fr-FR"/>
        </w:rPr>
        <w:t>Historique de la digitalisation</w:t>
      </w:r>
      <w:bookmarkEnd w:id="1150"/>
      <w:bookmarkEnd w:id="1151"/>
      <w:bookmarkEnd w:id="1152"/>
      <w:bookmarkEnd w:id="1153"/>
      <w:bookmarkEnd w:id="1154"/>
      <w:bookmarkEnd w:id="1155"/>
      <w:r w:rsidR="00E772DD" w:rsidRPr="00DB56EB">
        <w:rPr>
          <w:sz w:val="24"/>
          <w:szCs w:val="24"/>
          <w:lang w:val="fr-FR"/>
        </w:rPr>
        <w:t xml:space="preserve"> </w:t>
      </w:r>
    </w:p>
    <w:p w:rsidR="00E772DD" w:rsidRPr="00B4469E" w:rsidRDefault="00E772DD" w:rsidP="00DB56EB">
      <w:pPr>
        <w:pStyle w:val="NormalWeb"/>
        <w:spacing w:before="0" w:beforeAutospacing="0" w:after="240" w:afterAutospacing="0" w:line="360" w:lineRule="auto"/>
        <w:jc w:val="both"/>
        <w:rPr>
          <w:color w:val="000000"/>
          <w:lang w:val="fr-FR"/>
        </w:rPr>
      </w:pPr>
      <w:r w:rsidRPr="00B4469E">
        <w:rPr>
          <w:color w:val="000000"/>
          <w:lang w:val="fr-FR"/>
        </w:rPr>
        <w:t xml:space="preserve">L’évolution de la digitalisation est marquée par une succession de transformations technologiques ayant profondément modifié les pratiques organisationnelles et sociales. Ce processus s’inscrit dans une dynamique d’innovation continue, façonnant les modèles économiques et les interactions humaines. Voici </w:t>
      </w:r>
      <w:r>
        <w:rPr>
          <w:color w:val="000000"/>
          <w:lang w:val="fr-FR"/>
        </w:rPr>
        <w:t xml:space="preserve">le </w:t>
      </w:r>
      <w:r w:rsidRPr="00B4469E">
        <w:rPr>
          <w:color w:val="000000"/>
          <w:lang w:val="fr-FR"/>
        </w:rPr>
        <w:t>développement</w:t>
      </w:r>
      <w:r>
        <w:rPr>
          <w:color w:val="000000"/>
          <w:lang w:val="fr-FR"/>
        </w:rPr>
        <w:t xml:space="preserve"> de la digitalisation</w:t>
      </w:r>
      <w:r w:rsidRPr="00B4469E">
        <w:rPr>
          <w:color w:val="000000"/>
          <w:lang w:val="fr-FR"/>
        </w:rPr>
        <w:t xml:space="preserve"> à travers les grandes étapes qui ont marqué son histoire</w:t>
      </w:r>
      <w:r>
        <w:rPr>
          <w:color w:val="000000"/>
          <w:lang w:val="fr-FR"/>
        </w:rPr>
        <w:t xml:space="preserve"> : </w:t>
      </w:r>
    </w:p>
    <w:p w:rsidR="00E772DD" w:rsidRPr="00DB56EB" w:rsidRDefault="00E772DD" w:rsidP="004D32AC">
      <w:pPr>
        <w:pStyle w:val="Titre3"/>
        <w:numPr>
          <w:ilvl w:val="2"/>
          <w:numId w:val="184"/>
        </w:numPr>
        <w:spacing w:after="0" w:afterAutospacing="0" w:line="360" w:lineRule="auto"/>
      </w:pPr>
      <w:bookmarkStart w:id="1156" w:name="_Toc199714382"/>
      <w:bookmarkStart w:id="1157" w:name="_Toc200486662"/>
      <w:bookmarkStart w:id="1158" w:name="_Toc200635438"/>
      <w:bookmarkStart w:id="1159" w:name="_Toc200635826"/>
      <w:bookmarkStart w:id="1160" w:name="_Toc200636215"/>
      <w:bookmarkStart w:id="1161" w:name="_Toc200755952"/>
      <w:r w:rsidRPr="00DB56EB">
        <w:rPr>
          <w:rStyle w:val="lev"/>
          <w:b/>
          <w:bCs/>
          <w:sz w:val="24"/>
          <w:szCs w:val="24"/>
        </w:rPr>
        <w:t>L’</w:t>
      </w:r>
      <w:r w:rsidR="00DE1ED0" w:rsidRPr="00DB56EB">
        <w:rPr>
          <w:rStyle w:val="lev"/>
          <w:b/>
          <w:bCs/>
          <w:sz w:val="24"/>
          <w:szCs w:val="24"/>
        </w:rPr>
        <w:t>é</w:t>
      </w:r>
      <w:r w:rsidRPr="00DB56EB">
        <w:rPr>
          <w:rStyle w:val="lev"/>
          <w:b/>
          <w:bCs/>
          <w:sz w:val="24"/>
          <w:szCs w:val="24"/>
        </w:rPr>
        <w:t>mergence de l’</w:t>
      </w:r>
      <w:r w:rsidR="00DE1ED0" w:rsidRPr="00DB56EB">
        <w:rPr>
          <w:rStyle w:val="lev"/>
          <w:b/>
          <w:bCs/>
          <w:sz w:val="24"/>
          <w:szCs w:val="24"/>
        </w:rPr>
        <w:t>i</w:t>
      </w:r>
      <w:r w:rsidRPr="00DB56EB">
        <w:rPr>
          <w:rStyle w:val="lev"/>
          <w:b/>
          <w:bCs/>
          <w:sz w:val="24"/>
          <w:szCs w:val="24"/>
        </w:rPr>
        <w:t xml:space="preserve">nformatique et les </w:t>
      </w:r>
      <w:r w:rsidR="00DE1ED0" w:rsidRPr="00DB56EB">
        <w:rPr>
          <w:rStyle w:val="lev"/>
          <w:b/>
          <w:bCs/>
          <w:sz w:val="24"/>
          <w:szCs w:val="24"/>
        </w:rPr>
        <w:t>p</w:t>
      </w:r>
      <w:r w:rsidRPr="00DB56EB">
        <w:rPr>
          <w:rStyle w:val="lev"/>
          <w:b/>
          <w:bCs/>
          <w:sz w:val="24"/>
          <w:szCs w:val="24"/>
        </w:rPr>
        <w:t xml:space="preserve">remiers </w:t>
      </w:r>
      <w:r w:rsidR="00DE1ED0" w:rsidRPr="00DB56EB">
        <w:rPr>
          <w:rStyle w:val="lev"/>
          <w:b/>
          <w:bCs/>
          <w:sz w:val="24"/>
          <w:szCs w:val="24"/>
        </w:rPr>
        <w:t>o</w:t>
      </w:r>
      <w:r w:rsidRPr="00DB56EB">
        <w:rPr>
          <w:rStyle w:val="lev"/>
          <w:b/>
          <w:bCs/>
          <w:sz w:val="24"/>
          <w:szCs w:val="24"/>
        </w:rPr>
        <w:t>rdinateurs</w:t>
      </w:r>
      <w:bookmarkEnd w:id="1156"/>
      <w:bookmarkEnd w:id="1157"/>
      <w:bookmarkEnd w:id="1158"/>
      <w:bookmarkEnd w:id="1159"/>
      <w:bookmarkEnd w:id="1160"/>
      <w:bookmarkEnd w:id="1161"/>
    </w:p>
    <w:p w:rsidR="00E772DD" w:rsidRPr="00B4469E" w:rsidRDefault="00E772DD" w:rsidP="00DB56EB">
      <w:pPr>
        <w:pStyle w:val="NormalWeb"/>
        <w:spacing w:before="0" w:beforeAutospacing="0" w:after="0" w:afterAutospacing="0" w:line="360" w:lineRule="auto"/>
        <w:jc w:val="both"/>
        <w:rPr>
          <w:color w:val="000000"/>
          <w:lang w:val="fr-FR"/>
        </w:rPr>
      </w:pPr>
      <w:r w:rsidRPr="00B4469E">
        <w:rPr>
          <w:color w:val="000000"/>
          <w:lang w:val="fr-FR"/>
        </w:rPr>
        <w:t>L’histoire de la digitalisation commence avec l’apparition des premiers ordinateurs électroniques dans les années 1940 et 1950. Ces machines, bien que volumineuses et coûteuses, ont permis d’automatiser des calculs complexes, principalement pour des applications gouvernementales et scientifiques.</w:t>
      </w:r>
      <w:r>
        <w:rPr>
          <w:color w:val="000000"/>
          <w:lang w:val="fr-FR"/>
        </w:rPr>
        <w:t xml:space="preserve"> </w:t>
      </w:r>
      <w:r w:rsidRPr="00B4469E">
        <w:rPr>
          <w:color w:val="000000"/>
          <w:lang w:val="fr-FR"/>
        </w:rPr>
        <w:t>L’ENIAC</w:t>
      </w:r>
      <w:r>
        <w:rPr>
          <w:color w:val="000000"/>
          <w:lang w:val="fr-FR"/>
        </w:rPr>
        <w:t xml:space="preserve"> (</w:t>
      </w:r>
      <w:proofErr w:type="spellStart"/>
      <w:r w:rsidRPr="00F10D33">
        <w:rPr>
          <w:color w:val="000000"/>
          <w:lang w:val="fr-FR"/>
        </w:rPr>
        <w:t>Electronic</w:t>
      </w:r>
      <w:proofErr w:type="spellEnd"/>
      <w:r w:rsidRPr="00F10D33">
        <w:rPr>
          <w:color w:val="000000"/>
          <w:lang w:val="fr-FR"/>
        </w:rPr>
        <w:t xml:space="preserve"> </w:t>
      </w:r>
      <w:proofErr w:type="spellStart"/>
      <w:r w:rsidRPr="00F10D33">
        <w:rPr>
          <w:color w:val="000000"/>
          <w:lang w:val="fr-FR"/>
        </w:rPr>
        <w:t>Numerical</w:t>
      </w:r>
      <w:proofErr w:type="spellEnd"/>
      <w:r w:rsidRPr="00F10D33">
        <w:rPr>
          <w:color w:val="000000"/>
          <w:lang w:val="fr-FR"/>
        </w:rPr>
        <w:t xml:space="preserve"> </w:t>
      </w:r>
      <w:proofErr w:type="spellStart"/>
      <w:r w:rsidRPr="00F10D33">
        <w:rPr>
          <w:color w:val="000000"/>
          <w:lang w:val="fr-FR"/>
        </w:rPr>
        <w:t>Integrator</w:t>
      </w:r>
      <w:proofErr w:type="spellEnd"/>
      <w:r w:rsidRPr="00F10D33">
        <w:rPr>
          <w:color w:val="000000"/>
          <w:lang w:val="fr-FR"/>
        </w:rPr>
        <w:t xml:space="preserve"> And </w:t>
      </w:r>
      <w:r w:rsidRPr="00F10D33">
        <w:rPr>
          <w:color w:val="000000"/>
          <w:lang w:val="fr-FR"/>
        </w:rPr>
        <w:lastRenderedPageBreak/>
        <w:t>Computer</w:t>
      </w:r>
      <w:r>
        <w:rPr>
          <w:color w:val="000000"/>
          <w:lang w:val="fr-FR"/>
        </w:rPr>
        <w:t>)</w:t>
      </w:r>
      <w:r w:rsidRPr="00B4469E">
        <w:rPr>
          <w:color w:val="000000"/>
          <w:lang w:val="fr-FR"/>
        </w:rPr>
        <w:t>, développé en 1945, est souvent cité comme l’un des premiers ordinateurs électroniques, marquant le début de l’ère informatique.</w:t>
      </w:r>
      <w:r>
        <w:rPr>
          <w:rStyle w:val="Appelnotedebasdep"/>
          <w:color w:val="000000"/>
          <w:lang w:val="fr-FR"/>
        </w:rPr>
        <w:footnoteReference w:id="190"/>
      </w:r>
    </w:p>
    <w:p w:rsidR="00E772DD" w:rsidRPr="00DB56EB" w:rsidRDefault="00E772DD" w:rsidP="004D32AC">
      <w:pPr>
        <w:pStyle w:val="Titre3"/>
        <w:numPr>
          <w:ilvl w:val="2"/>
          <w:numId w:val="184"/>
        </w:numPr>
        <w:spacing w:after="0" w:afterAutospacing="0" w:line="360" w:lineRule="auto"/>
        <w:rPr>
          <w:sz w:val="24"/>
          <w:szCs w:val="24"/>
        </w:rPr>
      </w:pPr>
      <w:bookmarkStart w:id="1162" w:name="_Toc199714383"/>
      <w:bookmarkStart w:id="1163" w:name="_Toc200486663"/>
      <w:bookmarkStart w:id="1164" w:name="_Toc200635439"/>
      <w:bookmarkStart w:id="1165" w:name="_Toc200635827"/>
      <w:bookmarkStart w:id="1166" w:name="_Toc200636216"/>
      <w:bookmarkStart w:id="1167" w:name="_Toc200755953"/>
      <w:r w:rsidRPr="00DB56EB">
        <w:rPr>
          <w:rStyle w:val="lev"/>
          <w:b/>
          <w:bCs/>
          <w:sz w:val="24"/>
          <w:szCs w:val="24"/>
        </w:rPr>
        <w:t>L’</w:t>
      </w:r>
      <w:r w:rsidR="00DE1ED0" w:rsidRPr="00DB56EB">
        <w:rPr>
          <w:rStyle w:val="lev"/>
          <w:b/>
          <w:bCs/>
          <w:sz w:val="24"/>
          <w:szCs w:val="24"/>
        </w:rPr>
        <w:t>a</w:t>
      </w:r>
      <w:r w:rsidRPr="00DB56EB">
        <w:rPr>
          <w:rStyle w:val="lev"/>
          <w:b/>
          <w:bCs/>
          <w:sz w:val="24"/>
          <w:szCs w:val="24"/>
        </w:rPr>
        <w:t>rrivée de l’</w:t>
      </w:r>
      <w:r w:rsidR="00DE1ED0" w:rsidRPr="00DB56EB">
        <w:rPr>
          <w:rStyle w:val="lev"/>
          <w:b/>
          <w:bCs/>
          <w:sz w:val="24"/>
          <w:szCs w:val="24"/>
        </w:rPr>
        <w:t>i</w:t>
      </w:r>
      <w:r w:rsidRPr="00DB56EB">
        <w:rPr>
          <w:rStyle w:val="lev"/>
          <w:b/>
          <w:bCs/>
          <w:sz w:val="24"/>
          <w:szCs w:val="24"/>
        </w:rPr>
        <w:t xml:space="preserve">nformatique </w:t>
      </w:r>
      <w:r w:rsidR="00DE1ED0" w:rsidRPr="00DB56EB">
        <w:rPr>
          <w:rStyle w:val="lev"/>
          <w:b/>
          <w:bCs/>
          <w:sz w:val="24"/>
          <w:szCs w:val="24"/>
        </w:rPr>
        <w:t>p</w:t>
      </w:r>
      <w:r w:rsidRPr="00DB56EB">
        <w:rPr>
          <w:rStyle w:val="lev"/>
          <w:b/>
          <w:bCs/>
          <w:sz w:val="24"/>
          <w:szCs w:val="24"/>
        </w:rPr>
        <w:t>ersonnelle</w:t>
      </w:r>
      <w:bookmarkEnd w:id="1162"/>
      <w:bookmarkEnd w:id="1163"/>
      <w:bookmarkEnd w:id="1164"/>
      <w:bookmarkEnd w:id="1165"/>
      <w:bookmarkEnd w:id="1166"/>
      <w:bookmarkEnd w:id="1167"/>
    </w:p>
    <w:p w:rsidR="00E772DD" w:rsidRPr="00B4469E" w:rsidRDefault="00E772DD" w:rsidP="00DB56EB">
      <w:pPr>
        <w:pStyle w:val="NormalWeb"/>
        <w:spacing w:before="0" w:beforeAutospacing="0" w:after="240" w:afterAutospacing="0" w:line="360" w:lineRule="auto"/>
        <w:jc w:val="both"/>
        <w:rPr>
          <w:color w:val="000000"/>
          <w:lang w:val="fr-FR"/>
        </w:rPr>
      </w:pPr>
      <w:r w:rsidRPr="00B4469E">
        <w:rPr>
          <w:color w:val="000000"/>
          <w:lang w:val="fr-FR"/>
        </w:rPr>
        <w:t>Dans les années 1970 et 1980, l’essor des ordinateurs personnels révolutionne l’accès à la technologie numérique. Des modèles emblématiques comme l’Apple II (1977) et l’IBM PC (1981) rendent l’informatique accessible aux particuliers et aux entreprises, entraînant une adoption croissante des outils numériques. Cette démocratisation favorise l’essor des logiciels de bureautique et initie la transformation numérique des organisations.</w:t>
      </w:r>
      <w:r>
        <w:rPr>
          <w:rStyle w:val="Appelnotedebasdep"/>
          <w:color w:val="000000"/>
          <w:lang w:val="fr-FR"/>
        </w:rPr>
        <w:footnoteReference w:id="191"/>
      </w:r>
    </w:p>
    <w:p w:rsidR="00E772DD" w:rsidRPr="00DB56EB" w:rsidRDefault="00E772DD" w:rsidP="004D32AC">
      <w:pPr>
        <w:pStyle w:val="Titre3"/>
        <w:numPr>
          <w:ilvl w:val="2"/>
          <w:numId w:val="184"/>
        </w:numPr>
        <w:spacing w:after="0" w:afterAutospacing="0" w:line="360" w:lineRule="auto"/>
        <w:rPr>
          <w:sz w:val="24"/>
          <w:szCs w:val="24"/>
        </w:rPr>
      </w:pPr>
      <w:bookmarkStart w:id="1168" w:name="_Toc199714384"/>
      <w:bookmarkStart w:id="1169" w:name="_Toc200486664"/>
      <w:bookmarkStart w:id="1170" w:name="_Toc200635440"/>
      <w:bookmarkStart w:id="1171" w:name="_Toc200635828"/>
      <w:bookmarkStart w:id="1172" w:name="_Toc200636217"/>
      <w:bookmarkStart w:id="1173" w:name="_Toc200755954"/>
      <w:r w:rsidRPr="00DB56EB">
        <w:rPr>
          <w:rStyle w:val="lev"/>
          <w:b/>
          <w:bCs/>
          <w:sz w:val="24"/>
          <w:szCs w:val="24"/>
        </w:rPr>
        <w:t>L’</w:t>
      </w:r>
      <w:r w:rsidR="00DE1ED0" w:rsidRPr="00DB56EB">
        <w:rPr>
          <w:rStyle w:val="lev"/>
          <w:b/>
          <w:bCs/>
          <w:sz w:val="24"/>
          <w:szCs w:val="24"/>
        </w:rPr>
        <w:t>e</w:t>
      </w:r>
      <w:r w:rsidRPr="00DB56EB">
        <w:rPr>
          <w:rStyle w:val="lev"/>
          <w:b/>
          <w:bCs/>
          <w:sz w:val="24"/>
          <w:szCs w:val="24"/>
        </w:rPr>
        <w:t>xpansion d’</w:t>
      </w:r>
      <w:r w:rsidR="00DE1ED0" w:rsidRPr="00DB56EB">
        <w:rPr>
          <w:rStyle w:val="lev"/>
          <w:b/>
          <w:bCs/>
          <w:sz w:val="24"/>
          <w:szCs w:val="24"/>
        </w:rPr>
        <w:t>i</w:t>
      </w:r>
      <w:r w:rsidRPr="00DB56EB">
        <w:rPr>
          <w:rStyle w:val="lev"/>
          <w:b/>
          <w:bCs/>
          <w:sz w:val="24"/>
          <w:szCs w:val="24"/>
        </w:rPr>
        <w:t xml:space="preserve">nternet et la </w:t>
      </w:r>
      <w:r w:rsidR="00DE1ED0" w:rsidRPr="00DB56EB">
        <w:rPr>
          <w:rStyle w:val="lev"/>
          <w:b/>
          <w:bCs/>
          <w:sz w:val="24"/>
          <w:szCs w:val="24"/>
        </w:rPr>
        <w:t>m</w:t>
      </w:r>
      <w:r w:rsidRPr="00DB56EB">
        <w:rPr>
          <w:rStyle w:val="lev"/>
          <w:b/>
          <w:bCs/>
          <w:sz w:val="24"/>
          <w:szCs w:val="24"/>
        </w:rPr>
        <w:t xml:space="preserve">ondialisation des </w:t>
      </w:r>
      <w:r w:rsidR="00DE1ED0" w:rsidRPr="00DB56EB">
        <w:rPr>
          <w:rStyle w:val="lev"/>
          <w:b/>
          <w:bCs/>
          <w:sz w:val="24"/>
          <w:szCs w:val="24"/>
        </w:rPr>
        <w:t>é</w:t>
      </w:r>
      <w:r w:rsidRPr="00DB56EB">
        <w:rPr>
          <w:rStyle w:val="lev"/>
          <w:b/>
          <w:bCs/>
          <w:sz w:val="24"/>
          <w:szCs w:val="24"/>
        </w:rPr>
        <w:t>changes</w:t>
      </w:r>
      <w:bookmarkEnd w:id="1168"/>
      <w:bookmarkEnd w:id="1169"/>
      <w:bookmarkEnd w:id="1170"/>
      <w:bookmarkEnd w:id="1171"/>
      <w:bookmarkEnd w:id="1172"/>
      <w:bookmarkEnd w:id="1173"/>
    </w:p>
    <w:p w:rsidR="00E772DD" w:rsidRPr="00B4469E" w:rsidRDefault="00E772DD" w:rsidP="00B4469E">
      <w:pPr>
        <w:pStyle w:val="NormalWeb"/>
        <w:spacing w:before="0" w:beforeAutospacing="0" w:after="240" w:afterAutospacing="0" w:line="360" w:lineRule="auto"/>
        <w:jc w:val="both"/>
        <w:rPr>
          <w:color w:val="000000"/>
          <w:lang w:val="fr-FR"/>
        </w:rPr>
      </w:pPr>
      <w:r w:rsidRPr="00B4469E">
        <w:rPr>
          <w:color w:val="000000"/>
          <w:lang w:val="fr-FR"/>
        </w:rPr>
        <w:t>L’invention du World Wide Web en 1989 par Tim Berners-Lee marque un tournant dans la digitalisation. Durant les années 1990, Internet devient un outil essentiel pour les entreprises et les particuliers, facilitant l’échange d’informations à l’échelle mondiale. Cette avancée favorise la naissance du commerce en ligne et la dématérialisation des services.</w:t>
      </w:r>
      <w:r>
        <w:rPr>
          <w:rStyle w:val="Appelnotedebasdep"/>
          <w:color w:val="000000"/>
          <w:lang w:val="fr-FR"/>
        </w:rPr>
        <w:footnoteReference w:id="192"/>
      </w:r>
    </w:p>
    <w:p w:rsidR="00E772DD" w:rsidRPr="00DB56EB" w:rsidRDefault="00E772DD" w:rsidP="004D32AC">
      <w:pPr>
        <w:pStyle w:val="Titre3"/>
        <w:numPr>
          <w:ilvl w:val="2"/>
          <w:numId w:val="184"/>
        </w:numPr>
        <w:spacing w:after="0" w:afterAutospacing="0" w:line="360" w:lineRule="auto"/>
        <w:rPr>
          <w:sz w:val="24"/>
          <w:szCs w:val="24"/>
        </w:rPr>
      </w:pPr>
      <w:bookmarkStart w:id="1174" w:name="_Toc199714385"/>
      <w:bookmarkStart w:id="1175" w:name="_Toc200486665"/>
      <w:bookmarkStart w:id="1176" w:name="_Toc200635441"/>
      <w:bookmarkStart w:id="1177" w:name="_Toc200635829"/>
      <w:bookmarkStart w:id="1178" w:name="_Toc200636218"/>
      <w:bookmarkStart w:id="1179" w:name="_Toc200755955"/>
      <w:r w:rsidRPr="00DB56EB">
        <w:rPr>
          <w:rStyle w:val="lev"/>
          <w:b/>
          <w:bCs/>
          <w:sz w:val="24"/>
          <w:szCs w:val="24"/>
        </w:rPr>
        <w:t xml:space="preserve">Le </w:t>
      </w:r>
      <w:r w:rsidR="00DE1ED0" w:rsidRPr="00DB56EB">
        <w:rPr>
          <w:rStyle w:val="lev"/>
          <w:b/>
          <w:bCs/>
          <w:sz w:val="24"/>
          <w:szCs w:val="24"/>
        </w:rPr>
        <w:t>d</w:t>
      </w:r>
      <w:r w:rsidRPr="00DB56EB">
        <w:rPr>
          <w:rStyle w:val="lev"/>
          <w:b/>
          <w:bCs/>
          <w:sz w:val="24"/>
          <w:szCs w:val="24"/>
        </w:rPr>
        <w:t xml:space="preserve">éveloppement du </w:t>
      </w:r>
      <w:r w:rsidR="00DE1ED0" w:rsidRPr="00DB56EB">
        <w:rPr>
          <w:rStyle w:val="lev"/>
          <w:b/>
          <w:bCs/>
          <w:sz w:val="24"/>
          <w:szCs w:val="24"/>
        </w:rPr>
        <w:t>c</w:t>
      </w:r>
      <w:r w:rsidRPr="00DB56EB">
        <w:rPr>
          <w:rStyle w:val="lev"/>
          <w:b/>
          <w:bCs/>
          <w:sz w:val="24"/>
          <w:szCs w:val="24"/>
        </w:rPr>
        <w:t xml:space="preserve">loud </w:t>
      </w:r>
      <w:r w:rsidR="00DE1ED0" w:rsidRPr="00DB56EB">
        <w:rPr>
          <w:rStyle w:val="lev"/>
          <w:b/>
          <w:bCs/>
          <w:sz w:val="24"/>
          <w:szCs w:val="24"/>
        </w:rPr>
        <w:t>c</w:t>
      </w:r>
      <w:r w:rsidRPr="00DB56EB">
        <w:rPr>
          <w:rStyle w:val="lev"/>
          <w:b/>
          <w:bCs/>
          <w:sz w:val="24"/>
          <w:szCs w:val="24"/>
        </w:rPr>
        <w:t xml:space="preserve">omputing et des </w:t>
      </w:r>
      <w:r w:rsidR="00DE1ED0" w:rsidRPr="00DB56EB">
        <w:rPr>
          <w:rStyle w:val="lev"/>
          <w:b/>
          <w:bCs/>
          <w:sz w:val="24"/>
          <w:szCs w:val="24"/>
        </w:rPr>
        <w:t>t</w:t>
      </w:r>
      <w:r w:rsidRPr="00DB56EB">
        <w:rPr>
          <w:rStyle w:val="lev"/>
          <w:b/>
          <w:bCs/>
          <w:sz w:val="24"/>
          <w:szCs w:val="24"/>
        </w:rPr>
        <w:t xml:space="preserve">echnologies </w:t>
      </w:r>
      <w:r w:rsidR="00DE1ED0" w:rsidRPr="00DB56EB">
        <w:rPr>
          <w:rStyle w:val="lev"/>
          <w:b/>
          <w:bCs/>
          <w:sz w:val="24"/>
          <w:szCs w:val="24"/>
        </w:rPr>
        <w:t>m</w:t>
      </w:r>
      <w:r w:rsidRPr="00DB56EB">
        <w:rPr>
          <w:rStyle w:val="lev"/>
          <w:b/>
          <w:bCs/>
          <w:sz w:val="24"/>
          <w:szCs w:val="24"/>
        </w:rPr>
        <w:t>obiles</w:t>
      </w:r>
      <w:bookmarkEnd w:id="1174"/>
      <w:bookmarkEnd w:id="1175"/>
      <w:bookmarkEnd w:id="1176"/>
      <w:bookmarkEnd w:id="1177"/>
      <w:bookmarkEnd w:id="1178"/>
      <w:bookmarkEnd w:id="1179"/>
    </w:p>
    <w:p w:rsidR="00E772DD" w:rsidRPr="00B4469E" w:rsidRDefault="00E772DD" w:rsidP="00B4469E">
      <w:pPr>
        <w:pStyle w:val="NormalWeb"/>
        <w:spacing w:before="0" w:beforeAutospacing="0" w:after="240" w:afterAutospacing="0" w:line="360" w:lineRule="auto"/>
        <w:jc w:val="both"/>
        <w:rPr>
          <w:color w:val="000000"/>
          <w:lang w:val="fr-FR"/>
        </w:rPr>
      </w:pPr>
      <w:r w:rsidRPr="00B4469E">
        <w:rPr>
          <w:color w:val="000000"/>
          <w:lang w:val="fr-FR"/>
        </w:rPr>
        <w:t xml:space="preserve">Les années 2000 voient l’essor du cloud </w:t>
      </w:r>
      <w:proofErr w:type="spellStart"/>
      <w:r w:rsidRPr="00B4469E">
        <w:rPr>
          <w:color w:val="000000"/>
          <w:lang w:val="fr-FR"/>
        </w:rPr>
        <w:t>computing</w:t>
      </w:r>
      <w:proofErr w:type="spellEnd"/>
      <w:r w:rsidRPr="00B4469E">
        <w:rPr>
          <w:color w:val="000000"/>
          <w:lang w:val="fr-FR"/>
        </w:rPr>
        <w:t>, qui permet le stockage et l’accès aux données à distance, améliorant ainsi la flexibilité et l’agilité des organisations. En parallèle, le développement des smartphones et des tablettes, avec le lancement de l’iPhone en 2007, bouleverse les modes de consommation et renforce l’accès aux services numériques en tout lieu.</w:t>
      </w:r>
      <w:r>
        <w:rPr>
          <w:rStyle w:val="Appelnotedebasdep"/>
          <w:color w:val="000000"/>
          <w:lang w:val="fr-FR"/>
        </w:rPr>
        <w:footnoteReference w:id="193"/>
      </w:r>
    </w:p>
    <w:p w:rsidR="00E772DD" w:rsidRPr="00DB56EB" w:rsidRDefault="00E772DD" w:rsidP="004D32AC">
      <w:pPr>
        <w:pStyle w:val="Titre3"/>
        <w:numPr>
          <w:ilvl w:val="2"/>
          <w:numId w:val="184"/>
        </w:numPr>
        <w:spacing w:after="0" w:afterAutospacing="0" w:line="360" w:lineRule="auto"/>
        <w:rPr>
          <w:sz w:val="24"/>
          <w:szCs w:val="24"/>
        </w:rPr>
      </w:pPr>
      <w:bookmarkStart w:id="1180" w:name="_Toc199714386"/>
      <w:bookmarkStart w:id="1181" w:name="_Toc200486666"/>
      <w:bookmarkStart w:id="1182" w:name="_Toc200635442"/>
      <w:bookmarkStart w:id="1183" w:name="_Toc200635830"/>
      <w:bookmarkStart w:id="1184" w:name="_Toc200636219"/>
      <w:bookmarkStart w:id="1185" w:name="_Toc200755956"/>
      <w:r w:rsidRPr="00DB56EB">
        <w:rPr>
          <w:rStyle w:val="lev"/>
          <w:b/>
          <w:bCs/>
          <w:sz w:val="24"/>
          <w:szCs w:val="24"/>
        </w:rPr>
        <w:t>L’</w:t>
      </w:r>
      <w:r w:rsidR="00DE1ED0" w:rsidRPr="00DB56EB">
        <w:rPr>
          <w:rStyle w:val="lev"/>
          <w:b/>
          <w:bCs/>
          <w:sz w:val="24"/>
          <w:szCs w:val="24"/>
        </w:rPr>
        <w:t>i</w:t>
      </w:r>
      <w:r w:rsidRPr="00DB56EB">
        <w:rPr>
          <w:rStyle w:val="lev"/>
          <w:b/>
          <w:bCs/>
          <w:sz w:val="24"/>
          <w:szCs w:val="24"/>
        </w:rPr>
        <w:t xml:space="preserve">nfluence </w:t>
      </w:r>
      <w:r w:rsidR="00DE1ED0" w:rsidRPr="00DB56EB">
        <w:rPr>
          <w:rStyle w:val="lev"/>
          <w:b/>
          <w:bCs/>
          <w:sz w:val="24"/>
          <w:szCs w:val="24"/>
        </w:rPr>
        <w:t>g</w:t>
      </w:r>
      <w:r w:rsidRPr="00DB56EB">
        <w:rPr>
          <w:rStyle w:val="lev"/>
          <w:b/>
          <w:bCs/>
          <w:sz w:val="24"/>
          <w:szCs w:val="24"/>
        </w:rPr>
        <w:t xml:space="preserve">randissante des </w:t>
      </w:r>
      <w:r w:rsidR="00DE1ED0" w:rsidRPr="00DB56EB">
        <w:rPr>
          <w:rStyle w:val="lev"/>
          <w:b/>
          <w:bCs/>
          <w:sz w:val="24"/>
          <w:szCs w:val="24"/>
        </w:rPr>
        <w:t>r</w:t>
      </w:r>
      <w:r w:rsidRPr="00DB56EB">
        <w:rPr>
          <w:rStyle w:val="lev"/>
          <w:b/>
          <w:bCs/>
          <w:sz w:val="24"/>
          <w:szCs w:val="24"/>
        </w:rPr>
        <w:t xml:space="preserve">éseaux </w:t>
      </w:r>
      <w:r w:rsidR="00DE1ED0" w:rsidRPr="00DB56EB">
        <w:rPr>
          <w:rStyle w:val="lev"/>
          <w:b/>
          <w:bCs/>
          <w:sz w:val="24"/>
          <w:szCs w:val="24"/>
        </w:rPr>
        <w:t>s</w:t>
      </w:r>
      <w:r w:rsidRPr="00DB56EB">
        <w:rPr>
          <w:rStyle w:val="lev"/>
          <w:b/>
          <w:bCs/>
          <w:sz w:val="24"/>
          <w:szCs w:val="24"/>
        </w:rPr>
        <w:t>ociaux</w:t>
      </w:r>
      <w:bookmarkEnd w:id="1180"/>
      <w:bookmarkEnd w:id="1181"/>
      <w:bookmarkEnd w:id="1182"/>
      <w:bookmarkEnd w:id="1183"/>
      <w:bookmarkEnd w:id="1184"/>
      <w:bookmarkEnd w:id="1185"/>
    </w:p>
    <w:p w:rsidR="00E772DD" w:rsidRPr="00B4469E" w:rsidRDefault="00E772DD" w:rsidP="00B4469E">
      <w:pPr>
        <w:pStyle w:val="NormalWeb"/>
        <w:spacing w:before="0" w:beforeAutospacing="0" w:after="240" w:afterAutospacing="0" w:line="360" w:lineRule="auto"/>
        <w:jc w:val="both"/>
        <w:rPr>
          <w:color w:val="000000"/>
          <w:lang w:val="fr-FR"/>
        </w:rPr>
      </w:pPr>
      <w:r w:rsidRPr="00B4469E">
        <w:rPr>
          <w:color w:val="000000"/>
          <w:lang w:val="fr-FR"/>
        </w:rPr>
        <w:t xml:space="preserve">L’apparition et l’essor des réseaux sociaux dans les années 2000 transforment profondément les interactions sociales et professionnelles. Des plateformes comme Facebook (2004), Twitter (2006) et LinkedIn (2003) deviennent des outils incontournables pour la communication et le </w:t>
      </w:r>
      <w:r w:rsidRPr="00B4469E">
        <w:rPr>
          <w:color w:val="000000"/>
          <w:lang w:val="fr-FR"/>
        </w:rPr>
        <w:lastRenderedPageBreak/>
        <w:t>marketing digital. Ces espaces numériques facilitent également l’engagement des entreprises auprès de leurs clients et partenaires.</w:t>
      </w:r>
      <w:r>
        <w:rPr>
          <w:rStyle w:val="Appelnotedebasdep"/>
          <w:color w:val="000000"/>
          <w:lang w:val="fr-FR"/>
        </w:rPr>
        <w:footnoteReference w:id="194"/>
      </w:r>
    </w:p>
    <w:p w:rsidR="00E772DD" w:rsidRPr="00DB56EB" w:rsidRDefault="00E772DD" w:rsidP="004D32AC">
      <w:pPr>
        <w:pStyle w:val="Titre3"/>
        <w:numPr>
          <w:ilvl w:val="2"/>
          <w:numId w:val="184"/>
        </w:numPr>
        <w:spacing w:after="0" w:afterAutospacing="0" w:line="360" w:lineRule="auto"/>
        <w:rPr>
          <w:sz w:val="24"/>
          <w:szCs w:val="24"/>
        </w:rPr>
      </w:pPr>
      <w:bookmarkStart w:id="1186" w:name="_Toc199714387"/>
      <w:bookmarkStart w:id="1187" w:name="_Toc200486667"/>
      <w:bookmarkStart w:id="1188" w:name="_Toc200635443"/>
      <w:bookmarkStart w:id="1189" w:name="_Toc200635831"/>
      <w:bookmarkStart w:id="1190" w:name="_Toc200636220"/>
      <w:bookmarkStart w:id="1191" w:name="_Toc200755957"/>
      <w:r w:rsidRPr="00DB56EB">
        <w:rPr>
          <w:rStyle w:val="lev"/>
          <w:b/>
          <w:bCs/>
          <w:sz w:val="24"/>
          <w:szCs w:val="24"/>
        </w:rPr>
        <w:t>L’</w:t>
      </w:r>
      <w:r w:rsidR="00DE1ED0" w:rsidRPr="00DB56EB">
        <w:rPr>
          <w:rStyle w:val="lev"/>
          <w:b/>
          <w:bCs/>
          <w:sz w:val="24"/>
          <w:szCs w:val="24"/>
        </w:rPr>
        <w:t>i</w:t>
      </w:r>
      <w:r w:rsidRPr="00DB56EB">
        <w:rPr>
          <w:rStyle w:val="lev"/>
          <w:b/>
          <w:bCs/>
          <w:sz w:val="24"/>
          <w:szCs w:val="24"/>
        </w:rPr>
        <w:t>mpact de l’</w:t>
      </w:r>
      <w:r w:rsidR="00DE1ED0" w:rsidRPr="00DB56EB">
        <w:rPr>
          <w:rStyle w:val="lev"/>
          <w:b/>
          <w:bCs/>
          <w:sz w:val="24"/>
          <w:szCs w:val="24"/>
        </w:rPr>
        <w:t>i</w:t>
      </w:r>
      <w:r w:rsidRPr="00DB56EB">
        <w:rPr>
          <w:rStyle w:val="lev"/>
          <w:b/>
          <w:bCs/>
          <w:sz w:val="24"/>
          <w:szCs w:val="24"/>
        </w:rPr>
        <w:t xml:space="preserve">ntelligence </w:t>
      </w:r>
      <w:r w:rsidR="00DE1ED0" w:rsidRPr="00DB56EB">
        <w:rPr>
          <w:rStyle w:val="lev"/>
          <w:b/>
          <w:bCs/>
          <w:sz w:val="24"/>
          <w:szCs w:val="24"/>
        </w:rPr>
        <w:t>a</w:t>
      </w:r>
      <w:r w:rsidRPr="00DB56EB">
        <w:rPr>
          <w:rStyle w:val="lev"/>
          <w:b/>
          <w:bCs/>
          <w:sz w:val="24"/>
          <w:szCs w:val="24"/>
        </w:rPr>
        <w:t>rtificielle et de l’</w:t>
      </w:r>
      <w:r w:rsidR="00DE1ED0" w:rsidRPr="00DB56EB">
        <w:rPr>
          <w:rStyle w:val="lev"/>
          <w:b/>
          <w:bCs/>
          <w:sz w:val="24"/>
          <w:szCs w:val="24"/>
        </w:rPr>
        <w:t>a</w:t>
      </w:r>
      <w:r w:rsidRPr="00DB56EB">
        <w:rPr>
          <w:rStyle w:val="lev"/>
          <w:b/>
          <w:bCs/>
          <w:sz w:val="24"/>
          <w:szCs w:val="24"/>
        </w:rPr>
        <w:t>utomatisation</w:t>
      </w:r>
      <w:bookmarkEnd w:id="1186"/>
      <w:bookmarkEnd w:id="1187"/>
      <w:bookmarkEnd w:id="1188"/>
      <w:bookmarkEnd w:id="1189"/>
      <w:bookmarkEnd w:id="1190"/>
      <w:bookmarkEnd w:id="1191"/>
    </w:p>
    <w:p w:rsidR="00E772DD" w:rsidRPr="00B4469E" w:rsidRDefault="00E772DD" w:rsidP="00DE1ED0">
      <w:pPr>
        <w:pStyle w:val="NormalWeb"/>
        <w:spacing w:before="0" w:beforeAutospacing="0" w:after="0" w:afterAutospacing="0" w:line="360" w:lineRule="auto"/>
        <w:jc w:val="both"/>
        <w:rPr>
          <w:color w:val="000000"/>
          <w:lang w:val="fr-FR"/>
        </w:rPr>
      </w:pPr>
      <w:r w:rsidRPr="00B4469E">
        <w:rPr>
          <w:color w:val="000000"/>
          <w:lang w:val="fr-FR"/>
        </w:rPr>
        <w:t xml:space="preserve">Depuis les années 2010, l’intelligence artificielle (IA) et l’automatisation occupent une place croissante dans les stratégies numériques des entreprises. L’apprentissage automatique et l’analyse prédictive améliorent la prise de décision, tandis que les </w:t>
      </w:r>
      <w:proofErr w:type="spellStart"/>
      <w:r w:rsidRPr="00B4469E">
        <w:rPr>
          <w:color w:val="000000"/>
          <w:lang w:val="fr-FR"/>
        </w:rPr>
        <w:t>chatbots</w:t>
      </w:r>
      <w:proofErr w:type="spellEnd"/>
      <w:r w:rsidRPr="00B4469E">
        <w:rPr>
          <w:color w:val="000000"/>
          <w:lang w:val="fr-FR"/>
        </w:rPr>
        <w:t xml:space="preserve"> et les assistants virtuels optimisent la relation client. Ces avancées technologiques permettent d’augmenter la productivité et de proposer des expériences personnalisées.</w:t>
      </w:r>
      <w:r>
        <w:rPr>
          <w:rStyle w:val="Appelnotedebasdep"/>
          <w:color w:val="000000"/>
          <w:lang w:val="fr-FR"/>
        </w:rPr>
        <w:footnoteReference w:id="195"/>
      </w:r>
      <w:r w:rsidRPr="00B4469E">
        <w:rPr>
          <w:color w:val="000000"/>
          <w:lang w:val="fr-FR"/>
        </w:rPr>
        <w:t xml:space="preserve"> </w:t>
      </w:r>
    </w:p>
    <w:p w:rsidR="00E772DD" w:rsidRPr="00DB56EB" w:rsidRDefault="00E772DD" w:rsidP="004D32AC">
      <w:pPr>
        <w:pStyle w:val="Titre3"/>
        <w:numPr>
          <w:ilvl w:val="2"/>
          <w:numId w:val="184"/>
        </w:numPr>
        <w:spacing w:after="0" w:afterAutospacing="0" w:line="360" w:lineRule="auto"/>
        <w:rPr>
          <w:sz w:val="24"/>
          <w:szCs w:val="24"/>
        </w:rPr>
      </w:pPr>
      <w:bookmarkStart w:id="1192" w:name="_Toc199714388"/>
      <w:bookmarkStart w:id="1193" w:name="_Toc200486668"/>
      <w:bookmarkStart w:id="1194" w:name="_Toc200635444"/>
      <w:bookmarkStart w:id="1195" w:name="_Toc200635832"/>
      <w:bookmarkStart w:id="1196" w:name="_Toc200636221"/>
      <w:bookmarkStart w:id="1197" w:name="_Toc200755958"/>
      <w:r w:rsidRPr="00DB56EB">
        <w:rPr>
          <w:rStyle w:val="lev"/>
          <w:b/>
          <w:bCs/>
          <w:sz w:val="24"/>
          <w:szCs w:val="24"/>
        </w:rPr>
        <w:t>L’</w:t>
      </w:r>
      <w:r w:rsidR="00DE1ED0" w:rsidRPr="00DB56EB">
        <w:rPr>
          <w:rStyle w:val="lev"/>
          <w:b/>
          <w:bCs/>
          <w:sz w:val="24"/>
          <w:szCs w:val="24"/>
        </w:rPr>
        <w:t>è</w:t>
      </w:r>
      <w:r w:rsidRPr="00DB56EB">
        <w:rPr>
          <w:rStyle w:val="lev"/>
          <w:b/>
          <w:bCs/>
          <w:sz w:val="24"/>
          <w:szCs w:val="24"/>
        </w:rPr>
        <w:t>re de l’</w:t>
      </w:r>
      <w:r w:rsidR="00DE1ED0" w:rsidRPr="00DB56EB">
        <w:rPr>
          <w:rStyle w:val="lev"/>
          <w:b/>
          <w:bCs/>
          <w:sz w:val="24"/>
          <w:szCs w:val="24"/>
        </w:rPr>
        <w:t>h</w:t>
      </w:r>
      <w:r w:rsidRPr="00DB56EB">
        <w:rPr>
          <w:rStyle w:val="lev"/>
          <w:b/>
          <w:bCs/>
          <w:sz w:val="24"/>
          <w:szCs w:val="24"/>
        </w:rPr>
        <w:t xml:space="preserve">yperconnectivité et de la </w:t>
      </w:r>
      <w:r w:rsidR="00DE1ED0" w:rsidRPr="00DB56EB">
        <w:rPr>
          <w:rStyle w:val="lev"/>
          <w:b/>
          <w:bCs/>
          <w:sz w:val="24"/>
          <w:szCs w:val="24"/>
        </w:rPr>
        <w:t>t</w:t>
      </w:r>
      <w:r w:rsidRPr="00DB56EB">
        <w:rPr>
          <w:rStyle w:val="lev"/>
          <w:b/>
          <w:bCs/>
          <w:sz w:val="24"/>
          <w:szCs w:val="24"/>
        </w:rPr>
        <w:t xml:space="preserve">ransformation </w:t>
      </w:r>
      <w:r w:rsidR="00DE1ED0" w:rsidRPr="00DB56EB">
        <w:rPr>
          <w:rStyle w:val="lev"/>
          <w:b/>
          <w:bCs/>
          <w:sz w:val="24"/>
          <w:szCs w:val="24"/>
        </w:rPr>
        <w:t>n</w:t>
      </w:r>
      <w:r w:rsidRPr="00DB56EB">
        <w:rPr>
          <w:rStyle w:val="lev"/>
          <w:b/>
          <w:bCs/>
          <w:sz w:val="24"/>
          <w:szCs w:val="24"/>
        </w:rPr>
        <w:t xml:space="preserve">umérique </w:t>
      </w:r>
      <w:r w:rsidR="00DE1ED0" w:rsidRPr="00DB56EB">
        <w:rPr>
          <w:rStyle w:val="lev"/>
          <w:b/>
          <w:bCs/>
          <w:sz w:val="24"/>
          <w:szCs w:val="24"/>
        </w:rPr>
        <w:t>a</w:t>
      </w:r>
      <w:r w:rsidRPr="00DB56EB">
        <w:rPr>
          <w:rStyle w:val="lev"/>
          <w:b/>
          <w:bCs/>
          <w:sz w:val="24"/>
          <w:szCs w:val="24"/>
        </w:rPr>
        <w:t>ccélérée</w:t>
      </w:r>
      <w:bookmarkEnd w:id="1192"/>
      <w:bookmarkEnd w:id="1193"/>
      <w:bookmarkEnd w:id="1194"/>
      <w:bookmarkEnd w:id="1195"/>
      <w:bookmarkEnd w:id="1196"/>
      <w:bookmarkEnd w:id="1197"/>
    </w:p>
    <w:p w:rsidR="00E772DD" w:rsidRPr="00B4469E" w:rsidRDefault="00E772DD" w:rsidP="00DE1ED0">
      <w:pPr>
        <w:pStyle w:val="NormalWeb"/>
        <w:spacing w:before="0" w:beforeAutospacing="0" w:after="0" w:afterAutospacing="0" w:line="360" w:lineRule="auto"/>
        <w:jc w:val="both"/>
        <w:rPr>
          <w:color w:val="000000"/>
          <w:lang w:val="fr-FR"/>
        </w:rPr>
      </w:pPr>
      <w:r w:rsidRPr="00B4469E">
        <w:rPr>
          <w:color w:val="000000"/>
          <w:lang w:val="fr-FR"/>
        </w:rPr>
        <w:t>Les années 2020 sont marquées par une accélération de la digitalisation, accentuée par la crise sanitaire qui a renforcé l’adoption du télétravail et des services numériques. Des technologies émergentes comme la 5G, la blockchain et l’Internet des objets (IoT) transforment en profondeur les processus industriels et les modèles économiques. Les entreprises doivent ainsi s’adapter rapidement aux nouvelles exigences d’un marché de plus en plus connecté.</w:t>
      </w:r>
      <w:r>
        <w:rPr>
          <w:rStyle w:val="Appelnotedebasdep"/>
          <w:color w:val="000000"/>
          <w:lang w:val="fr-FR"/>
        </w:rPr>
        <w:footnoteReference w:id="196"/>
      </w:r>
      <w:r w:rsidRPr="00B4469E">
        <w:rPr>
          <w:color w:val="000000"/>
          <w:lang w:val="fr-FR"/>
        </w:rPr>
        <w:t xml:space="preserve"> </w:t>
      </w:r>
    </w:p>
    <w:p w:rsidR="00E772DD" w:rsidRPr="00DB56EB" w:rsidRDefault="00E772DD" w:rsidP="004D32AC">
      <w:pPr>
        <w:pStyle w:val="Titre3"/>
        <w:numPr>
          <w:ilvl w:val="2"/>
          <w:numId w:val="184"/>
        </w:numPr>
        <w:spacing w:after="0" w:afterAutospacing="0" w:line="360" w:lineRule="auto"/>
        <w:rPr>
          <w:sz w:val="24"/>
          <w:szCs w:val="24"/>
        </w:rPr>
      </w:pPr>
      <w:bookmarkStart w:id="1198" w:name="_Toc199714389"/>
      <w:bookmarkStart w:id="1199" w:name="_Toc200486669"/>
      <w:bookmarkStart w:id="1200" w:name="_Toc200635445"/>
      <w:bookmarkStart w:id="1201" w:name="_Toc200635833"/>
      <w:bookmarkStart w:id="1202" w:name="_Toc200636222"/>
      <w:bookmarkStart w:id="1203" w:name="_Toc200755959"/>
      <w:r w:rsidRPr="00DB56EB">
        <w:rPr>
          <w:rStyle w:val="lev"/>
          <w:b/>
          <w:bCs/>
          <w:sz w:val="24"/>
          <w:szCs w:val="24"/>
        </w:rPr>
        <w:t>L’</w:t>
      </w:r>
      <w:r w:rsidR="00DE1ED0" w:rsidRPr="00DB56EB">
        <w:rPr>
          <w:rStyle w:val="lev"/>
          <w:b/>
          <w:bCs/>
          <w:sz w:val="24"/>
          <w:szCs w:val="24"/>
        </w:rPr>
        <w:t>i</w:t>
      </w:r>
      <w:r w:rsidRPr="00DB56EB">
        <w:rPr>
          <w:rStyle w:val="lev"/>
          <w:b/>
          <w:bCs/>
          <w:sz w:val="24"/>
          <w:szCs w:val="24"/>
        </w:rPr>
        <w:t xml:space="preserve">nnovation </w:t>
      </w:r>
      <w:r w:rsidR="00DE1ED0" w:rsidRPr="00DB56EB">
        <w:rPr>
          <w:rStyle w:val="lev"/>
          <w:b/>
          <w:bCs/>
          <w:sz w:val="24"/>
          <w:szCs w:val="24"/>
        </w:rPr>
        <w:t>n</w:t>
      </w:r>
      <w:r w:rsidRPr="00DB56EB">
        <w:rPr>
          <w:rStyle w:val="lev"/>
          <w:b/>
          <w:bCs/>
          <w:sz w:val="24"/>
          <w:szCs w:val="24"/>
        </w:rPr>
        <w:t xml:space="preserve">umérique en 2024 : </w:t>
      </w:r>
      <w:r w:rsidR="00DE1ED0" w:rsidRPr="00DB56EB">
        <w:rPr>
          <w:rStyle w:val="lev"/>
          <w:b/>
          <w:bCs/>
          <w:sz w:val="24"/>
          <w:szCs w:val="24"/>
        </w:rPr>
        <w:t>i</w:t>
      </w:r>
      <w:r w:rsidRPr="00DB56EB">
        <w:rPr>
          <w:rStyle w:val="lev"/>
          <w:b/>
          <w:bCs/>
          <w:sz w:val="24"/>
          <w:szCs w:val="24"/>
        </w:rPr>
        <w:t xml:space="preserve">ntelligence </w:t>
      </w:r>
      <w:r w:rsidR="00DE1ED0" w:rsidRPr="00DB56EB">
        <w:rPr>
          <w:rStyle w:val="lev"/>
          <w:b/>
          <w:bCs/>
          <w:sz w:val="24"/>
          <w:szCs w:val="24"/>
        </w:rPr>
        <w:t>a</w:t>
      </w:r>
      <w:r w:rsidRPr="00DB56EB">
        <w:rPr>
          <w:rStyle w:val="lev"/>
          <w:b/>
          <w:bCs/>
          <w:sz w:val="24"/>
          <w:szCs w:val="24"/>
        </w:rPr>
        <w:t xml:space="preserve">rtificielle </w:t>
      </w:r>
      <w:r w:rsidR="00DE1ED0" w:rsidRPr="00DB56EB">
        <w:rPr>
          <w:rStyle w:val="lev"/>
          <w:b/>
          <w:bCs/>
          <w:sz w:val="24"/>
          <w:szCs w:val="24"/>
        </w:rPr>
        <w:t>g</w:t>
      </w:r>
      <w:r w:rsidRPr="00DB56EB">
        <w:rPr>
          <w:rStyle w:val="lev"/>
          <w:b/>
          <w:bCs/>
          <w:sz w:val="24"/>
          <w:szCs w:val="24"/>
        </w:rPr>
        <w:t xml:space="preserve">énérative et </w:t>
      </w:r>
      <w:r w:rsidR="00DE1ED0" w:rsidRPr="00DB56EB">
        <w:rPr>
          <w:rStyle w:val="lev"/>
          <w:b/>
          <w:bCs/>
          <w:sz w:val="24"/>
          <w:szCs w:val="24"/>
        </w:rPr>
        <w:t>r</w:t>
      </w:r>
      <w:r w:rsidRPr="00DB56EB">
        <w:rPr>
          <w:rStyle w:val="lev"/>
          <w:b/>
          <w:bCs/>
          <w:sz w:val="24"/>
          <w:szCs w:val="24"/>
        </w:rPr>
        <w:t xml:space="preserve">éalité </w:t>
      </w:r>
      <w:r w:rsidR="00DE1ED0" w:rsidRPr="00DB56EB">
        <w:rPr>
          <w:rStyle w:val="lev"/>
          <w:b/>
          <w:bCs/>
          <w:sz w:val="24"/>
          <w:szCs w:val="24"/>
        </w:rPr>
        <w:t>m</w:t>
      </w:r>
      <w:r w:rsidRPr="00DB56EB">
        <w:rPr>
          <w:rStyle w:val="lev"/>
          <w:b/>
          <w:bCs/>
          <w:sz w:val="24"/>
          <w:szCs w:val="24"/>
        </w:rPr>
        <w:t>ixte</w:t>
      </w:r>
      <w:bookmarkEnd w:id="1198"/>
      <w:bookmarkEnd w:id="1199"/>
      <w:bookmarkEnd w:id="1200"/>
      <w:bookmarkEnd w:id="1201"/>
      <w:bookmarkEnd w:id="1202"/>
      <w:bookmarkEnd w:id="1203"/>
    </w:p>
    <w:p w:rsidR="003B5837" w:rsidRPr="003B5837" w:rsidRDefault="00E772DD" w:rsidP="003B5837">
      <w:pPr>
        <w:pStyle w:val="NormalWeb"/>
        <w:spacing w:before="0" w:beforeAutospacing="0" w:after="240" w:afterAutospacing="0" w:line="360" w:lineRule="auto"/>
        <w:jc w:val="both"/>
        <w:rPr>
          <w:color w:val="000000"/>
          <w:lang w:val="fr-FR"/>
        </w:rPr>
      </w:pPr>
      <w:r w:rsidRPr="00B4469E">
        <w:rPr>
          <w:color w:val="000000"/>
          <w:lang w:val="fr-FR"/>
        </w:rPr>
        <w:t>L’année 2024 voit l’essor des technologies d’intelligence artificielle générative et de réalité mixte. Des solutions avancées comme ChatGPT-4 et Gemini AI révolutionnent la production de contenu et l’automatisation des processus. En parallèle, des outils de réalité augmentée et virtuelle, tels que l’Apple Vision Pro, transforment les secteurs de l’éducation, de la santé et du commerce en proposant des expériences immersives inédites. Ces innovations redéfinissent la manière dont les individus interagissent avec le numérique.</w:t>
      </w:r>
      <w:r>
        <w:rPr>
          <w:rStyle w:val="Appelnotedebasdep"/>
          <w:color w:val="000000"/>
          <w:lang w:val="fr-FR"/>
        </w:rPr>
        <w:footnoteReference w:id="197"/>
      </w:r>
      <w:r w:rsidRPr="00B4469E">
        <w:rPr>
          <w:color w:val="000000"/>
          <w:lang w:val="fr-FR"/>
        </w:rPr>
        <w:t xml:space="preserve"> </w:t>
      </w:r>
      <w:bookmarkStart w:id="1204" w:name="_Toc199714390"/>
    </w:p>
    <w:p w:rsidR="00E772DD" w:rsidRPr="00C52135" w:rsidRDefault="00E772DD" w:rsidP="004D32AC">
      <w:pPr>
        <w:pStyle w:val="Titre3"/>
        <w:numPr>
          <w:ilvl w:val="1"/>
          <w:numId w:val="184"/>
        </w:numPr>
        <w:spacing w:after="0" w:afterAutospacing="0" w:line="360" w:lineRule="auto"/>
        <w:rPr>
          <w:sz w:val="24"/>
          <w:szCs w:val="24"/>
        </w:rPr>
      </w:pPr>
      <w:bookmarkStart w:id="1205" w:name="_Toc200486670"/>
      <w:bookmarkStart w:id="1206" w:name="_Toc200635446"/>
      <w:bookmarkStart w:id="1207" w:name="_Toc200635834"/>
      <w:bookmarkStart w:id="1208" w:name="_Toc200636223"/>
      <w:bookmarkStart w:id="1209" w:name="_Toc200755960"/>
      <w:r w:rsidRPr="00C52135">
        <w:rPr>
          <w:sz w:val="24"/>
          <w:szCs w:val="24"/>
        </w:rPr>
        <w:t>Les différentes formes de transformation digitale</w:t>
      </w:r>
      <w:bookmarkEnd w:id="1204"/>
      <w:bookmarkEnd w:id="1205"/>
      <w:bookmarkEnd w:id="1206"/>
      <w:bookmarkEnd w:id="1207"/>
      <w:bookmarkEnd w:id="1208"/>
      <w:bookmarkEnd w:id="1209"/>
    </w:p>
    <w:p w:rsidR="003B5837" w:rsidRDefault="00E772DD" w:rsidP="004D32AC">
      <w:pPr>
        <w:pStyle w:val="Titre3"/>
        <w:numPr>
          <w:ilvl w:val="2"/>
          <w:numId w:val="184"/>
        </w:numPr>
        <w:spacing w:after="0" w:afterAutospacing="0" w:line="360" w:lineRule="auto"/>
        <w:rPr>
          <w:sz w:val="24"/>
          <w:szCs w:val="24"/>
          <w:lang w:val="fr-FR"/>
        </w:rPr>
      </w:pPr>
      <w:bookmarkStart w:id="1210" w:name="_Toc199714391"/>
      <w:bookmarkStart w:id="1211" w:name="_Toc200486671"/>
      <w:bookmarkStart w:id="1212" w:name="_Toc200635447"/>
      <w:bookmarkStart w:id="1213" w:name="_Toc200635835"/>
      <w:bookmarkStart w:id="1214" w:name="_Toc200636224"/>
      <w:bookmarkStart w:id="1215" w:name="_Toc200755961"/>
      <w:r w:rsidRPr="00C52135">
        <w:rPr>
          <w:sz w:val="24"/>
          <w:szCs w:val="24"/>
          <w:lang w:val="fr-FR"/>
        </w:rPr>
        <w:t>Optimisation des processus internes</w:t>
      </w:r>
      <w:bookmarkEnd w:id="1210"/>
      <w:bookmarkEnd w:id="1211"/>
      <w:bookmarkEnd w:id="1212"/>
      <w:bookmarkEnd w:id="1213"/>
      <w:bookmarkEnd w:id="1214"/>
      <w:bookmarkEnd w:id="1215"/>
      <w:r w:rsidRPr="00C52135">
        <w:rPr>
          <w:sz w:val="24"/>
          <w:szCs w:val="24"/>
          <w:lang w:val="fr-FR"/>
        </w:rPr>
        <w:t xml:space="preserve"> </w:t>
      </w:r>
    </w:p>
    <w:p w:rsidR="003B5837" w:rsidRDefault="003B5837" w:rsidP="003B5837">
      <w:pPr>
        <w:pStyle w:val="Titre3"/>
        <w:spacing w:before="0" w:beforeAutospacing="0" w:line="360" w:lineRule="auto"/>
        <w:rPr>
          <w:sz w:val="24"/>
          <w:szCs w:val="24"/>
          <w:lang w:val="fr-FR"/>
        </w:rPr>
      </w:pPr>
      <w:bookmarkStart w:id="1216" w:name="_Toc200486672"/>
      <w:bookmarkStart w:id="1217" w:name="_Toc200635448"/>
      <w:bookmarkStart w:id="1218" w:name="_Toc200635836"/>
      <w:bookmarkStart w:id="1219" w:name="_Toc200636225"/>
      <w:bookmarkStart w:id="1220" w:name="_Toc200755962"/>
      <w:r w:rsidRPr="003B5837">
        <w:rPr>
          <w:b w:val="0"/>
          <w:bCs w:val="0"/>
          <w:sz w:val="24"/>
          <w:szCs w:val="24"/>
          <w:lang w:val="fr-FR"/>
        </w:rPr>
        <w:t>L’un des objectifs fondamentaux de la transformation digitale est d’optimiser les processus</w:t>
      </w:r>
      <w:bookmarkEnd w:id="1216"/>
      <w:bookmarkEnd w:id="1217"/>
      <w:bookmarkEnd w:id="1218"/>
      <w:bookmarkEnd w:id="1219"/>
      <w:bookmarkEnd w:id="1220"/>
    </w:p>
    <w:p w:rsidR="003B5837" w:rsidRPr="003B5837" w:rsidRDefault="003B5837" w:rsidP="003B5837">
      <w:pPr>
        <w:pStyle w:val="Titre3"/>
        <w:spacing w:after="0" w:afterAutospacing="0" w:line="360" w:lineRule="auto"/>
        <w:rPr>
          <w:sz w:val="24"/>
          <w:szCs w:val="24"/>
          <w:lang w:val="fr-FR"/>
        </w:rPr>
      </w:pPr>
      <w:bookmarkStart w:id="1221" w:name="_Toc200486673"/>
      <w:bookmarkStart w:id="1222" w:name="_Toc200635449"/>
      <w:bookmarkStart w:id="1223" w:name="_Toc200635837"/>
      <w:bookmarkStart w:id="1224" w:name="_Toc200636226"/>
      <w:bookmarkStart w:id="1225" w:name="_Toc200755963"/>
      <w:r w:rsidRPr="003B5837">
        <w:rPr>
          <w:b w:val="0"/>
          <w:bCs w:val="0"/>
          <w:sz w:val="24"/>
          <w:szCs w:val="24"/>
          <w:lang w:val="fr-FR"/>
        </w:rPr>
        <w:lastRenderedPageBreak/>
        <w:t>opérationnels afin de les rendre plus fluides et performants.</w:t>
      </w:r>
      <w:bookmarkEnd w:id="1221"/>
      <w:bookmarkEnd w:id="1222"/>
      <w:bookmarkEnd w:id="1223"/>
      <w:bookmarkEnd w:id="1224"/>
      <w:bookmarkEnd w:id="1225"/>
    </w:p>
    <w:p w:rsidR="00E772DD" w:rsidRPr="00040A34" w:rsidRDefault="00E772DD" w:rsidP="003B5837">
      <w:pPr>
        <w:pStyle w:val="NormalWeb"/>
        <w:spacing w:before="0" w:beforeAutospacing="0" w:after="240" w:afterAutospacing="0" w:line="360" w:lineRule="auto"/>
        <w:jc w:val="both"/>
        <w:rPr>
          <w:color w:val="000000"/>
          <w:lang w:val="fr-FR"/>
        </w:rPr>
      </w:pPr>
      <w:r w:rsidRPr="00040A34">
        <w:rPr>
          <w:color w:val="000000"/>
          <w:lang w:val="fr-FR"/>
        </w:rPr>
        <w:t>L’un des objectifs fondamentaux de la transformation digitale est d’optimiser les processus opérationnels afin de les rendre plus fluides et performants. Ce type de transformation vise à réduire les délais de traitement, les coûts, ainsi que les erreurs tout en simplifiant les procédures existantes.</w:t>
      </w:r>
      <w:r>
        <w:rPr>
          <w:color w:val="000000"/>
          <w:lang w:val="fr-FR"/>
        </w:rPr>
        <w:t xml:space="preserve"> </w:t>
      </w:r>
      <w:r w:rsidRPr="00040A34">
        <w:rPr>
          <w:color w:val="000000"/>
          <w:lang w:val="fr-FR"/>
        </w:rPr>
        <w:t xml:space="preserve">L’amélioration des processus peut inclure la suppression d’étapes inutiles, l’optimisation des </w:t>
      </w:r>
      <w:proofErr w:type="spellStart"/>
      <w:r w:rsidRPr="00040A34">
        <w:rPr>
          <w:color w:val="000000"/>
          <w:lang w:val="fr-FR"/>
        </w:rPr>
        <w:t>reportings</w:t>
      </w:r>
      <w:proofErr w:type="spellEnd"/>
      <w:r w:rsidRPr="00040A34">
        <w:rPr>
          <w:color w:val="000000"/>
          <w:lang w:val="fr-FR"/>
        </w:rPr>
        <w:t xml:space="preserve"> ou encore la limitation des erreurs humaines grâce à l’automatisation. Une analyse approfondie des outils informatiques en place est indispensable avant toute refonte des processus. L’adoption de nouveaux logiciels peut sembler attrayante, mais elle doit être soigneusement évaluée en fonction des délais de mise en œuvre et de l’urgence du changement.</w:t>
      </w:r>
      <w:r>
        <w:rPr>
          <w:color w:val="000000"/>
          <w:lang w:val="fr-FR"/>
        </w:rPr>
        <w:t xml:space="preserve"> </w:t>
      </w:r>
      <w:r w:rsidRPr="00040A34">
        <w:rPr>
          <w:color w:val="000000"/>
          <w:lang w:val="fr-FR"/>
        </w:rPr>
        <w:t>Il est également crucial de suivre les évolutions des applications cloud (SaaS), car des mises à jour fréquentes peuvent rendre l’adoption de nouvelles solutions obsolète en peu de temps. Enfin, ce type de transformation peut avoir un impact significatif sur les parties prenantes, y compris les clients et les fournisseurs. Il est donc nécessaire d’accompagner ces changements par une gestion adaptée.</w:t>
      </w:r>
      <w:r>
        <w:rPr>
          <w:rStyle w:val="Appelnotedebasdep"/>
          <w:color w:val="000000"/>
          <w:lang w:val="fr-FR"/>
        </w:rPr>
        <w:footnoteReference w:id="198"/>
      </w:r>
    </w:p>
    <w:p w:rsidR="00E772DD" w:rsidRPr="009660B9" w:rsidRDefault="00E772DD" w:rsidP="004D32AC">
      <w:pPr>
        <w:pStyle w:val="Titre3"/>
        <w:numPr>
          <w:ilvl w:val="2"/>
          <w:numId w:val="184"/>
        </w:numPr>
        <w:spacing w:after="0" w:afterAutospacing="0" w:line="360" w:lineRule="auto"/>
        <w:rPr>
          <w:sz w:val="24"/>
          <w:szCs w:val="24"/>
          <w:lang w:val="fr-FR"/>
        </w:rPr>
      </w:pPr>
      <w:bookmarkStart w:id="1226" w:name="_Toc199714392"/>
      <w:bookmarkStart w:id="1227" w:name="_Toc200486674"/>
      <w:bookmarkStart w:id="1228" w:name="_Toc200635450"/>
      <w:bookmarkStart w:id="1229" w:name="_Toc200635838"/>
      <w:bookmarkStart w:id="1230" w:name="_Toc200636227"/>
      <w:bookmarkStart w:id="1231" w:name="_Toc200755964"/>
      <w:r w:rsidRPr="009660B9">
        <w:rPr>
          <w:sz w:val="24"/>
          <w:szCs w:val="24"/>
          <w:lang w:val="fr-FR"/>
        </w:rPr>
        <w:t>Reconfiguration du modèle économique</w:t>
      </w:r>
      <w:bookmarkEnd w:id="1226"/>
      <w:bookmarkEnd w:id="1227"/>
      <w:bookmarkEnd w:id="1228"/>
      <w:bookmarkEnd w:id="1229"/>
      <w:bookmarkEnd w:id="1230"/>
      <w:bookmarkEnd w:id="1231"/>
    </w:p>
    <w:p w:rsidR="00E772DD" w:rsidRPr="00040A34" w:rsidRDefault="00E772DD" w:rsidP="009660B9">
      <w:pPr>
        <w:pStyle w:val="NormalWeb"/>
        <w:spacing w:before="0" w:beforeAutospacing="0" w:after="0" w:afterAutospacing="0" w:line="360" w:lineRule="auto"/>
        <w:jc w:val="both"/>
        <w:rPr>
          <w:color w:val="000000"/>
          <w:lang w:val="fr-FR"/>
        </w:rPr>
      </w:pPr>
      <w:r w:rsidRPr="00040A34">
        <w:rPr>
          <w:color w:val="000000"/>
          <w:lang w:val="fr-FR"/>
        </w:rPr>
        <w:t>La transformation du modèle économique représente un changement plus profond que la simple optimisation des processus. Elle implique une réinvention de la manière dont une entreprise crée et délivre de la valeur, souvent en intégrant des solutions numériques dans son offre.</w:t>
      </w:r>
      <w:r>
        <w:rPr>
          <w:color w:val="000000"/>
          <w:lang w:val="fr-FR"/>
        </w:rPr>
        <w:t xml:space="preserve"> </w:t>
      </w:r>
      <w:r w:rsidRPr="00040A34">
        <w:rPr>
          <w:color w:val="000000"/>
          <w:lang w:val="fr-FR"/>
        </w:rPr>
        <w:t>Ce type de transformation est souvent motivé par l’évolution des comportements des consommateurs ou par une pression concurrentielle croissante. L’entreprise peut choisir de digitaliser un produit ou un service qui était auparavant proposé de manière traditionnelle.</w:t>
      </w:r>
    </w:p>
    <w:p w:rsidR="00982D25" w:rsidRPr="00040A34" w:rsidRDefault="00E772DD" w:rsidP="002F5C80">
      <w:pPr>
        <w:pStyle w:val="NormalWeb"/>
        <w:spacing w:before="0" w:beforeAutospacing="0" w:after="240" w:afterAutospacing="0" w:line="360" w:lineRule="auto"/>
        <w:jc w:val="both"/>
        <w:rPr>
          <w:color w:val="000000"/>
          <w:lang w:val="fr-FR"/>
        </w:rPr>
      </w:pPr>
      <w:r w:rsidRPr="00040A34">
        <w:rPr>
          <w:color w:val="000000"/>
          <w:lang w:val="fr-FR"/>
        </w:rPr>
        <w:t>Cependant, il est essentiel de ne pas agir de manière précipitée. Une analyse approfondie des tendances du marché et une planification stratégique sont nécessaires. Il peut également être indispensable de recruter des talents spécialisés ou de former les employés existants pour répondre aux nouvelles exigences opérationnelles.</w:t>
      </w:r>
      <w:r>
        <w:rPr>
          <w:rStyle w:val="Appelnotedebasdep"/>
          <w:color w:val="000000"/>
          <w:lang w:val="fr-FR"/>
        </w:rPr>
        <w:footnoteReference w:id="199"/>
      </w:r>
    </w:p>
    <w:p w:rsidR="00E772DD" w:rsidRPr="009660B9" w:rsidRDefault="00E772DD" w:rsidP="004D32AC">
      <w:pPr>
        <w:pStyle w:val="Titre3"/>
        <w:numPr>
          <w:ilvl w:val="2"/>
          <w:numId w:val="184"/>
        </w:numPr>
        <w:spacing w:after="0" w:afterAutospacing="0" w:line="360" w:lineRule="auto"/>
        <w:rPr>
          <w:sz w:val="24"/>
          <w:szCs w:val="24"/>
          <w:lang w:val="fr-FR"/>
        </w:rPr>
      </w:pPr>
      <w:bookmarkStart w:id="1232" w:name="_Toc199714393"/>
      <w:bookmarkStart w:id="1233" w:name="_Toc200486675"/>
      <w:bookmarkStart w:id="1234" w:name="_Toc200635451"/>
      <w:bookmarkStart w:id="1235" w:name="_Toc200635839"/>
      <w:bookmarkStart w:id="1236" w:name="_Toc200636228"/>
      <w:bookmarkStart w:id="1237" w:name="_Toc200755965"/>
      <w:r w:rsidRPr="009660B9">
        <w:rPr>
          <w:sz w:val="24"/>
          <w:szCs w:val="24"/>
          <w:lang w:val="fr-FR"/>
        </w:rPr>
        <w:t>Diversification vers de nouveaux domaines d’activité</w:t>
      </w:r>
      <w:bookmarkEnd w:id="1232"/>
      <w:bookmarkEnd w:id="1233"/>
      <w:bookmarkEnd w:id="1234"/>
      <w:bookmarkEnd w:id="1235"/>
      <w:bookmarkEnd w:id="1236"/>
      <w:bookmarkEnd w:id="1237"/>
    </w:p>
    <w:p w:rsidR="00E772DD" w:rsidRDefault="00E772DD" w:rsidP="009660B9">
      <w:pPr>
        <w:pStyle w:val="NormalWeb"/>
        <w:spacing w:before="0" w:beforeAutospacing="0" w:after="0" w:afterAutospacing="0" w:line="360" w:lineRule="auto"/>
        <w:jc w:val="both"/>
        <w:rPr>
          <w:color w:val="000000"/>
          <w:lang w:val="fr-FR"/>
        </w:rPr>
      </w:pPr>
      <w:r w:rsidRPr="00040A34">
        <w:rPr>
          <w:color w:val="000000"/>
          <w:lang w:val="fr-FR"/>
        </w:rPr>
        <w:t>La transformation par diversification, également appelée transformation de domaine, consiste pour une entreprise à utiliser la digitalisation afin de pénétrer un marché différent de son secteur d’origine.</w:t>
      </w:r>
      <w:r>
        <w:rPr>
          <w:color w:val="000000"/>
          <w:lang w:val="fr-FR"/>
        </w:rPr>
        <w:t xml:space="preserve"> </w:t>
      </w:r>
      <w:r w:rsidRPr="00040A34">
        <w:rPr>
          <w:color w:val="000000"/>
          <w:lang w:val="fr-FR"/>
        </w:rPr>
        <w:t xml:space="preserve">Cette démarche est souvent adoptée lorsque les évolutions technologiques ou la </w:t>
      </w:r>
      <w:r w:rsidRPr="00040A34">
        <w:rPr>
          <w:color w:val="000000"/>
          <w:lang w:val="fr-FR"/>
        </w:rPr>
        <w:lastRenderedPageBreak/>
        <w:t>concurrence rendent difficile la poursuite d’une activité dans son état actuel. Pour rester compétitive, l’organisation cherche alors à étendre son offre sans abandonner totalement son activité principale.</w:t>
      </w:r>
      <w:r>
        <w:rPr>
          <w:color w:val="000000"/>
          <w:lang w:val="fr-FR"/>
        </w:rPr>
        <w:t xml:space="preserve"> </w:t>
      </w:r>
    </w:p>
    <w:p w:rsidR="00E772DD" w:rsidRPr="00040A34" w:rsidRDefault="00E772DD" w:rsidP="001F6825">
      <w:pPr>
        <w:pStyle w:val="NormalWeb"/>
        <w:spacing w:before="0" w:beforeAutospacing="0" w:after="240" w:afterAutospacing="0" w:line="360" w:lineRule="auto"/>
        <w:jc w:val="both"/>
        <w:rPr>
          <w:color w:val="000000"/>
          <w:lang w:val="fr-FR"/>
        </w:rPr>
      </w:pPr>
      <w:r w:rsidRPr="00040A34">
        <w:rPr>
          <w:color w:val="000000"/>
          <w:lang w:val="fr-FR"/>
        </w:rPr>
        <w:t>Un exemple typique serait une entreprise qui développe un logiciel d’automatisation interne et décide de le commercialiser auprès d’autres sociétés, créant ainsi une nouvelle source de revenus. Ce type de transformation repose sur l’innovation et nécessite une analyse approfondie des opportunités de marché avant sa mise en œuvre.</w:t>
      </w:r>
      <w:r>
        <w:rPr>
          <w:rStyle w:val="Appelnotedebasdep"/>
          <w:color w:val="000000"/>
          <w:lang w:val="fr-FR"/>
        </w:rPr>
        <w:footnoteReference w:id="200"/>
      </w:r>
    </w:p>
    <w:p w:rsidR="00E772DD" w:rsidRPr="00F80E3A" w:rsidRDefault="00E772DD" w:rsidP="004D32AC">
      <w:pPr>
        <w:pStyle w:val="Titre3"/>
        <w:numPr>
          <w:ilvl w:val="2"/>
          <w:numId w:val="184"/>
        </w:numPr>
        <w:spacing w:after="0" w:afterAutospacing="0" w:line="360" w:lineRule="auto"/>
        <w:rPr>
          <w:sz w:val="24"/>
          <w:szCs w:val="24"/>
          <w:lang w:val="fr-FR"/>
        </w:rPr>
      </w:pPr>
      <w:bookmarkStart w:id="1238" w:name="_Toc199714394"/>
      <w:bookmarkStart w:id="1239" w:name="_Toc200486676"/>
      <w:bookmarkStart w:id="1240" w:name="_Toc200635452"/>
      <w:bookmarkStart w:id="1241" w:name="_Toc200635840"/>
      <w:bookmarkStart w:id="1242" w:name="_Toc200636229"/>
      <w:bookmarkStart w:id="1243" w:name="_Toc200755966"/>
      <w:r w:rsidRPr="00F80E3A">
        <w:rPr>
          <w:sz w:val="24"/>
          <w:szCs w:val="24"/>
          <w:lang w:val="fr-FR"/>
        </w:rPr>
        <w:t>Évolution culturelle et organisationnelle</w:t>
      </w:r>
      <w:bookmarkEnd w:id="1238"/>
      <w:bookmarkEnd w:id="1239"/>
      <w:bookmarkEnd w:id="1240"/>
      <w:bookmarkEnd w:id="1241"/>
      <w:bookmarkEnd w:id="1242"/>
      <w:bookmarkEnd w:id="1243"/>
    </w:p>
    <w:p w:rsidR="00E772DD" w:rsidRPr="00040A34" w:rsidRDefault="00E772DD" w:rsidP="00040A34">
      <w:pPr>
        <w:pStyle w:val="NormalWeb"/>
        <w:spacing w:before="0" w:beforeAutospacing="0" w:after="0" w:afterAutospacing="0" w:line="360" w:lineRule="auto"/>
        <w:jc w:val="both"/>
        <w:rPr>
          <w:color w:val="000000"/>
          <w:lang w:val="fr-FR"/>
        </w:rPr>
      </w:pPr>
      <w:r w:rsidRPr="00040A34">
        <w:rPr>
          <w:color w:val="000000"/>
          <w:lang w:val="fr-FR"/>
        </w:rPr>
        <w:t>La transformation culturelle ou organisationnelle modifie en profondeur la manière dont une entreprise fonctionne et dont ses employés perçoivent leur environnement de travail. Ce type de changement peut être l’un des plus difficiles à mettre en place, car il demande une adaptation importante des équipes.</w:t>
      </w:r>
      <w:r>
        <w:rPr>
          <w:color w:val="000000"/>
          <w:lang w:val="fr-FR"/>
        </w:rPr>
        <w:t xml:space="preserve"> </w:t>
      </w:r>
      <w:r w:rsidRPr="00040A34">
        <w:rPr>
          <w:color w:val="000000"/>
          <w:lang w:val="fr-FR"/>
        </w:rPr>
        <w:t>Ce bouleversement survient souvent à la suite d’un rachat, d’un changement dans la direction de l’entreprise ou d’une crise interne, comme une atteinte à la réputation ou des défis juridiques. Pour réussir, il est impératif d’accompagner les employés dans cette transition en favorisant une culture d’innovation et d’agilité.</w:t>
      </w:r>
    </w:p>
    <w:p w:rsidR="00E772DD" w:rsidRPr="00040A34" w:rsidRDefault="00E772DD" w:rsidP="001F6825">
      <w:pPr>
        <w:pStyle w:val="NormalWeb"/>
        <w:spacing w:before="0" w:beforeAutospacing="0" w:after="240" w:afterAutospacing="0" w:line="360" w:lineRule="auto"/>
        <w:jc w:val="both"/>
        <w:rPr>
          <w:color w:val="000000"/>
          <w:lang w:val="fr-FR"/>
        </w:rPr>
      </w:pPr>
      <w:r w:rsidRPr="00040A34">
        <w:rPr>
          <w:color w:val="000000"/>
          <w:lang w:val="fr-FR"/>
        </w:rPr>
        <w:t>L’instauration d’un nouvel état d’esprit orienté vers le digital et l’adoption progressive de nouvelles méthodes de travail sont des éléments clés pour assurer le succès de cette transformation.</w:t>
      </w:r>
      <w:r>
        <w:rPr>
          <w:rStyle w:val="Appelnotedebasdep"/>
          <w:color w:val="000000"/>
          <w:lang w:val="fr-FR"/>
        </w:rPr>
        <w:footnoteReference w:id="201"/>
      </w:r>
    </w:p>
    <w:p w:rsidR="00E772DD" w:rsidRPr="00F80E3A" w:rsidRDefault="00E772DD" w:rsidP="004D32AC">
      <w:pPr>
        <w:pStyle w:val="Titre3"/>
        <w:numPr>
          <w:ilvl w:val="0"/>
          <w:numId w:val="184"/>
        </w:numPr>
        <w:spacing w:after="0" w:afterAutospacing="0" w:line="360" w:lineRule="auto"/>
        <w:rPr>
          <w:sz w:val="24"/>
          <w:szCs w:val="24"/>
          <w:lang w:val="fr-FR"/>
        </w:rPr>
      </w:pPr>
      <w:bookmarkStart w:id="1244" w:name="_Toc199714395"/>
      <w:bookmarkStart w:id="1245" w:name="_Toc200486677"/>
      <w:bookmarkStart w:id="1246" w:name="_Toc200635453"/>
      <w:bookmarkStart w:id="1247" w:name="_Toc200635841"/>
      <w:bookmarkStart w:id="1248" w:name="_Toc200636230"/>
      <w:bookmarkStart w:id="1249" w:name="_Toc200755967"/>
      <w:r w:rsidRPr="00F80E3A">
        <w:rPr>
          <w:sz w:val="24"/>
          <w:szCs w:val="24"/>
          <w:lang w:val="fr-FR"/>
        </w:rPr>
        <w:t>La digitalisation au sein de l’entreprise</w:t>
      </w:r>
      <w:bookmarkEnd w:id="1244"/>
      <w:bookmarkEnd w:id="1245"/>
      <w:bookmarkEnd w:id="1246"/>
      <w:bookmarkEnd w:id="1247"/>
      <w:bookmarkEnd w:id="1248"/>
      <w:bookmarkEnd w:id="1249"/>
      <w:r w:rsidRPr="00F80E3A">
        <w:rPr>
          <w:sz w:val="24"/>
          <w:szCs w:val="24"/>
          <w:lang w:val="fr-FR"/>
        </w:rPr>
        <w:t xml:space="preserve"> </w:t>
      </w:r>
    </w:p>
    <w:p w:rsidR="00982D25" w:rsidRDefault="00E772DD" w:rsidP="00D200FC">
      <w:pPr>
        <w:pStyle w:val="NormalWeb"/>
        <w:spacing w:before="0" w:beforeAutospacing="0" w:after="240" w:afterAutospacing="0" w:line="360" w:lineRule="auto"/>
        <w:jc w:val="both"/>
        <w:rPr>
          <w:color w:val="000000"/>
          <w:lang w:val="fr-FR"/>
        </w:rPr>
      </w:pPr>
      <w:r w:rsidRPr="00A2664E">
        <w:rPr>
          <w:color w:val="000000"/>
          <w:lang w:val="fr-FR"/>
        </w:rPr>
        <w:t>La digitalisation transforme profondément les processus organisationnels et opérationnels au sein des entreprises, en apportant des outils et des technologies qui facilitent la gestion, la communication et la prise de décision, tout en optimisant les performances globales.</w:t>
      </w:r>
    </w:p>
    <w:p w:rsidR="00F80E3A" w:rsidRPr="00F80E3A" w:rsidRDefault="00F80E3A" w:rsidP="004D32AC">
      <w:pPr>
        <w:pStyle w:val="Titre3"/>
        <w:numPr>
          <w:ilvl w:val="1"/>
          <w:numId w:val="184"/>
        </w:numPr>
        <w:spacing w:after="0" w:afterAutospacing="0" w:line="360" w:lineRule="auto"/>
        <w:rPr>
          <w:rFonts w:asciiTheme="majorBidi" w:hAnsiTheme="majorBidi"/>
          <w:color w:val="000000"/>
          <w:sz w:val="24"/>
          <w:szCs w:val="24"/>
          <w:lang w:val="fr-FR"/>
        </w:rPr>
      </w:pPr>
      <w:r>
        <w:rPr>
          <w:rStyle w:val="lev"/>
          <w:rFonts w:asciiTheme="majorBidi" w:hAnsiTheme="majorBidi"/>
          <w:b/>
          <w:bCs/>
          <w:color w:val="000000"/>
          <w:sz w:val="24"/>
          <w:szCs w:val="24"/>
          <w:lang w:val="fr-FR"/>
        </w:rPr>
        <w:t xml:space="preserve"> </w:t>
      </w:r>
      <w:bookmarkStart w:id="1250" w:name="_Toc199714396"/>
      <w:bookmarkStart w:id="1251" w:name="_Toc200486678"/>
      <w:bookmarkStart w:id="1252" w:name="_Toc200635454"/>
      <w:bookmarkStart w:id="1253" w:name="_Toc200635842"/>
      <w:bookmarkStart w:id="1254" w:name="_Toc200636231"/>
      <w:bookmarkStart w:id="1255" w:name="_Toc200755968"/>
      <w:r w:rsidRPr="00F80E3A">
        <w:rPr>
          <w:rStyle w:val="lev"/>
          <w:rFonts w:asciiTheme="majorBidi" w:hAnsiTheme="majorBidi"/>
          <w:b/>
          <w:bCs/>
          <w:color w:val="000000"/>
          <w:sz w:val="24"/>
          <w:szCs w:val="24"/>
          <w:lang w:val="fr-FR"/>
        </w:rPr>
        <w:t>Les deux facteurs essentiels de la transition digitale d’une entreprise</w:t>
      </w:r>
      <w:bookmarkEnd w:id="1250"/>
      <w:bookmarkEnd w:id="1251"/>
      <w:bookmarkEnd w:id="1252"/>
      <w:bookmarkEnd w:id="1253"/>
      <w:bookmarkEnd w:id="1254"/>
      <w:bookmarkEnd w:id="1255"/>
    </w:p>
    <w:p w:rsidR="00F80E3A" w:rsidRDefault="00E772DD" w:rsidP="00F80E3A">
      <w:pPr>
        <w:pStyle w:val="NormalWeb"/>
        <w:spacing w:before="0" w:beforeAutospacing="0" w:line="360" w:lineRule="auto"/>
        <w:jc w:val="both"/>
        <w:rPr>
          <w:rFonts w:asciiTheme="majorBidi" w:hAnsiTheme="majorBidi" w:cstheme="majorBidi"/>
          <w:color w:val="000000"/>
          <w:lang w:val="fr-FR"/>
        </w:rPr>
      </w:pPr>
      <w:r w:rsidRPr="00FB00F4">
        <w:rPr>
          <w:rFonts w:asciiTheme="majorBidi" w:hAnsiTheme="majorBidi" w:cstheme="majorBidi"/>
          <w:color w:val="000000"/>
          <w:lang w:val="fr-FR"/>
        </w:rPr>
        <w:t>L’intégration du numérique dans une entreprise repose sur plusieurs leviers, touchant aussi bien à la technologie et l’innovation qu’à l’organisation, aux collaborateurs et aux modes de production et de distribution des biens et services. Toutefois, deux éléments fondamentaux conditionnent le succès de cette transformation :</w:t>
      </w:r>
    </w:p>
    <w:p w:rsidR="003B5837" w:rsidRPr="00FB00F4" w:rsidRDefault="003B5837" w:rsidP="00F80E3A">
      <w:pPr>
        <w:pStyle w:val="NormalWeb"/>
        <w:spacing w:before="0" w:beforeAutospacing="0" w:line="360" w:lineRule="auto"/>
        <w:jc w:val="both"/>
        <w:rPr>
          <w:rFonts w:asciiTheme="majorBidi" w:hAnsiTheme="majorBidi" w:cstheme="majorBidi"/>
          <w:color w:val="000000"/>
          <w:lang w:val="fr-FR"/>
        </w:rPr>
      </w:pPr>
    </w:p>
    <w:p w:rsidR="00E772DD" w:rsidRPr="00F80E3A" w:rsidRDefault="00E772DD" w:rsidP="00954D17">
      <w:pPr>
        <w:pStyle w:val="Titre3"/>
        <w:numPr>
          <w:ilvl w:val="2"/>
          <w:numId w:val="184"/>
        </w:numPr>
        <w:spacing w:before="0" w:beforeAutospacing="0" w:after="0" w:afterAutospacing="0" w:line="360" w:lineRule="auto"/>
        <w:rPr>
          <w:b w:val="0"/>
          <w:bCs w:val="0"/>
          <w:i/>
          <w:iCs/>
          <w:sz w:val="24"/>
          <w:szCs w:val="24"/>
          <w:lang w:val="fr-FR"/>
        </w:rPr>
      </w:pPr>
      <w:bookmarkStart w:id="1256" w:name="_Toc199714397"/>
      <w:bookmarkStart w:id="1257" w:name="_Toc200486679"/>
      <w:bookmarkStart w:id="1258" w:name="_Toc200635455"/>
      <w:bookmarkStart w:id="1259" w:name="_Toc200635843"/>
      <w:bookmarkStart w:id="1260" w:name="_Toc200636232"/>
      <w:bookmarkStart w:id="1261" w:name="_Toc200755969"/>
      <w:r w:rsidRPr="00F80E3A">
        <w:rPr>
          <w:rStyle w:val="lev"/>
          <w:rFonts w:asciiTheme="majorBidi" w:hAnsiTheme="majorBidi"/>
          <w:b/>
          <w:bCs/>
          <w:color w:val="000000"/>
          <w:sz w:val="24"/>
          <w:szCs w:val="24"/>
          <w:lang w:val="fr-FR"/>
        </w:rPr>
        <w:lastRenderedPageBreak/>
        <w:t>L’adoption d’une culture numérique</w:t>
      </w:r>
      <w:bookmarkEnd w:id="1256"/>
      <w:bookmarkEnd w:id="1257"/>
      <w:bookmarkEnd w:id="1258"/>
      <w:bookmarkEnd w:id="1259"/>
      <w:bookmarkEnd w:id="1260"/>
      <w:bookmarkEnd w:id="1261"/>
    </w:p>
    <w:p w:rsidR="00E772DD" w:rsidRPr="00FB00F4" w:rsidRDefault="00E772DD" w:rsidP="00954D17">
      <w:pPr>
        <w:pStyle w:val="NormalWeb"/>
        <w:spacing w:before="0" w:beforeAutospacing="0" w:after="240" w:afterAutospacing="0" w:line="360" w:lineRule="auto"/>
        <w:jc w:val="both"/>
        <w:rPr>
          <w:rFonts w:asciiTheme="majorBidi" w:hAnsiTheme="majorBidi" w:cstheme="majorBidi"/>
          <w:color w:val="000000"/>
          <w:lang w:val="fr-FR"/>
        </w:rPr>
      </w:pPr>
      <w:r w:rsidRPr="00FB00F4">
        <w:rPr>
          <w:rFonts w:asciiTheme="majorBidi" w:hAnsiTheme="majorBidi" w:cstheme="majorBidi"/>
          <w:color w:val="000000"/>
          <w:lang w:val="fr-FR"/>
        </w:rPr>
        <w:t>Avant d’aborder les aspects technologiques, il est essentiel d’instaurer une véritable culture numérique au sein de l’organisation. Sensibiliser les équipes à la nécessité d’adapter leurs méthodes de travail est une étape incontournable. Souvent, la direction prend conscience tardivement des enjeux du numérique, et cette prise de conscience s’accompagne fréquemment d’une forte résistance au changement de la part des employés. Pourtant, toute transformation repose avant tout sur le facteur humain. Ainsi, la transition numérique ne peut être réussie sans un effort collectif basé sur la collaboration, l’innovation ouverte et l’implication active des salariés dans le processus de changement.</w:t>
      </w:r>
    </w:p>
    <w:p w:rsidR="00E772DD" w:rsidRPr="00F80E3A" w:rsidRDefault="00E772DD" w:rsidP="004D32AC">
      <w:pPr>
        <w:pStyle w:val="Titre3"/>
        <w:numPr>
          <w:ilvl w:val="2"/>
          <w:numId w:val="184"/>
        </w:numPr>
        <w:spacing w:after="0" w:afterAutospacing="0" w:line="360" w:lineRule="auto"/>
        <w:rPr>
          <w:b w:val="0"/>
          <w:bCs w:val="0"/>
          <w:i/>
          <w:iCs/>
          <w:sz w:val="24"/>
          <w:szCs w:val="24"/>
          <w:lang w:val="fr-FR"/>
        </w:rPr>
      </w:pPr>
      <w:bookmarkStart w:id="1262" w:name="_Toc199714398"/>
      <w:bookmarkStart w:id="1263" w:name="_Toc200486680"/>
      <w:bookmarkStart w:id="1264" w:name="_Toc200635456"/>
      <w:bookmarkStart w:id="1265" w:name="_Toc200635844"/>
      <w:bookmarkStart w:id="1266" w:name="_Toc200636233"/>
      <w:bookmarkStart w:id="1267" w:name="_Toc200755970"/>
      <w:r w:rsidRPr="00F80E3A">
        <w:rPr>
          <w:rStyle w:val="lev"/>
          <w:rFonts w:asciiTheme="majorBidi" w:hAnsiTheme="majorBidi"/>
          <w:b/>
          <w:bCs/>
          <w:color w:val="000000"/>
          <w:sz w:val="24"/>
          <w:szCs w:val="24"/>
          <w:lang w:val="fr-FR"/>
        </w:rPr>
        <w:t>L’intégration de nouvelles technologies</w:t>
      </w:r>
      <w:bookmarkEnd w:id="1262"/>
      <w:bookmarkEnd w:id="1263"/>
      <w:bookmarkEnd w:id="1264"/>
      <w:bookmarkEnd w:id="1265"/>
      <w:bookmarkEnd w:id="1266"/>
      <w:bookmarkEnd w:id="1267"/>
    </w:p>
    <w:p w:rsidR="00E772DD" w:rsidRDefault="00E772DD" w:rsidP="00F80E3A">
      <w:pPr>
        <w:pStyle w:val="NormalWeb"/>
        <w:spacing w:before="0" w:beforeAutospacing="0" w:line="360" w:lineRule="auto"/>
        <w:jc w:val="both"/>
        <w:rPr>
          <w:rFonts w:asciiTheme="majorBidi" w:hAnsiTheme="majorBidi" w:cstheme="majorBidi"/>
          <w:color w:val="000000"/>
          <w:lang w:val="fr-FR"/>
        </w:rPr>
      </w:pPr>
      <w:r w:rsidRPr="00FB00F4">
        <w:rPr>
          <w:rFonts w:asciiTheme="majorBidi" w:hAnsiTheme="majorBidi" w:cstheme="majorBidi"/>
          <w:color w:val="000000"/>
          <w:lang w:val="fr-FR"/>
        </w:rPr>
        <w:t>Une fois la conduite du changement amorcée, il devient crucial de doter l’entreprise des outils technologiques adaptés. La digitalisation des services et des processus repose sur un choix stratégique de solutions numériques. Cependant, cette étape peut être délicate : il existe un risque de multiplication excessive des outils, ce qui peut entraîner une complexification inutile des opérations. Plutôt que d’accumuler des solutions disparates, il est essentiel d’identifier précisément les besoins réels de l’entreprise et d’opter pour des outils cohérents et efficaces. Une digitalisation intelligente implique donc une sélection rigoureuse des technologies, favorisant leur intégration harmonieuse dans l’ensemble des activités de l’entreprise.</w:t>
      </w:r>
      <w:r>
        <w:rPr>
          <w:rStyle w:val="Appelnotedebasdep"/>
          <w:rFonts w:cstheme="majorBidi"/>
          <w:color w:val="000000"/>
          <w:lang w:val="fr-FR"/>
        </w:rPr>
        <w:footnoteReference w:id="202"/>
      </w:r>
    </w:p>
    <w:p w:rsidR="00E772DD" w:rsidRPr="00F80E3A" w:rsidRDefault="00F80E3A" w:rsidP="004D32AC">
      <w:pPr>
        <w:pStyle w:val="Titre3"/>
        <w:numPr>
          <w:ilvl w:val="1"/>
          <w:numId w:val="184"/>
        </w:numPr>
        <w:rPr>
          <w:sz w:val="24"/>
          <w:szCs w:val="24"/>
          <w:lang w:val="fr-FR"/>
        </w:rPr>
      </w:pPr>
      <w:r>
        <w:rPr>
          <w:sz w:val="24"/>
          <w:szCs w:val="24"/>
          <w:lang w:val="fr-FR"/>
        </w:rPr>
        <w:t xml:space="preserve"> </w:t>
      </w:r>
      <w:bookmarkStart w:id="1268" w:name="_Toc199714399"/>
      <w:bookmarkStart w:id="1269" w:name="_Toc200486681"/>
      <w:bookmarkStart w:id="1270" w:name="_Toc200635457"/>
      <w:bookmarkStart w:id="1271" w:name="_Toc200635845"/>
      <w:bookmarkStart w:id="1272" w:name="_Toc200636234"/>
      <w:bookmarkStart w:id="1273" w:name="_Toc200755971"/>
      <w:r w:rsidR="00E772DD" w:rsidRPr="00F80E3A">
        <w:rPr>
          <w:sz w:val="24"/>
          <w:szCs w:val="24"/>
          <w:lang w:val="fr-FR"/>
        </w:rPr>
        <w:t>Les principales étapes de la digitalisation</w:t>
      </w:r>
      <w:bookmarkEnd w:id="1268"/>
      <w:bookmarkEnd w:id="1269"/>
      <w:bookmarkEnd w:id="1270"/>
      <w:bookmarkEnd w:id="1271"/>
      <w:bookmarkEnd w:id="1272"/>
      <w:bookmarkEnd w:id="1273"/>
      <w:r w:rsidR="00E772DD" w:rsidRPr="00F80E3A">
        <w:rPr>
          <w:sz w:val="24"/>
          <w:szCs w:val="24"/>
          <w:lang w:val="fr-FR"/>
        </w:rPr>
        <w:t xml:space="preserve"> </w:t>
      </w:r>
    </w:p>
    <w:p w:rsidR="00E772DD" w:rsidRDefault="00E772DD" w:rsidP="00955870">
      <w:pPr>
        <w:pStyle w:val="NormalWeb"/>
        <w:spacing w:before="0" w:beforeAutospacing="0" w:after="0" w:afterAutospacing="0" w:line="360" w:lineRule="auto"/>
        <w:jc w:val="both"/>
        <w:rPr>
          <w:rFonts w:asciiTheme="majorBidi" w:hAnsiTheme="majorBidi" w:cstheme="majorBidi"/>
          <w:color w:val="000000"/>
          <w:lang w:val="fr-FR"/>
        </w:rPr>
      </w:pPr>
      <w:r w:rsidRPr="00A2664E">
        <w:rPr>
          <w:rFonts w:asciiTheme="majorBidi" w:hAnsiTheme="majorBidi" w:cstheme="majorBidi"/>
          <w:color w:val="000000"/>
          <w:lang w:val="fr-FR"/>
        </w:rPr>
        <w:t>La digitalisation d'une entreprise se déploie à travers plusieurs étapes clés, permettant de structurer et d'intégrer les nouvelles technologies au sein des processus organisationnels. Ces étapes sont essentielles pour assurer une transition fluide et maximiser les bénéfices de la transformation numérique.</w:t>
      </w:r>
    </w:p>
    <w:p w:rsidR="00E772DD" w:rsidRPr="00712E6B" w:rsidRDefault="003B5837" w:rsidP="00630744">
      <w:pPr>
        <w:pStyle w:val="NormalWeb"/>
        <w:spacing w:before="0" w:beforeAutospacing="0" w:after="0" w:afterAutospacing="0" w:line="360" w:lineRule="auto"/>
        <w:jc w:val="center"/>
        <w:rPr>
          <w:rFonts w:asciiTheme="majorBidi" w:hAnsiTheme="majorBidi" w:cstheme="majorBidi"/>
          <w:color w:val="000000"/>
          <w:lang w:val="fr-FR"/>
        </w:rPr>
      </w:pPr>
      <w:r>
        <w:rPr>
          <w:rFonts w:asciiTheme="majorBidi" w:hAnsiTheme="majorBidi" w:cstheme="majorBidi"/>
          <w:noProof/>
          <w:color w:val="000000"/>
          <w:lang w:val="fr-FR"/>
          <w14:ligatures w14:val="standardContextual"/>
        </w:rPr>
        <w:lastRenderedPageBreak/>
        <w:drawing>
          <wp:anchor distT="0" distB="0" distL="114300" distR="114300" simplePos="0" relativeHeight="251683840" behindDoc="0" locked="0" layoutInCell="1" allowOverlap="1" wp14:anchorId="29B9386B">
            <wp:simplePos x="0" y="0"/>
            <wp:positionH relativeFrom="column">
              <wp:posOffset>-264160</wp:posOffset>
            </wp:positionH>
            <wp:positionV relativeFrom="paragraph">
              <wp:posOffset>294640</wp:posOffset>
            </wp:positionV>
            <wp:extent cx="6410325" cy="1866265"/>
            <wp:effectExtent l="0" t="0" r="3175" b="0"/>
            <wp:wrapTopAndBottom/>
            <wp:docPr id="49416470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14:sizeRelH relativeFrom="page">
              <wp14:pctWidth>0</wp14:pctWidth>
            </wp14:sizeRelH>
            <wp14:sizeRelV relativeFrom="page">
              <wp14:pctHeight>0</wp14:pctHeight>
            </wp14:sizeRelV>
          </wp:anchor>
        </w:drawing>
      </w:r>
      <w:r w:rsidR="00E772DD" w:rsidRPr="00D46A2F">
        <w:rPr>
          <w:rFonts w:asciiTheme="majorBidi" w:hAnsiTheme="majorBidi" w:cstheme="majorBidi"/>
          <w:b/>
          <w:bCs/>
          <w:color w:val="000000"/>
          <w:lang w:val="fr-FR"/>
        </w:rPr>
        <w:t>Figure N°13 :</w:t>
      </w:r>
      <w:r w:rsidR="00E772DD">
        <w:rPr>
          <w:rFonts w:asciiTheme="majorBidi" w:hAnsiTheme="majorBidi" w:cstheme="majorBidi"/>
          <w:color w:val="000000"/>
          <w:lang w:val="fr-FR"/>
        </w:rPr>
        <w:t xml:space="preserve"> </w:t>
      </w:r>
      <w:r w:rsidR="00E772DD" w:rsidRPr="00712E6B">
        <w:rPr>
          <w:rFonts w:asciiTheme="majorBidi" w:hAnsiTheme="majorBidi" w:cstheme="majorBidi"/>
          <w:color w:val="000000"/>
          <w:lang w:val="fr-FR"/>
        </w:rPr>
        <w:t>Les principales étapes de la digitalisation en entreprise</w:t>
      </w:r>
    </w:p>
    <w:p w:rsidR="00E772DD" w:rsidRDefault="00E772DD" w:rsidP="00D46A2F">
      <w:pPr>
        <w:pStyle w:val="NormalWeb"/>
        <w:spacing w:before="0" w:beforeAutospacing="0" w:after="0" w:afterAutospacing="0" w:line="360" w:lineRule="auto"/>
        <w:jc w:val="center"/>
        <w:rPr>
          <w:rFonts w:asciiTheme="majorBidi" w:hAnsiTheme="majorBidi" w:cstheme="majorBidi"/>
          <w:color w:val="000000"/>
          <w:lang w:val="fr-FR"/>
        </w:rPr>
      </w:pPr>
      <w:r>
        <w:rPr>
          <w:rFonts w:asciiTheme="majorBidi" w:hAnsiTheme="majorBidi" w:cstheme="majorBidi"/>
          <w:b/>
          <w:bCs/>
          <w:color w:val="000000"/>
          <w:lang w:val="fr-FR"/>
        </w:rPr>
        <w:t xml:space="preserve">Source : </w:t>
      </w:r>
      <w:r w:rsidRPr="00FD7DD2">
        <w:rPr>
          <w:rFonts w:asciiTheme="majorBidi" w:hAnsiTheme="majorBidi" w:cstheme="majorBidi"/>
          <w:color w:val="000000"/>
          <w:lang w:val="fr-FR"/>
        </w:rPr>
        <w:t xml:space="preserve">Bouchet, P., &amp; </w:t>
      </w:r>
      <w:proofErr w:type="spellStart"/>
      <w:r w:rsidRPr="00FD7DD2">
        <w:rPr>
          <w:rFonts w:asciiTheme="majorBidi" w:hAnsiTheme="majorBidi" w:cstheme="majorBidi"/>
          <w:color w:val="000000"/>
          <w:lang w:val="fr-FR"/>
        </w:rPr>
        <w:t>Schieb</w:t>
      </w:r>
      <w:proofErr w:type="spellEnd"/>
      <w:r w:rsidRPr="00FD7DD2">
        <w:rPr>
          <w:rFonts w:asciiTheme="majorBidi" w:hAnsiTheme="majorBidi" w:cstheme="majorBidi"/>
          <w:color w:val="000000"/>
          <w:lang w:val="fr-FR"/>
        </w:rPr>
        <w:t>-Bienfait, N. (2016). La digitalisation des ressources</w:t>
      </w:r>
    </w:p>
    <w:p w:rsidR="00E772DD" w:rsidRPr="00FD7DD2" w:rsidRDefault="00E772DD" w:rsidP="00626FDA">
      <w:pPr>
        <w:pStyle w:val="NormalWeb"/>
        <w:spacing w:before="0" w:beforeAutospacing="0" w:after="240" w:afterAutospacing="0" w:line="360" w:lineRule="auto"/>
        <w:jc w:val="center"/>
        <w:rPr>
          <w:rFonts w:asciiTheme="majorBidi" w:hAnsiTheme="majorBidi" w:cstheme="majorBidi"/>
          <w:color w:val="000000"/>
          <w:lang w:val="fr-FR"/>
        </w:rPr>
      </w:pPr>
      <w:r w:rsidRPr="00FD7DD2">
        <w:rPr>
          <w:rFonts w:asciiTheme="majorBidi" w:hAnsiTheme="majorBidi" w:cstheme="majorBidi"/>
          <w:color w:val="000000"/>
          <w:lang w:val="fr-FR"/>
        </w:rPr>
        <w:t>humaines : enjeux et perspectives. Paris, France : Éditions Management &amp; Société.</w:t>
      </w:r>
    </w:p>
    <w:p w:rsidR="00E772DD" w:rsidRPr="00BE0FDE" w:rsidRDefault="00E772DD" w:rsidP="00955870">
      <w:pPr>
        <w:pStyle w:val="NormalWeb"/>
        <w:spacing w:before="0" w:beforeAutospacing="0" w:after="0" w:afterAutospacing="0" w:line="360" w:lineRule="auto"/>
        <w:jc w:val="both"/>
        <w:rPr>
          <w:rFonts w:asciiTheme="majorBidi" w:hAnsiTheme="majorBidi" w:cstheme="majorBidi"/>
          <w:color w:val="000000"/>
          <w:lang w:val="fr-FR"/>
        </w:rPr>
      </w:pPr>
      <w:r w:rsidRPr="001F6825">
        <w:rPr>
          <w:rFonts w:asciiTheme="majorBidi" w:hAnsiTheme="majorBidi" w:cstheme="majorBidi"/>
          <w:b/>
          <w:bCs/>
          <w:color w:val="000000"/>
          <w:lang w:val="fr-FR"/>
        </w:rPr>
        <w:t>Étape 1 :</w:t>
      </w:r>
      <w:r w:rsidRPr="00BE0FDE">
        <w:rPr>
          <w:rFonts w:asciiTheme="majorBidi" w:hAnsiTheme="majorBidi" w:cstheme="majorBidi"/>
          <w:color w:val="000000"/>
          <w:lang w:val="fr-FR"/>
        </w:rPr>
        <w:t xml:space="preserve"> Analyse du niveau de maturité numérique de l’entreprise</w:t>
      </w:r>
    </w:p>
    <w:p w:rsidR="00E772DD" w:rsidRPr="00BE0FDE" w:rsidRDefault="00E772DD" w:rsidP="00955870">
      <w:pPr>
        <w:pStyle w:val="NormalWeb"/>
        <w:spacing w:before="0" w:beforeAutospacing="0" w:line="360" w:lineRule="auto"/>
        <w:jc w:val="both"/>
        <w:rPr>
          <w:rFonts w:asciiTheme="majorBidi" w:hAnsiTheme="majorBidi" w:cstheme="majorBidi"/>
          <w:color w:val="000000"/>
          <w:lang w:val="fr-FR"/>
        </w:rPr>
      </w:pPr>
      <w:r w:rsidRPr="00BE0FDE">
        <w:rPr>
          <w:rFonts w:asciiTheme="majorBidi" w:hAnsiTheme="majorBidi" w:cstheme="majorBidi"/>
          <w:color w:val="000000"/>
          <w:lang w:val="fr-FR"/>
        </w:rPr>
        <w:t>La première étape de la transformation digitale consiste à évaluer l’état actuel de l’entreprise en matière d’intégration des technologies numériques. Cette analyse prend en compte divers facteurs tels que le style de management, les compétences digitales des employés, la structure organisationnelle, la relation client et le positionnement concurrentiel. Il est possible de classer les entreprises en trois catégories : celles n’ayant aucune expérience numérique, celles intégrant partiellement le digital et celles fonctionnant entièrement sur un modèle numérique.</w:t>
      </w:r>
      <w:r>
        <w:rPr>
          <w:rStyle w:val="Appelnotedebasdep"/>
          <w:rFonts w:cstheme="majorBidi"/>
          <w:color w:val="000000"/>
          <w:lang w:val="fr-FR"/>
        </w:rPr>
        <w:footnoteReference w:id="203"/>
      </w:r>
    </w:p>
    <w:p w:rsidR="00E772DD" w:rsidRPr="00BE0FDE" w:rsidRDefault="00E772DD" w:rsidP="00955870">
      <w:pPr>
        <w:pStyle w:val="NormalWeb"/>
        <w:spacing w:after="0" w:afterAutospacing="0" w:line="360" w:lineRule="auto"/>
        <w:jc w:val="both"/>
        <w:rPr>
          <w:rFonts w:asciiTheme="majorBidi" w:hAnsiTheme="majorBidi" w:cstheme="majorBidi"/>
          <w:color w:val="000000"/>
          <w:lang w:val="fr-FR"/>
        </w:rPr>
      </w:pPr>
      <w:r w:rsidRPr="001F6825">
        <w:rPr>
          <w:rFonts w:asciiTheme="majorBidi" w:hAnsiTheme="majorBidi" w:cstheme="majorBidi"/>
          <w:b/>
          <w:bCs/>
          <w:color w:val="000000"/>
          <w:lang w:val="fr-FR"/>
        </w:rPr>
        <w:t>Étape 2</w:t>
      </w:r>
      <w:r w:rsidRPr="00BE0FDE">
        <w:rPr>
          <w:rFonts w:asciiTheme="majorBidi" w:hAnsiTheme="majorBidi" w:cstheme="majorBidi"/>
          <w:color w:val="000000"/>
          <w:lang w:val="fr-FR"/>
        </w:rPr>
        <w:t xml:space="preserve"> : Intégration des outils numériques dans les processus et les équipes</w:t>
      </w:r>
    </w:p>
    <w:p w:rsidR="00E772DD" w:rsidRPr="00BE0FDE" w:rsidRDefault="00E772DD" w:rsidP="00955870">
      <w:pPr>
        <w:pStyle w:val="NormalWeb"/>
        <w:spacing w:before="0" w:beforeAutospacing="0" w:after="0" w:afterAutospacing="0" w:line="360" w:lineRule="auto"/>
        <w:jc w:val="both"/>
        <w:rPr>
          <w:rFonts w:asciiTheme="majorBidi" w:hAnsiTheme="majorBidi" w:cstheme="majorBidi"/>
          <w:color w:val="000000"/>
          <w:lang w:val="fr-FR"/>
        </w:rPr>
      </w:pPr>
      <w:r w:rsidRPr="00BE0FDE">
        <w:rPr>
          <w:rFonts w:asciiTheme="majorBidi" w:hAnsiTheme="majorBidi" w:cstheme="majorBidi"/>
          <w:color w:val="000000"/>
          <w:lang w:val="fr-FR"/>
        </w:rPr>
        <w:t>La transformation digitale doit être appliquée à l’ensemble des départements afin d’aligner l’organisation sur une stratégie numérique globale. Aujourd’hui, les technologies digitales ne sont plus exclusivement réservées aux cadres dirigeants. Grâce à la simplification des outils informatiques, elles sont accessibles à l’ensemble des collaborateurs. Pour assurer une adoption réussie, il est fondamental de proposer des formations adaptées et un accompagnement ciblé.</w:t>
      </w:r>
      <w:r>
        <w:rPr>
          <w:rStyle w:val="Appelnotedebasdep"/>
          <w:rFonts w:cstheme="majorBidi"/>
          <w:color w:val="000000"/>
          <w:lang w:val="fr-FR"/>
        </w:rPr>
        <w:footnoteReference w:id="204"/>
      </w:r>
    </w:p>
    <w:p w:rsidR="00E772DD" w:rsidRPr="00BE0FDE" w:rsidRDefault="00E772DD" w:rsidP="00955870">
      <w:pPr>
        <w:pStyle w:val="NormalWeb"/>
        <w:spacing w:after="0" w:afterAutospacing="0" w:line="360" w:lineRule="auto"/>
        <w:jc w:val="both"/>
        <w:rPr>
          <w:rFonts w:asciiTheme="majorBidi" w:hAnsiTheme="majorBidi" w:cstheme="majorBidi"/>
          <w:color w:val="000000"/>
          <w:lang w:val="fr-FR"/>
        </w:rPr>
      </w:pPr>
      <w:r w:rsidRPr="001F6825">
        <w:rPr>
          <w:rFonts w:asciiTheme="majorBidi" w:hAnsiTheme="majorBidi" w:cstheme="majorBidi"/>
          <w:b/>
          <w:bCs/>
          <w:color w:val="000000"/>
          <w:lang w:val="fr-FR"/>
        </w:rPr>
        <w:t>Étape</w:t>
      </w:r>
      <w:r w:rsidRPr="00BE0FDE">
        <w:rPr>
          <w:rFonts w:asciiTheme="majorBidi" w:hAnsiTheme="majorBidi" w:cstheme="majorBidi"/>
          <w:color w:val="000000"/>
          <w:lang w:val="fr-FR"/>
        </w:rPr>
        <w:t xml:space="preserve"> </w:t>
      </w:r>
      <w:r w:rsidRPr="001F6825">
        <w:rPr>
          <w:rFonts w:asciiTheme="majorBidi" w:hAnsiTheme="majorBidi" w:cstheme="majorBidi"/>
          <w:b/>
          <w:bCs/>
          <w:color w:val="000000"/>
          <w:lang w:val="fr-FR"/>
        </w:rPr>
        <w:t>3</w:t>
      </w:r>
      <w:r w:rsidRPr="00BE0FDE">
        <w:rPr>
          <w:rFonts w:asciiTheme="majorBidi" w:hAnsiTheme="majorBidi" w:cstheme="majorBidi"/>
          <w:color w:val="000000"/>
          <w:lang w:val="fr-FR"/>
        </w:rPr>
        <w:t xml:space="preserve"> : Adaptation aux habitudes numériques des clients et des employés</w:t>
      </w:r>
    </w:p>
    <w:p w:rsidR="00E772DD" w:rsidRPr="00BE0FDE" w:rsidRDefault="00E772DD" w:rsidP="00955870">
      <w:pPr>
        <w:pStyle w:val="NormalWeb"/>
        <w:spacing w:before="0" w:beforeAutospacing="0" w:line="360" w:lineRule="auto"/>
        <w:jc w:val="both"/>
        <w:rPr>
          <w:rFonts w:asciiTheme="majorBidi" w:hAnsiTheme="majorBidi" w:cstheme="majorBidi"/>
          <w:color w:val="000000"/>
          <w:lang w:val="fr-FR"/>
        </w:rPr>
      </w:pPr>
      <w:r w:rsidRPr="00BE0FDE">
        <w:rPr>
          <w:rFonts w:asciiTheme="majorBidi" w:hAnsiTheme="majorBidi" w:cstheme="majorBidi"/>
          <w:color w:val="000000"/>
          <w:lang w:val="fr-FR"/>
        </w:rPr>
        <w:t xml:space="preserve">Une digitalisation efficace doit s’aligner sur les pratiques numériques des utilisateurs finaux, qu’il s’agisse des clients ou des employés. Il n’est pas pertinent de lancer un canal digital si la clientèle cible utilise principalement d’autres plateformes. Il est donc crucial d’identifier les </w:t>
      </w:r>
      <w:r w:rsidRPr="00BE0FDE">
        <w:rPr>
          <w:rFonts w:asciiTheme="majorBidi" w:hAnsiTheme="majorBidi" w:cstheme="majorBidi"/>
          <w:color w:val="000000"/>
          <w:lang w:val="fr-FR"/>
        </w:rPr>
        <w:lastRenderedPageBreak/>
        <w:t>canaux privilégiés par les consommateurs afin d’optimiser la stratégie numérique de l’entreprise.</w:t>
      </w:r>
      <w:r>
        <w:rPr>
          <w:rStyle w:val="Appelnotedebasdep"/>
          <w:rFonts w:cstheme="majorBidi"/>
          <w:color w:val="000000"/>
          <w:lang w:val="fr-FR"/>
        </w:rPr>
        <w:footnoteReference w:id="205"/>
      </w:r>
    </w:p>
    <w:p w:rsidR="00E772DD" w:rsidRPr="00BE0FDE" w:rsidRDefault="00E772DD" w:rsidP="00955870">
      <w:pPr>
        <w:pStyle w:val="NormalWeb"/>
        <w:spacing w:before="0" w:beforeAutospacing="0" w:after="0" w:afterAutospacing="0" w:line="360" w:lineRule="auto"/>
        <w:jc w:val="both"/>
        <w:rPr>
          <w:rFonts w:asciiTheme="majorBidi" w:hAnsiTheme="majorBidi" w:cstheme="majorBidi"/>
          <w:color w:val="000000"/>
          <w:lang w:val="fr-FR"/>
        </w:rPr>
      </w:pPr>
      <w:r w:rsidRPr="001F6825">
        <w:rPr>
          <w:rFonts w:asciiTheme="majorBidi" w:hAnsiTheme="majorBidi" w:cstheme="majorBidi"/>
          <w:b/>
          <w:bCs/>
          <w:color w:val="000000"/>
          <w:lang w:val="fr-FR"/>
        </w:rPr>
        <w:t>Étape</w:t>
      </w:r>
      <w:r w:rsidRPr="00BE0FDE">
        <w:rPr>
          <w:rFonts w:asciiTheme="majorBidi" w:hAnsiTheme="majorBidi" w:cstheme="majorBidi"/>
          <w:color w:val="000000"/>
          <w:lang w:val="fr-FR"/>
        </w:rPr>
        <w:t xml:space="preserve"> </w:t>
      </w:r>
      <w:r w:rsidRPr="001F6825">
        <w:rPr>
          <w:rFonts w:asciiTheme="majorBidi" w:hAnsiTheme="majorBidi" w:cstheme="majorBidi"/>
          <w:b/>
          <w:bCs/>
          <w:color w:val="000000"/>
          <w:lang w:val="fr-FR"/>
        </w:rPr>
        <w:t>4</w:t>
      </w:r>
      <w:r w:rsidRPr="00BE0FDE">
        <w:rPr>
          <w:rFonts w:asciiTheme="majorBidi" w:hAnsiTheme="majorBidi" w:cstheme="majorBidi"/>
          <w:color w:val="000000"/>
          <w:lang w:val="fr-FR"/>
        </w:rPr>
        <w:t xml:space="preserve"> : Justification de la transformation digitale auprès de la direction</w:t>
      </w:r>
    </w:p>
    <w:p w:rsidR="00E772DD" w:rsidRPr="00BE0FDE" w:rsidRDefault="00E772DD" w:rsidP="00955870">
      <w:pPr>
        <w:pStyle w:val="NormalWeb"/>
        <w:spacing w:before="0" w:beforeAutospacing="0" w:line="360" w:lineRule="auto"/>
        <w:jc w:val="both"/>
        <w:rPr>
          <w:rFonts w:asciiTheme="majorBidi" w:hAnsiTheme="majorBidi" w:cstheme="majorBidi"/>
          <w:color w:val="000000"/>
          <w:lang w:val="fr-FR"/>
        </w:rPr>
      </w:pPr>
      <w:r w:rsidRPr="00BE0FDE">
        <w:rPr>
          <w:rFonts w:asciiTheme="majorBidi" w:hAnsiTheme="majorBidi" w:cstheme="majorBidi"/>
          <w:color w:val="000000"/>
          <w:lang w:val="fr-FR"/>
        </w:rPr>
        <w:t>Le financement des projets numériques repose sur les décisions du comité exécutif. Afin d’obtenir un soutien financier et des ressources supplémentaires, il est impératif de démontrer l’impact positif du numérique à travers des indicateurs de performance mesurables. Présenter des résultats concrets permet de convaincre les dirigeants de l’importance d’accélérer la transition digitale.</w:t>
      </w:r>
      <w:r>
        <w:rPr>
          <w:rStyle w:val="Appelnotedebasdep"/>
          <w:rFonts w:cstheme="majorBidi"/>
          <w:color w:val="000000"/>
          <w:lang w:val="fr-FR"/>
        </w:rPr>
        <w:footnoteReference w:id="206"/>
      </w:r>
    </w:p>
    <w:p w:rsidR="00E772DD" w:rsidRPr="00BE0FDE" w:rsidRDefault="00E772DD" w:rsidP="00955870">
      <w:pPr>
        <w:pStyle w:val="NormalWeb"/>
        <w:spacing w:before="0" w:beforeAutospacing="0" w:after="0" w:afterAutospacing="0" w:line="360" w:lineRule="auto"/>
        <w:jc w:val="both"/>
        <w:rPr>
          <w:rFonts w:asciiTheme="majorBidi" w:hAnsiTheme="majorBidi" w:cstheme="majorBidi"/>
          <w:color w:val="000000"/>
          <w:lang w:val="fr-FR"/>
        </w:rPr>
      </w:pPr>
      <w:r w:rsidRPr="001F6825">
        <w:rPr>
          <w:rFonts w:asciiTheme="majorBidi" w:hAnsiTheme="majorBidi" w:cstheme="majorBidi"/>
          <w:b/>
          <w:bCs/>
          <w:color w:val="000000"/>
          <w:lang w:val="fr-FR"/>
        </w:rPr>
        <w:t>Étape</w:t>
      </w:r>
      <w:r w:rsidRPr="00BE0FDE">
        <w:rPr>
          <w:rFonts w:asciiTheme="majorBidi" w:hAnsiTheme="majorBidi" w:cstheme="majorBidi"/>
          <w:color w:val="000000"/>
          <w:lang w:val="fr-FR"/>
        </w:rPr>
        <w:t xml:space="preserve"> </w:t>
      </w:r>
      <w:r w:rsidRPr="001F6825">
        <w:rPr>
          <w:rFonts w:asciiTheme="majorBidi" w:hAnsiTheme="majorBidi" w:cstheme="majorBidi"/>
          <w:b/>
          <w:bCs/>
          <w:color w:val="000000"/>
          <w:lang w:val="fr-FR"/>
        </w:rPr>
        <w:t>5</w:t>
      </w:r>
      <w:r w:rsidRPr="00BE0FDE">
        <w:rPr>
          <w:rFonts w:asciiTheme="majorBidi" w:hAnsiTheme="majorBidi" w:cstheme="majorBidi"/>
          <w:color w:val="000000"/>
          <w:lang w:val="fr-FR"/>
        </w:rPr>
        <w:t xml:space="preserve"> : Digitalisation progressive des ressources humaines</w:t>
      </w:r>
    </w:p>
    <w:p w:rsidR="00E772DD" w:rsidRPr="00BE0FDE" w:rsidRDefault="00E772DD" w:rsidP="00955870">
      <w:pPr>
        <w:pStyle w:val="NormalWeb"/>
        <w:spacing w:before="0" w:beforeAutospacing="0" w:line="360" w:lineRule="auto"/>
        <w:jc w:val="both"/>
        <w:rPr>
          <w:rFonts w:asciiTheme="majorBidi" w:hAnsiTheme="majorBidi" w:cstheme="majorBidi"/>
          <w:color w:val="000000"/>
          <w:lang w:val="fr-FR"/>
        </w:rPr>
      </w:pPr>
      <w:r w:rsidRPr="00BE0FDE">
        <w:rPr>
          <w:rFonts w:asciiTheme="majorBidi" w:hAnsiTheme="majorBidi" w:cstheme="majorBidi"/>
          <w:color w:val="000000"/>
          <w:lang w:val="fr-FR"/>
        </w:rPr>
        <w:t>Si les départements du marketing et de la communication sont souvent les premiers à adopter les outils numériques, les autres services peuvent être plus réticents. Pour favoriser une adoption progressive du digital, il est essentiel d’intégrer cette évolution dans la culture d’entreprise et de respecter le rythme d’adaptation de chaque département, évitant ainsi une transition trop brutale.</w:t>
      </w:r>
      <w:r>
        <w:rPr>
          <w:rStyle w:val="Appelnotedebasdep"/>
          <w:rFonts w:cstheme="majorBidi"/>
          <w:color w:val="000000"/>
          <w:lang w:val="fr-FR"/>
        </w:rPr>
        <w:footnoteReference w:id="207"/>
      </w:r>
    </w:p>
    <w:p w:rsidR="00E772DD" w:rsidRPr="00BE0FDE" w:rsidRDefault="00E772DD" w:rsidP="00955870">
      <w:pPr>
        <w:pStyle w:val="NormalWeb"/>
        <w:spacing w:before="0" w:beforeAutospacing="0" w:after="0" w:afterAutospacing="0" w:line="360" w:lineRule="auto"/>
        <w:jc w:val="both"/>
        <w:rPr>
          <w:rFonts w:asciiTheme="majorBidi" w:hAnsiTheme="majorBidi" w:cstheme="majorBidi"/>
          <w:color w:val="000000"/>
          <w:lang w:val="fr-FR"/>
        </w:rPr>
      </w:pPr>
      <w:r w:rsidRPr="001F6825">
        <w:rPr>
          <w:rFonts w:asciiTheme="majorBidi" w:hAnsiTheme="majorBidi" w:cstheme="majorBidi"/>
          <w:b/>
          <w:bCs/>
          <w:color w:val="000000"/>
          <w:lang w:val="fr-FR"/>
        </w:rPr>
        <w:t>Étape</w:t>
      </w:r>
      <w:r w:rsidRPr="00BE0FDE">
        <w:rPr>
          <w:rFonts w:asciiTheme="majorBidi" w:hAnsiTheme="majorBidi" w:cstheme="majorBidi"/>
          <w:color w:val="000000"/>
          <w:lang w:val="fr-FR"/>
        </w:rPr>
        <w:t xml:space="preserve"> </w:t>
      </w:r>
      <w:r w:rsidRPr="001F6825">
        <w:rPr>
          <w:rFonts w:asciiTheme="majorBidi" w:hAnsiTheme="majorBidi" w:cstheme="majorBidi"/>
          <w:b/>
          <w:bCs/>
          <w:color w:val="000000"/>
          <w:lang w:val="fr-FR"/>
        </w:rPr>
        <w:t xml:space="preserve">6 </w:t>
      </w:r>
      <w:r w:rsidRPr="00BE0FDE">
        <w:rPr>
          <w:rFonts w:asciiTheme="majorBidi" w:hAnsiTheme="majorBidi" w:cstheme="majorBidi"/>
          <w:color w:val="000000"/>
          <w:lang w:val="fr-FR"/>
        </w:rPr>
        <w:t>: Choix entre l’internalisation et l’externalisation des compétences numériques</w:t>
      </w:r>
    </w:p>
    <w:p w:rsidR="00E772DD" w:rsidRPr="00BE0FDE" w:rsidRDefault="00E772DD" w:rsidP="00955870">
      <w:pPr>
        <w:pStyle w:val="NormalWeb"/>
        <w:spacing w:before="0" w:beforeAutospacing="0" w:after="0" w:afterAutospacing="0" w:line="360" w:lineRule="auto"/>
        <w:jc w:val="both"/>
        <w:rPr>
          <w:rFonts w:asciiTheme="majorBidi" w:hAnsiTheme="majorBidi" w:cstheme="majorBidi"/>
          <w:color w:val="000000"/>
          <w:lang w:val="fr-FR"/>
        </w:rPr>
      </w:pPr>
      <w:r w:rsidRPr="00BE0FDE">
        <w:rPr>
          <w:rFonts w:asciiTheme="majorBidi" w:hAnsiTheme="majorBidi" w:cstheme="majorBidi"/>
          <w:color w:val="000000"/>
          <w:lang w:val="fr-FR"/>
        </w:rPr>
        <w:t>L’arbitrage entre l’internalisation et l’externalisation des expertises digitales dépend du degré de maturité numérique de l’entreprise et de ses contraintes économiques. Certaines organisations préfèrent développer des compétences en interne pour garantir une maîtrise complète de leur transition digitale, tandis que d’autres optent pour l’externalisation afin de bénéficier d’un savoir-faire spécialisé sans alourdir leur structure interne.</w:t>
      </w:r>
      <w:r>
        <w:rPr>
          <w:rStyle w:val="Appelnotedebasdep"/>
          <w:rFonts w:cstheme="majorBidi"/>
          <w:color w:val="000000"/>
          <w:lang w:val="fr-FR"/>
        </w:rPr>
        <w:footnoteReference w:id="208"/>
      </w:r>
    </w:p>
    <w:p w:rsidR="00E772DD" w:rsidRPr="00BE0FDE" w:rsidRDefault="00E772DD" w:rsidP="00955870">
      <w:pPr>
        <w:pStyle w:val="NormalWeb"/>
        <w:spacing w:after="0" w:afterAutospacing="0" w:line="360" w:lineRule="auto"/>
        <w:jc w:val="both"/>
        <w:rPr>
          <w:rFonts w:asciiTheme="majorBidi" w:hAnsiTheme="majorBidi" w:cstheme="majorBidi"/>
          <w:color w:val="000000"/>
          <w:lang w:val="fr-FR"/>
        </w:rPr>
      </w:pPr>
      <w:r w:rsidRPr="001F6825">
        <w:rPr>
          <w:rFonts w:asciiTheme="majorBidi" w:hAnsiTheme="majorBidi" w:cstheme="majorBidi"/>
          <w:b/>
          <w:bCs/>
          <w:color w:val="000000"/>
          <w:lang w:val="fr-FR"/>
        </w:rPr>
        <w:t>Étape</w:t>
      </w:r>
      <w:r w:rsidRPr="00BE0FDE">
        <w:rPr>
          <w:rFonts w:asciiTheme="majorBidi" w:hAnsiTheme="majorBidi" w:cstheme="majorBidi"/>
          <w:color w:val="000000"/>
          <w:lang w:val="fr-FR"/>
        </w:rPr>
        <w:t xml:space="preserve"> </w:t>
      </w:r>
      <w:r w:rsidRPr="001F6825">
        <w:rPr>
          <w:rFonts w:asciiTheme="majorBidi" w:hAnsiTheme="majorBidi" w:cstheme="majorBidi"/>
          <w:b/>
          <w:bCs/>
          <w:color w:val="000000"/>
          <w:lang w:val="fr-FR"/>
        </w:rPr>
        <w:t>7</w:t>
      </w:r>
      <w:r w:rsidRPr="00BE0FDE">
        <w:rPr>
          <w:rFonts w:asciiTheme="majorBidi" w:hAnsiTheme="majorBidi" w:cstheme="majorBidi"/>
          <w:color w:val="000000"/>
          <w:lang w:val="fr-FR"/>
        </w:rPr>
        <w:t xml:space="preserve"> : Identification et fidélisation des experts du numérique</w:t>
      </w:r>
    </w:p>
    <w:p w:rsidR="00E772DD" w:rsidRPr="00BE0FDE" w:rsidRDefault="00E772DD" w:rsidP="00955870">
      <w:pPr>
        <w:pStyle w:val="NormalWeb"/>
        <w:spacing w:before="0" w:beforeAutospacing="0" w:after="0" w:afterAutospacing="0" w:line="360" w:lineRule="auto"/>
        <w:jc w:val="both"/>
        <w:rPr>
          <w:rFonts w:asciiTheme="majorBidi" w:hAnsiTheme="majorBidi" w:cstheme="majorBidi"/>
          <w:color w:val="000000"/>
          <w:lang w:val="fr-FR"/>
        </w:rPr>
      </w:pPr>
      <w:r w:rsidRPr="00BE0FDE">
        <w:rPr>
          <w:rFonts w:asciiTheme="majorBidi" w:hAnsiTheme="majorBidi" w:cstheme="majorBidi"/>
          <w:color w:val="000000"/>
          <w:lang w:val="fr-FR"/>
        </w:rPr>
        <w:t xml:space="preserve">Dans le cadre d’une transformation digitale, les entreprises recherchent des spécialistes possédant une expertise approfondie dans le domaine numérique. Ces profils qualifiés sont souvent amenés à jouer un rôle clé dans le développement stratégique de l’organisation. Il est </w:t>
      </w:r>
      <w:r w:rsidRPr="00BE0FDE">
        <w:rPr>
          <w:rFonts w:asciiTheme="majorBidi" w:hAnsiTheme="majorBidi" w:cstheme="majorBidi"/>
          <w:color w:val="000000"/>
          <w:lang w:val="fr-FR"/>
        </w:rPr>
        <w:lastRenderedPageBreak/>
        <w:t>donc crucial de mettre en place des mécanismes de fidélisation, incluant des possibilités d’évolution de carrière et des formations continues, afin de les motiver à long terme.</w:t>
      </w:r>
      <w:r>
        <w:rPr>
          <w:rStyle w:val="Appelnotedebasdep"/>
          <w:rFonts w:cstheme="majorBidi"/>
          <w:color w:val="000000"/>
          <w:lang w:val="fr-FR"/>
        </w:rPr>
        <w:footnoteReference w:id="209"/>
      </w:r>
    </w:p>
    <w:p w:rsidR="00E772DD" w:rsidRPr="00BE0FDE" w:rsidRDefault="00E772DD" w:rsidP="00955870">
      <w:pPr>
        <w:pStyle w:val="NormalWeb"/>
        <w:spacing w:after="0" w:afterAutospacing="0" w:line="360" w:lineRule="auto"/>
        <w:jc w:val="both"/>
        <w:rPr>
          <w:rFonts w:asciiTheme="majorBidi" w:hAnsiTheme="majorBidi" w:cstheme="majorBidi"/>
          <w:color w:val="000000"/>
          <w:lang w:val="fr-FR"/>
        </w:rPr>
      </w:pPr>
      <w:r w:rsidRPr="001F6825">
        <w:rPr>
          <w:rFonts w:asciiTheme="majorBidi" w:hAnsiTheme="majorBidi" w:cstheme="majorBidi"/>
          <w:b/>
          <w:bCs/>
          <w:color w:val="000000"/>
          <w:lang w:val="fr-FR"/>
        </w:rPr>
        <w:t>Étape 8</w:t>
      </w:r>
      <w:r w:rsidRPr="00BE0FDE">
        <w:rPr>
          <w:rFonts w:asciiTheme="majorBidi" w:hAnsiTheme="majorBidi" w:cstheme="majorBidi"/>
          <w:color w:val="000000"/>
          <w:lang w:val="fr-FR"/>
        </w:rPr>
        <w:t xml:space="preserve"> : Expérimentation et montée en compétences continues</w:t>
      </w:r>
    </w:p>
    <w:p w:rsidR="00E772DD" w:rsidRPr="00BE0FDE" w:rsidRDefault="00E772DD" w:rsidP="00955870">
      <w:pPr>
        <w:pStyle w:val="NormalWeb"/>
        <w:spacing w:before="0" w:beforeAutospacing="0" w:line="360" w:lineRule="auto"/>
        <w:jc w:val="both"/>
        <w:rPr>
          <w:rFonts w:asciiTheme="majorBidi" w:hAnsiTheme="majorBidi" w:cstheme="majorBidi"/>
          <w:color w:val="000000"/>
          <w:lang w:val="fr-FR"/>
        </w:rPr>
      </w:pPr>
      <w:r w:rsidRPr="00BE0FDE">
        <w:rPr>
          <w:rFonts w:asciiTheme="majorBidi" w:hAnsiTheme="majorBidi" w:cstheme="majorBidi"/>
          <w:color w:val="000000"/>
          <w:lang w:val="fr-FR"/>
        </w:rPr>
        <w:t>La transformation numérique est un processus progressif nécessitant une approche d’apprentissage continu. Généralement, les départements du marketing et de la communication sont les premiers à expérimenter le digital, avant une extension à d’autres services. Cette transition doit être accompagnée de tests réguliers et d’ajustements stratégiques afin de garantir une intégration fluide et efficace des nouvelles technologies au sein de l’organisation.</w:t>
      </w:r>
      <w:r>
        <w:rPr>
          <w:rStyle w:val="Appelnotedebasdep"/>
          <w:rFonts w:cstheme="majorBidi"/>
          <w:color w:val="000000"/>
          <w:lang w:val="fr-FR"/>
        </w:rPr>
        <w:footnoteReference w:id="210"/>
      </w:r>
    </w:p>
    <w:p w:rsidR="00E772DD" w:rsidRPr="00F80E3A" w:rsidRDefault="00F80E3A"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274" w:name="_Toc199714400"/>
      <w:bookmarkStart w:id="1275" w:name="_Toc200486682"/>
      <w:bookmarkStart w:id="1276" w:name="_Toc200635458"/>
      <w:bookmarkStart w:id="1277" w:name="_Toc200635846"/>
      <w:bookmarkStart w:id="1278" w:name="_Toc200636235"/>
      <w:bookmarkStart w:id="1279" w:name="_Toc200755972"/>
      <w:r w:rsidR="00E772DD" w:rsidRPr="00F80E3A">
        <w:rPr>
          <w:sz w:val="24"/>
          <w:szCs w:val="24"/>
          <w:lang w:val="fr-FR"/>
        </w:rPr>
        <w:t>Les outils essentiels de la transformation digitale</w:t>
      </w:r>
      <w:bookmarkEnd w:id="1274"/>
      <w:bookmarkEnd w:id="1275"/>
      <w:bookmarkEnd w:id="1276"/>
      <w:bookmarkEnd w:id="1277"/>
      <w:bookmarkEnd w:id="1278"/>
      <w:bookmarkEnd w:id="1279"/>
    </w:p>
    <w:p w:rsidR="00E772DD" w:rsidRPr="00FD7DD2" w:rsidRDefault="00E772DD" w:rsidP="00F80E3A">
      <w:pPr>
        <w:pStyle w:val="NormalWeb"/>
        <w:spacing w:before="0" w:beforeAutospacing="0" w:after="0" w:afterAutospacing="0" w:line="360" w:lineRule="auto"/>
        <w:jc w:val="both"/>
        <w:rPr>
          <w:rFonts w:asciiTheme="majorBidi" w:hAnsiTheme="majorBidi" w:cstheme="majorBidi"/>
          <w:color w:val="000000"/>
          <w:lang w:val="fr-FR"/>
        </w:rPr>
      </w:pPr>
      <w:r w:rsidRPr="00FD7DD2">
        <w:rPr>
          <w:rFonts w:asciiTheme="majorBidi" w:hAnsiTheme="majorBidi" w:cstheme="majorBidi"/>
          <w:color w:val="000000"/>
          <w:lang w:val="fr-FR"/>
        </w:rPr>
        <w:t>La réussite de la transformation digitale repose largement sur l’adoption et la maîtrise d’outils technologiques clés, qui facilitent l’automatisation des processus, la collaboration, et l’analyse des données au sein de l’entreprise.</w:t>
      </w:r>
    </w:p>
    <w:p w:rsidR="00E772DD" w:rsidRPr="00F80E3A" w:rsidRDefault="00E772DD" w:rsidP="004D32AC">
      <w:pPr>
        <w:pStyle w:val="Titre3"/>
        <w:numPr>
          <w:ilvl w:val="2"/>
          <w:numId w:val="184"/>
        </w:numPr>
        <w:spacing w:after="0" w:afterAutospacing="0" w:line="360" w:lineRule="auto"/>
        <w:rPr>
          <w:sz w:val="24"/>
          <w:szCs w:val="24"/>
          <w:lang w:val="fr-FR"/>
        </w:rPr>
      </w:pPr>
      <w:bookmarkStart w:id="1280" w:name="_Toc199714401"/>
      <w:bookmarkStart w:id="1281" w:name="_Toc200486683"/>
      <w:bookmarkStart w:id="1282" w:name="_Toc200635459"/>
      <w:bookmarkStart w:id="1283" w:name="_Toc200635847"/>
      <w:bookmarkStart w:id="1284" w:name="_Toc200636236"/>
      <w:bookmarkStart w:id="1285" w:name="_Toc200755973"/>
      <w:r w:rsidRPr="00F80E3A">
        <w:rPr>
          <w:sz w:val="24"/>
          <w:szCs w:val="24"/>
          <w:lang w:val="fr-FR"/>
        </w:rPr>
        <w:t>Les serveurs : infrastructures de stockage et de gestion des données</w:t>
      </w:r>
      <w:bookmarkEnd w:id="1280"/>
      <w:bookmarkEnd w:id="1281"/>
      <w:bookmarkEnd w:id="1282"/>
      <w:bookmarkEnd w:id="1283"/>
      <w:bookmarkEnd w:id="1284"/>
      <w:bookmarkEnd w:id="1285"/>
    </w:p>
    <w:p w:rsidR="00E772DD" w:rsidRDefault="00E772DD" w:rsidP="008D3201">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Les serveurs constituent l’ossature technologique permettant de centraliser, stocker et sécuriser les données tout en facilitant leur partage avec différents systèmes connectés. Ils existent sous plusieurs formes, notamment les serveurs physiques et les solutions basées sur le cloud, adaptées aux besoins évolutifs des entreprises.</w:t>
      </w:r>
      <w:r>
        <w:rPr>
          <w:rStyle w:val="Appelnotedebasdep"/>
          <w:rFonts w:cstheme="majorBidi"/>
          <w:color w:val="000000"/>
          <w:lang w:val="fr-FR"/>
        </w:rPr>
        <w:footnoteReference w:id="211"/>
      </w:r>
    </w:p>
    <w:p w:rsidR="00E772DD" w:rsidRPr="00B56FDA" w:rsidRDefault="00E772DD" w:rsidP="00B56FDA">
      <w:pPr>
        <w:pStyle w:val="NormalWeb"/>
        <w:spacing w:before="0" w:beforeAutospacing="0" w:after="0" w:afterAutospacing="0" w:line="360" w:lineRule="auto"/>
        <w:rPr>
          <w:rFonts w:asciiTheme="majorBidi" w:hAnsiTheme="majorBidi" w:cstheme="majorBidi"/>
          <w:b/>
          <w:bCs/>
          <w:color w:val="000000"/>
          <w:lang w:val="fr-FR"/>
        </w:rPr>
      </w:pPr>
      <w:r w:rsidRPr="00B56FDA">
        <w:rPr>
          <w:rFonts w:asciiTheme="majorBidi" w:hAnsiTheme="majorBidi" w:cstheme="majorBidi"/>
          <w:b/>
          <w:bCs/>
          <w:color w:val="000000"/>
          <w:lang w:val="fr-FR"/>
        </w:rPr>
        <w:t>Exemple : OVH</w:t>
      </w:r>
      <w:r>
        <w:rPr>
          <w:rFonts w:asciiTheme="majorBidi" w:hAnsiTheme="majorBidi" w:cstheme="majorBidi"/>
          <w:b/>
          <w:bCs/>
          <w:color w:val="000000"/>
          <w:lang w:val="fr-FR"/>
        </w:rPr>
        <w:t xml:space="preserve"> </w:t>
      </w:r>
      <w:r w:rsidRPr="00B56FDA">
        <w:rPr>
          <w:rFonts w:asciiTheme="majorBidi" w:hAnsiTheme="majorBidi" w:cstheme="majorBidi"/>
          <w:b/>
          <w:bCs/>
          <w:color w:val="000000"/>
          <w:lang w:val="fr-FR"/>
        </w:rPr>
        <w:t>Cloud</w:t>
      </w:r>
    </w:p>
    <w:p w:rsidR="00E772DD" w:rsidRDefault="00E772DD" w:rsidP="00452B7E">
      <w:pPr>
        <w:pStyle w:val="NormalWeb"/>
        <w:spacing w:before="0" w:beforeAutospacing="0" w:after="240" w:afterAutospacing="0" w:line="360" w:lineRule="auto"/>
        <w:jc w:val="both"/>
        <w:rPr>
          <w:rFonts w:asciiTheme="majorBidi" w:hAnsiTheme="majorBidi" w:cstheme="majorBidi"/>
          <w:color w:val="000000"/>
          <w:lang w:val="fr-FR"/>
        </w:rPr>
      </w:pPr>
      <w:r w:rsidRPr="00B56FDA">
        <w:rPr>
          <w:rFonts w:asciiTheme="majorBidi" w:hAnsiTheme="majorBidi" w:cstheme="majorBidi"/>
          <w:color w:val="000000"/>
          <w:lang w:val="fr-FR"/>
        </w:rPr>
        <w:t>OVH</w:t>
      </w:r>
      <w:r>
        <w:rPr>
          <w:rFonts w:asciiTheme="majorBidi" w:hAnsiTheme="majorBidi" w:cstheme="majorBidi"/>
          <w:color w:val="000000"/>
          <w:lang w:val="fr-FR"/>
        </w:rPr>
        <w:t xml:space="preserve"> </w:t>
      </w:r>
      <w:r w:rsidRPr="00B56FDA">
        <w:rPr>
          <w:rFonts w:asciiTheme="majorBidi" w:hAnsiTheme="majorBidi" w:cstheme="majorBidi"/>
          <w:color w:val="000000"/>
          <w:lang w:val="fr-FR"/>
        </w:rPr>
        <w:t xml:space="preserve">Cloud est une entreprise spécialisée dans l’hébergement et le cloud </w:t>
      </w:r>
      <w:proofErr w:type="spellStart"/>
      <w:r w:rsidRPr="00B56FDA">
        <w:rPr>
          <w:rFonts w:asciiTheme="majorBidi" w:hAnsiTheme="majorBidi" w:cstheme="majorBidi"/>
          <w:color w:val="000000"/>
          <w:lang w:val="fr-FR"/>
        </w:rPr>
        <w:t>computing</w:t>
      </w:r>
      <w:proofErr w:type="spellEnd"/>
      <w:r w:rsidRPr="00B56FDA">
        <w:rPr>
          <w:rFonts w:asciiTheme="majorBidi" w:hAnsiTheme="majorBidi" w:cstheme="majorBidi"/>
          <w:color w:val="000000"/>
          <w:lang w:val="fr-FR"/>
        </w:rPr>
        <w:t>, offrant des serveurs performants et sécurisés pour stocker et gérer les données des entreprises. Grâce à ses solutions évolutives, elle permet aux organisations de s’adapter aux besoins croissants en matière de traitement et de protection des données.</w:t>
      </w:r>
      <w:r>
        <w:rPr>
          <w:rStyle w:val="Appelnotedebasdep"/>
          <w:rFonts w:cstheme="majorBidi"/>
          <w:color w:val="000000"/>
          <w:lang w:val="fr-FR"/>
        </w:rPr>
        <w:footnoteReference w:id="212"/>
      </w:r>
    </w:p>
    <w:p w:rsidR="00F80E3A" w:rsidRDefault="00F80E3A" w:rsidP="00452B7E">
      <w:pPr>
        <w:pStyle w:val="NormalWeb"/>
        <w:spacing w:before="0" w:beforeAutospacing="0" w:after="240" w:afterAutospacing="0" w:line="360" w:lineRule="auto"/>
        <w:jc w:val="both"/>
        <w:rPr>
          <w:rFonts w:asciiTheme="majorBidi" w:hAnsiTheme="majorBidi" w:cstheme="majorBidi"/>
          <w:color w:val="000000"/>
          <w:lang w:val="fr-FR"/>
        </w:rPr>
      </w:pPr>
    </w:p>
    <w:p w:rsidR="00F80E3A" w:rsidRDefault="00F80E3A" w:rsidP="00452B7E">
      <w:pPr>
        <w:pStyle w:val="NormalWeb"/>
        <w:spacing w:before="0" w:beforeAutospacing="0" w:after="240" w:afterAutospacing="0" w:line="360" w:lineRule="auto"/>
        <w:jc w:val="both"/>
        <w:rPr>
          <w:rFonts w:asciiTheme="majorBidi" w:hAnsiTheme="majorBidi" w:cstheme="majorBidi"/>
          <w:color w:val="000000"/>
          <w:lang w:val="fr-FR"/>
        </w:rPr>
      </w:pPr>
    </w:p>
    <w:p w:rsidR="00E772DD" w:rsidRPr="00B56FDA" w:rsidRDefault="00E772DD" w:rsidP="00B56FDA">
      <w:pPr>
        <w:pStyle w:val="NormalWeb"/>
        <w:spacing w:before="0" w:beforeAutospacing="0" w:after="240" w:afterAutospacing="0" w:line="360" w:lineRule="auto"/>
        <w:jc w:val="center"/>
        <w:rPr>
          <w:rFonts w:asciiTheme="majorBidi" w:hAnsiTheme="majorBidi" w:cstheme="majorBidi"/>
          <w:b/>
          <w:bCs/>
          <w:color w:val="000000"/>
          <w:lang w:val="fr-FR"/>
        </w:rPr>
      </w:pPr>
      <w:r w:rsidRPr="00B56FDA">
        <w:rPr>
          <w:rFonts w:asciiTheme="majorBidi" w:hAnsiTheme="majorBidi" w:cstheme="majorBidi"/>
          <w:b/>
          <w:bCs/>
          <w:color w:val="000000"/>
          <w:lang w:val="fr-FR"/>
        </w:rPr>
        <w:lastRenderedPageBreak/>
        <w:t>Figure </w:t>
      </w:r>
      <w:r>
        <w:rPr>
          <w:rFonts w:asciiTheme="majorBidi" w:hAnsiTheme="majorBidi" w:cstheme="majorBidi"/>
          <w:b/>
          <w:bCs/>
          <w:color w:val="000000"/>
          <w:lang w:val="fr-FR"/>
        </w:rPr>
        <w:t xml:space="preserve">N°14 </w:t>
      </w:r>
      <w:r w:rsidRPr="00B56FDA">
        <w:rPr>
          <w:rFonts w:asciiTheme="majorBidi" w:hAnsiTheme="majorBidi" w:cstheme="majorBidi"/>
          <w:b/>
          <w:bCs/>
          <w:color w:val="000000"/>
          <w:lang w:val="fr-FR"/>
        </w:rPr>
        <w:t>:</w:t>
      </w:r>
      <w:r>
        <w:rPr>
          <w:rFonts w:asciiTheme="majorBidi" w:hAnsiTheme="majorBidi" w:cstheme="majorBidi"/>
          <w:b/>
          <w:bCs/>
          <w:color w:val="000000"/>
          <w:lang w:val="fr-FR"/>
        </w:rPr>
        <w:t xml:space="preserve"> </w:t>
      </w:r>
      <w:r w:rsidRPr="009C0BB3">
        <w:rPr>
          <w:rFonts w:asciiTheme="majorBidi" w:hAnsiTheme="majorBidi" w:cstheme="majorBidi"/>
          <w:color w:val="000000"/>
          <w:lang w:val="fr-FR"/>
        </w:rPr>
        <w:t>Des offres d'OVH</w:t>
      </w:r>
      <w:r>
        <w:rPr>
          <w:rFonts w:asciiTheme="majorBidi" w:hAnsiTheme="majorBidi" w:cstheme="majorBidi"/>
          <w:color w:val="000000"/>
          <w:lang w:val="fr-FR"/>
        </w:rPr>
        <w:t xml:space="preserve"> C</w:t>
      </w:r>
      <w:r w:rsidRPr="009C0BB3">
        <w:rPr>
          <w:rFonts w:asciiTheme="majorBidi" w:hAnsiTheme="majorBidi" w:cstheme="majorBidi"/>
          <w:color w:val="000000"/>
          <w:lang w:val="fr-FR"/>
        </w:rPr>
        <w:t>loud pour les entreprises</w:t>
      </w:r>
    </w:p>
    <w:p w:rsidR="00E772DD" w:rsidRDefault="00E772DD" w:rsidP="004D5FD6">
      <w:pPr>
        <w:pStyle w:val="NormalWeb"/>
        <w:spacing w:before="0" w:beforeAutospacing="0" w:after="240" w:afterAutospacing="0" w:line="360" w:lineRule="auto"/>
        <w:jc w:val="center"/>
        <w:rPr>
          <w:rFonts w:asciiTheme="majorBidi" w:hAnsiTheme="majorBidi" w:cstheme="majorBidi"/>
          <w:color w:val="000000"/>
          <w:lang w:val="fr-FR"/>
        </w:rPr>
      </w:pPr>
      <w:r>
        <w:rPr>
          <w:rFonts w:asciiTheme="majorBidi" w:hAnsiTheme="majorBidi" w:cstheme="majorBidi"/>
          <w:noProof/>
          <w:color w:val="000000"/>
          <w:lang w:val="fr-FR"/>
          <w14:ligatures w14:val="standardContextual"/>
        </w:rPr>
        <w:drawing>
          <wp:inline distT="0" distB="0" distL="0" distR="0">
            <wp:extent cx="3118485" cy="3095219"/>
            <wp:effectExtent l="0" t="0" r="5715" b="3810"/>
            <wp:docPr id="211827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75757" name="Picture 2118275757"/>
                    <pic:cNvPicPr/>
                  </pic:nvPicPr>
                  <pic:blipFill rotWithShape="1">
                    <a:blip r:embed="rId78" cstate="print">
                      <a:extLst>
                        <a:ext uri="{28A0092B-C50C-407E-A947-70E740481C1C}">
                          <a14:useLocalDpi xmlns:a14="http://schemas.microsoft.com/office/drawing/2010/main" val="0"/>
                        </a:ext>
                      </a:extLst>
                    </a:blip>
                    <a:srcRect l="50975" t="31366" r="13590" b="12839"/>
                    <a:stretch/>
                  </pic:blipFill>
                  <pic:spPr bwMode="auto">
                    <a:xfrm>
                      <a:off x="0" y="0"/>
                      <a:ext cx="3134964" cy="3111575"/>
                    </a:xfrm>
                    <a:prstGeom prst="rect">
                      <a:avLst/>
                    </a:prstGeom>
                    <a:ln>
                      <a:noFill/>
                    </a:ln>
                    <a:extLst>
                      <a:ext uri="{53640926-AAD7-44D8-BBD7-CCE9431645EC}">
                        <a14:shadowObscured xmlns:a14="http://schemas.microsoft.com/office/drawing/2010/main"/>
                      </a:ext>
                    </a:extLst>
                  </pic:spPr>
                </pic:pic>
              </a:graphicData>
            </a:graphic>
          </wp:inline>
        </w:drawing>
      </w:r>
    </w:p>
    <w:p w:rsidR="00E772DD" w:rsidRPr="00B21441" w:rsidRDefault="00E772DD" w:rsidP="004D5FD6">
      <w:pPr>
        <w:spacing w:line="360" w:lineRule="auto"/>
        <w:jc w:val="center"/>
        <w:rPr>
          <w:rFonts w:asciiTheme="majorBidi" w:hAnsiTheme="majorBidi" w:cstheme="majorBidi"/>
          <w:color w:val="000000"/>
          <w:lang w:val="fr-FR"/>
        </w:rPr>
      </w:pPr>
      <w:r w:rsidRPr="009F2A2E">
        <w:rPr>
          <w:rFonts w:asciiTheme="majorBidi" w:hAnsiTheme="majorBidi" w:cstheme="majorBidi"/>
          <w:b/>
          <w:bCs/>
          <w:color w:val="000000"/>
          <w:lang w:val="fr-FR"/>
        </w:rPr>
        <w:t>Source :</w:t>
      </w:r>
      <w:r>
        <w:rPr>
          <w:rFonts w:asciiTheme="majorBidi" w:hAnsiTheme="majorBidi" w:cstheme="majorBidi"/>
          <w:color w:val="000000"/>
          <w:lang w:val="fr-FR"/>
        </w:rPr>
        <w:t xml:space="preserve"> </w:t>
      </w:r>
      <w:proofErr w:type="spellStart"/>
      <w:r w:rsidR="004D5FD6" w:rsidRPr="004D5FD6">
        <w:rPr>
          <w:rFonts w:asciiTheme="majorBidi" w:hAnsiTheme="majorBidi" w:cstheme="majorBidi"/>
          <w:color w:val="000000"/>
          <w:lang w:val="fr-FR"/>
        </w:rPr>
        <w:t>OVHcloud</w:t>
      </w:r>
      <w:proofErr w:type="spellEnd"/>
      <w:r w:rsidR="004D5FD6" w:rsidRPr="004D5FD6">
        <w:rPr>
          <w:rFonts w:asciiTheme="majorBidi" w:hAnsiTheme="majorBidi" w:cstheme="majorBidi"/>
          <w:color w:val="000000"/>
          <w:lang w:val="fr-FR"/>
        </w:rPr>
        <w:t xml:space="preserve">. (s.d.). Solutions cloud et hébergement web en Europe. </w:t>
      </w:r>
      <w:proofErr w:type="spellStart"/>
      <w:r w:rsidR="004D5FD6" w:rsidRPr="004D5FD6">
        <w:rPr>
          <w:rFonts w:asciiTheme="majorBidi" w:hAnsiTheme="majorBidi" w:cstheme="majorBidi"/>
          <w:color w:val="000000"/>
          <w:lang w:val="fr-FR"/>
        </w:rPr>
        <w:t>OVHcloud</w:t>
      </w:r>
      <w:proofErr w:type="spellEnd"/>
      <w:r w:rsidR="004D5FD6" w:rsidRPr="004D5FD6">
        <w:rPr>
          <w:rFonts w:asciiTheme="majorBidi" w:hAnsiTheme="majorBidi" w:cstheme="majorBidi"/>
          <w:color w:val="000000"/>
          <w:lang w:val="fr-FR"/>
        </w:rPr>
        <w:t>. https://www.ovhcloud.com/fr/</w:t>
      </w:r>
    </w:p>
    <w:p w:rsidR="00E772DD" w:rsidRPr="00F80E3A" w:rsidRDefault="00E772DD" w:rsidP="004D32AC">
      <w:pPr>
        <w:pStyle w:val="Titre3"/>
        <w:numPr>
          <w:ilvl w:val="2"/>
          <w:numId w:val="184"/>
        </w:numPr>
        <w:spacing w:after="0" w:afterAutospacing="0" w:line="360" w:lineRule="auto"/>
        <w:rPr>
          <w:sz w:val="24"/>
          <w:szCs w:val="24"/>
          <w:lang w:val="fr-FR"/>
        </w:rPr>
      </w:pPr>
      <w:bookmarkStart w:id="1286" w:name="_Toc199714402"/>
      <w:bookmarkStart w:id="1287" w:name="_Toc200486684"/>
      <w:bookmarkStart w:id="1288" w:name="_Toc200635460"/>
      <w:bookmarkStart w:id="1289" w:name="_Toc200635848"/>
      <w:bookmarkStart w:id="1290" w:name="_Toc200636237"/>
      <w:bookmarkStart w:id="1291" w:name="_Toc200755974"/>
      <w:r w:rsidRPr="00F80E3A">
        <w:rPr>
          <w:sz w:val="24"/>
          <w:szCs w:val="24"/>
          <w:lang w:val="fr-FR"/>
        </w:rPr>
        <w:t>Les applications mobiles : un canal de communication interactif</w:t>
      </w:r>
      <w:bookmarkEnd w:id="1286"/>
      <w:bookmarkEnd w:id="1287"/>
      <w:bookmarkEnd w:id="1288"/>
      <w:bookmarkEnd w:id="1289"/>
      <w:bookmarkEnd w:id="1290"/>
      <w:bookmarkEnd w:id="1291"/>
    </w:p>
    <w:p w:rsidR="00E772DD" w:rsidRDefault="00E772DD" w:rsidP="008D3201">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Les applications mobiles sont conçues pour offrir aux utilisateurs une interaction fluide et personnalisée avec les services d’une entreprise. Grâce à leur accessibilité sur smartphones et tablettes, elles permettent aux organisations d’optimiser leur présence numérique et d’améliorer l’expérience client.</w:t>
      </w:r>
      <w:r>
        <w:rPr>
          <w:rStyle w:val="Appelnotedebasdep"/>
          <w:rFonts w:cstheme="majorBidi"/>
          <w:color w:val="000000"/>
          <w:lang w:val="fr-FR"/>
        </w:rPr>
        <w:footnoteReference w:id="213"/>
      </w:r>
    </w:p>
    <w:p w:rsidR="00E772DD" w:rsidRPr="000E6E20" w:rsidRDefault="00E772DD" w:rsidP="000E6E20">
      <w:pPr>
        <w:pStyle w:val="NormalWeb"/>
        <w:spacing w:after="0" w:afterAutospacing="0" w:line="360" w:lineRule="auto"/>
        <w:rPr>
          <w:rFonts w:asciiTheme="majorBidi" w:hAnsiTheme="majorBidi" w:cstheme="majorBidi"/>
          <w:b/>
          <w:bCs/>
          <w:color w:val="000000"/>
          <w:lang w:val="fr-FR"/>
        </w:rPr>
      </w:pPr>
      <w:r w:rsidRPr="000E6E20">
        <w:rPr>
          <w:rFonts w:asciiTheme="majorBidi" w:hAnsiTheme="majorBidi" w:cstheme="majorBidi"/>
          <w:b/>
          <w:bCs/>
          <w:color w:val="000000"/>
          <w:lang w:val="fr-FR"/>
        </w:rPr>
        <w:t>Exemple : Yassir</w:t>
      </w:r>
    </w:p>
    <w:p w:rsidR="00E772DD" w:rsidRDefault="00E772DD" w:rsidP="000E6E20">
      <w:pPr>
        <w:pStyle w:val="NormalWeb"/>
        <w:spacing w:before="0" w:beforeAutospacing="0" w:after="240" w:afterAutospacing="0" w:line="360" w:lineRule="auto"/>
        <w:jc w:val="both"/>
        <w:rPr>
          <w:rFonts w:asciiTheme="majorBidi" w:hAnsiTheme="majorBidi" w:cstheme="majorBidi"/>
          <w:color w:val="000000"/>
          <w:lang w:val="fr-FR"/>
        </w:rPr>
      </w:pPr>
      <w:r w:rsidRPr="000E6E20">
        <w:rPr>
          <w:rFonts w:asciiTheme="majorBidi" w:hAnsiTheme="majorBidi" w:cstheme="majorBidi"/>
          <w:color w:val="000000"/>
          <w:lang w:val="fr-FR"/>
        </w:rPr>
        <w:t>Yassir est une application mobile développée en Algérie, spécialisée dans les services de transport et de livraison. En facilitant les réservations de trajets et les commandes en ligne, cette plateforme optimise l’expérience utilisateur et améliore l’accessibilité aux services à travers les smartphones.</w:t>
      </w:r>
      <w:r>
        <w:rPr>
          <w:rStyle w:val="Appelnotedebasdep"/>
          <w:rFonts w:cstheme="majorBidi"/>
          <w:color w:val="000000"/>
          <w:lang w:val="fr-FR"/>
        </w:rPr>
        <w:footnoteReference w:id="214"/>
      </w:r>
    </w:p>
    <w:p w:rsidR="00982D25" w:rsidRDefault="00982D25" w:rsidP="000E6E20">
      <w:pPr>
        <w:pStyle w:val="NormalWeb"/>
        <w:spacing w:before="0" w:beforeAutospacing="0" w:after="240" w:afterAutospacing="0" w:line="360" w:lineRule="auto"/>
        <w:jc w:val="both"/>
        <w:rPr>
          <w:rFonts w:asciiTheme="majorBidi" w:hAnsiTheme="majorBidi" w:cstheme="majorBidi"/>
          <w:color w:val="000000"/>
          <w:lang w:val="fr-FR"/>
        </w:rPr>
      </w:pPr>
    </w:p>
    <w:p w:rsidR="00982D25" w:rsidRDefault="00982D25" w:rsidP="000E6E20">
      <w:pPr>
        <w:pStyle w:val="NormalWeb"/>
        <w:spacing w:before="0" w:beforeAutospacing="0" w:after="240" w:afterAutospacing="0" w:line="360" w:lineRule="auto"/>
        <w:jc w:val="both"/>
        <w:rPr>
          <w:rFonts w:asciiTheme="majorBidi" w:hAnsiTheme="majorBidi" w:cstheme="majorBidi"/>
          <w:color w:val="000000"/>
          <w:lang w:val="fr-FR"/>
        </w:rPr>
      </w:pPr>
    </w:p>
    <w:p w:rsidR="00E772DD" w:rsidRPr="004D5FD6" w:rsidRDefault="00E772DD" w:rsidP="007B7725">
      <w:pPr>
        <w:jc w:val="center"/>
        <w:rPr>
          <w:rFonts w:asciiTheme="majorBidi" w:hAnsiTheme="majorBidi" w:cstheme="majorBidi"/>
          <w:b/>
          <w:bCs/>
          <w:color w:val="000000" w:themeColor="text1"/>
          <w:lang w:val="fr-FR"/>
        </w:rPr>
      </w:pPr>
      <w:r w:rsidRPr="004D5FD6">
        <w:rPr>
          <w:rFonts w:asciiTheme="majorBidi" w:hAnsiTheme="majorBidi" w:cstheme="majorBidi"/>
          <w:b/>
          <w:bCs/>
          <w:color w:val="000000"/>
          <w:lang w:val="fr-FR"/>
        </w:rPr>
        <w:lastRenderedPageBreak/>
        <w:t>Figure N°15 :</w:t>
      </w:r>
      <w:r w:rsidRPr="004D5FD6">
        <w:rPr>
          <w:rFonts w:asciiTheme="majorBidi" w:hAnsiTheme="majorBidi" w:cstheme="majorBidi"/>
          <w:color w:val="000000"/>
          <w:lang w:val="fr-FR"/>
        </w:rPr>
        <w:t xml:space="preserve"> </w:t>
      </w:r>
      <w:r w:rsidRPr="004D5FD6">
        <w:rPr>
          <w:rFonts w:asciiTheme="majorBidi" w:hAnsiTheme="majorBidi" w:cstheme="majorBidi"/>
          <w:color w:val="000000" w:themeColor="text1"/>
          <w:lang w:val="fr-FR"/>
        </w:rPr>
        <w:t>Yassir : L'application tout-en-un qui vous simplifie la vie</w:t>
      </w:r>
    </w:p>
    <w:p w:rsidR="00E772DD" w:rsidRPr="005B2A02" w:rsidRDefault="00E772DD" w:rsidP="007B7725">
      <w:pPr>
        <w:jc w:val="center"/>
        <w:rPr>
          <w:rFonts w:ascii="Helvetica Neue" w:hAnsi="Helvetica Neue"/>
          <w:color w:val="1F1F1F"/>
          <w:sz w:val="21"/>
          <w:szCs w:val="21"/>
          <w:lang w:val="fr-FR"/>
        </w:rPr>
      </w:pPr>
    </w:p>
    <w:p w:rsidR="00E772DD" w:rsidRPr="00B21441" w:rsidRDefault="00E772DD" w:rsidP="000E6E20">
      <w:pPr>
        <w:pStyle w:val="NormalWeb"/>
        <w:spacing w:before="0" w:beforeAutospacing="0" w:after="240" w:afterAutospacing="0" w:line="360" w:lineRule="auto"/>
        <w:jc w:val="both"/>
        <w:rPr>
          <w:rFonts w:asciiTheme="majorBidi" w:hAnsiTheme="majorBidi" w:cstheme="majorBidi"/>
          <w:color w:val="000000"/>
          <w:lang w:val="fr-FR"/>
        </w:rPr>
      </w:pPr>
      <w:r>
        <w:fldChar w:fldCharType="begin"/>
      </w:r>
      <w:r>
        <w:instrText xml:space="preserve"> INCLUDEPICTURE "/Users/misha/Library/Group Containers/UBF8T346G9.ms/WebArchiveCopyPasteTempFiles/com.microsoft.Word/image?url=%2Fimages%2Fcommon%2Fphone-image-yassir-express.png&amp;w=3840&amp;q=75" \* MERGEFORMATINET </w:instrText>
      </w:r>
      <w:r>
        <w:fldChar w:fldCharType="separate"/>
      </w:r>
      <w:r>
        <w:rPr>
          <w:noProof/>
        </w:rPr>
        <w:drawing>
          <wp:inline distT="0" distB="0" distL="0" distR="0">
            <wp:extent cx="5727700" cy="3561080"/>
            <wp:effectExtent l="0" t="0" r="0" b="0"/>
            <wp:docPr id="1156854874" name="Picture 2" descr="Yassir - l'Application Tout-En-Un qui vous Simplifie la V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Yassir - l'Application Tout-En-Un qui vous Simplifie la Vi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27700" cy="3561080"/>
                    </a:xfrm>
                    <a:prstGeom prst="rect">
                      <a:avLst/>
                    </a:prstGeom>
                    <a:noFill/>
                    <a:ln>
                      <a:noFill/>
                    </a:ln>
                  </pic:spPr>
                </pic:pic>
              </a:graphicData>
            </a:graphic>
          </wp:inline>
        </w:drawing>
      </w:r>
      <w:r>
        <w:fldChar w:fldCharType="end"/>
      </w:r>
    </w:p>
    <w:p w:rsidR="00E772DD" w:rsidRPr="00F80E3A" w:rsidRDefault="00E772DD" w:rsidP="004D5FD6">
      <w:pPr>
        <w:pStyle w:val="NormalWeb"/>
        <w:spacing w:before="0" w:beforeAutospacing="0" w:after="240" w:afterAutospacing="0" w:line="360" w:lineRule="auto"/>
        <w:jc w:val="center"/>
        <w:rPr>
          <w:lang w:val="fr-FR"/>
        </w:rPr>
      </w:pPr>
      <w:r>
        <w:rPr>
          <w:rFonts w:asciiTheme="majorBidi" w:hAnsiTheme="majorBidi" w:cstheme="majorBidi"/>
          <w:b/>
          <w:bCs/>
          <w:color w:val="000000"/>
          <w:lang w:val="fr-FR"/>
        </w:rPr>
        <w:t>Source :</w:t>
      </w:r>
      <w:r w:rsidRPr="005B2A02">
        <w:rPr>
          <w:lang w:val="fr-FR"/>
        </w:rPr>
        <w:t xml:space="preserve"> </w:t>
      </w:r>
      <w:bookmarkStart w:id="1292" w:name="_Toc199714403"/>
      <w:r w:rsidR="004D5FD6" w:rsidRPr="004D5FD6">
        <w:t>Yassir. (s.d.). Application de transport, livraison et paiement mobile. Yassir. https://yassir.com/</w:t>
      </w:r>
      <w:bookmarkEnd w:id="1292"/>
    </w:p>
    <w:p w:rsidR="00E772DD" w:rsidRPr="000D2740" w:rsidRDefault="00E772DD" w:rsidP="000D2740">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Un site web est un outil incontournable pour la visibilité d’une entreprise. Il sert de plateforme d’information et d’échange avec les clients et partenaires. Son efficacité repose sur une conception ergonomique, une navigation intuitive et une compatibilité avec les appareils mobiles.</w:t>
      </w:r>
      <w:r>
        <w:rPr>
          <w:rStyle w:val="Appelnotedebasdep"/>
          <w:rFonts w:cstheme="majorBidi"/>
          <w:color w:val="000000"/>
          <w:lang w:val="fr-FR"/>
        </w:rPr>
        <w:footnoteReference w:id="215"/>
      </w:r>
    </w:p>
    <w:p w:rsidR="00E772DD" w:rsidRDefault="00E772DD" w:rsidP="00D02018">
      <w:pPr>
        <w:pStyle w:val="NormalWeb"/>
        <w:spacing w:before="0" w:beforeAutospacing="0" w:after="0" w:afterAutospacing="0" w:line="360" w:lineRule="auto"/>
        <w:rPr>
          <w:rFonts w:asciiTheme="majorBidi" w:hAnsiTheme="majorBidi" w:cstheme="majorBidi"/>
          <w:b/>
          <w:bCs/>
          <w:color w:val="000000"/>
          <w:lang w:val="fr-FR"/>
        </w:rPr>
      </w:pPr>
      <w:r w:rsidRPr="007B7725">
        <w:rPr>
          <w:rFonts w:asciiTheme="majorBidi" w:hAnsiTheme="majorBidi" w:cstheme="majorBidi"/>
          <w:b/>
          <w:bCs/>
          <w:color w:val="000000"/>
          <w:lang w:val="fr-FR"/>
        </w:rPr>
        <w:t xml:space="preserve">Exemple : Jumia </w:t>
      </w:r>
      <w:r>
        <w:rPr>
          <w:rFonts w:asciiTheme="majorBidi" w:hAnsiTheme="majorBidi" w:cstheme="majorBidi"/>
          <w:b/>
          <w:bCs/>
          <w:color w:val="000000"/>
          <w:lang w:val="fr-FR"/>
        </w:rPr>
        <w:t xml:space="preserve">  </w:t>
      </w:r>
    </w:p>
    <w:p w:rsidR="00E772DD" w:rsidRDefault="00E772DD" w:rsidP="0057723C">
      <w:pPr>
        <w:pStyle w:val="NormalWeb"/>
        <w:spacing w:before="0" w:beforeAutospacing="0" w:after="0" w:afterAutospacing="0" w:line="360" w:lineRule="auto"/>
        <w:rPr>
          <w:rFonts w:asciiTheme="majorBidi" w:hAnsiTheme="majorBidi" w:cstheme="majorBidi"/>
          <w:color w:val="000000"/>
          <w:lang w:val="fr-FR"/>
        </w:rPr>
      </w:pPr>
      <w:r w:rsidRPr="007B7725">
        <w:rPr>
          <w:rFonts w:asciiTheme="majorBidi" w:hAnsiTheme="majorBidi" w:cstheme="majorBidi"/>
          <w:color w:val="000000"/>
          <w:lang w:val="fr-FR"/>
        </w:rPr>
        <w:t>Jumia, la plus grande plateforme e-commerce en Afrique, possède un site web en Algérie permettant aux clients d’acheter en ligne divers produits, avec des services de paiement et de livraison intégrés.</w:t>
      </w:r>
      <w:r>
        <w:rPr>
          <w:rStyle w:val="Appelnotedebasdep"/>
          <w:rFonts w:cstheme="majorBidi"/>
          <w:color w:val="000000"/>
          <w:lang w:val="fr-FR"/>
        </w:rPr>
        <w:footnoteReference w:id="216"/>
      </w:r>
    </w:p>
    <w:p w:rsidR="00F80E3A" w:rsidRDefault="00F80E3A" w:rsidP="0057723C">
      <w:pPr>
        <w:pStyle w:val="NormalWeb"/>
        <w:spacing w:before="0" w:beforeAutospacing="0" w:after="0" w:afterAutospacing="0" w:line="360" w:lineRule="auto"/>
        <w:rPr>
          <w:rFonts w:asciiTheme="majorBidi" w:hAnsiTheme="majorBidi" w:cstheme="majorBidi"/>
          <w:color w:val="000000"/>
          <w:lang w:val="fr-FR"/>
        </w:rPr>
      </w:pPr>
    </w:p>
    <w:p w:rsidR="00F80E3A" w:rsidRDefault="00F80E3A" w:rsidP="0057723C">
      <w:pPr>
        <w:pStyle w:val="NormalWeb"/>
        <w:spacing w:before="0" w:beforeAutospacing="0" w:after="0" w:afterAutospacing="0" w:line="360" w:lineRule="auto"/>
        <w:rPr>
          <w:rFonts w:asciiTheme="majorBidi" w:hAnsiTheme="majorBidi" w:cstheme="majorBidi"/>
          <w:color w:val="000000"/>
          <w:lang w:val="fr-FR"/>
        </w:rPr>
      </w:pPr>
    </w:p>
    <w:p w:rsidR="00F80E3A" w:rsidRDefault="00F80E3A" w:rsidP="0057723C">
      <w:pPr>
        <w:pStyle w:val="NormalWeb"/>
        <w:spacing w:before="0" w:beforeAutospacing="0" w:after="0" w:afterAutospacing="0" w:line="360" w:lineRule="auto"/>
        <w:rPr>
          <w:rFonts w:asciiTheme="majorBidi" w:hAnsiTheme="majorBidi" w:cstheme="majorBidi"/>
          <w:color w:val="000000"/>
          <w:lang w:val="fr-FR"/>
        </w:rPr>
      </w:pPr>
    </w:p>
    <w:p w:rsidR="00F80E3A" w:rsidRPr="0057723C" w:rsidRDefault="00F80E3A" w:rsidP="0057723C">
      <w:pPr>
        <w:pStyle w:val="NormalWeb"/>
        <w:spacing w:before="0" w:beforeAutospacing="0" w:after="0" w:afterAutospacing="0" w:line="360" w:lineRule="auto"/>
        <w:rPr>
          <w:rFonts w:asciiTheme="majorBidi" w:hAnsiTheme="majorBidi" w:cstheme="majorBidi"/>
          <w:color w:val="000000"/>
          <w:lang w:val="fr-FR"/>
        </w:rPr>
      </w:pPr>
    </w:p>
    <w:p w:rsidR="00E772DD" w:rsidRPr="007B7725" w:rsidRDefault="00E772DD" w:rsidP="007B7725">
      <w:pPr>
        <w:pStyle w:val="NormalWeb"/>
        <w:spacing w:before="0" w:beforeAutospacing="0" w:after="0" w:afterAutospacing="0" w:line="360" w:lineRule="auto"/>
        <w:jc w:val="center"/>
        <w:rPr>
          <w:rFonts w:asciiTheme="majorBidi" w:hAnsiTheme="majorBidi" w:cstheme="majorBidi"/>
          <w:b/>
          <w:bCs/>
          <w:color w:val="000000"/>
          <w:lang w:val="fr-FR"/>
        </w:rPr>
      </w:pPr>
      <w:r w:rsidRPr="007B7725">
        <w:rPr>
          <w:rFonts w:asciiTheme="majorBidi" w:hAnsiTheme="majorBidi" w:cstheme="majorBidi"/>
          <w:b/>
          <w:bCs/>
          <w:color w:val="000000"/>
          <w:lang w:val="fr-FR"/>
        </w:rPr>
        <w:t>Figure </w:t>
      </w:r>
      <w:r>
        <w:rPr>
          <w:rFonts w:asciiTheme="majorBidi" w:hAnsiTheme="majorBidi" w:cstheme="majorBidi"/>
          <w:b/>
          <w:bCs/>
          <w:color w:val="000000"/>
          <w:lang w:val="fr-FR"/>
        </w:rPr>
        <w:t xml:space="preserve">N°16 </w:t>
      </w:r>
      <w:r w:rsidRPr="007B7725">
        <w:rPr>
          <w:rFonts w:asciiTheme="majorBidi" w:hAnsiTheme="majorBidi" w:cstheme="majorBidi"/>
          <w:b/>
          <w:bCs/>
          <w:color w:val="000000"/>
          <w:lang w:val="fr-FR"/>
        </w:rPr>
        <w:t xml:space="preserve">: </w:t>
      </w:r>
      <w:r w:rsidRPr="009C0BB3">
        <w:rPr>
          <w:rFonts w:asciiTheme="majorBidi" w:hAnsiTheme="majorBidi" w:cstheme="majorBidi"/>
          <w:color w:val="000000"/>
          <w:lang w:val="fr-FR"/>
        </w:rPr>
        <w:t xml:space="preserve">Le site internet de </w:t>
      </w:r>
      <w:proofErr w:type="spellStart"/>
      <w:r w:rsidRPr="009C0BB3">
        <w:rPr>
          <w:rFonts w:asciiTheme="majorBidi" w:hAnsiTheme="majorBidi" w:cstheme="majorBidi"/>
          <w:color w:val="000000"/>
          <w:lang w:val="fr-FR"/>
        </w:rPr>
        <w:t>jumia</w:t>
      </w:r>
      <w:proofErr w:type="spellEnd"/>
      <w:r w:rsidRPr="009C0BB3">
        <w:rPr>
          <w:rFonts w:asciiTheme="majorBidi" w:hAnsiTheme="majorBidi" w:cstheme="majorBidi"/>
          <w:color w:val="000000"/>
          <w:lang w:val="fr-FR"/>
        </w:rPr>
        <w:t xml:space="preserve"> est accessible à tous</w:t>
      </w:r>
    </w:p>
    <w:p w:rsidR="00E772DD" w:rsidRPr="007B7725" w:rsidRDefault="00E772DD" w:rsidP="007B7725">
      <w:pPr>
        <w:pStyle w:val="NormalWeb"/>
        <w:spacing w:before="0" w:beforeAutospacing="0" w:after="0" w:afterAutospacing="0" w:line="360" w:lineRule="auto"/>
        <w:rPr>
          <w:rFonts w:asciiTheme="majorBidi" w:hAnsiTheme="majorBidi" w:cstheme="majorBidi"/>
          <w:b/>
          <w:bCs/>
          <w:color w:val="000000"/>
          <w:lang w:val="fr-FR"/>
        </w:rPr>
      </w:pPr>
      <w:r>
        <w:rPr>
          <w:rFonts w:asciiTheme="majorBidi" w:hAnsiTheme="majorBidi" w:cstheme="majorBidi"/>
          <w:b/>
          <w:bCs/>
          <w:noProof/>
          <w:color w:val="000000"/>
          <w:lang w:val="fr-FR"/>
          <w14:ligatures w14:val="standardContextual"/>
        </w:rPr>
        <w:drawing>
          <wp:inline distT="0" distB="0" distL="0" distR="0">
            <wp:extent cx="5727700" cy="3243246"/>
            <wp:effectExtent l="0" t="0" r="0" b="0"/>
            <wp:docPr id="20854146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414605" name="Picture 2085414605"/>
                    <pic:cNvPicPr/>
                  </pic:nvPicPr>
                  <pic:blipFill rotWithShape="1">
                    <a:blip r:embed="rId80" cstate="print">
                      <a:extLst>
                        <a:ext uri="{28A0092B-C50C-407E-A947-70E740481C1C}">
                          <a14:useLocalDpi xmlns:a14="http://schemas.microsoft.com/office/drawing/2010/main" val="0"/>
                        </a:ext>
                      </a:extLst>
                    </a:blip>
                    <a:srcRect t="9410"/>
                    <a:stretch/>
                  </pic:blipFill>
                  <pic:spPr bwMode="auto">
                    <a:xfrm>
                      <a:off x="0" y="0"/>
                      <a:ext cx="5727700" cy="3243246"/>
                    </a:xfrm>
                    <a:prstGeom prst="rect">
                      <a:avLst/>
                    </a:prstGeom>
                    <a:ln>
                      <a:noFill/>
                    </a:ln>
                    <a:extLst>
                      <a:ext uri="{53640926-AAD7-44D8-BBD7-CCE9431645EC}">
                        <a14:shadowObscured xmlns:a14="http://schemas.microsoft.com/office/drawing/2010/main"/>
                      </a:ext>
                    </a:extLst>
                  </pic:spPr>
                </pic:pic>
              </a:graphicData>
            </a:graphic>
          </wp:inline>
        </w:drawing>
      </w:r>
    </w:p>
    <w:p w:rsidR="00E772DD" w:rsidRPr="00F80E3A" w:rsidRDefault="00E772DD" w:rsidP="004D5FD6">
      <w:pPr>
        <w:pStyle w:val="NormalWeb"/>
        <w:spacing w:before="0" w:beforeAutospacing="0" w:after="240" w:afterAutospacing="0" w:line="360" w:lineRule="auto"/>
        <w:jc w:val="center"/>
        <w:rPr>
          <w:lang w:val="fr-FR"/>
        </w:rPr>
      </w:pPr>
      <w:r>
        <w:rPr>
          <w:rFonts w:asciiTheme="majorBidi" w:hAnsiTheme="majorBidi" w:cstheme="majorBidi"/>
          <w:b/>
          <w:bCs/>
          <w:color w:val="000000"/>
          <w:lang w:val="fr-FR"/>
        </w:rPr>
        <w:t>Source :</w:t>
      </w:r>
      <w:bookmarkStart w:id="1293" w:name="_Toc199714404"/>
      <w:r w:rsidR="004D5FD6" w:rsidRPr="004D5FD6">
        <w:rPr>
          <w:color w:val="000000"/>
        </w:rPr>
        <w:t xml:space="preserve"> </w:t>
      </w:r>
      <w:r w:rsidR="004D5FD6" w:rsidRPr="004D5FD6">
        <w:rPr>
          <w:rStyle w:val="lev"/>
          <w:rFonts w:asciiTheme="majorBidi" w:hAnsiTheme="majorBidi" w:cstheme="majorBidi"/>
          <w:b w:val="0"/>
          <w:bCs w:val="0"/>
          <w:color w:val="000000"/>
        </w:rPr>
        <w:t>Jumia. (s.d.).</w:t>
      </w:r>
      <w:r w:rsidR="004D5FD6" w:rsidRPr="004D5FD6">
        <w:rPr>
          <w:rStyle w:val="apple-converted-space"/>
          <w:rFonts w:asciiTheme="majorBidi" w:hAnsiTheme="majorBidi" w:cstheme="majorBidi"/>
          <w:color w:val="000000"/>
        </w:rPr>
        <w:t> </w:t>
      </w:r>
      <w:r w:rsidR="004D5FD6" w:rsidRPr="004D5FD6">
        <w:rPr>
          <w:rStyle w:val="Accentuation"/>
          <w:rFonts w:asciiTheme="majorBidi" w:hAnsiTheme="majorBidi" w:cstheme="majorBidi"/>
          <w:i w:val="0"/>
          <w:iCs w:val="0"/>
          <w:color w:val="000000"/>
        </w:rPr>
        <w:t>Site officiel de Jumia Algérie : achats en ligne de produits variés</w:t>
      </w:r>
      <w:r w:rsidR="004D5FD6" w:rsidRPr="004D5FD6">
        <w:rPr>
          <w:rFonts w:asciiTheme="majorBidi" w:hAnsiTheme="majorBidi" w:cstheme="majorBidi"/>
          <w:i/>
          <w:iCs/>
          <w:color w:val="000000"/>
        </w:rPr>
        <w:t>.</w:t>
      </w:r>
      <w:r w:rsidR="004D5FD6" w:rsidRPr="004D5FD6">
        <w:rPr>
          <w:rFonts w:asciiTheme="majorBidi" w:hAnsiTheme="majorBidi" w:cstheme="majorBidi"/>
          <w:color w:val="000000"/>
        </w:rPr>
        <w:t xml:space="preserve"> </w:t>
      </w:r>
      <w:hyperlink r:id="rId81" w:tgtFrame="_new" w:history="1">
        <w:r w:rsidR="004D5FD6" w:rsidRPr="004D5FD6">
          <w:rPr>
            <w:rStyle w:val="Lienhypertexte"/>
            <w:rFonts w:asciiTheme="majorBidi" w:hAnsiTheme="majorBidi" w:cstheme="majorBidi"/>
          </w:rPr>
          <w:t>https://www.jumia.com.dz/?srsltid=AfmBOorsl7p9gOXtn24bAq_sahKpoiz_XelzkaE-MYKVaSHIzNa0Or3B</w:t>
        </w:r>
      </w:hyperlink>
      <w:r w:rsidR="004D5FD6" w:rsidRPr="00F80E3A">
        <w:rPr>
          <w:lang w:val="fr-FR"/>
        </w:rPr>
        <w:t xml:space="preserve"> </w:t>
      </w:r>
      <w:bookmarkEnd w:id="1293"/>
    </w:p>
    <w:p w:rsidR="00E772DD" w:rsidRDefault="00E772DD" w:rsidP="008D3201">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Les logiciels métiers sont développés pour répondre aux particularités d’un secteur ou d’une activité spécifique. Leur intégration permet d’améliorer l’efficacité opérationnelle, d’automatiser les processus internes et de garantir une meilleure gestion des ressources.</w:t>
      </w:r>
      <w:r>
        <w:rPr>
          <w:rStyle w:val="Appelnotedebasdep"/>
          <w:rFonts w:cstheme="majorBidi"/>
          <w:color w:val="000000"/>
          <w:lang w:val="fr-FR"/>
        </w:rPr>
        <w:footnoteReference w:id="217"/>
      </w:r>
    </w:p>
    <w:p w:rsidR="00E772DD" w:rsidRPr="00955FF2" w:rsidRDefault="00E772DD" w:rsidP="00955FF2">
      <w:pPr>
        <w:pStyle w:val="NormalWeb"/>
        <w:spacing w:after="0" w:afterAutospacing="0" w:line="360" w:lineRule="auto"/>
        <w:rPr>
          <w:rFonts w:asciiTheme="majorBidi" w:hAnsiTheme="majorBidi" w:cstheme="majorBidi"/>
          <w:b/>
          <w:bCs/>
          <w:color w:val="000000"/>
          <w:lang w:val="fr-FR"/>
        </w:rPr>
      </w:pPr>
      <w:r w:rsidRPr="00955FF2">
        <w:rPr>
          <w:rFonts w:asciiTheme="majorBidi" w:hAnsiTheme="majorBidi" w:cstheme="majorBidi"/>
          <w:b/>
          <w:bCs/>
          <w:color w:val="000000"/>
          <w:lang w:val="fr-FR"/>
        </w:rPr>
        <w:t>Exemple : Sage</w:t>
      </w:r>
    </w:p>
    <w:p w:rsidR="00E772DD" w:rsidRDefault="00E772DD" w:rsidP="0057723C">
      <w:pPr>
        <w:pStyle w:val="NormalWeb"/>
        <w:spacing w:before="0" w:beforeAutospacing="0" w:after="240" w:afterAutospacing="0" w:line="360" w:lineRule="auto"/>
        <w:jc w:val="both"/>
        <w:rPr>
          <w:rFonts w:asciiTheme="majorBidi" w:hAnsiTheme="majorBidi" w:cstheme="majorBidi"/>
          <w:color w:val="000000"/>
          <w:lang w:val="fr-FR"/>
        </w:rPr>
      </w:pPr>
      <w:r w:rsidRPr="00955FF2">
        <w:rPr>
          <w:rFonts w:asciiTheme="majorBidi" w:hAnsiTheme="majorBidi" w:cstheme="majorBidi"/>
          <w:color w:val="000000"/>
          <w:lang w:val="fr-FR"/>
        </w:rPr>
        <w:t>Sage est une entreprise spécialisée dans le développement de logiciels de gestion comptable et financière. Ses solutions aident les entreprises à structurer leur comptabilité, gérer leur facturation et automatiser plusieurs tâches administratives.</w:t>
      </w:r>
      <w:r>
        <w:rPr>
          <w:rStyle w:val="Appelnotedebasdep"/>
          <w:rFonts w:cstheme="majorBidi"/>
          <w:color w:val="000000"/>
          <w:lang w:val="fr-FR"/>
        </w:rPr>
        <w:footnoteReference w:id="218"/>
      </w:r>
    </w:p>
    <w:p w:rsidR="00F80E3A" w:rsidRDefault="00F80E3A" w:rsidP="0057723C">
      <w:pPr>
        <w:pStyle w:val="NormalWeb"/>
        <w:spacing w:before="0" w:beforeAutospacing="0" w:after="240" w:afterAutospacing="0" w:line="360" w:lineRule="auto"/>
        <w:jc w:val="both"/>
        <w:rPr>
          <w:rFonts w:asciiTheme="majorBidi" w:hAnsiTheme="majorBidi" w:cstheme="majorBidi"/>
          <w:color w:val="000000"/>
          <w:lang w:val="fr-FR"/>
        </w:rPr>
      </w:pPr>
    </w:p>
    <w:p w:rsidR="00F80E3A" w:rsidRDefault="00F80E3A" w:rsidP="0057723C">
      <w:pPr>
        <w:pStyle w:val="NormalWeb"/>
        <w:spacing w:before="0" w:beforeAutospacing="0" w:after="240" w:afterAutospacing="0" w:line="360" w:lineRule="auto"/>
        <w:jc w:val="both"/>
        <w:rPr>
          <w:rFonts w:asciiTheme="majorBidi" w:hAnsiTheme="majorBidi" w:cstheme="majorBidi"/>
          <w:color w:val="000000"/>
          <w:lang w:val="fr-FR"/>
        </w:rPr>
      </w:pPr>
    </w:p>
    <w:p w:rsidR="00F80E3A" w:rsidRDefault="00F80E3A" w:rsidP="0057723C">
      <w:pPr>
        <w:pStyle w:val="NormalWeb"/>
        <w:spacing w:before="0" w:beforeAutospacing="0" w:after="240" w:afterAutospacing="0" w:line="360" w:lineRule="auto"/>
        <w:jc w:val="both"/>
        <w:rPr>
          <w:rFonts w:asciiTheme="majorBidi" w:hAnsiTheme="majorBidi" w:cstheme="majorBidi"/>
          <w:color w:val="000000"/>
          <w:lang w:val="fr-FR"/>
        </w:rPr>
      </w:pPr>
    </w:p>
    <w:p w:rsidR="00E772DD" w:rsidRPr="009C0BB3" w:rsidRDefault="00E772DD" w:rsidP="00955FF2">
      <w:pPr>
        <w:pStyle w:val="NormalWeb"/>
        <w:spacing w:before="0" w:beforeAutospacing="0" w:after="240" w:afterAutospacing="0" w:line="360" w:lineRule="auto"/>
        <w:jc w:val="center"/>
        <w:rPr>
          <w:rFonts w:asciiTheme="majorBidi" w:hAnsiTheme="majorBidi" w:cstheme="majorBidi"/>
          <w:color w:val="000000"/>
          <w:lang w:val="fr-FR"/>
        </w:rPr>
      </w:pPr>
      <w:r w:rsidRPr="00955FF2">
        <w:rPr>
          <w:rFonts w:asciiTheme="majorBidi" w:hAnsiTheme="majorBidi" w:cstheme="majorBidi"/>
          <w:b/>
          <w:bCs/>
          <w:color w:val="000000"/>
          <w:lang w:val="fr-FR"/>
        </w:rPr>
        <w:lastRenderedPageBreak/>
        <w:t>Figure</w:t>
      </w:r>
      <w:r>
        <w:rPr>
          <w:rFonts w:asciiTheme="majorBidi" w:hAnsiTheme="majorBidi" w:cstheme="majorBidi"/>
          <w:b/>
          <w:bCs/>
          <w:color w:val="000000"/>
          <w:lang w:val="fr-FR"/>
        </w:rPr>
        <w:t xml:space="preserve"> N°17</w:t>
      </w:r>
      <w:r w:rsidRPr="00955FF2">
        <w:rPr>
          <w:rFonts w:asciiTheme="majorBidi" w:hAnsiTheme="majorBidi" w:cstheme="majorBidi"/>
          <w:b/>
          <w:bCs/>
          <w:color w:val="000000"/>
          <w:lang w:val="fr-FR"/>
        </w:rPr>
        <w:t xml:space="preserve"> : </w:t>
      </w:r>
      <w:r>
        <w:rPr>
          <w:rFonts w:asciiTheme="majorBidi" w:hAnsiTheme="majorBidi" w:cstheme="majorBidi"/>
          <w:color w:val="000000"/>
          <w:lang w:val="fr-FR"/>
        </w:rPr>
        <w:t>L</w:t>
      </w:r>
      <w:r w:rsidRPr="009C0BB3">
        <w:rPr>
          <w:rFonts w:asciiTheme="majorBidi" w:hAnsiTheme="majorBidi" w:cstheme="majorBidi"/>
          <w:color w:val="000000"/>
          <w:lang w:val="fr-FR"/>
        </w:rPr>
        <w:t>e site internet de l’entreprise Sage propose des solutions de gestion pour les entreprises</w:t>
      </w:r>
    </w:p>
    <w:p w:rsidR="00E772DD" w:rsidRDefault="00E772DD" w:rsidP="00955FF2">
      <w:pPr>
        <w:pStyle w:val="NormalWeb"/>
        <w:spacing w:before="0" w:beforeAutospacing="0" w:after="240" w:afterAutospacing="0" w:line="360" w:lineRule="auto"/>
        <w:jc w:val="center"/>
        <w:rPr>
          <w:rFonts w:asciiTheme="majorBidi" w:hAnsiTheme="majorBidi" w:cstheme="majorBidi"/>
          <w:color w:val="000000"/>
          <w:lang w:val="fr-FR"/>
        </w:rPr>
      </w:pPr>
      <w:r>
        <w:rPr>
          <w:rFonts w:asciiTheme="majorBidi" w:hAnsiTheme="majorBidi" w:cstheme="majorBidi"/>
          <w:noProof/>
          <w:color w:val="000000"/>
          <w:lang w:val="fr-FR"/>
          <w14:ligatures w14:val="standardContextual"/>
        </w:rPr>
        <w:drawing>
          <wp:inline distT="0" distB="0" distL="0" distR="0">
            <wp:extent cx="5540991" cy="3512248"/>
            <wp:effectExtent l="0" t="0" r="0" b="5715"/>
            <wp:docPr id="1382492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92291" name="Picture 1382492291"/>
                    <pic:cNvPicPr/>
                  </pic:nvPicPr>
                  <pic:blipFill rotWithShape="1">
                    <a:blip r:embed="rId82" cstate="print">
                      <a:extLst>
                        <a:ext uri="{28A0092B-C50C-407E-A947-70E740481C1C}">
                          <a14:useLocalDpi xmlns:a14="http://schemas.microsoft.com/office/drawing/2010/main" val="0"/>
                        </a:ext>
                      </a:extLst>
                    </a:blip>
                    <a:srcRect l="10366" t="17726" r="8502"/>
                    <a:stretch/>
                  </pic:blipFill>
                  <pic:spPr bwMode="auto">
                    <a:xfrm>
                      <a:off x="0" y="0"/>
                      <a:ext cx="5562616" cy="3525956"/>
                    </a:xfrm>
                    <a:prstGeom prst="rect">
                      <a:avLst/>
                    </a:prstGeom>
                    <a:ln>
                      <a:noFill/>
                    </a:ln>
                    <a:extLst>
                      <a:ext uri="{53640926-AAD7-44D8-BBD7-CCE9431645EC}">
                        <a14:shadowObscured xmlns:a14="http://schemas.microsoft.com/office/drawing/2010/main"/>
                      </a:ext>
                    </a:extLst>
                  </pic:spPr>
                </pic:pic>
              </a:graphicData>
            </a:graphic>
          </wp:inline>
        </w:drawing>
      </w:r>
    </w:p>
    <w:p w:rsidR="00E772DD" w:rsidRPr="00B21441" w:rsidRDefault="00E772DD" w:rsidP="00955FF2">
      <w:pPr>
        <w:pStyle w:val="NormalWeb"/>
        <w:spacing w:before="0" w:beforeAutospacing="0" w:after="240" w:afterAutospacing="0" w:line="360" w:lineRule="auto"/>
        <w:jc w:val="center"/>
        <w:rPr>
          <w:rFonts w:asciiTheme="majorBidi" w:hAnsiTheme="majorBidi" w:cstheme="majorBidi"/>
          <w:color w:val="000000"/>
          <w:lang w:val="fr-FR"/>
        </w:rPr>
      </w:pPr>
      <w:r w:rsidRPr="00955FF2">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004D5FD6" w:rsidRPr="004D5FD6">
        <w:t>Sage. (s.d.). Solutions de gestion pour les entreprises. Sage. https://www.sage.com/fr-fr/</w:t>
      </w:r>
    </w:p>
    <w:p w:rsidR="00E772DD" w:rsidRPr="00F80E3A" w:rsidRDefault="00E772DD" w:rsidP="004D32AC">
      <w:pPr>
        <w:pStyle w:val="Titre3"/>
        <w:numPr>
          <w:ilvl w:val="2"/>
          <w:numId w:val="184"/>
        </w:numPr>
        <w:spacing w:after="0" w:afterAutospacing="0" w:line="360" w:lineRule="auto"/>
        <w:rPr>
          <w:sz w:val="24"/>
          <w:szCs w:val="24"/>
          <w:lang w:val="fr-FR"/>
        </w:rPr>
      </w:pPr>
      <w:bookmarkStart w:id="1294" w:name="_Toc199714405"/>
      <w:bookmarkStart w:id="1295" w:name="_Toc200486685"/>
      <w:bookmarkStart w:id="1296" w:name="_Toc200635461"/>
      <w:bookmarkStart w:id="1297" w:name="_Toc200635849"/>
      <w:bookmarkStart w:id="1298" w:name="_Toc200636238"/>
      <w:bookmarkStart w:id="1299" w:name="_Toc200755975"/>
      <w:r w:rsidRPr="00F80E3A">
        <w:rPr>
          <w:sz w:val="24"/>
          <w:szCs w:val="24"/>
          <w:lang w:val="fr-FR"/>
        </w:rPr>
        <w:t>Newsletters et landing pages : des leviers du marketing digital</w:t>
      </w:r>
      <w:bookmarkEnd w:id="1294"/>
      <w:bookmarkEnd w:id="1295"/>
      <w:bookmarkEnd w:id="1296"/>
      <w:bookmarkEnd w:id="1297"/>
      <w:bookmarkEnd w:id="1298"/>
      <w:bookmarkEnd w:id="1299"/>
    </w:p>
    <w:p w:rsidR="00E772DD" w:rsidRDefault="00E772DD" w:rsidP="002C4BD9">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Les newsletters sont des supports de communication utilisés pour informer et fidéliser les clients par l’envoi de courriers électroniques périodiques. Les landing pages, quant à elles, sont des pages web optimisées pour inciter les visiteurs à entreprendre une action spécifique, comme l’achat d’un produit ou l’inscription à un service.</w:t>
      </w:r>
      <w:r>
        <w:rPr>
          <w:rStyle w:val="Appelnotedebasdep"/>
          <w:rFonts w:cstheme="majorBidi"/>
          <w:color w:val="000000"/>
          <w:lang w:val="fr-FR"/>
        </w:rPr>
        <w:footnoteReference w:id="219"/>
      </w:r>
    </w:p>
    <w:p w:rsidR="00E772DD" w:rsidRPr="00D02018" w:rsidRDefault="00E772DD" w:rsidP="00D02018">
      <w:pPr>
        <w:pStyle w:val="NormalWeb"/>
        <w:spacing w:after="0" w:afterAutospacing="0" w:line="360" w:lineRule="auto"/>
        <w:rPr>
          <w:rFonts w:asciiTheme="majorBidi" w:hAnsiTheme="majorBidi" w:cstheme="majorBidi"/>
          <w:b/>
          <w:bCs/>
          <w:color w:val="000000"/>
          <w:lang w:val="fr-FR"/>
        </w:rPr>
      </w:pPr>
      <w:r w:rsidRPr="00D02018">
        <w:rPr>
          <w:rFonts w:asciiTheme="majorBidi" w:hAnsiTheme="majorBidi" w:cstheme="majorBidi"/>
          <w:b/>
          <w:bCs/>
          <w:color w:val="000000"/>
          <w:lang w:val="fr-FR"/>
        </w:rPr>
        <w:t>Exemple : Airbnb</w:t>
      </w:r>
    </w:p>
    <w:p w:rsidR="00E772DD" w:rsidRDefault="00E772DD" w:rsidP="00D02018">
      <w:pPr>
        <w:pStyle w:val="NormalWeb"/>
        <w:spacing w:before="0" w:beforeAutospacing="0" w:after="0" w:afterAutospacing="0" w:line="360" w:lineRule="auto"/>
        <w:jc w:val="both"/>
        <w:rPr>
          <w:rFonts w:asciiTheme="majorBidi" w:hAnsiTheme="majorBidi" w:cstheme="majorBidi"/>
          <w:color w:val="000000"/>
          <w:lang w:val="fr-FR"/>
        </w:rPr>
      </w:pPr>
      <w:r w:rsidRPr="00D02018">
        <w:rPr>
          <w:rFonts w:asciiTheme="majorBidi" w:hAnsiTheme="majorBidi" w:cstheme="majorBidi"/>
          <w:color w:val="000000"/>
          <w:lang w:val="fr-FR"/>
        </w:rPr>
        <w:t>La plateforme de location de logements Airbnb utilise des newsletters pour informer ses utilisateurs des nouvelles destinations tendance, des offres spéciales et des expériences exclusives. De plus, elle conçoit des pages d’atterrissage (landing pages) optimisées pour encourager les réservations de logements et la découverte d’expériences uniques à travers le monde.</w:t>
      </w:r>
      <w:r>
        <w:rPr>
          <w:rStyle w:val="Appelnotedebasdep"/>
          <w:rFonts w:cstheme="majorBidi"/>
          <w:color w:val="000000"/>
          <w:lang w:val="fr-FR"/>
        </w:rPr>
        <w:footnoteReference w:id="220"/>
      </w:r>
    </w:p>
    <w:p w:rsidR="00E772DD" w:rsidRDefault="00E772DD" w:rsidP="00D02018">
      <w:pPr>
        <w:pStyle w:val="NormalWeb"/>
        <w:spacing w:before="0" w:beforeAutospacing="0" w:after="0" w:afterAutospacing="0" w:line="360" w:lineRule="auto"/>
        <w:jc w:val="both"/>
        <w:rPr>
          <w:rFonts w:asciiTheme="majorBidi" w:hAnsiTheme="majorBidi" w:cstheme="majorBidi"/>
          <w:color w:val="000000"/>
          <w:lang w:val="fr-FR"/>
        </w:rPr>
      </w:pPr>
    </w:p>
    <w:p w:rsidR="00E772DD" w:rsidRPr="00D02018" w:rsidRDefault="00E772DD" w:rsidP="00D02018">
      <w:pPr>
        <w:pStyle w:val="NormalWeb"/>
        <w:spacing w:before="0" w:beforeAutospacing="0" w:after="0" w:afterAutospacing="0" w:line="360" w:lineRule="auto"/>
        <w:jc w:val="center"/>
        <w:rPr>
          <w:rFonts w:asciiTheme="majorBidi" w:hAnsiTheme="majorBidi" w:cstheme="majorBidi"/>
          <w:b/>
          <w:bCs/>
          <w:color w:val="000000"/>
          <w:lang w:val="fr-FR"/>
        </w:rPr>
      </w:pPr>
      <w:r w:rsidRPr="00D02018">
        <w:rPr>
          <w:rFonts w:asciiTheme="majorBidi" w:hAnsiTheme="majorBidi" w:cstheme="majorBidi"/>
          <w:b/>
          <w:bCs/>
          <w:color w:val="000000"/>
          <w:lang w:val="fr-FR"/>
        </w:rPr>
        <w:t>Figure </w:t>
      </w:r>
      <w:r>
        <w:rPr>
          <w:rFonts w:asciiTheme="majorBidi" w:hAnsiTheme="majorBidi" w:cstheme="majorBidi"/>
          <w:b/>
          <w:bCs/>
          <w:color w:val="000000"/>
          <w:lang w:val="fr-FR"/>
        </w:rPr>
        <w:t xml:space="preserve">N°18 </w:t>
      </w:r>
      <w:r w:rsidRPr="00D02018">
        <w:rPr>
          <w:rFonts w:asciiTheme="majorBidi" w:hAnsiTheme="majorBidi" w:cstheme="majorBidi"/>
          <w:b/>
          <w:bCs/>
          <w:color w:val="000000"/>
          <w:lang w:val="fr-FR"/>
        </w:rPr>
        <w:t xml:space="preserve">: </w:t>
      </w:r>
      <w:r w:rsidRPr="009C0BB3">
        <w:rPr>
          <w:rFonts w:asciiTheme="majorBidi" w:hAnsiTheme="majorBidi" w:cstheme="majorBidi"/>
          <w:color w:val="000000"/>
          <w:lang w:val="fr-FR"/>
        </w:rPr>
        <w:t>Airbnb landing page</w:t>
      </w:r>
    </w:p>
    <w:p w:rsidR="00E772DD" w:rsidRDefault="00E772DD" w:rsidP="00D02018">
      <w:pPr>
        <w:pStyle w:val="NormalWeb"/>
        <w:spacing w:before="0" w:beforeAutospacing="0" w:after="0" w:afterAutospacing="0" w:line="360" w:lineRule="auto"/>
        <w:jc w:val="both"/>
        <w:rPr>
          <w:rFonts w:asciiTheme="majorBidi" w:hAnsiTheme="majorBidi" w:cstheme="majorBidi"/>
          <w:color w:val="000000"/>
          <w:lang w:val="fr-FR"/>
        </w:rPr>
      </w:pPr>
      <w:r>
        <w:fldChar w:fldCharType="begin"/>
      </w:r>
      <w:r>
        <w:instrText xml:space="preserve"> INCLUDEPICTURE "/Users/misha/Library/Group Containers/UBF8T346G9.ms/WebArchiveCopyPasteTempFiles/com.microsoft.Word/original-5a39008ac49ea0d9c0f8b399e8919c9c.png" \* MERGEFORMATINET </w:instrText>
      </w:r>
      <w:r>
        <w:fldChar w:fldCharType="separate"/>
      </w:r>
      <w:r>
        <w:rPr>
          <w:noProof/>
        </w:rPr>
        <w:drawing>
          <wp:inline distT="0" distB="0" distL="0" distR="0">
            <wp:extent cx="5727700" cy="4295775"/>
            <wp:effectExtent l="0" t="0" r="0" b="0"/>
            <wp:docPr id="1730122704" name="Picture 5" descr="Airbnb Landing Page by Vicente Latag Jr on Drib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irbnb Landing Page by Vicente Latag Jr on Dribbble"/>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27700" cy="4295775"/>
                    </a:xfrm>
                    <a:prstGeom prst="rect">
                      <a:avLst/>
                    </a:prstGeom>
                    <a:noFill/>
                    <a:ln>
                      <a:noFill/>
                    </a:ln>
                  </pic:spPr>
                </pic:pic>
              </a:graphicData>
            </a:graphic>
          </wp:inline>
        </w:drawing>
      </w:r>
      <w:r>
        <w:fldChar w:fldCharType="end"/>
      </w:r>
    </w:p>
    <w:p w:rsidR="00E772DD" w:rsidRPr="004D5FD6" w:rsidRDefault="00E772DD" w:rsidP="004D5FD6">
      <w:pPr>
        <w:pStyle w:val="NormalWeb"/>
        <w:spacing w:before="0" w:beforeAutospacing="0" w:after="240" w:afterAutospacing="0" w:line="360" w:lineRule="auto"/>
        <w:jc w:val="center"/>
        <w:rPr>
          <w:lang w:val="en-US"/>
        </w:rPr>
      </w:pPr>
      <w:r w:rsidRPr="008A5941">
        <w:rPr>
          <w:rFonts w:asciiTheme="majorBidi" w:hAnsiTheme="majorBidi" w:cstheme="majorBidi"/>
          <w:b/>
          <w:bCs/>
          <w:color w:val="000000"/>
          <w:lang w:val="en-US"/>
        </w:rPr>
        <w:t xml:space="preserve">Source : </w:t>
      </w:r>
      <w:bookmarkStart w:id="1300" w:name="_Toc199714406"/>
      <w:r w:rsidR="004D5FD6" w:rsidRPr="004D5FD6">
        <w:t>Truong, T. (2019). Airbnb landing page [Design]. Dribbble. https://dribbble.com/shots/9179047-Airbnb-Landing-</w:t>
      </w:r>
      <w:bookmarkEnd w:id="1300"/>
      <w:r w:rsidR="004D5FD6">
        <w:rPr>
          <w:lang w:val="en-US"/>
        </w:rPr>
        <w:t>Page</w:t>
      </w:r>
    </w:p>
    <w:p w:rsidR="00E772DD" w:rsidRDefault="00E772DD" w:rsidP="002C4BD9">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Le BPM désigne un ensemble de techniques et d’outils permettant d’analyser, de modéliser et d’automatiser les processus internes d’une organisation. Son objectif est d’améliorer la productivité, de réduire les coûts et d’assurer une meilleure coordination entre les équipes.</w:t>
      </w:r>
      <w:r>
        <w:rPr>
          <w:rStyle w:val="Appelnotedebasdep"/>
          <w:rFonts w:cstheme="majorBidi"/>
          <w:color w:val="000000"/>
          <w:lang w:val="fr-FR"/>
        </w:rPr>
        <w:footnoteReference w:id="221"/>
      </w:r>
    </w:p>
    <w:p w:rsidR="00E772DD" w:rsidRPr="005B2A02" w:rsidRDefault="00E772DD" w:rsidP="00465EE4">
      <w:pPr>
        <w:pStyle w:val="NormalWeb"/>
        <w:spacing w:after="0" w:afterAutospacing="0" w:line="360" w:lineRule="auto"/>
        <w:rPr>
          <w:rStyle w:val="lev"/>
          <w:color w:val="000000"/>
          <w:lang w:val="fr-FR"/>
        </w:rPr>
      </w:pPr>
      <w:r w:rsidRPr="005B2A02">
        <w:rPr>
          <w:rStyle w:val="lev"/>
          <w:color w:val="000000"/>
          <w:lang w:val="fr-FR"/>
        </w:rPr>
        <w:t>Exemple : IBM Process Mining</w:t>
      </w:r>
    </w:p>
    <w:p w:rsidR="00E772DD" w:rsidRDefault="00E772DD" w:rsidP="0057723C">
      <w:pPr>
        <w:pStyle w:val="NormalWeb"/>
        <w:spacing w:before="0" w:beforeAutospacing="0" w:after="240" w:afterAutospacing="0" w:line="360" w:lineRule="auto"/>
        <w:jc w:val="both"/>
        <w:rPr>
          <w:rStyle w:val="lev"/>
          <w:b w:val="0"/>
          <w:bCs w:val="0"/>
          <w:color w:val="000000"/>
          <w:lang w:val="fr-FR"/>
        </w:rPr>
      </w:pPr>
      <w:r w:rsidRPr="005B2A02">
        <w:rPr>
          <w:rStyle w:val="lev"/>
          <w:b w:val="0"/>
          <w:bCs w:val="0"/>
          <w:color w:val="000000"/>
          <w:lang w:val="fr-FR"/>
        </w:rPr>
        <w:t>IBM propose des solutions de BPM, comme IBM Process Mining, permettant aux entreprises d’automatiser et d’optimiser leurs processus métier.</w:t>
      </w:r>
      <w:r>
        <w:rPr>
          <w:rStyle w:val="Appelnotedebasdep"/>
          <w:color w:val="000000"/>
        </w:rPr>
        <w:footnoteReference w:id="222"/>
      </w:r>
    </w:p>
    <w:p w:rsidR="00F80E3A" w:rsidRPr="005B2A02" w:rsidRDefault="00F80E3A" w:rsidP="0057723C">
      <w:pPr>
        <w:pStyle w:val="NormalWeb"/>
        <w:spacing w:before="0" w:beforeAutospacing="0" w:after="240" w:afterAutospacing="0" w:line="360" w:lineRule="auto"/>
        <w:jc w:val="both"/>
        <w:rPr>
          <w:rStyle w:val="lev"/>
          <w:b w:val="0"/>
          <w:bCs w:val="0"/>
          <w:color w:val="000000"/>
          <w:lang w:val="fr-FR"/>
        </w:rPr>
      </w:pPr>
    </w:p>
    <w:p w:rsidR="00E772DD" w:rsidRPr="004D17FE" w:rsidRDefault="00E772DD" w:rsidP="00465EE4">
      <w:pPr>
        <w:pStyle w:val="NormalWeb"/>
        <w:spacing w:before="0" w:beforeAutospacing="0" w:after="240" w:afterAutospacing="0" w:line="360" w:lineRule="auto"/>
        <w:jc w:val="center"/>
        <w:rPr>
          <w:b/>
          <w:bCs/>
          <w:color w:val="000000"/>
        </w:rPr>
      </w:pPr>
      <w:r w:rsidRPr="00465EE4">
        <w:rPr>
          <w:rStyle w:val="lev"/>
          <w:color w:val="000000"/>
        </w:rPr>
        <w:lastRenderedPageBreak/>
        <w:t xml:space="preserve">Figure </w:t>
      </w:r>
      <w:r>
        <w:rPr>
          <w:rStyle w:val="lev"/>
          <w:color w:val="000000"/>
        </w:rPr>
        <w:t xml:space="preserve">N°19 </w:t>
      </w:r>
      <w:r w:rsidRPr="00465EE4">
        <w:rPr>
          <w:rStyle w:val="lev"/>
          <w:color w:val="000000"/>
        </w:rPr>
        <w:t>:</w:t>
      </w:r>
      <w:r>
        <w:rPr>
          <w:rStyle w:val="lev"/>
          <w:b w:val="0"/>
          <w:bCs w:val="0"/>
          <w:color w:val="000000"/>
        </w:rPr>
        <w:t xml:space="preserve"> </w:t>
      </w:r>
      <w:r w:rsidRPr="004D17FE">
        <w:rPr>
          <w:rStyle w:val="lev"/>
          <w:b w:val="0"/>
          <w:bCs w:val="0"/>
          <w:color w:val="000000"/>
        </w:rPr>
        <w:t>IBM Process Mining</w:t>
      </w:r>
    </w:p>
    <w:p w:rsidR="00E772DD" w:rsidRDefault="00E772DD" w:rsidP="00465EE4">
      <w:pPr>
        <w:pStyle w:val="NormalWeb"/>
        <w:spacing w:before="0" w:beforeAutospacing="0" w:after="240" w:afterAutospacing="0" w:line="360" w:lineRule="auto"/>
        <w:jc w:val="both"/>
      </w:pPr>
      <w:r>
        <w:fldChar w:fldCharType="begin"/>
      </w:r>
      <w:r>
        <w:instrText xml:space="preserve"> INCLUDEPICTURE "https://higherlogicdownload.s3.amazonaws.com/IMWUC/UploadedImages/JvDdKNKHTdCrS9vHZlvh_IBM%20Process%20Mining%20Unveil%20the%20root%20causes%20of%20process%20compliance%20and%20performance%20issues.jpeg" \* MERGEFORMATINET </w:instrText>
      </w:r>
      <w:r>
        <w:fldChar w:fldCharType="separate"/>
      </w:r>
      <w:r>
        <w:rPr>
          <w:noProof/>
        </w:rPr>
        <w:drawing>
          <wp:inline distT="0" distB="0" distL="0" distR="0">
            <wp:extent cx="5727700" cy="3218180"/>
            <wp:effectExtent l="0" t="0" r="0" b="0"/>
            <wp:docPr id="1283758974" name="Picture 7" descr="IBM Process Mining screenshot of model conformance with reference model deviations and root ca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BM Process Mining screenshot of model conformance with reference model deviations and root causes"/>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27700" cy="3218180"/>
                    </a:xfrm>
                    <a:prstGeom prst="rect">
                      <a:avLst/>
                    </a:prstGeom>
                    <a:noFill/>
                    <a:ln>
                      <a:noFill/>
                    </a:ln>
                  </pic:spPr>
                </pic:pic>
              </a:graphicData>
            </a:graphic>
          </wp:inline>
        </w:drawing>
      </w:r>
      <w:r>
        <w:fldChar w:fldCharType="end"/>
      </w:r>
    </w:p>
    <w:p w:rsidR="00E772DD" w:rsidRPr="004D5FD6" w:rsidRDefault="00E772DD" w:rsidP="004D5FD6">
      <w:pPr>
        <w:jc w:val="center"/>
        <w:rPr>
          <w:rStyle w:val="lev"/>
          <w:b w:val="0"/>
          <w:bCs w:val="0"/>
        </w:rPr>
      </w:pPr>
      <w:r w:rsidRPr="005B2A02">
        <w:rPr>
          <w:b/>
          <w:bCs/>
          <w:lang w:val="fr-FR"/>
        </w:rPr>
        <w:t xml:space="preserve">Source : </w:t>
      </w:r>
      <w:r w:rsidR="004D5FD6" w:rsidRPr="004D5FD6">
        <w:t>Liem, S. K. Y. (7 décembre 2021). New IBM Process Mining as a Service trial. IBM Community. https://community.ibm.com/community/user/automation/blogs/sophie-kim-yen-liem/2021/12/07/new-ibm-process-mining-as-a-service-trial</w:t>
      </w:r>
    </w:p>
    <w:p w:rsidR="00E772DD" w:rsidRPr="00F80E3A" w:rsidRDefault="00E772DD" w:rsidP="004D32AC">
      <w:pPr>
        <w:pStyle w:val="Titre3"/>
        <w:numPr>
          <w:ilvl w:val="2"/>
          <w:numId w:val="184"/>
        </w:numPr>
        <w:spacing w:after="0" w:afterAutospacing="0" w:line="360" w:lineRule="auto"/>
        <w:rPr>
          <w:sz w:val="24"/>
          <w:szCs w:val="24"/>
          <w:lang w:val="fr-FR"/>
        </w:rPr>
      </w:pPr>
      <w:bookmarkStart w:id="1301" w:name="_Toc199714407"/>
      <w:bookmarkStart w:id="1302" w:name="_Toc200486686"/>
      <w:bookmarkStart w:id="1303" w:name="_Toc200635462"/>
      <w:bookmarkStart w:id="1304" w:name="_Toc200635850"/>
      <w:bookmarkStart w:id="1305" w:name="_Toc200636239"/>
      <w:bookmarkStart w:id="1306" w:name="_Toc200755976"/>
      <w:r w:rsidRPr="00F80E3A">
        <w:rPr>
          <w:sz w:val="24"/>
          <w:szCs w:val="24"/>
          <w:lang w:val="fr-FR"/>
        </w:rPr>
        <w:t xml:space="preserve">Le </w:t>
      </w:r>
      <w:r w:rsidR="00F80E3A">
        <w:rPr>
          <w:sz w:val="24"/>
          <w:szCs w:val="24"/>
          <w:lang w:val="fr-FR"/>
        </w:rPr>
        <w:t>m</w:t>
      </w:r>
      <w:r w:rsidRPr="00F80E3A">
        <w:rPr>
          <w:sz w:val="24"/>
          <w:szCs w:val="24"/>
          <w:lang w:val="fr-FR"/>
        </w:rPr>
        <w:t xml:space="preserve">arketing </w:t>
      </w:r>
      <w:r w:rsidR="00F80E3A">
        <w:rPr>
          <w:sz w:val="24"/>
          <w:szCs w:val="24"/>
          <w:lang w:val="fr-FR"/>
        </w:rPr>
        <w:t>a</w:t>
      </w:r>
      <w:r w:rsidRPr="00F80E3A">
        <w:rPr>
          <w:sz w:val="24"/>
          <w:szCs w:val="24"/>
          <w:lang w:val="fr-FR"/>
        </w:rPr>
        <w:t>utomation : l’automatisation des stratégies commerciales</w:t>
      </w:r>
      <w:bookmarkEnd w:id="1301"/>
      <w:bookmarkEnd w:id="1302"/>
      <w:bookmarkEnd w:id="1303"/>
      <w:bookmarkEnd w:id="1304"/>
      <w:bookmarkEnd w:id="1305"/>
      <w:bookmarkEnd w:id="1306"/>
    </w:p>
    <w:p w:rsidR="00E772DD" w:rsidRDefault="00E772DD" w:rsidP="002C4BD9">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Le marketing automation repose sur l’utilisation de logiciels permettant d’automatiser les campagnes marketing. Il englobe des actions telles que l’envoi ciblé d’e-mails, l’analyse du comportement des clients et l’optimisation des parcours d’achat, afin d’accroître l’efficacité des actions commerciales.</w:t>
      </w:r>
      <w:r>
        <w:rPr>
          <w:rStyle w:val="Appelnotedebasdep"/>
          <w:rFonts w:cstheme="majorBidi"/>
          <w:color w:val="000000"/>
          <w:lang w:val="fr-FR"/>
        </w:rPr>
        <w:footnoteReference w:id="223"/>
      </w:r>
    </w:p>
    <w:p w:rsidR="00E772DD" w:rsidRPr="00465EE4" w:rsidRDefault="00E772DD" w:rsidP="00465EE4">
      <w:pPr>
        <w:pStyle w:val="NormalWeb"/>
        <w:spacing w:before="0" w:beforeAutospacing="0" w:after="0" w:afterAutospacing="0" w:line="360" w:lineRule="auto"/>
        <w:rPr>
          <w:rFonts w:asciiTheme="majorBidi" w:hAnsiTheme="majorBidi" w:cstheme="majorBidi"/>
          <w:b/>
          <w:bCs/>
          <w:color w:val="000000"/>
          <w:lang w:val="fr-FR"/>
        </w:rPr>
      </w:pPr>
      <w:r w:rsidRPr="00465EE4">
        <w:rPr>
          <w:rFonts w:asciiTheme="majorBidi" w:hAnsiTheme="majorBidi" w:cstheme="majorBidi"/>
          <w:b/>
          <w:bCs/>
          <w:color w:val="000000"/>
          <w:lang w:val="fr-FR"/>
        </w:rPr>
        <w:t>Exemple : HubSpot</w:t>
      </w:r>
    </w:p>
    <w:p w:rsidR="00E772DD" w:rsidRDefault="00E772DD" w:rsidP="00465EE4">
      <w:pPr>
        <w:pStyle w:val="NormalWeb"/>
        <w:spacing w:before="0" w:beforeAutospacing="0" w:after="240" w:afterAutospacing="0" w:line="360" w:lineRule="auto"/>
        <w:jc w:val="both"/>
        <w:rPr>
          <w:rFonts w:asciiTheme="majorBidi" w:hAnsiTheme="majorBidi" w:cstheme="majorBidi"/>
          <w:color w:val="000000"/>
          <w:lang w:val="fr-FR"/>
        </w:rPr>
      </w:pPr>
      <w:r w:rsidRPr="00465EE4">
        <w:rPr>
          <w:rFonts w:asciiTheme="majorBidi" w:hAnsiTheme="majorBidi" w:cstheme="majorBidi"/>
          <w:color w:val="000000"/>
          <w:lang w:val="fr-FR"/>
        </w:rPr>
        <w:t>HubSpot est une plateforme spécialisée dans l’automatisation des campagnes marketing. Elle permet aux entreprises d’envoyer des courriels ciblés, de suivre les interactions des clients et d’optimiser les stratégies de conversion en fonction des analyses comportementales.</w:t>
      </w:r>
      <w:r>
        <w:rPr>
          <w:rStyle w:val="Appelnotedebasdep"/>
          <w:rFonts w:cstheme="majorBidi"/>
          <w:color w:val="000000"/>
          <w:lang w:val="fr-FR"/>
        </w:rPr>
        <w:footnoteReference w:id="224"/>
      </w:r>
    </w:p>
    <w:p w:rsidR="00F80E3A" w:rsidRDefault="00F80E3A" w:rsidP="00465EE4">
      <w:pPr>
        <w:pStyle w:val="NormalWeb"/>
        <w:spacing w:before="0" w:beforeAutospacing="0" w:after="240" w:afterAutospacing="0" w:line="360" w:lineRule="auto"/>
        <w:jc w:val="both"/>
        <w:rPr>
          <w:rFonts w:asciiTheme="majorBidi" w:hAnsiTheme="majorBidi" w:cstheme="majorBidi"/>
          <w:color w:val="000000"/>
          <w:lang w:val="fr-FR"/>
        </w:rPr>
      </w:pPr>
    </w:p>
    <w:p w:rsidR="00F80E3A" w:rsidRPr="00B21441" w:rsidRDefault="00F80E3A" w:rsidP="00465EE4">
      <w:pPr>
        <w:pStyle w:val="NormalWeb"/>
        <w:spacing w:before="0" w:beforeAutospacing="0" w:after="240" w:afterAutospacing="0" w:line="360" w:lineRule="auto"/>
        <w:jc w:val="both"/>
        <w:rPr>
          <w:rFonts w:asciiTheme="majorBidi" w:hAnsiTheme="majorBidi" w:cstheme="majorBidi"/>
          <w:color w:val="000000"/>
          <w:lang w:val="fr-FR"/>
        </w:rPr>
      </w:pPr>
    </w:p>
    <w:p w:rsidR="00E772DD" w:rsidRPr="00F80E3A" w:rsidRDefault="00E772DD" w:rsidP="004D32AC">
      <w:pPr>
        <w:pStyle w:val="Titre3"/>
        <w:numPr>
          <w:ilvl w:val="2"/>
          <w:numId w:val="184"/>
        </w:numPr>
        <w:rPr>
          <w:sz w:val="24"/>
          <w:szCs w:val="24"/>
          <w:lang w:val="fr-FR"/>
        </w:rPr>
      </w:pPr>
      <w:bookmarkStart w:id="1307" w:name="_Toc199714408"/>
      <w:bookmarkStart w:id="1308" w:name="_Toc200486687"/>
      <w:bookmarkStart w:id="1309" w:name="_Toc200635463"/>
      <w:bookmarkStart w:id="1310" w:name="_Toc200635851"/>
      <w:bookmarkStart w:id="1311" w:name="_Toc200636240"/>
      <w:bookmarkStart w:id="1312" w:name="_Toc200755977"/>
      <w:r w:rsidRPr="00F80E3A">
        <w:rPr>
          <w:sz w:val="24"/>
          <w:szCs w:val="24"/>
          <w:lang w:val="fr-FR"/>
        </w:rPr>
        <w:lastRenderedPageBreak/>
        <w:t>L’intranet et la GED : outils de communication et de gestion documentaire</w:t>
      </w:r>
      <w:bookmarkEnd w:id="1307"/>
      <w:bookmarkEnd w:id="1308"/>
      <w:bookmarkEnd w:id="1309"/>
      <w:bookmarkEnd w:id="1310"/>
      <w:bookmarkEnd w:id="1311"/>
      <w:bookmarkEnd w:id="1312"/>
    </w:p>
    <w:p w:rsidR="00E772DD" w:rsidRDefault="00E772DD" w:rsidP="002C4BD9">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L’intranet est un réseau interne facilitant l’accès à l’information et le partage de ressources entre collaborateurs. La gestion électronique des documents (GED) vise à numériser, archiver et organiser les fichiers numériques pour améliorer leur accessibilité et garantir la traçabilité des documents.</w:t>
      </w:r>
      <w:r>
        <w:rPr>
          <w:rStyle w:val="Appelnotedebasdep"/>
          <w:rFonts w:cstheme="majorBidi"/>
          <w:color w:val="000000"/>
          <w:lang w:val="fr-FR"/>
        </w:rPr>
        <w:footnoteReference w:id="225"/>
      </w:r>
    </w:p>
    <w:p w:rsidR="00E772DD" w:rsidRPr="00465EE4" w:rsidRDefault="00E772DD" w:rsidP="00465EE4">
      <w:pPr>
        <w:pStyle w:val="NormalWeb"/>
        <w:spacing w:after="0" w:afterAutospacing="0" w:line="360" w:lineRule="auto"/>
        <w:rPr>
          <w:rFonts w:asciiTheme="majorBidi" w:hAnsiTheme="majorBidi" w:cstheme="majorBidi"/>
          <w:b/>
          <w:bCs/>
          <w:color w:val="000000"/>
          <w:lang w:val="fr-FR"/>
        </w:rPr>
      </w:pPr>
      <w:r w:rsidRPr="00465EE4">
        <w:rPr>
          <w:rFonts w:asciiTheme="majorBidi" w:hAnsiTheme="majorBidi" w:cstheme="majorBidi"/>
          <w:b/>
          <w:bCs/>
          <w:color w:val="000000"/>
          <w:lang w:val="fr-FR"/>
        </w:rPr>
        <w:t>Exemple : Microsoft SharePoint</w:t>
      </w:r>
    </w:p>
    <w:p w:rsidR="00626FDA" w:rsidRDefault="00E772DD" w:rsidP="00F80E3A">
      <w:pPr>
        <w:pStyle w:val="NormalWeb"/>
        <w:spacing w:before="0" w:beforeAutospacing="0" w:after="240" w:afterAutospacing="0" w:line="360" w:lineRule="auto"/>
        <w:jc w:val="both"/>
        <w:rPr>
          <w:rFonts w:asciiTheme="majorBidi" w:hAnsiTheme="majorBidi" w:cstheme="majorBidi"/>
          <w:color w:val="000000"/>
          <w:lang w:val="fr-FR"/>
        </w:rPr>
      </w:pPr>
      <w:r w:rsidRPr="00465EE4">
        <w:rPr>
          <w:rFonts w:asciiTheme="majorBidi" w:hAnsiTheme="majorBidi" w:cstheme="majorBidi"/>
          <w:color w:val="000000"/>
          <w:lang w:val="fr-FR"/>
        </w:rPr>
        <w:t>Microsoft SharePoint est une solution intranet largement utilisée pour améliorer la collaboration interne des entreprises. Elle permet de centraliser les documents, d’assurer leur gestion électronique et de faciliter le partage d’informations entre employés.</w:t>
      </w:r>
      <w:r>
        <w:rPr>
          <w:rStyle w:val="Appelnotedebasdep"/>
          <w:rFonts w:cstheme="majorBidi"/>
          <w:color w:val="000000"/>
          <w:lang w:val="fr-FR"/>
        </w:rPr>
        <w:footnoteReference w:id="226"/>
      </w:r>
    </w:p>
    <w:p w:rsidR="00E772DD" w:rsidRPr="00D26A16" w:rsidRDefault="00E772DD" w:rsidP="00D26A16">
      <w:pPr>
        <w:pStyle w:val="NormalWeb"/>
        <w:spacing w:before="0" w:beforeAutospacing="0" w:after="240" w:afterAutospacing="0" w:line="360" w:lineRule="auto"/>
        <w:jc w:val="center"/>
        <w:rPr>
          <w:rFonts w:asciiTheme="majorBidi" w:hAnsiTheme="majorBidi" w:cstheme="majorBidi"/>
          <w:b/>
          <w:bCs/>
          <w:color w:val="000000"/>
          <w:lang w:val="fr-FR"/>
        </w:rPr>
      </w:pPr>
      <w:r w:rsidRPr="00D26A16">
        <w:rPr>
          <w:rFonts w:asciiTheme="majorBidi" w:hAnsiTheme="majorBidi" w:cstheme="majorBidi"/>
          <w:b/>
          <w:bCs/>
          <w:color w:val="000000"/>
          <w:lang w:val="fr-FR"/>
        </w:rPr>
        <w:t>Figure </w:t>
      </w:r>
      <w:r>
        <w:rPr>
          <w:rFonts w:asciiTheme="majorBidi" w:hAnsiTheme="majorBidi" w:cstheme="majorBidi"/>
          <w:b/>
          <w:bCs/>
          <w:color w:val="000000"/>
          <w:lang w:val="fr-FR"/>
        </w:rPr>
        <w:t xml:space="preserve">N°20 </w:t>
      </w:r>
      <w:r w:rsidRPr="00D26A16">
        <w:rPr>
          <w:rFonts w:asciiTheme="majorBidi" w:hAnsiTheme="majorBidi" w:cstheme="majorBidi"/>
          <w:b/>
          <w:bCs/>
          <w:color w:val="000000"/>
          <w:lang w:val="fr-FR"/>
        </w:rPr>
        <w:t xml:space="preserve">: </w:t>
      </w:r>
      <w:r w:rsidRPr="004D17FE">
        <w:rPr>
          <w:rFonts w:asciiTheme="majorBidi" w:hAnsiTheme="majorBidi" w:cstheme="majorBidi"/>
          <w:color w:val="000000"/>
          <w:lang w:val="fr-FR"/>
        </w:rPr>
        <w:t>Microsoft SharePoint : la collaboration et la gestion documentaire simplifiées</w:t>
      </w:r>
    </w:p>
    <w:p w:rsidR="00E772DD" w:rsidRDefault="00E772DD" w:rsidP="00465EE4">
      <w:pPr>
        <w:pStyle w:val="NormalWeb"/>
        <w:spacing w:before="0" w:beforeAutospacing="0" w:after="240" w:afterAutospacing="0" w:line="360" w:lineRule="auto"/>
        <w:jc w:val="both"/>
        <w:rPr>
          <w:rFonts w:asciiTheme="majorBidi" w:hAnsiTheme="majorBidi" w:cstheme="majorBidi"/>
          <w:color w:val="000000"/>
          <w:lang w:val="fr-FR"/>
        </w:rPr>
      </w:pPr>
      <w:r>
        <w:rPr>
          <w:rFonts w:asciiTheme="majorBidi" w:hAnsiTheme="majorBidi" w:cstheme="majorBidi"/>
          <w:noProof/>
          <w:color w:val="000000"/>
          <w:lang w:val="fr-FR"/>
          <w14:ligatures w14:val="standardContextual"/>
        </w:rPr>
        <w:drawing>
          <wp:inline distT="0" distB="0" distL="0" distR="0">
            <wp:extent cx="5727700" cy="3275965"/>
            <wp:effectExtent l="0" t="0" r="0" b="4445"/>
            <wp:docPr id="1500837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3715" name="Picture 150083715"/>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27700" cy="3275965"/>
                    </a:xfrm>
                    <a:prstGeom prst="rect">
                      <a:avLst/>
                    </a:prstGeom>
                  </pic:spPr>
                </pic:pic>
              </a:graphicData>
            </a:graphic>
          </wp:inline>
        </w:drawing>
      </w:r>
    </w:p>
    <w:p w:rsidR="005D7C22" w:rsidRPr="00B21441" w:rsidRDefault="00E772DD" w:rsidP="003B5837">
      <w:pPr>
        <w:pStyle w:val="NormalWeb"/>
        <w:spacing w:before="0" w:beforeAutospacing="0" w:after="240" w:afterAutospacing="0" w:line="360" w:lineRule="auto"/>
        <w:jc w:val="center"/>
        <w:rPr>
          <w:rFonts w:asciiTheme="majorBidi" w:hAnsiTheme="majorBidi" w:cstheme="majorBidi"/>
          <w:color w:val="000000"/>
          <w:lang w:val="fr-FR"/>
        </w:rPr>
      </w:pPr>
      <w:r w:rsidRPr="00D26A16">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004D5FD6" w:rsidRPr="004D5FD6">
        <w:t>Microsoft. (4 mai 2016). Microsoft réinvente la productivité et les processus métiers avec SharePoint 2016 et OneDrive. Microsoft France. https://news.microsoft.com/fr-fr/2016/05/04/microsoft-reinvente-la-productivite-et-les-processus-metiers-avec-sharepoint-2016-et-onedrive/sharepoint-home-page-with-activity-zoomed-out-for-more-cards/</w:t>
      </w:r>
    </w:p>
    <w:p w:rsidR="00E772DD" w:rsidRPr="00F80E3A" w:rsidRDefault="00E772DD" w:rsidP="004D32AC">
      <w:pPr>
        <w:pStyle w:val="Titre3"/>
        <w:numPr>
          <w:ilvl w:val="2"/>
          <w:numId w:val="184"/>
        </w:numPr>
        <w:spacing w:after="0" w:afterAutospacing="0" w:line="360" w:lineRule="auto"/>
        <w:rPr>
          <w:sz w:val="24"/>
          <w:szCs w:val="24"/>
          <w:lang w:val="fr-FR"/>
        </w:rPr>
      </w:pPr>
      <w:bookmarkStart w:id="1313" w:name="_Toc199714409"/>
      <w:bookmarkStart w:id="1314" w:name="_Toc200486688"/>
      <w:bookmarkStart w:id="1315" w:name="_Toc200635464"/>
      <w:bookmarkStart w:id="1316" w:name="_Toc200635852"/>
      <w:bookmarkStart w:id="1317" w:name="_Toc200636241"/>
      <w:bookmarkStart w:id="1318" w:name="_Toc200755978"/>
      <w:r w:rsidRPr="00F80E3A">
        <w:rPr>
          <w:sz w:val="24"/>
          <w:szCs w:val="24"/>
          <w:lang w:val="fr-FR"/>
        </w:rPr>
        <w:lastRenderedPageBreak/>
        <w:t>Les logiciels sur mesure : des outils adaptés aux exigences de l’entreprise</w:t>
      </w:r>
      <w:bookmarkEnd w:id="1313"/>
      <w:bookmarkEnd w:id="1314"/>
      <w:bookmarkEnd w:id="1315"/>
      <w:bookmarkEnd w:id="1316"/>
      <w:bookmarkEnd w:id="1317"/>
      <w:bookmarkEnd w:id="1318"/>
      <w:r w:rsidRPr="00F80E3A">
        <w:rPr>
          <w:sz w:val="24"/>
          <w:szCs w:val="24"/>
          <w:lang w:val="fr-FR"/>
        </w:rPr>
        <w:t xml:space="preserve">  </w:t>
      </w:r>
    </w:p>
    <w:p w:rsidR="00E772DD" w:rsidRDefault="00E772DD" w:rsidP="00D26A16">
      <w:pPr>
        <w:pStyle w:val="NormalWeb"/>
        <w:spacing w:before="0" w:beforeAutospacing="0" w:after="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Les logiciels spécifiques sont développés selon les besoins propres à une entreprise. Contrairement aux solutions standardisées, ils s’intègrent parfaitement aux processus internes et offrent une flexibilité accrue pour répondre aux enjeux stratégiques.</w:t>
      </w:r>
      <w:r>
        <w:rPr>
          <w:rStyle w:val="Appelnotedebasdep"/>
          <w:rFonts w:cstheme="majorBidi"/>
          <w:color w:val="000000"/>
          <w:lang w:val="fr-FR"/>
        </w:rPr>
        <w:footnoteReference w:id="227"/>
      </w:r>
    </w:p>
    <w:p w:rsidR="00E772DD" w:rsidRPr="000709E5" w:rsidRDefault="00E772DD" w:rsidP="000709E5">
      <w:pPr>
        <w:pStyle w:val="NormalWeb"/>
        <w:spacing w:after="0" w:afterAutospacing="0" w:line="360" w:lineRule="auto"/>
        <w:rPr>
          <w:rFonts w:asciiTheme="majorBidi" w:hAnsiTheme="majorBidi" w:cstheme="majorBidi"/>
          <w:b/>
          <w:bCs/>
          <w:color w:val="000000"/>
          <w:lang w:val="fr-FR"/>
        </w:rPr>
      </w:pPr>
      <w:r w:rsidRPr="000709E5">
        <w:rPr>
          <w:rFonts w:asciiTheme="majorBidi" w:hAnsiTheme="majorBidi" w:cstheme="majorBidi"/>
          <w:b/>
          <w:bCs/>
          <w:color w:val="000000"/>
          <w:lang w:val="fr-FR"/>
        </w:rPr>
        <w:t>Exemple : Odoo ERP</w:t>
      </w:r>
    </w:p>
    <w:p w:rsidR="00E772DD" w:rsidRPr="000709E5" w:rsidRDefault="00E772DD" w:rsidP="000709E5">
      <w:pPr>
        <w:pStyle w:val="NormalWeb"/>
        <w:spacing w:before="0" w:beforeAutospacing="0" w:after="240" w:afterAutospacing="0" w:line="360" w:lineRule="auto"/>
        <w:jc w:val="both"/>
        <w:rPr>
          <w:rFonts w:asciiTheme="majorBidi" w:hAnsiTheme="majorBidi" w:cstheme="majorBidi"/>
          <w:color w:val="000000"/>
          <w:lang w:val="fr-FR"/>
        </w:rPr>
      </w:pPr>
      <w:r w:rsidRPr="000709E5">
        <w:rPr>
          <w:rFonts w:asciiTheme="majorBidi" w:hAnsiTheme="majorBidi" w:cstheme="majorBidi"/>
          <w:color w:val="000000"/>
          <w:lang w:val="fr-FR"/>
        </w:rPr>
        <w:t>Odoo est une solution ERP (Enterprise Resource Planning) open source qui offre une gamme de modules personnalisables pour la gestion des entreprises. Elle permet aux organisations d’adapter leurs logiciels aux besoins spécifiques de leurs activités.</w:t>
      </w:r>
      <w:r>
        <w:rPr>
          <w:rStyle w:val="Appelnotedebasdep"/>
          <w:rFonts w:cstheme="majorBidi"/>
          <w:color w:val="000000"/>
          <w:lang w:val="fr-FR"/>
        </w:rPr>
        <w:footnoteReference w:id="228"/>
      </w:r>
    </w:p>
    <w:p w:rsidR="00E772DD" w:rsidRPr="00F80E3A" w:rsidRDefault="00E772DD" w:rsidP="004D32AC">
      <w:pPr>
        <w:pStyle w:val="Titre3"/>
        <w:numPr>
          <w:ilvl w:val="2"/>
          <w:numId w:val="184"/>
        </w:numPr>
        <w:spacing w:after="0" w:afterAutospacing="0" w:line="360" w:lineRule="auto"/>
        <w:rPr>
          <w:sz w:val="24"/>
          <w:szCs w:val="24"/>
          <w:lang w:val="fr-FR"/>
        </w:rPr>
      </w:pPr>
      <w:bookmarkStart w:id="1319" w:name="_Toc199714410"/>
      <w:bookmarkStart w:id="1320" w:name="_Toc200486689"/>
      <w:bookmarkStart w:id="1321" w:name="_Toc200635465"/>
      <w:bookmarkStart w:id="1322" w:name="_Toc200635853"/>
      <w:bookmarkStart w:id="1323" w:name="_Toc200636242"/>
      <w:bookmarkStart w:id="1324" w:name="_Toc200755979"/>
      <w:r w:rsidRPr="00F80E3A">
        <w:rPr>
          <w:sz w:val="24"/>
          <w:szCs w:val="24"/>
          <w:lang w:val="fr-FR"/>
        </w:rPr>
        <w:t>L’intelligence artificielle : un levier d’innovation et d’automatisation</w:t>
      </w:r>
      <w:bookmarkEnd w:id="1319"/>
      <w:bookmarkEnd w:id="1320"/>
      <w:bookmarkEnd w:id="1321"/>
      <w:bookmarkEnd w:id="1322"/>
      <w:bookmarkEnd w:id="1323"/>
      <w:bookmarkEnd w:id="1324"/>
    </w:p>
    <w:p w:rsidR="00E772DD" w:rsidRDefault="00E772DD" w:rsidP="005D324A">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L’intelligence artificielle regroupe diverses technologies capables d’exécuter des tâches habituellement réservées aux humains, comme l’analyse de données, la reconnaissance vocale et la prise de décision automatisée. Elle s’applique à de nombreux secteurs, notamment la finance, la santé et le marketing.</w:t>
      </w:r>
      <w:r>
        <w:rPr>
          <w:rStyle w:val="Appelnotedebasdep"/>
          <w:rFonts w:cstheme="majorBidi"/>
          <w:color w:val="000000"/>
          <w:lang w:val="fr-FR"/>
        </w:rPr>
        <w:footnoteReference w:id="229"/>
      </w:r>
    </w:p>
    <w:p w:rsidR="00E772DD" w:rsidRPr="000709E5" w:rsidRDefault="00E772DD" w:rsidP="000709E5">
      <w:pPr>
        <w:pStyle w:val="NormalWeb"/>
        <w:spacing w:after="0" w:afterAutospacing="0" w:line="360" w:lineRule="auto"/>
        <w:rPr>
          <w:rFonts w:asciiTheme="majorBidi" w:hAnsiTheme="majorBidi" w:cstheme="majorBidi"/>
          <w:b/>
          <w:bCs/>
          <w:color w:val="000000"/>
          <w:lang w:val="fr-FR"/>
        </w:rPr>
      </w:pPr>
      <w:r w:rsidRPr="000709E5">
        <w:rPr>
          <w:rFonts w:asciiTheme="majorBidi" w:hAnsiTheme="majorBidi" w:cstheme="majorBidi"/>
          <w:b/>
          <w:bCs/>
          <w:color w:val="000000"/>
          <w:lang w:val="fr-FR"/>
        </w:rPr>
        <w:t xml:space="preserve">Exemple : </w:t>
      </w:r>
      <w:proofErr w:type="spellStart"/>
      <w:r w:rsidRPr="000709E5">
        <w:rPr>
          <w:rFonts w:asciiTheme="majorBidi" w:hAnsiTheme="majorBidi" w:cstheme="majorBidi"/>
          <w:b/>
          <w:bCs/>
          <w:color w:val="000000"/>
          <w:lang w:val="fr-FR"/>
        </w:rPr>
        <w:t>ChatGPT</w:t>
      </w:r>
      <w:proofErr w:type="spellEnd"/>
      <w:r w:rsidRPr="000709E5">
        <w:rPr>
          <w:rFonts w:asciiTheme="majorBidi" w:hAnsiTheme="majorBidi" w:cstheme="majorBidi"/>
          <w:b/>
          <w:bCs/>
          <w:color w:val="000000"/>
          <w:lang w:val="fr-FR"/>
        </w:rPr>
        <w:t xml:space="preserve"> – Assistance intelligente et automatisation des tâches</w:t>
      </w:r>
    </w:p>
    <w:p w:rsidR="00E772DD" w:rsidRPr="00B21441" w:rsidRDefault="00E772DD" w:rsidP="000709E5">
      <w:pPr>
        <w:pStyle w:val="NormalWeb"/>
        <w:spacing w:before="0" w:beforeAutospacing="0" w:after="240" w:afterAutospacing="0" w:line="360" w:lineRule="auto"/>
        <w:jc w:val="both"/>
        <w:rPr>
          <w:rFonts w:asciiTheme="majorBidi" w:hAnsiTheme="majorBidi" w:cstheme="majorBidi"/>
          <w:color w:val="000000"/>
          <w:lang w:val="fr-FR"/>
        </w:rPr>
      </w:pPr>
      <w:proofErr w:type="spellStart"/>
      <w:r w:rsidRPr="000709E5">
        <w:rPr>
          <w:rFonts w:asciiTheme="majorBidi" w:hAnsiTheme="majorBidi" w:cstheme="majorBidi"/>
          <w:color w:val="000000"/>
          <w:lang w:val="fr-FR"/>
        </w:rPr>
        <w:t>ChatGPT</w:t>
      </w:r>
      <w:proofErr w:type="spellEnd"/>
      <w:r w:rsidRPr="000709E5">
        <w:rPr>
          <w:rFonts w:asciiTheme="majorBidi" w:hAnsiTheme="majorBidi" w:cstheme="majorBidi"/>
          <w:color w:val="000000"/>
          <w:lang w:val="fr-FR"/>
        </w:rPr>
        <w:t xml:space="preserve">, développé par </w:t>
      </w:r>
      <w:proofErr w:type="spellStart"/>
      <w:r w:rsidRPr="000709E5">
        <w:rPr>
          <w:rFonts w:asciiTheme="majorBidi" w:hAnsiTheme="majorBidi" w:cstheme="majorBidi"/>
          <w:color w:val="000000"/>
          <w:lang w:val="fr-FR"/>
        </w:rPr>
        <w:t>OpenAI</w:t>
      </w:r>
      <w:proofErr w:type="spellEnd"/>
      <w:r w:rsidRPr="000709E5">
        <w:rPr>
          <w:rFonts w:asciiTheme="majorBidi" w:hAnsiTheme="majorBidi" w:cstheme="majorBidi"/>
          <w:color w:val="000000"/>
          <w:lang w:val="fr-FR"/>
        </w:rPr>
        <w:t xml:space="preserve">, est une intelligence artificielle capable de comprendre et de générer du texte en langage naturel. Il est utilisé dans plusieurs secteurs, notamment le service client, l’éducation et la création de contenu. Par exemple, les entreprises intègrent </w:t>
      </w:r>
      <w:proofErr w:type="spellStart"/>
      <w:r w:rsidRPr="000709E5">
        <w:rPr>
          <w:rFonts w:asciiTheme="majorBidi" w:hAnsiTheme="majorBidi" w:cstheme="majorBidi"/>
          <w:color w:val="000000"/>
          <w:lang w:val="fr-FR"/>
        </w:rPr>
        <w:t>ChatGPT</w:t>
      </w:r>
      <w:proofErr w:type="spellEnd"/>
      <w:r w:rsidRPr="000709E5">
        <w:rPr>
          <w:rFonts w:asciiTheme="majorBidi" w:hAnsiTheme="majorBidi" w:cstheme="majorBidi"/>
          <w:color w:val="000000"/>
          <w:lang w:val="fr-FR"/>
        </w:rPr>
        <w:t xml:space="preserve"> dans leurs systèmes de support client pour automatiser les réponses aux questions fréquentes, réduisant ainsi le temps d’attente et améliorant l’expérience utilisateur. De plus, certaines organisations l’utilisent pour rédiger des rapports, analyser des données textuelles et même générer du code informatique.</w:t>
      </w:r>
      <w:r>
        <w:rPr>
          <w:rStyle w:val="Appelnotedebasdep"/>
          <w:rFonts w:cstheme="majorBidi"/>
          <w:color w:val="000000"/>
          <w:lang w:val="fr-FR"/>
        </w:rPr>
        <w:footnoteReference w:id="230"/>
      </w:r>
    </w:p>
    <w:p w:rsidR="00E772DD" w:rsidRPr="006F7623" w:rsidRDefault="00E772DD" w:rsidP="004D32AC">
      <w:pPr>
        <w:pStyle w:val="Titre3"/>
        <w:numPr>
          <w:ilvl w:val="2"/>
          <w:numId w:val="184"/>
        </w:numPr>
        <w:spacing w:after="0" w:afterAutospacing="0" w:line="360" w:lineRule="auto"/>
        <w:rPr>
          <w:sz w:val="24"/>
          <w:szCs w:val="24"/>
          <w:lang w:val="fr-FR"/>
        </w:rPr>
      </w:pPr>
      <w:bookmarkStart w:id="1325" w:name="_Toc199714411"/>
      <w:bookmarkStart w:id="1326" w:name="_Toc200486690"/>
      <w:bookmarkStart w:id="1327" w:name="_Toc200635466"/>
      <w:bookmarkStart w:id="1328" w:name="_Toc200635854"/>
      <w:bookmarkStart w:id="1329" w:name="_Toc200636243"/>
      <w:bookmarkStart w:id="1330" w:name="_Toc200755980"/>
      <w:r w:rsidRPr="006F7623">
        <w:rPr>
          <w:sz w:val="24"/>
          <w:szCs w:val="24"/>
          <w:lang w:val="fr-FR"/>
        </w:rPr>
        <w:t>La Business Intelligence : l’exploitation des données pour une prise de décision stratégique</w:t>
      </w:r>
      <w:bookmarkEnd w:id="1325"/>
      <w:bookmarkEnd w:id="1326"/>
      <w:bookmarkEnd w:id="1327"/>
      <w:bookmarkEnd w:id="1328"/>
      <w:bookmarkEnd w:id="1329"/>
      <w:bookmarkEnd w:id="1330"/>
    </w:p>
    <w:p w:rsidR="00E772DD" w:rsidRDefault="00E772DD" w:rsidP="005D324A">
      <w:pPr>
        <w:pStyle w:val="NormalWeb"/>
        <w:spacing w:before="0" w:beforeAutospacing="0" w:after="240" w:afterAutospacing="0" w:line="360" w:lineRule="auto"/>
        <w:jc w:val="both"/>
        <w:rPr>
          <w:rFonts w:asciiTheme="majorBidi" w:hAnsiTheme="majorBidi" w:cstheme="majorBidi"/>
          <w:color w:val="000000"/>
          <w:lang w:val="fr-FR"/>
        </w:rPr>
      </w:pPr>
      <w:r w:rsidRPr="00B21441">
        <w:rPr>
          <w:rFonts w:asciiTheme="majorBidi" w:hAnsiTheme="majorBidi" w:cstheme="majorBidi"/>
          <w:color w:val="000000"/>
          <w:lang w:val="fr-FR"/>
        </w:rPr>
        <w:t xml:space="preserve">La Business Intelligence (BI) englobe les technologies et méthodes permettant d’analyser des données pour orienter les choix stratégiques d’une entreprise. Elle repose sur des tableaux de </w:t>
      </w:r>
      <w:r w:rsidRPr="00B21441">
        <w:rPr>
          <w:rFonts w:asciiTheme="majorBidi" w:hAnsiTheme="majorBidi" w:cstheme="majorBidi"/>
          <w:color w:val="000000"/>
          <w:lang w:val="fr-FR"/>
        </w:rPr>
        <w:lastRenderedPageBreak/>
        <w:t>bord interactifs, des algorithmes d’analyse avancés et des outils de visualisation pour optimiser la gestion de la performance.</w:t>
      </w:r>
      <w:r>
        <w:rPr>
          <w:rStyle w:val="Appelnotedebasdep"/>
          <w:rFonts w:cstheme="majorBidi"/>
          <w:color w:val="000000"/>
          <w:lang w:val="fr-FR"/>
        </w:rPr>
        <w:footnoteReference w:id="231"/>
      </w:r>
    </w:p>
    <w:p w:rsidR="00E772DD" w:rsidRPr="000709E5" w:rsidRDefault="00E772DD" w:rsidP="000709E5">
      <w:pPr>
        <w:pStyle w:val="NormalWeb"/>
        <w:spacing w:after="0" w:afterAutospacing="0" w:line="360" w:lineRule="auto"/>
        <w:rPr>
          <w:rFonts w:asciiTheme="majorBidi" w:hAnsiTheme="majorBidi" w:cstheme="majorBidi"/>
          <w:b/>
          <w:bCs/>
          <w:color w:val="000000"/>
          <w:lang w:val="fr-FR"/>
        </w:rPr>
      </w:pPr>
      <w:r w:rsidRPr="000709E5">
        <w:rPr>
          <w:rFonts w:asciiTheme="majorBidi" w:hAnsiTheme="majorBidi" w:cstheme="majorBidi"/>
          <w:b/>
          <w:bCs/>
          <w:color w:val="000000"/>
          <w:lang w:val="fr-FR"/>
        </w:rPr>
        <w:t>Exemple : Google Analytics</w:t>
      </w:r>
    </w:p>
    <w:p w:rsidR="00E772DD" w:rsidRPr="00B21441" w:rsidRDefault="00E772DD" w:rsidP="000709E5">
      <w:pPr>
        <w:pStyle w:val="NormalWeb"/>
        <w:spacing w:before="0" w:beforeAutospacing="0" w:after="240" w:afterAutospacing="0" w:line="360" w:lineRule="auto"/>
        <w:jc w:val="both"/>
        <w:rPr>
          <w:rFonts w:asciiTheme="majorBidi" w:hAnsiTheme="majorBidi" w:cstheme="majorBidi"/>
          <w:color w:val="000000"/>
          <w:lang w:val="fr-FR"/>
        </w:rPr>
      </w:pPr>
      <w:r w:rsidRPr="000709E5">
        <w:rPr>
          <w:rFonts w:asciiTheme="majorBidi" w:hAnsiTheme="majorBidi" w:cstheme="majorBidi"/>
          <w:color w:val="000000"/>
          <w:lang w:val="fr-FR"/>
        </w:rPr>
        <w:t>Google Analytics est un outil de Business Intelligence qui permet aux entreprises d’analyser le comportement des visiteurs sur leurs sites web. Grâce à des tableaux de bord interactifs et des rapports détaillés, il facilite l’optimisation des stratégies numériques.</w:t>
      </w:r>
      <w:r>
        <w:rPr>
          <w:rStyle w:val="Appelnotedebasdep"/>
          <w:rFonts w:cstheme="majorBidi"/>
          <w:color w:val="000000"/>
          <w:lang w:val="fr-FR"/>
        </w:rPr>
        <w:footnoteReference w:id="232"/>
      </w:r>
    </w:p>
    <w:p w:rsidR="00E772DD" w:rsidRPr="00626FDA" w:rsidRDefault="006F7623" w:rsidP="004D32AC">
      <w:pPr>
        <w:pStyle w:val="Titre3"/>
        <w:keepNext/>
        <w:keepLines/>
        <w:numPr>
          <w:ilvl w:val="1"/>
          <w:numId w:val="184"/>
        </w:numPr>
        <w:spacing w:before="0" w:beforeAutospacing="0" w:after="0" w:afterAutospacing="0" w:line="360" w:lineRule="auto"/>
        <w:jc w:val="both"/>
        <w:rPr>
          <w:rStyle w:val="lev"/>
          <w:rFonts w:asciiTheme="majorBidi" w:hAnsiTheme="majorBidi"/>
          <w:b/>
          <w:bCs/>
          <w:color w:val="000000"/>
          <w:sz w:val="24"/>
          <w:szCs w:val="24"/>
          <w:lang w:val="fr-FR"/>
        </w:rPr>
      </w:pPr>
      <w:r>
        <w:rPr>
          <w:rStyle w:val="lev"/>
          <w:rFonts w:asciiTheme="majorBidi" w:hAnsiTheme="majorBidi"/>
          <w:b/>
          <w:bCs/>
          <w:color w:val="000000"/>
          <w:sz w:val="24"/>
          <w:szCs w:val="24"/>
          <w:lang w:val="fr-FR"/>
        </w:rPr>
        <w:t xml:space="preserve"> </w:t>
      </w:r>
      <w:bookmarkStart w:id="1331" w:name="_Toc199714412"/>
      <w:bookmarkStart w:id="1332" w:name="_Toc200486691"/>
      <w:bookmarkStart w:id="1333" w:name="_Toc200635467"/>
      <w:bookmarkStart w:id="1334" w:name="_Toc200635855"/>
      <w:bookmarkStart w:id="1335" w:name="_Toc200636244"/>
      <w:bookmarkStart w:id="1336" w:name="_Toc200755981"/>
      <w:r w:rsidR="00E772DD" w:rsidRPr="00626FDA">
        <w:rPr>
          <w:rStyle w:val="lev"/>
          <w:rFonts w:asciiTheme="majorBidi" w:hAnsiTheme="majorBidi"/>
          <w:b/>
          <w:bCs/>
          <w:color w:val="000000"/>
          <w:sz w:val="24"/>
          <w:szCs w:val="24"/>
          <w:lang w:val="fr-FR"/>
        </w:rPr>
        <w:t>L'importance de la digitalisation au sein des entreprises</w:t>
      </w:r>
      <w:bookmarkEnd w:id="1331"/>
      <w:bookmarkEnd w:id="1332"/>
      <w:bookmarkEnd w:id="1333"/>
      <w:bookmarkEnd w:id="1334"/>
      <w:bookmarkEnd w:id="1335"/>
      <w:bookmarkEnd w:id="1336"/>
    </w:p>
    <w:p w:rsidR="00E772DD" w:rsidRPr="006A4F84" w:rsidRDefault="00E772DD" w:rsidP="00626FDA">
      <w:pPr>
        <w:spacing w:after="240" w:line="360" w:lineRule="auto"/>
        <w:rPr>
          <w:lang w:val="fr-FR"/>
        </w:rPr>
      </w:pPr>
      <w:r w:rsidRPr="006A4F84">
        <w:rPr>
          <w:lang w:val="fr-FR"/>
        </w:rPr>
        <w:t>La digitalisation s’impose aujourd’hui comme un levier incontournable pour les entreprises souhaitant améliorer leur efficacité, innover et rester compétitives dans un environnement économique en constante évolution.</w:t>
      </w:r>
    </w:p>
    <w:p w:rsidR="00E772DD" w:rsidRPr="00AB5350" w:rsidRDefault="00E772DD" w:rsidP="004D32AC">
      <w:pPr>
        <w:pStyle w:val="Titre4"/>
        <w:numPr>
          <w:ilvl w:val="2"/>
          <w:numId w:val="184"/>
        </w:numPr>
        <w:spacing w:before="0" w:line="360" w:lineRule="auto"/>
        <w:jc w:val="both"/>
        <w:rPr>
          <w:rFonts w:asciiTheme="majorBidi" w:hAnsiTheme="majorBidi"/>
          <w:i w:val="0"/>
          <w:iCs w:val="0"/>
          <w:color w:val="000000"/>
          <w:lang w:val="fr-FR"/>
        </w:rPr>
      </w:pPr>
      <w:r w:rsidRPr="00AB5350">
        <w:rPr>
          <w:rStyle w:val="lev"/>
          <w:rFonts w:asciiTheme="majorBidi" w:hAnsiTheme="majorBidi"/>
          <w:i w:val="0"/>
          <w:iCs w:val="0"/>
          <w:color w:val="000000"/>
          <w:lang w:val="fr-FR"/>
        </w:rPr>
        <w:t xml:space="preserve"> Accroissement de l'efficacité des processus internes</w:t>
      </w:r>
    </w:p>
    <w:p w:rsidR="00E772DD" w:rsidRPr="00AB5350" w:rsidRDefault="00E772DD" w:rsidP="005D324A">
      <w:pPr>
        <w:pStyle w:val="NormalWeb"/>
        <w:spacing w:before="0" w:beforeAutospacing="0" w:after="24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L'intégration des outils numériques dans les entreprises permet d'optimiser les processus en automatisant certaines tâches répétitives et en réduisant les délais de traitement. Cette transition numérique favorise également une meilleure coordination entre les équipes et une gestion plus efficace des ressources, améliorant ainsi la productivité globale.</w:t>
      </w:r>
      <w:r w:rsidRPr="00AB5350">
        <w:rPr>
          <w:rStyle w:val="Appelnotedebasdep"/>
          <w:rFonts w:cstheme="majorBidi"/>
          <w:color w:val="000000"/>
          <w:lang w:val="fr-FR"/>
        </w:rPr>
        <w:footnoteReference w:id="233"/>
      </w:r>
    </w:p>
    <w:p w:rsidR="00E772DD" w:rsidRPr="00AB5350" w:rsidRDefault="00E772DD" w:rsidP="004D32AC">
      <w:pPr>
        <w:pStyle w:val="Titre4"/>
        <w:numPr>
          <w:ilvl w:val="2"/>
          <w:numId w:val="184"/>
        </w:numPr>
        <w:spacing w:before="0" w:line="360" w:lineRule="auto"/>
        <w:jc w:val="both"/>
        <w:rPr>
          <w:rFonts w:asciiTheme="majorBidi" w:hAnsiTheme="majorBidi"/>
          <w:i w:val="0"/>
          <w:iCs w:val="0"/>
          <w:color w:val="000000"/>
          <w:lang w:val="fr-FR"/>
        </w:rPr>
      </w:pPr>
      <w:r w:rsidRPr="00AB5350">
        <w:rPr>
          <w:rStyle w:val="lev"/>
          <w:rFonts w:asciiTheme="majorBidi" w:hAnsiTheme="majorBidi"/>
          <w:i w:val="0"/>
          <w:iCs w:val="0"/>
          <w:color w:val="000000"/>
          <w:lang w:val="fr-FR"/>
        </w:rPr>
        <w:t xml:space="preserve"> Amélioration de l'expérience client</w:t>
      </w:r>
    </w:p>
    <w:p w:rsidR="00E772DD" w:rsidRPr="00AB5350" w:rsidRDefault="00E772DD" w:rsidP="005D324A">
      <w:pPr>
        <w:pStyle w:val="NormalWeb"/>
        <w:spacing w:before="0" w:beforeAutospacing="0" w:after="24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L'exploitation des technologies numériques permet aux entreprises de mieux comprendre les attentes et les comportements de leurs clients. L’utilisation d’outils tels que les systèmes de gestion de la relation client (CRM) et l’intelligence artificielle permet de proposer des services personnalisés, renforçant ainsi la satisfaction et la fidélité des consommateurs.</w:t>
      </w:r>
      <w:r w:rsidRPr="00AB5350">
        <w:rPr>
          <w:rStyle w:val="Appelnotedebasdep"/>
          <w:rFonts w:cstheme="majorBidi"/>
          <w:color w:val="000000"/>
          <w:lang w:val="fr-FR"/>
        </w:rPr>
        <w:footnoteReference w:id="234"/>
      </w:r>
    </w:p>
    <w:p w:rsidR="00E772DD" w:rsidRPr="00AB5350" w:rsidRDefault="00E772DD" w:rsidP="004D32AC">
      <w:pPr>
        <w:pStyle w:val="Titre4"/>
        <w:numPr>
          <w:ilvl w:val="2"/>
          <w:numId w:val="184"/>
        </w:numPr>
        <w:spacing w:before="0" w:line="360" w:lineRule="auto"/>
        <w:jc w:val="both"/>
        <w:rPr>
          <w:rFonts w:asciiTheme="majorBidi" w:hAnsiTheme="majorBidi"/>
          <w:i w:val="0"/>
          <w:iCs w:val="0"/>
          <w:color w:val="000000"/>
          <w:lang w:val="fr-FR"/>
        </w:rPr>
      </w:pPr>
      <w:r w:rsidRPr="00AB5350">
        <w:rPr>
          <w:rStyle w:val="lev"/>
          <w:rFonts w:asciiTheme="majorBidi" w:hAnsiTheme="majorBidi"/>
          <w:i w:val="0"/>
          <w:iCs w:val="0"/>
          <w:color w:val="000000"/>
          <w:lang w:val="fr-FR"/>
        </w:rPr>
        <w:t xml:space="preserve"> Diminution des coûts et augmentation de la rentabilité</w:t>
      </w:r>
    </w:p>
    <w:p w:rsidR="00E772DD" w:rsidRPr="00AB5350" w:rsidRDefault="00E772DD" w:rsidP="005D324A">
      <w:pPr>
        <w:pStyle w:val="NormalWeb"/>
        <w:spacing w:before="0" w:beforeAutospacing="0" w:after="24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 xml:space="preserve">L'adoption du numérique contribue à réduire les dépenses en automatisant les processus et en minimisant les erreurs humaines. L'utilisation de solutions telles que l'informatique en nuage </w:t>
      </w:r>
      <w:r w:rsidRPr="00AB5350">
        <w:rPr>
          <w:rFonts w:asciiTheme="majorBidi" w:hAnsiTheme="majorBidi" w:cstheme="majorBidi"/>
          <w:color w:val="000000"/>
          <w:lang w:val="fr-FR"/>
        </w:rPr>
        <w:lastRenderedPageBreak/>
        <w:t xml:space="preserve">(cloud </w:t>
      </w:r>
      <w:proofErr w:type="spellStart"/>
      <w:r w:rsidRPr="00AB5350">
        <w:rPr>
          <w:rFonts w:asciiTheme="majorBidi" w:hAnsiTheme="majorBidi" w:cstheme="majorBidi"/>
          <w:color w:val="000000"/>
          <w:lang w:val="fr-FR"/>
        </w:rPr>
        <w:t>computing</w:t>
      </w:r>
      <w:proofErr w:type="spellEnd"/>
      <w:r w:rsidRPr="00AB5350">
        <w:rPr>
          <w:rFonts w:asciiTheme="majorBidi" w:hAnsiTheme="majorBidi" w:cstheme="majorBidi"/>
          <w:color w:val="000000"/>
          <w:lang w:val="fr-FR"/>
        </w:rPr>
        <w:t>) et les logiciels en tant que service (SaaS) permet aux entreprises de diminuer leurs coûts d'infrastructure tout en bénéficiant d’une plus grande flexibilité et évolutivité.</w:t>
      </w:r>
      <w:r w:rsidRPr="00AB5350">
        <w:rPr>
          <w:rStyle w:val="Appelnotedebasdep"/>
          <w:rFonts w:cstheme="majorBidi"/>
          <w:color w:val="000000"/>
          <w:lang w:val="fr-FR"/>
        </w:rPr>
        <w:footnoteReference w:id="235"/>
      </w:r>
    </w:p>
    <w:p w:rsidR="00E772DD" w:rsidRPr="00AB5350" w:rsidRDefault="00E772DD" w:rsidP="004D32AC">
      <w:pPr>
        <w:pStyle w:val="Titre4"/>
        <w:numPr>
          <w:ilvl w:val="2"/>
          <w:numId w:val="184"/>
        </w:numPr>
        <w:spacing w:before="0" w:line="360" w:lineRule="auto"/>
        <w:jc w:val="both"/>
        <w:rPr>
          <w:rFonts w:asciiTheme="majorBidi" w:hAnsiTheme="majorBidi"/>
          <w:i w:val="0"/>
          <w:iCs w:val="0"/>
          <w:color w:val="000000"/>
          <w:lang w:val="fr-FR"/>
        </w:rPr>
      </w:pPr>
      <w:r w:rsidRPr="00AB5350">
        <w:rPr>
          <w:rStyle w:val="lev"/>
          <w:rFonts w:asciiTheme="majorBidi" w:hAnsiTheme="majorBidi"/>
          <w:i w:val="0"/>
          <w:iCs w:val="0"/>
          <w:color w:val="000000"/>
          <w:lang w:val="fr-FR"/>
        </w:rPr>
        <w:t xml:space="preserve"> Amélioration de la prise de décision stratégique</w:t>
      </w:r>
    </w:p>
    <w:p w:rsidR="00E772DD" w:rsidRDefault="00E772DD" w:rsidP="005D324A">
      <w:pPr>
        <w:pStyle w:val="NormalWeb"/>
        <w:spacing w:before="0" w:beforeAutospacing="0" w:after="24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 xml:space="preserve">Grâce aux outils de Business Intelligence et aux technologies d’analyse avancée, la digitalisation offre aux entreprises un accès en temps réel à des données stratégiques. </w:t>
      </w:r>
    </w:p>
    <w:p w:rsidR="00E772DD" w:rsidRPr="00AB5350" w:rsidRDefault="00E772DD" w:rsidP="005D324A">
      <w:pPr>
        <w:pStyle w:val="NormalWeb"/>
        <w:spacing w:before="0" w:beforeAutospacing="0" w:after="24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Cette</w:t>
      </w:r>
      <w:r>
        <w:rPr>
          <w:rFonts w:asciiTheme="majorBidi" w:hAnsiTheme="majorBidi" w:cstheme="majorBidi"/>
          <w:color w:val="000000"/>
          <w:lang w:val="fr-FR"/>
        </w:rPr>
        <w:t xml:space="preserve"> </w:t>
      </w:r>
      <w:r w:rsidRPr="00AB5350">
        <w:rPr>
          <w:rFonts w:asciiTheme="majorBidi" w:hAnsiTheme="majorBidi" w:cstheme="majorBidi"/>
          <w:color w:val="000000"/>
          <w:lang w:val="fr-FR"/>
        </w:rPr>
        <w:t>capacité d’analyse permet aux dirigeants de prendre des décisions éclairées basées sur des informations précises concernant la performance de l’entreprise et les tendances du marché.</w:t>
      </w:r>
      <w:r w:rsidRPr="00AB5350">
        <w:rPr>
          <w:rStyle w:val="Appelnotedebasdep"/>
          <w:rFonts w:cstheme="majorBidi"/>
          <w:color w:val="000000"/>
          <w:lang w:val="fr-FR"/>
        </w:rPr>
        <w:footnoteReference w:id="236"/>
      </w:r>
    </w:p>
    <w:p w:rsidR="00E772DD" w:rsidRPr="00AB5350" w:rsidRDefault="00E772DD" w:rsidP="004D32AC">
      <w:pPr>
        <w:pStyle w:val="Titre4"/>
        <w:numPr>
          <w:ilvl w:val="2"/>
          <w:numId w:val="184"/>
        </w:numPr>
        <w:spacing w:before="0" w:line="360" w:lineRule="auto"/>
        <w:jc w:val="both"/>
        <w:rPr>
          <w:rFonts w:asciiTheme="majorBidi" w:hAnsiTheme="majorBidi"/>
          <w:i w:val="0"/>
          <w:iCs w:val="0"/>
          <w:color w:val="000000"/>
          <w:lang w:val="fr-FR"/>
        </w:rPr>
      </w:pPr>
      <w:r w:rsidRPr="00AB5350">
        <w:rPr>
          <w:rStyle w:val="lev"/>
          <w:rFonts w:asciiTheme="majorBidi" w:hAnsiTheme="majorBidi"/>
          <w:i w:val="0"/>
          <w:iCs w:val="0"/>
          <w:color w:val="000000"/>
          <w:lang w:val="fr-FR"/>
        </w:rPr>
        <w:t xml:space="preserve"> Stimulation de l’innovation et renforcement de la compétitivité</w:t>
      </w:r>
    </w:p>
    <w:p w:rsidR="00E772DD" w:rsidRPr="00AB5350" w:rsidRDefault="00E772DD" w:rsidP="00AB5350">
      <w:pPr>
        <w:pStyle w:val="NormalWeb"/>
        <w:spacing w:before="0" w:beforeAutospacing="0" w:after="24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L’intégration du numérique offre aux entreprises un levier d’innovation en leur permettant de s’adapter plus rapidement aux évolutions du marché. L’adoption de technologies comme l’intelligence artificielle et l’Internet des objets (IoT) favorise le développement de nouveaux produits et services en adéquation avec les attentes des consommateurs.</w:t>
      </w:r>
      <w:r w:rsidRPr="00AB5350">
        <w:rPr>
          <w:rStyle w:val="Appelnotedebasdep"/>
          <w:rFonts w:cstheme="majorBidi"/>
          <w:color w:val="000000"/>
          <w:lang w:val="fr-FR"/>
        </w:rPr>
        <w:footnoteReference w:id="237"/>
      </w:r>
    </w:p>
    <w:p w:rsidR="00E772DD" w:rsidRPr="00AB5350" w:rsidRDefault="00E772DD" w:rsidP="004D32AC">
      <w:pPr>
        <w:pStyle w:val="Titre4"/>
        <w:numPr>
          <w:ilvl w:val="2"/>
          <w:numId w:val="184"/>
        </w:numPr>
        <w:spacing w:before="0" w:line="360" w:lineRule="auto"/>
        <w:jc w:val="both"/>
        <w:rPr>
          <w:rFonts w:asciiTheme="majorBidi" w:hAnsiTheme="majorBidi"/>
          <w:i w:val="0"/>
          <w:iCs w:val="0"/>
          <w:color w:val="000000"/>
          <w:lang w:val="fr-FR"/>
        </w:rPr>
      </w:pPr>
      <w:r w:rsidRPr="00AB5350">
        <w:rPr>
          <w:rStyle w:val="lev"/>
          <w:rFonts w:asciiTheme="majorBidi" w:hAnsiTheme="majorBidi"/>
          <w:i w:val="0"/>
          <w:iCs w:val="0"/>
          <w:color w:val="000000"/>
          <w:lang w:val="fr-FR"/>
        </w:rPr>
        <w:t xml:space="preserve"> Adaptabilité aux nouveaux modes de travail</w:t>
      </w:r>
    </w:p>
    <w:p w:rsidR="00E772DD" w:rsidRPr="00AB5350" w:rsidRDefault="00E772DD" w:rsidP="005D324A">
      <w:pPr>
        <w:pStyle w:val="NormalWeb"/>
        <w:spacing w:before="0" w:beforeAutospacing="0" w:after="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L'essor du travail à distance et des environnements collaboratifs a été facilité par la transformation numérique. Les outils de communication et de gestion de projet permettent aux entreprises de s'adapter aux nouvelles formes d'organisation du travail, offrant ainsi plus de flexibilité aux employés et renforçant leur efficacité.</w:t>
      </w:r>
      <w:r w:rsidRPr="00AB5350">
        <w:rPr>
          <w:rStyle w:val="Appelnotedebasdep"/>
          <w:rFonts w:cstheme="majorBidi"/>
          <w:color w:val="000000"/>
          <w:lang w:val="fr-FR"/>
        </w:rPr>
        <w:footnoteReference w:id="238"/>
      </w:r>
    </w:p>
    <w:p w:rsidR="00E772DD" w:rsidRPr="00AB5350" w:rsidRDefault="00E772DD" w:rsidP="005D324A">
      <w:pPr>
        <w:pStyle w:val="NormalWeb"/>
        <w:spacing w:before="0" w:beforeAutospacing="0" w:after="24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En somme, la digitalisation est un levier stratégique pour les entreprises qui souhaitent optimiser leur fonctionnement, améliorer l’expérience client, renforcer leur compétitivité et s’adapter aux évolutions du marché.</w:t>
      </w:r>
    </w:p>
    <w:p w:rsidR="00E772DD" w:rsidRPr="006F7623" w:rsidRDefault="003B5837" w:rsidP="004D32AC">
      <w:pPr>
        <w:pStyle w:val="Titre3"/>
        <w:numPr>
          <w:ilvl w:val="1"/>
          <w:numId w:val="184"/>
        </w:numPr>
        <w:spacing w:after="0" w:afterAutospacing="0" w:line="360" w:lineRule="auto"/>
        <w:rPr>
          <w:sz w:val="24"/>
          <w:szCs w:val="24"/>
        </w:rPr>
      </w:pPr>
      <w:bookmarkStart w:id="1337" w:name="_Toc199714413"/>
      <w:r w:rsidRPr="008A5941">
        <w:rPr>
          <w:rStyle w:val="lev"/>
          <w:b/>
          <w:bCs/>
          <w:sz w:val="24"/>
          <w:szCs w:val="24"/>
          <w:lang w:val="fr-FR"/>
        </w:rPr>
        <w:t xml:space="preserve"> </w:t>
      </w:r>
      <w:bookmarkStart w:id="1338" w:name="_Toc200486692"/>
      <w:bookmarkStart w:id="1339" w:name="_Toc200635468"/>
      <w:bookmarkStart w:id="1340" w:name="_Toc200635856"/>
      <w:bookmarkStart w:id="1341" w:name="_Toc200636245"/>
      <w:bookmarkStart w:id="1342" w:name="_Toc200755982"/>
      <w:r w:rsidR="00E772DD" w:rsidRPr="006F7623">
        <w:rPr>
          <w:rStyle w:val="lev"/>
          <w:b/>
          <w:bCs/>
          <w:sz w:val="24"/>
          <w:szCs w:val="24"/>
        </w:rPr>
        <w:t>Comment évaluer l’Intégration de la Digitalisation dans une Entreprise ?</w:t>
      </w:r>
      <w:bookmarkEnd w:id="1337"/>
      <w:bookmarkEnd w:id="1338"/>
      <w:bookmarkEnd w:id="1339"/>
      <w:bookmarkEnd w:id="1340"/>
      <w:bookmarkEnd w:id="1341"/>
      <w:bookmarkEnd w:id="1342"/>
    </w:p>
    <w:p w:rsidR="00E772DD" w:rsidRPr="00AB5350" w:rsidRDefault="00E772DD" w:rsidP="005D324A">
      <w:pPr>
        <w:pStyle w:val="NormalWeb"/>
        <w:spacing w:before="0" w:beforeAutospacing="0" w:after="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 xml:space="preserve">Pour analyser le niveau d’adoption des technologies numériques au sein d’une entreprise, il est essentiel d’identifier et de surveiller des indicateurs clés de performance (KPI). Ces derniers </w:t>
      </w:r>
      <w:r w:rsidRPr="00AB5350">
        <w:rPr>
          <w:rFonts w:asciiTheme="majorBidi" w:hAnsiTheme="majorBidi" w:cstheme="majorBidi"/>
          <w:color w:val="000000"/>
          <w:lang w:val="fr-FR"/>
        </w:rPr>
        <w:lastRenderedPageBreak/>
        <w:t>permettent d’évaluer l’impact de la transformation digitale sur l’organisation et d’orienter les décisions stratégiques.</w:t>
      </w:r>
    </w:p>
    <w:p w:rsidR="00E772DD" w:rsidRPr="00AB5350" w:rsidRDefault="00E772DD" w:rsidP="004D32AC">
      <w:pPr>
        <w:pStyle w:val="NormalWeb"/>
        <w:numPr>
          <w:ilvl w:val="0"/>
          <w:numId w:val="69"/>
        </w:numPr>
        <w:spacing w:before="0" w:beforeAutospacing="0" w:after="0" w:afterAutospacing="0" w:line="360" w:lineRule="auto"/>
        <w:jc w:val="both"/>
        <w:rPr>
          <w:rFonts w:asciiTheme="majorBidi" w:hAnsiTheme="majorBidi" w:cstheme="majorBidi"/>
          <w:color w:val="000000"/>
          <w:lang w:val="fr-FR"/>
        </w:rPr>
      </w:pPr>
      <w:r w:rsidRPr="00AB5350">
        <w:rPr>
          <w:rStyle w:val="lev"/>
          <w:rFonts w:asciiTheme="majorBidi" w:hAnsiTheme="majorBidi" w:cstheme="majorBidi"/>
          <w:color w:val="000000"/>
          <w:lang w:val="fr-FR"/>
        </w:rPr>
        <w:t>Taux d’adoption des outils numériques</w:t>
      </w:r>
      <w:r w:rsidRPr="00AB5350">
        <w:rPr>
          <w:rStyle w:val="apple-converted-space"/>
          <w:rFonts w:asciiTheme="majorBidi" w:hAnsiTheme="majorBidi" w:cstheme="majorBidi"/>
          <w:color w:val="000000"/>
          <w:lang w:val="fr-FR"/>
        </w:rPr>
        <w:t> </w:t>
      </w:r>
      <w:r w:rsidRPr="00AB5350">
        <w:rPr>
          <w:rFonts w:asciiTheme="majorBidi" w:hAnsiTheme="majorBidi" w:cstheme="majorBidi"/>
          <w:color w:val="000000"/>
          <w:lang w:val="fr-FR"/>
        </w:rPr>
        <w:t>: Cet indicateur représente la proportion d’employés utilisant activement les nouvelles technologies déployées dans l’entreprise. Un taux élevé traduit une bonne appropriation des outils digitaux par les équipes.</w:t>
      </w:r>
    </w:p>
    <w:p w:rsidR="00E772DD" w:rsidRPr="00AB5350" w:rsidRDefault="00E772DD" w:rsidP="004D32AC">
      <w:pPr>
        <w:pStyle w:val="NormalWeb"/>
        <w:numPr>
          <w:ilvl w:val="0"/>
          <w:numId w:val="69"/>
        </w:numPr>
        <w:spacing w:before="0" w:beforeAutospacing="0" w:after="0" w:afterAutospacing="0" w:line="360" w:lineRule="auto"/>
        <w:jc w:val="both"/>
        <w:rPr>
          <w:rFonts w:asciiTheme="majorBidi" w:hAnsiTheme="majorBidi" w:cstheme="majorBidi"/>
          <w:color w:val="000000"/>
          <w:lang w:val="fr-FR"/>
        </w:rPr>
      </w:pPr>
      <w:r w:rsidRPr="00AB5350">
        <w:rPr>
          <w:rStyle w:val="lev"/>
          <w:rFonts w:asciiTheme="majorBidi" w:hAnsiTheme="majorBidi" w:cstheme="majorBidi"/>
          <w:color w:val="000000"/>
          <w:lang w:val="fr-FR"/>
        </w:rPr>
        <w:t>Nombre de processus automatisés</w:t>
      </w:r>
      <w:r w:rsidRPr="00AB5350">
        <w:rPr>
          <w:rStyle w:val="apple-converted-space"/>
          <w:rFonts w:asciiTheme="majorBidi" w:hAnsiTheme="majorBidi" w:cstheme="majorBidi"/>
          <w:color w:val="000000"/>
          <w:lang w:val="fr-FR"/>
        </w:rPr>
        <w:t> </w:t>
      </w:r>
      <w:r w:rsidRPr="00AB5350">
        <w:rPr>
          <w:rFonts w:asciiTheme="majorBidi" w:hAnsiTheme="majorBidi" w:cstheme="majorBidi"/>
          <w:color w:val="000000"/>
          <w:lang w:val="fr-FR"/>
        </w:rPr>
        <w:t>: Il s’agit d’évaluer le nombre de tâches et d’opérations métiers qui ont été optimisées grâce à l’automatisation. Une augmentation de cet indicateur témoigne d’une réduction des interventions manuelles et d’une amélioration de la productivité.</w:t>
      </w:r>
    </w:p>
    <w:p w:rsidR="00E772DD" w:rsidRPr="00AB5350" w:rsidRDefault="00E772DD" w:rsidP="004D32AC">
      <w:pPr>
        <w:pStyle w:val="NormalWeb"/>
        <w:numPr>
          <w:ilvl w:val="0"/>
          <w:numId w:val="69"/>
        </w:numPr>
        <w:spacing w:before="0" w:beforeAutospacing="0" w:after="0" w:afterAutospacing="0" w:line="360" w:lineRule="auto"/>
        <w:jc w:val="both"/>
        <w:rPr>
          <w:rFonts w:asciiTheme="majorBidi" w:hAnsiTheme="majorBidi" w:cstheme="majorBidi"/>
          <w:color w:val="000000"/>
          <w:lang w:val="fr-FR"/>
        </w:rPr>
      </w:pPr>
      <w:r w:rsidRPr="00AB5350">
        <w:rPr>
          <w:rStyle w:val="lev"/>
          <w:rFonts w:asciiTheme="majorBidi" w:hAnsiTheme="majorBidi" w:cstheme="majorBidi"/>
          <w:color w:val="000000"/>
          <w:lang w:val="fr-FR"/>
        </w:rPr>
        <w:t>Optimisation de l’expérience client</w:t>
      </w:r>
      <w:r w:rsidRPr="00AB5350">
        <w:rPr>
          <w:rStyle w:val="apple-converted-space"/>
          <w:rFonts w:asciiTheme="majorBidi" w:hAnsiTheme="majorBidi" w:cstheme="majorBidi"/>
          <w:color w:val="000000"/>
          <w:lang w:val="fr-FR"/>
        </w:rPr>
        <w:t> </w:t>
      </w:r>
      <w:r w:rsidRPr="00AB5350">
        <w:rPr>
          <w:rFonts w:asciiTheme="majorBidi" w:hAnsiTheme="majorBidi" w:cstheme="majorBidi"/>
          <w:color w:val="000000"/>
          <w:lang w:val="fr-FR"/>
        </w:rPr>
        <w:t>: La transformation digitale vise également à améliorer l’interaction entre l’entreprise et ses clients. L’analyse des retours clients, des niveaux de satisfaction et de la fidélisation permet d’évaluer l’efficacité des outils numériques mis en place.</w:t>
      </w:r>
    </w:p>
    <w:p w:rsidR="00E772DD" w:rsidRPr="00AB5350" w:rsidRDefault="00E772DD" w:rsidP="004D32AC">
      <w:pPr>
        <w:pStyle w:val="NormalWeb"/>
        <w:numPr>
          <w:ilvl w:val="0"/>
          <w:numId w:val="69"/>
        </w:numPr>
        <w:spacing w:before="0" w:beforeAutospacing="0" w:after="0" w:afterAutospacing="0" w:line="360" w:lineRule="auto"/>
        <w:jc w:val="both"/>
        <w:rPr>
          <w:rFonts w:asciiTheme="majorBidi" w:hAnsiTheme="majorBidi" w:cstheme="majorBidi"/>
          <w:color w:val="000000"/>
          <w:lang w:val="fr-FR"/>
        </w:rPr>
      </w:pPr>
      <w:r w:rsidRPr="00AB5350">
        <w:rPr>
          <w:rStyle w:val="lev"/>
          <w:rFonts w:asciiTheme="majorBidi" w:hAnsiTheme="majorBidi" w:cstheme="majorBidi"/>
          <w:color w:val="000000"/>
          <w:lang w:val="fr-FR"/>
        </w:rPr>
        <w:t>Diminution des coûts opérationnels</w:t>
      </w:r>
      <w:r w:rsidRPr="00AB5350">
        <w:rPr>
          <w:rStyle w:val="apple-converted-space"/>
          <w:rFonts w:asciiTheme="majorBidi" w:hAnsiTheme="majorBidi" w:cstheme="majorBidi"/>
          <w:color w:val="000000"/>
          <w:lang w:val="fr-FR"/>
        </w:rPr>
        <w:t> </w:t>
      </w:r>
      <w:r w:rsidRPr="00AB5350">
        <w:rPr>
          <w:rFonts w:asciiTheme="majorBidi" w:hAnsiTheme="majorBidi" w:cstheme="majorBidi"/>
          <w:color w:val="000000"/>
          <w:lang w:val="fr-FR"/>
        </w:rPr>
        <w:t>: La digitalisation peut générer des économies en réduisant les coûts liés aux tâches administratives, aux erreurs humaines et aux processus obsolètes. Il est donc pertinent de mesurer les réductions budgétaires réalisées grâce aux solutions digitales.</w:t>
      </w:r>
    </w:p>
    <w:p w:rsidR="00E772DD" w:rsidRPr="00AB5350" w:rsidRDefault="00E772DD" w:rsidP="004D32AC">
      <w:pPr>
        <w:pStyle w:val="NormalWeb"/>
        <w:numPr>
          <w:ilvl w:val="0"/>
          <w:numId w:val="69"/>
        </w:numPr>
        <w:spacing w:before="0" w:beforeAutospacing="0" w:after="0" w:afterAutospacing="0" w:line="360" w:lineRule="auto"/>
        <w:jc w:val="both"/>
        <w:rPr>
          <w:rFonts w:asciiTheme="majorBidi" w:hAnsiTheme="majorBidi" w:cstheme="majorBidi"/>
          <w:color w:val="000000"/>
          <w:lang w:val="fr-FR"/>
        </w:rPr>
      </w:pPr>
      <w:r w:rsidRPr="00AB5350">
        <w:rPr>
          <w:rStyle w:val="lev"/>
          <w:rFonts w:asciiTheme="majorBidi" w:hAnsiTheme="majorBidi" w:cstheme="majorBidi"/>
          <w:color w:val="000000"/>
          <w:lang w:val="fr-FR"/>
        </w:rPr>
        <w:t>Amélioration de la performance opérationnelle</w:t>
      </w:r>
      <w:r w:rsidRPr="00AB5350">
        <w:rPr>
          <w:rStyle w:val="apple-converted-space"/>
          <w:rFonts w:asciiTheme="majorBidi" w:hAnsiTheme="majorBidi" w:cstheme="majorBidi"/>
          <w:color w:val="000000"/>
          <w:lang w:val="fr-FR"/>
        </w:rPr>
        <w:t> </w:t>
      </w:r>
      <w:r w:rsidRPr="00AB5350">
        <w:rPr>
          <w:rFonts w:asciiTheme="majorBidi" w:hAnsiTheme="majorBidi" w:cstheme="majorBidi"/>
          <w:color w:val="000000"/>
          <w:lang w:val="fr-FR"/>
        </w:rPr>
        <w:t>: L’intégration des technologies numériques doit permettre d’optimiser l’efficacité des activités de l’entreprise. Cet indicateur peut être évalué en analysant les gains de productivité, la rapidité des processus et la fluidité des opérations internes.</w:t>
      </w:r>
    </w:p>
    <w:p w:rsidR="00E772DD" w:rsidRPr="00AB5350" w:rsidRDefault="00E772DD" w:rsidP="00497E48">
      <w:pPr>
        <w:pStyle w:val="NormalWeb"/>
        <w:spacing w:before="0" w:beforeAutospacing="0" w:after="240" w:afterAutospacing="0" w:line="360" w:lineRule="auto"/>
        <w:jc w:val="both"/>
        <w:rPr>
          <w:rFonts w:asciiTheme="majorBidi" w:hAnsiTheme="majorBidi" w:cstheme="majorBidi"/>
          <w:color w:val="000000"/>
          <w:lang w:val="fr-FR"/>
        </w:rPr>
      </w:pPr>
      <w:r w:rsidRPr="00AB5350">
        <w:rPr>
          <w:rFonts w:asciiTheme="majorBidi" w:hAnsiTheme="majorBidi" w:cstheme="majorBidi"/>
          <w:color w:val="000000"/>
          <w:lang w:val="fr-FR"/>
        </w:rPr>
        <w:t>Le suivi de ces indicateurs clés de performance permet aux entreprises d’évaluer l’impact de la digitalisation sur leur fonctionnement, d’identifier les axes d’amélioration et d’adopter des stratégies adaptées pour renforcer leur compétitivité.</w:t>
      </w:r>
      <w:r w:rsidRPr="00AB5350">
        <w:rPr>
          <w:rStyle w:val="Appelnotedebasdep"/>
          <w:rFonts w:cstheme="majorBidi"/>
          <w:color w:val="000000"/>
          <w:lang w:val="fr-FR"/>
        </w:rPr>
        <w:footnoteReference w:id="239"/>
      </w:r>
    </w:p>
    <w:p w:rsidR="00E772DD" w:rsidRPr="006F7623" w:rsidRDefault="006F7623"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343" w:name="_Toc199714414"/>
      <w:bookmarkStart w:id="1344" w:name="_Toc200486693"/>
      <w:bookmarkStart w:id="1345" w:name="_Toc200635469"/>
      <w:bookmarkStart w:id="1346" w:name="_Toc200635857"/>
      <w:bookmarkStart w:id="1347" w:name="_Toc200636246"/>
      <w:bookmarkStart w:id="1348" w:name="_Toc200755983"/>
      <w:r w:rsidR="00E772DD" w:rsidRPr="006F7623">
        <w:rPr>
          <w:sz w:val="24"/>
          <w:szCs w:val="24"/>
          <w:lang w:val="fr-FR"/>
        </w:rPr>
        <w:t>Les enjeux de la digitalisation</w:t>
      </w:r>
      <w:bookmarkEnd w:id="1343"/>
      <w:bookmarkEnd w:id="1344"/>
      <w:bookmarkEnd w:id="1345"/>
      <w:bookmarkEnd w:id="1346"/>
      <w:bookmarkEnd w:id="1347"/>
      <w:bookmarkEnd w:id="1348"/>
      <w:r w:rsidR="00E772DD" w:rsidRPr="006F7623">
        <w:rPr>
          <w:sz w:val="24"/>
          <w:szCs w:val="24"/>
          <w:lang w:val="fr-FR"/>
        </w:rPr>
        <w:t xml:space="preserve"> </w:t>
      </w:r>
    </w:p>
    <w:p w:rsidR="00E772DD" w:rsidRDefault="00E772DD" w:rsidP="00626FDA">
      <w:pPr>
        <w:pStyle w:val="NormalWeb"/>
        <w:spacing w:before="0" w:beforeAutospacing="0" w:after="240" w:afterAutospacing="0" w:line="360" w:lineRule="auto"/>
        <w:jc w:val="both"/>
        <w:rPr>
          <w:color w:val="000000"/>
          <w:lang w:val="fr-FR"/>
        </w:rPr>
      </w:pPr>
      <w:r w:rsidRPr="00497E48">
        <w:rPr>
          <w:color w:val="000000"/>
          <w:lang w:val="fr-FR"/>
        </w:rPr>
        <w:t>La digitalisation modifie profondément les pratiques des entreprises, en optimisant les processus et en améliorant l'interaction avec les clients. Cependant, elle génère aussi des défis liés à la sécurité des données, à l'évolution des compétences et à l'impact environnemental. Les organisations doivent ainsi s'adapter à ces nouvelles réalités pour rester compétitives.</w:t>
      </w:r>
    </w:p>
    <w:p w:rsidR="006F7623" w:rsidRDefault="006F7623" w:rsidP="00626FDA">
      <w:pPr>
        <w:pStyle w:val="NormalWeb"/>
        <w:spacing w:before="0" w:beforeAutospacing="0" w:after="240" w:afterAutospacing="0" w:line="360" w:lineRule="auto"/>
        <w:jc w:val="both"/>
        <w:rPr>
          <w:color w:val="000000"/>
          <w:lang w:val="fr-FR"/>
        </w:rPr>
      </w:pPr>
    </w:p>
    <w:p w:rsidR="00E772DD" w:rsidRPr="009F26D9" w:rsidRDefault="00E772DD" w:rsidP="00734962">
      <w:pPr>
        <w:pStyle w:val="NormalWeb"/>
        <w:spacing w:before="0" w:beforeAutospacing="0" w:after="0" w:afterAutospacing="0" w:line="360" w:lineRule="auto"/>
        <w:jc w:val="center"/>
        <w:rPr>
          <w:color w:val="000000"/>
          <w:lang w:val="fr-FR"/>
        </w:rPr>
      </w:pPr>
      <w:r w:rsidRPr="00734962">
        <w:rPr>
          <w:b/>
          <w:bCs/>
          <w:color w:val="000000"/>
          <w:lang w:val="fr-FR"/>
        </w:rPr>
        <w:lastRenderedPageBreak/>
        <w:t>Tableau</w:t>
      </w:r>
      <w:r>
        <w:rPr>
          <w:b/>
          <w:bCs/>
          <w:color w:val="000000"/>
          <w:lang w:val="fr-FR"/>
        </w:rPr>
        <w:t xml:space="preserve"> N°09</w:t>
      </w:r>
      <w:r w:rsidRPr="00734962">
        <w:rPr>
          <w:b/>
          <w:bCs/>
          <w:color w:val="000000"/>
          <w:lang w:val="fr-FR"/>
        </w:rPr>
        <w:t xml:space="preserve"> : </w:t>
      </w:r>
      <w:r w:rsidRPr="009F26D9">
        <w:rPr>
          <w:color w:val="000000"/>
          <w:lang w:val="fr-FR"/>
        </w:rPr>
        <w:t>les enjeux de la digitalisation</w:t>
      </w:r>
    </w:p>
    <w:tbl>
      <w:tblPr>
        <w:tblStyle w:val="Grilledutableau"/>
        <w:tblW w:w="9498" w:type="dxa"/>
        <w:tblInd w:w="-147" w:type="dxa"/>
        <w:tblLook w:val="04A0" w:firstRow="1" w:lastRow="0" w:firstColumn="1" w:lastColumn="0" w:noHBand="0" w:noVBand="1"/>
      </w:tblPr>
      <w:tblGrid>
        <w:gridCol w:w="1963"/>
        <w:gridCol w:w="2148"/>
        <w:gridCol w:w="5387"/>
      </w:tblGrid>
      <w:tr w:rsidR="00E772DD" w:rsidRPr="00734962" w:rsidTr="002F5C80">
        <w:tc>
          <w:tcPr>
            <w:tcW w:w="1963" w:type="dxa"/>
            <w:shd w:val="clear" w:color="auto" w:fill="D8DCD1"/>
            <w:vAlign w:val="center"/>
            <w:hideMark/>
          </w:tcPr>
          <w:p w:rsidR="00E772DD" w:rsidRPr="00734962" w:rsidRDefault="00E772DD" w:rsidP="002B7EB3">
            <w:pPr>
              <w:spacing w:line="276" w:lineRule="auto"/>
              <w:jc w:val="center"/>
              <w:rPr>
                <w:b/>
                <w:bCs/>
                <w:color w:val="000000"/>
                <w:lang w:val="fr-FR"/>
              </w:rPr>
            </w:pPr>
            <w:r w:rsidRPr="00734962">
              <w:rPr>
                <w:b/>
                <w:bCs/>
                <w:color w:val="000000"/>
                <w:lang w:val="fr-FR"/>
              </w:rPr>
              <w:t>Catégorie</w:t>
            </w:r>
          </w:p>
        </w:tc>
        <w:tc>
          <w:tcPr>
            <w:tcW w:w="2148" w:type="dxa"/>
            <w:shd w:val="clear" w:color="auto" w:fill="D8DCD1"/>
            <w:vAlign w:val="center"/>
            <w:hideMark/>
          </w:tcPr>
          <w:p w:rsidR="00E772DD" w:rsidRPr="00734962" w:rsidRDefault="00E772DD" w:rsidP="002B7EB3">
            <w:pPr>
              <w:spacing w:line="276" w:lineRule="auto"/>
              <w:jc w:val="center"/>
              <w:rPr>
                <w:b/>
                <w:bCs/>
                <w:color w:val="000000"/>
                <w:lang w:val="fr-FR"/>
              </w:rPr>
            </w:pPr>
            <w:r w:rsidRPr="00734962">
              <w:rPr>
                <w:b/>
                <w:bCs/>
                <w:color w:val="000000"/>
                <w:lang w:val="fr-FR"/>
              </w:rPr>
              <w:t>Enjeux</w:t>
            </w:r>
          </w:p>
        </w:tc>
        <w:tc>
          <w:tcPr>
            <w:tcW w:w="5387" w:type="dxa"/>
            <w:shd w:val="clear" w:color="auto" w:fill="D8DCD1"/>
            <w:vAlign w:val="center"/>
            <w:hideMark/>
          </w:tcPr>
          <w:p w:rsidR="00E772DD" w:rsidRPr="00734962" w:rsidRDefault="00E772DD" w:rsidP="002B7EB3">
            <w:pPr>
              <w:spacing w:line="276" w:lineRule="auto"/>
              <w:jc w:val="center"/>
              <w:rPr>
                <w:b/>
                <w:bCs/>
                <w:color w:val="000000"/>
                <w:lang w:val="fr-FR"/>
              </w:rPr>
            </w:pPr>
            <w:r w:rsidRPr="00734962">
              <w:rPr>
                <w:b/>
                <w:bCs/>
                <w:color w:val="000000"/>
                <w:lang w:val="fr-FR"/>
              </w:rPr>
              <w:t>Description</w:t>
            </w:r>
          </w:p>
        </w:tc>
      </w:tr>
      <w:tr w:rsidR="00E772DD" w:rsidRPr="00427D18" w:rsidTr="002F5C80">
        <w:trPr>
          <w:trHeight w:val="1418"/>
        </w:trPr>
        <w:tc>
          <w:tcPr>
            <w:tcW w:w="1963" w:type="dxa"/>
            <w:shd w:val="clear" w:color="auto" w:fill="D8DCD1"/>
            <w:vAlign w:val="center"/>
            <w:hideMark/>
          </w:tcPr>
          <w:p w:rsidR="00E772DD" w:rsidRPr="00734962" w:rsidRDefault="00E772DD" w:rsidP="002B7EB3">
            <w:pPr>
              <w:spacing w:line="276" w:lineRule="auto"/>
              <w:jc w:val="center"/>
              <w:rPr>
                <w:color w:val="000000"/>
                <w:lang w:val="fr-FR"/>
              </w:rPr>
            </w:pPr>
            <w:r w:rsidRPr="00734962">
              <w:rPr>
                <w:b/>
                <w:bCs/>
                <w:color w:val="000000"/>
                <w:lang w:val="fr-FR"/>
              </w:rPr>
              <w:t>Stratégiques</w:t>
            </w: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Adaptation au marché et à la concurrence</w:t>
            </w:r>
          </w:p>
        </w:tc>
        <w:tc>
          <w:tcPr>
            <w:tcW w:w="5387" w:type="dxa"/>
            <w:vAlign w:val="center"/>
            <w:hideMark/>
          </w:tcPr>
          <w:p w:rsidR="00E772DD" w:rsidRPr="00734962" w:rsidRDefault="00E772DD" w:rsidP="002B7EB3">
            <w:pPr>
              <w:spacing w:line="276" w:lineRule="auto"/>
              <w:jc w:val="center"/>
              <w:rPr>
                <w:color w:val="000000"/>
                <w:lang w:val="fr-FR"/>
              </w:rPr>
            </w:pPr>
            <w:r w:rsidRPr="002B7EB3">
              <w:rPr>
                <w:color w:val="000000"/>
                <w:lang w:val="fr-FR"/>
              </w:rPr>
              <w:t>La digitalisation impose aux entreprises de rester constamment à jour face à des évolutions rapides du marché et de la concurrence. Cela nécessite une capacité d'adaptation agile et l'anticipation des tendances, ce qui peut être un défi pour des organisations traditionnelles.</w:t>
            </w:r>
          </w:p>
        </w:tc>
      </w:tr>
      <w:tr w:rsidR="00E772DD" w:rsidRPr="00427D18" w:rsidTr="002F5C80">
        <w:tc>
          <w:tcPr>
            <w:tcW w:w="1963" w:type="dxa"/>
            <w:vMerge w:val="restart"/>
            <w:shd w:val="clear" w:color="auto" w:fill="D8DCD1"/>
            <w:vAlign w:val="center"/>
            <w:hideMark/>
          </w:tcPr>
          <w:p w:rsidR="00E772DD" w:rsidRPr="00734962" w:rsidRDefault="00E772DD" w:rsidP="002B7EB3">
            <w:pPr>
              <w:spacing w:line="276" w:lineRule="auto"/>
              <w:jc w:val="center"/>
              <w:rPr>
                <w:color w:val="000000"/>
                <w:lang w:val="fr-FR"/>
              </w:rPr>
            </w:pPr>
            <w:r w:rsidRPr="00734962">
              <w:rPr>
                <w:b/>
                <w:bCs/>
                <w:color w:val="000000"/>
                <w:lang w:val="fr-FR"/>
              </w:rPr>
              <w:t>Organisationnels</w:t>
            </w: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Gestion du changement au sein de l'organisation</w:t>
            </w:r>
          </w:p>
        </w:tc>
        <w:tc>
          <w:tcPr>
            <w:tcW w:w="5387" w:type="dxa"/>
            <w:vAlign w:val="center"/>
            <w:hideMark/>
          </w:tcPr>
          <w:p w:rsidR="00E772DD" w:rsidRPr="00734962" w:rsidRDefault="00E772DD" w:rsidP="002B7EB3">
            <w:pPr>
              <w:spacing w:line="276" w:lineRule="auto"/>
              <w:jc w:val="center"/>
              <w:rPr>
                <w:color w:val="000000"/>
                <w:lang w:val="fr-FR"/>
              </w:rPr>
            </w:pPr>
            <w:r w:rsidRPr="002B7EB3">
              <w:rPr>
                <w:color w:val="000000"/>
                <w:lang w:val="fr-FR"/>
              </w:rPr>
              <w:t>Accompagner le changement dans l’entreprise est un défi majeur. Les employés peuvent être réticents à l’adopter en raison de l'incertitude ou de l'anxiété liée à la digitalisation, ce qui nécessite une gestion attentive du changement.</w:t>
            </w:r>
          </w:p>
        </w:tc>
      </w:tr>
      <w:tr w:rsidR="00E772DD" w:rsidRPr="00427D18" w:rsidTr="002F5C80">
        <w:tc>
          <w:tcPr>
            <w:tcW w:w="1963" w:type="dxa"/>
            <w:vMerge/>
            <w:shd w:val="clear" w:color="auto" w:fill="D8DCD1"/>
            <w:vAlign w:val="center"/>
            <w:hideMark/>
          </w:tcPr>
          <w:p w:rsidR="00E772DD" w:rsidRPr="00734962" w:rsidRDefault="00E772DD" w:rsidP="002B7EB3">
            <w:pPr>
              <w:spacing w:line="276" w:lineRule="auto"/>
              <w:jc w:val="center"/>
              <w:rPr>
                <w:color w:val="000000"/>
                <w:lang w:val="fr-FR"/>
              </w:rPr>
            </w:pPr>
          </w:p>
        </w:tc>
        <w:tc>
          <w:tcPr>
            <w:tcW w:w="2148" w:type="dxa"/>
            <w:vAlign w:val="center"/>
            <w:hideMark/>
          </w:tcPr>
          <w:p w:rsidR="00E772DD" w:rsidRDefault="00E772DD" w:rsidP="002B7EB3">
            <w:pPr>
              <w:spacing w:line="276" w:lineRule="auto"/>
              <w:jc w:val="center"/>
              <w:rPr>
                <w:color w:val="000000"/>
                <w:lang w:val="fr-FR"/>
              </w:rPr>
            </w:pPr>
            <w:r w:rsidRPr="00734962">
              <w:rPr>
                <w:color w:val="000000"/>
                <w:lang w:val="fr-FR"/>
              </w:rPr>
              <w:t>Collaboration</w:t>
            </w:r>
          </w:p>
          <w:p w:rsidR="00E772DD" w:rsidRPr="00734962" w:rsidRDefault="00E772DD" w:rsidP="002B7EB3">
            <w:pPr>
              <w:spacing w:line="276" w:lineRule="auto"/>
              <w:jc w:val="center"/>
              <w:rPr>
                <w:color w:val="000000"/>
                <w:lang w:val="fr-FR"/>
              </w:rPr>
            </w:pPr>
            <w:r w:rsidRPr="00734962">
              <w:rPr>
                <w:color w:val="000000"/>
                <w:lang w:val="fr-FR"/>
              </w:rPr>
              <w:t xml:space="preserve"> inter-équipes</w:t>
            </w:r>
          </w:p>
        </w:tc>
        <w:tc>
          <w:tcPr>
            <w:tcW w:w="5387" w:type="dxa"/>
            <w:vAlign w:val="center"/>
            <w:hideMark/>
          </w:tcPr>
          <w:p w:rsidR="00E772DD" w:rsidRPr="00734962" w:rsidRDefault="00E772DD" w:rsidP="002B7EB3">
            <w:pPr>
              <w:spacing w:line="276" w:lineRule="auto"/>
              <w:jc w:val="center"/>
              <w:rPr>
                <w:color w:val="000000"/>
                <w:lang w:val="fr-FR"/>
              </w:rPr>
            </w:pPr>
            <w:r w:rsidRPr="002B7EB3">
              <w:rPr>
                <w:color w:val="000000"/>
                <w:lang w:val="fr-FR"/>
              </w:rPr>
              <w:t>La digitalisation peut engendrer des difficultés dans la collaboration entre départements, surtout si des outils numériques inadaptés ou peu compatibles sont utilisés. Le défi est de briser les silos et de favoriser la communication dans un environnement numérique hétérogène.</w:t>
            </w:r>
          </w:p>
        </w:tc>
      </w:tr>
      <w:tr w:rsidR="00E772DD" w:rsidRPr="00427D18" w:rsidTr="002F5C80">
        <w:tc>
          <w:tcPr>
            <w:tcW w:w="1963" w:type="dxa"/>
            <w:vMerge w:val="restart"/>
            <w:shd w:val="clear" w:color="auto" w:fill="D8DCD1"/>
            <w:vAlign w:val="center"/>
            <w:hideMark/>
          </w:tcPr>
          <w:p w:rsidR="00E772DD" w:rsidRPr="00734962" w:rsidRDefault="00E772DD" w:rsidP="002B7EB3">
            <w:pPr>
              <w:spacing w:line="276" w:lineRule="auto"/>
              <w:jc w:val="center"/>
              <w:rPr>
                <w:color w:val="000000"/>
                <w:lang w:val="fr-FR"/>
              </w:rPr>
            </w:pPr>
            <w:r w:rsidRPr="00734962">
              <w:rPr>
                <w:b/>
                <w:bCs/>
                <w:color w:val="000000"/>
                <w:lang w:val="fr-FR"/>
              </w:rPr>
              <w:t>Techniques</w:t>
            </w: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Sélection et adoption des nouvelles technologies</w:t>
            </w:r>
          </w:p>
        </w:tc>
        <w:tc>
          <w:tcPr>
            <w:tcW w:w="5387" w:type="dxa"/>
            <w:vAlign w:val="center"/>
            <w:hideMark/>
          </w:tcPr>
          <w:p w:rsidR="00E772DD" w:rsidRPr="00734962" w:rsidRDefault="00E772DD" w:rsidP="002B7EB3">
            <w:pPr>
              <w:spacing w:line="276" w:lineRule="auto"/>
              <w:jc w:val="center"/>
              <w:rPr>
                <w:color w:val="000000"/>
                <w:lang w:val="fr-FR"/>
              </w:rPr>
            </w:pPr>
            <w:r w:rsidRPr="002B7EB3">
              <w:rPr>
                <w:color w:val="000000"/>
                <w:lang w:val="fr-FR"/>
              </w:rPr>
              <w:t>Le défi majeur réside dans la difficulté à choisir les technologies adaptées et à les intégrer efficacement dans l'infrastructure existante. Cela implique souvent des coûts élevés et un besoin constant d'évaluation des options technologiques.</w:t>
            </w:r>
          </w:p>
        </w:tc>
      </w:tr>
      <w:tr w:rsidR="00E772DD" w:rsidRPr="00427D18" w:rsidTr="002F5C80">
        <w:tc>
          <w:tcPr>
            <w:tcW w:w="1963" w:type="dxa"/>
            <w:vMerge/>
            <w:shd w:val="clear" w:color="auto" w:fill="D8DCD1"/>
            <w:vAlign w:val="center"/>
            <w:hideMark/>
          </w:tcPr>
          <w:p w:rsidR="00E772DD" w:rsidRPr="00734962" w:rsidRDefault="00E772DD" w:rsidP="002B7EB3">
            <w:pPr>
              <w:spacing w:line="276" w:lineRule="auto"/>
              <w:jc w:val="center"/>
              <w:rPr>
                <w:color w:val="000000"/>
                <w:lang w:val="fr-FR"/>
              </w:rPr>
            </w:pP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Maintenance et mise à jour des infrastructures informatiques</w:t>
            </w:r>
          </w:p>
        </w:tc>
        <w:tc>
          <w:tcPr>
            <w:tcW w:w="5387" w:type="dxa"/>
            <w:vAlign w:val="center"/>
            <w:hideMark/>
          </w:tcPr>
          <w:p w:rsidR="00E772DD" w:rsidRPr="00734962" w:rsidRDefault="00E772DD" w:rsidP="002B7EB3">
            <w:pPr>
              <w:spacing w:line="276" w:lineRule="auto"/>
              <w:jc w:val="center"/>
              <w:rPr>
                <w:color w:val="000000"/>
                <w:lang w:val="fr-FR"/>
              </w:rPr>
            </w:pPr>
            <w:r w:rsidRPr="002B7EB3">
              <w:rPr>
                <w:color w:val="000000"/>
                <w:lang w:val="fr-FR"/>
              </w:rPr>
              <w:t>Assurer la maintenance et la mise à jour régulière des systèmes représente un défi, car les technologies évoluent rapidement</w:t>
            </w:r>
            <w:r>
              <w:rPr>
                <w:color w:val="000000"/>
                <w:lang w:val="fr-FR"/>
              </w:rPr>
              <w:t xml:space="preserve"> .</w:t>
            </w:r>
          </w:p>
        </w:tc>
      </w:tr>
      <w:tr w:rsidR="00E772DD" w:rsidRPr="00427D18" w:rsidTr="002F5C80">
        <w:tc>
          <w:tcPr>
            <w:tcW w:w="1963" w:type="dxa"/>
            <w:vMerge w:val="restart"/>
            <w:shd w:val="clear" w:color="auto" w:fill="D8DCD1"/>
            <w:vAlign w:val="center"/>
            <w:hideMark/>
          </w:tcPr>
          <w:p w:rsidR="00E772DD" w:rsidRPr="00734962" w:rsidRDefault="00E772DD" w:rsidP="002B7EB3">
            <w:pPr>
              <w:spacing w:line="276" w:lineRule="auto"/>
              <w:jc w:val="center"/>
              <w:rPr>
                <w:color w:val="000000"/>
                <w:lang w:val="fr-FR"/>
              </w:rPr>
            </w:pPr>
            <w:r w:rsidRPr="00734962">
              <w:rPr>
                <w:b/>
                <w:bCs/>
                <w:color w:val="000000"/>
                <w:lang w:val="fr-FR"/>
              </w:rPr>
              <w:t>Humains</w:t>
            </w: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Formation et développement des compétences numériques</w:t>
            </w:r>
          </w:p>
        </w:tc>
        <w:tc>
          <w:tcPr>
            <w:tcW w:w="5387" w:type="dxa"/>
            <w:vAlign w:val="center"/>
            <w:hideMark/>
          </w:tcPr>
          <w:p w:rsidR="00E772DD" w:rsidRPr="00734962" w:rsidRDefault="00E772DD" w:rsidP="002B7EB3">
            <w:pPr>
              <w:spacing w:line="276" w:lineRule="auto"/>
              <w:jc w:val="center"/>
              <w:rPr>
                <w:color w:val="000000"/>
                <w:lang w:val="fr-FR"/>
              </w:rPr>
            </w:pPr>
            <w:r w:rsidRPr="002B7EB3">
              <w:rPr>
                <w:color w:val="000000"/>
                <w:lang w:val="fr-FR"/>
              </w:rPr>
              <w:t>Il faut non seulement adapter les programmes de formation, mais aussi surmonter les résistances au changement. De plus, la montée en compétences peut prendre du temps et des ressources considérables.</w:t>
            </w:r>
          </w:p>
        </w:tc>
      </w:tr>
      <w:tr w:rsidR="00E772DD" w:rsidRPr="00427D18" w:rsidTr="002F5C80">
        <w:tc>
          <w:tcPr>
            <w:tcW w:w="1963" w:type="dxa"/>
            <w:vMerge/>
            <w:shd w:val="clear" w:color="auto" w:fill="D8DCD1"/>
            <w:vAlign w:val="center"/>
            <w:hideMark/>
          </w:tcPr>
          <w:p w:rsidR="00E772DD" w:rsidRPr="00734962" w:rsidRDefault="00E772DD" w:rsidP="002B7EB3">
            <w:pPr>
              <w:spacing w:line="276" w:lineRule="auto"/>
              <w:jc w:val="center"/>
              <w:rPr>
                <w:color w:val="000000"/>
                <w:lang w:val="fr-FR"/>
              </w:rPr>
            </w:pP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Recrutement de talents spécialisés en digital</w:t>
            </w:r>
          </w:p>
        </w:tc>
        <w:tc>
          <w:tcPr>
            <w:tcW w:w="5387" w:type="dxa"/>
            <w:vAlign w:val="center"/>
            <w:hideMark/>
          </w:tcPr>
          <w:p w:rsidR="00E772DD" w:rsidRPr="00734962" w:rsidRDefault="00E772DD" w:rsidP="002B7EB3">
            <w:pPr>
              <w:spacing w:line="276" w:lineRule="auto"/>
              <w:jc w:val="center"/>
              <w:rPr>
                <w:color w:val="000000"/>
                <w:lang w:val="fr-FR"/>
              </w:rPr>
            </w:pPr>
            <w:r w:rsidRPr="002B7EB3">
              <w:rPr>
                <w:color w:val="000000"/>
                <w:lang w:val="fr-FR"/>
              </w:rPr>
              <w:t>Le marché des talents spécialisés en digital est compétitif, et attirer des experts dans des domaines spécifiques peut représenter un véritable défi. De plus, il peut être difficile de trouver des candidats qui correspondent exactement aux besoins de l'entreprise.</w:t>
            </w:r>
          </w:p>
        </w:tc>
      </w:tr>
      <w:tr w:rsidR="00E772DD" w:rsidRPr="00427D18" w:rsidTr="002F5C80">
        <w:tc>
          <w:tcPr>
            <w:tcW w:w="1963" w:type="dxa"/>
            <w:shd w:val="clear" w:color="auto" w:fill="D8DCD1"/>
            <w:vAlign w:val="center"/>
            <w:hideMark/>
          </w:tcPr>
          <w:p w:rsidR="00E772DD" w:rsidRPr="00734962" w:rsidRDefault="00E772DD" w:rsidP="00EC130A">
            <w:pPr>
              <w:spacing w:line="276" w:lineRule="auto"/>
              <w:rPr>
                <w:color w:val="000000"/>
                <w:lang w:val="fr-FR"/>
              </w:rPr>
            </w:pPr>
            <w:r w:rsidRPr="00734962">
              <w:rPr>
                <w:b/>
                <w:bCs/>
                <w:color w:val="000000"/>
                <w:lang w:val="fr-FR"/>
              </w:rPr>
              <w:t>Financiers</w:t>
            </w: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Financement de la transformation numérique</w:t>
            </w:r>
          </w:p>
        </w:tc>
        <w:tc>
          <w:tcPr>
            <w:tcW w:w="5387" w:type="dxa"/>
            <w:vAlign w:val="center"/>
            <w:hideMark/>
          </w:tcPr>
          <w:p w:rsidR="00E772DD" w:rsidRPr="00734962" w:rsidRDefault="00E772DD" w:rsidP="002B7EB3">
            <w:pPr>
              <w:spacing w:line="276" w:lineRule="auto"/>
              <w:jc w:val="center"/>
              <w:rPr>
                <w:color w:val="000000"/>
                <w:lang w:val="fr-FR"/>
              </w:rPr>
            </w:pPr>
            <w:r w:rsidRPr="00E177D5">
              <w:rPr>
                <w:color w:val="000000"/>
                <w:lang w:val="fr-FR"/>
              </w:rPr>
              <w:t>Le financement de la transformation numérique est souvent un obstacle pour les entreprises, en particulier pour les petites et moyennes entreprises. Les investissements nécessaires peuvent être lourds et difficiles à justifier sans un retour sur investissement rapide et visible.</w:t>
            </w:r>
          </w:p>
        </w:tc>
      </w:tr>
      <w:tr w:rsidR="00E772DD" w:rsidRPr="00427D18" w:rsidTr="002F5C80">
        <w:tc>
          <w:tcPr>
            <w:tcW w:w="1963" w:type="dxa"/>
            <w:vMerge w:val="restart"/>
            <w:shd w:val="clear" w:color="auto" w:fill="D8DCD1"/>
            <w:vAlign w:val="center"/>
            <w:hideMark/>
          </w:tcPr>
          <w:p w:rsidR="00E772DD" w:rsidRPr="00734962" w:rsidRDefault="00E772DD" w:rsidP="002B7EB3">
            <w:pPr>
              <w:spacing w:line="276" w:lineRule="auto"/>
              <w:jc w:val="center"/>
              <w:rPr>
                <w:color w:val="000000"/>
                <w:lang w:val="fr-FR"/>
              </w:rPr>
            </w:pPr>
            <w:r w:rsidRPr="00734962">
              <w:rPr>
                <w:b/>
                <w:bCs/>
                <w:color w:val="000000"/>
                <w:lang w:val="fr-FR"/>
              </w:rPr>
              <w:lastRenderedPageBreak/>
              <w:t>Juridiques et de conformité</w:t>
            </w: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Respect des normes spécifiques à chaque secteur</w:t>
            </w:r>
          </w:p>
        </w:tc>
        <w:tc>
          <w:tcPr>
            <w:tcW w:w="5387" w:type="dxa"/>
            <w:vAlign w:val="center"/>
            <w:hideMark/>
          </w:tcPr>
          <w:p w:rsidR="00E772DD" w:rsidRPr="00734962" w:rsidRDefault="00E772DD" w:rsidP="00E177D5">
            <w:pPr>
              <w:spacing w:line="276" w:lineRule="auto"/>
              <w:jc w:val="center"/>
              <w:rPr>
                <w:color w:val="000000"/>
                <w:lang w:val="fr-FR"/>
              </w:rPr>
            </w:pPr>
            <w:r w:rsidRPr="00E177D5">
              <w:rPr>
                <w:color w:val="000000"/>
                <w:lang w:val="fr-FR"/>
              </w:rPr>
              <w:t>Les exigences réglementaires varient selon les secteurs. Les entreprises doivent s'assurer de respecter une multitude de normes locales et internationales, ce qui peut compliquer l’intégration de solutions numériques adaptées à un cadre légal strict.</w:t>
            </w:r>
          </w:p>
        </w:tc>
      </w:tr>
      <w:tr w:rsidR="00E772DD" w:rsidRPr="00427D18" w:rsidTr="002F5C80">
        <w:tc>
          <w:tcPr>
            <w:tcW w:w="1963" w:type="dxa"/>
            <w:vMerge/>
            <w:shd w:val="clear" w:color="auto" w:fill="D8DCD1"/>
            <w:vAlign w:val="center"/>
            <w:hideMark/>
          </w:tcPr>
          <w:p w:rsidR="00E772DD" w:rsidRPr="00734962" w:rsidRDefault="00E772DD" w:rsidP="002B7EB3">
            <w:pPr>
              <w:spacing w:line="276" w:lineRule="auto"/>
              <w:jc w:val="center"/>
              <w:rPr>
                <w:color w:val="000000"/>
                <w:lang w:val="fr-FR"/>
              </w:rPr>
            </w:pP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Conformité aux lois sur la protection des données</w:t>
            </w:r>
          </w:p>
        </w:tc>
        <w:tc>
          <w:tcPr>
            <w:tcW w:w="5387" w:type="dxa"/>
            <w:vAlign w:val="center"/>
            <w:hideMark/>
          </w:tcPr>
          <w:p w:rsidR="00E772DD" w:rsidRPr="00734962" w:rsidRDefault="00E772DD" w:rsidP="00E177D5">
            <w:pPr>
              <w:spacing w:line="276" w:lineRule="auto"/>
              <w:jc w:val="center"/>
              <w:rPr>
                <w:color w:val="000000"/>
                <w:lang w:val="fr-FR"/>
              </w:rPr>
            </w:pPr>
            <w:r w:rsidRPr="00E177D5">
              <w:rPr>
                <w:color w:val="000000"/>
                <w:lang w:val="fr-FR"/>
              </w:rPr>
              <w:t>La conformité avec des régulations comme le RGPD pose un défi complexe, nécessitant une gestion rigoureuse des données personnelles. Les entreprises doivent s’assurer que leurs pratiques de traitement des données respectent les exigences légales, sous peine de sanctions sévères.</w:t>
            </w:r>
          </w:p>
        </w:tc>
      </w:tr>
      <w:tr w:rsidR="00E772DD" w:rsidRPr="00427D18" w:rsidTr="002F5C80">
        <w:tc>
          <w:tcPr>
            <w:tcW w:w="1963" w:type="dxa"/>
            <w:vMerge w:val="restart"/>
            <w:shd w:val="clear" w:color="auto" w:fill="D8DCD1"/>
            <w:vAlign w:val="center"/>
            <w:hideMark/>
          </w:tcPr>
          <w:p w:rsidR="00E772DD" w:rsidRDefault="00E772DD" w:rsidP="002B7EB3">
            <w:pPr>
              <w:spacing w:line="276" w:lineRule="auto"/>
              <w:jc w:val="center"/>
              <w:rPr>
                <w:b/>
                <w:bCs/>
                <w:color w:val="000000"/>
                <w:lang w:val="fr-FR"/>
              </w:rPr>
            </w:pPr>
          </w:p>
          <w:p w:rsidR="00E772DD" w:rsidRDefault="00E772DD" w:rsidP="002B7EB3">
            <w:pPr>
              <w:spacing w:line="276" w:lineRule="auto"/>
              <w:jc w:val="center"/>
              <w:rPr>
                <w:b/>
                <w:bCs/>
                <w:color w:val="000000"/>
                <w:lang w:val="fr-FR"/>
              </w:rPr>
            </w:pPr>
          </w:p>
          <w:p w:rsidR="00E772DD" w:rsidRDefault="00E772DD" w:rsidP="002B7EB3">
            <w:pPr>
              <w:spacing w:line="276" w:lineRule="auto"/>
              <w:jc w:val="center"/>
              <w:rPr>
                <w:b/>
                <w:bCs/>
                <w:color w:val="000000"/>
                <w:lang w:val="fr-FR"/>
              </w:rPr>
            </w:pPr>
          </w:p>
          <w:p w:rsidR="00E772DD" w:rsidRDefault="00E772DD" w:rsidP="002B7EB3">
            <w:pPr>
              <w:spacing w:line="276" w:lineRule="auto"/>
              <w:jc w:val="center"/>
              <w:rPr>
                <w:color w:val="000000"/>
                <w:lang w:val="fr-FR"/>
              </w:rPr>
            </w:pPr>
            <w:r w:rsidRPr="00734962">
              <w:rPr>
                <w:b/>
                <w:bCs/>
                <w:color w:val="000000"/>
                <w:lang w:val="fr-FR"/>
              </w:rPr>
              <w:t>S</w:t>
            </w:r>
            <w:r>
              <w:rPr>
                <w:b/>
                <w:bCs/>
                <w:color w:val="000000"/>
                <w:lang w:val="fr-FR"/>
              </w:rPr>
              <w:t>écurité</w:t>
            </w:r>
          </w:p>
          <w:p w:rsidR="00E772DD" w:rsidRDefault="00E772DD" w:rsidP="002B7EB3">
            <w:pPr>
              <w:spacing w:line="276" w:lineRule="auto"/>
              <w:jc w:val="center"/>
              <w:rPr>
                <w:color w:val="000000"/>
                <w:lang w:val="fr-FR"/>
              </w:rPr>
            </w:pPr>
          </w:p>
          <w:p w:rsidR="00E772DD" w:rsidRDefault="00E772DD" w:rsidP="002B7EB3">
            <w:pPr>
              <w:spacing w:line="276" w:lineRule="auto"/>
              <w:jc w:val="center"/>
              <w:rPr>
                <w:color w:val="000000"/>
                <w:lang w:val="fr-FR"/>
              </w:rPr>
            </w:pPr>
          </w:p>
          <w:p w:rsidR="00E772DD" w:rsidRDefault="00E772DD" w:rsidP="002B7EB3">
            <w:pPr>
              <w:spacing w:line="276" w:lineRule="auto"/>
              <w:jc w:val="center"/>
              <w:rPr>
                <w:color w:val="000000"/>
                <w:lang w:val="fr-FR"/>
              </w:rPr>
            </w:pPr>
          </w:p>
          <w:p w:rsidR="00E772DD" w:rsidRPr="00734962" w:rsidRDefault="00E772DD" w:rsidP="002B7EB3">
            <w:pPr>
              <w:spacing w:line="276" w:lineRule="auto"/>
              <w:jc w:val="center"/>
              <w:rPr>
                <w:lang w:val="fr-FR"/>
              </w:rPr>
            </w:pP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Sécurisation des transactions numériques</w:t>
            </w:r>
          </w:p>
        </w:tc>
        <w:tc>
          <w:tcPr>
            <w:tcW w:w="5387" w:type="dxa"/>
            <w:vAlign w:val="center"/>
            <w:hideMark/>
          </w:tcPr>
          <w:p w:rsidR="00E772DD" w:rsidRPr="00734962" w:rsidRDefault="00E772DD" w:rsidP="00E177D5">
            <w:pPr>
              <w:spacing w:line="276" w:lineRule="auto"/>
              <w:jc w:val="center"/>
              <w:rPr>
                <w:color w:val="000000"/>
                <w:lang w:val="fr-FR"/>
              </w:rPr>
            </w:pPr>
            <w:r w:rsidRPr="00E177D5">
              <w:rPr>
                <w:color w:val="000000"/>
                <w:lang w:val="fr-FR"/>
              </w:rPr>
              <w:t>Garantir la sécurité des transactions en ligne est un défi pour prévenir la fraude, surtout dans un environnement numérique en constante évolution. L’implémentation de technologies de sécurité adéquates pour chaque type de transaction est essentielle.</w:t>
            </w:r>
          </w:p>
        </w:tc>
      </w:tr>
      <w:tr w:rsidR="00E772DD" w:rsidRPr="00427D18" w:rsidTr="002F5C80">
        <w:tc>
          <w:tcPr>
            <w:tcW w:w="1963" w:type="dxa"/>
            <w:vMerge/>
            <w:shd w:val="clear" w:color="auto" w:fill="D8DCD1"/>
            <w:vAlign w:val="center"/>
            <w:hideMark/>
          </w:tcPr>
          <w:p w:rsidR="00E772DD" w:rsidRPr="00734962" w:rsidRDefault="00E772DD" w:rsidP="002B7EB3">
            <w:pPr>
              <w:spacing w:line="276" w:lineRule="auto"/>
              <w:jc w:val="center"/>
              <w:rPr>
                <w:color w:val="000000"/>
                <w:lang w:val="fr-FR"/>
              </w:rPr>
            </w:pP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Protection contre les cyberattaques</w:t>
            </w:r>
          </w:p>
        </w:tc>
        <w:tc>
          <w:tcPr>
            <w:tcW w:w="5387" w:type="dxa"/>
            <w:vAlign w:val="center"/>
            <w:hideMark/>
          </w:tcPr>
          <w:p w:rsidR="00E772DD" w:rsidRPr="00734962" w:rsidRDefault="00E772DD" w:rsidP="00E177D5">
            <w:pPr>
              <w:spacing w:line="276" w:lineRule="auto"/>
              <w:jc w:val="center"/>
              <w:rPr>
                <w:color w:val="000000"/>
                <w:lang w:val="fr-FR"/>
              </w:rPr>
            </w:pPr>
            <w:r w:rsidRPr="00E177D5">
              <w:rPr>
                <w:color w:val="000000"/>
                <w:lang w:val="fr-FR"/>
              </w:rPr>
              <w:t>Le défi majeur ici est de se prémunir contre une multitude de menaces évolutives, comme les ransomwares ou les attaques par phishing. Cela nécessite des investissements continus en cybersécurité, ainsi qu’une vigilance constante pour protéger les données de l'entreprise et des clients.</w:t>
            </w:r>
          </w:p>
        </w:tc>
      </w:tr>
      <w:tr w:rsidR="00E772DD" w:rsidRPr="00427D18" w:rsidTr="002F5C80">
        <w:tc>
          <w:tcPr>
            <w:tcW w:w="1963" w:type="dxa"/>
            <w:vMerge w:val="restart"/>
            <w:shd w:val="clear" w:color="auto" w:fill="D8DCD1"/>
            <w:vAlign w:val="center"/>
            <w:hideMark/>
          </w:tcPr>
          <w:p w:rsidR="00E772DD" w:rsidRPr="00734962" w:rsidRDefault="00E772DD" w:rsidP="002B7EB3">
            <w:pPr>
              <w:spacing w:line="276" w:lineRule="auto"/>
              <w:jc w:val="center"/>
              <w:rPr>
                <w:color w:val="000000"/>
                <w:lang w:val="fr-FR"/>
              </w:rPr>
            </w:pPr>
            <w:r w:rsidRPr="00734962">
              <w:rPr>
                <w:b/>
                <w:bCs/>
                <w:color w:val="000000"/>
                <w:lang w:val="fr-FR"/>
              </w:rPr>
              <w:t>Communication et marketing</w:t>
            </w: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Gestion de la présence numérique et de l'e-réputation</w:t>
            </w:r>
          </w:p>
        </w:tc>
        <w:tc>
          <w:tcPr>
            <w:tcW w:w="5387" w:type="dxa"/>
            <w:vAlign w:val="center"/>
            <w:hideMark/>
          </w:tcPr>
          <w:p w:rsidR="00E772DD" w:rsidRPr="00734962" w:rsidRDefault="00E772DD" w:rsidP="002B7EB3">
            <w:pPr>
              <w:spacing w:line="276" w:lineRule="auto"/>
              <w:jc w:val="center"/>
              <w:rPr>
                <w:color w:val="000000"/>
                <w:lang w:val="fr-FR"/>
              </w:rPr>
            </w:pPr>
            <w:r w:rsidRPr="00E177D5">
              <w:rPr>
                <w:color w:val="000000"/>
                <w:lang w:val="fr-FR"/>
              </w:rPr>
              <w:t>Maintenir une e-réputation positive est complexe, car les avis en ligne, les critiques et les crises de communication peuvent avoir un impact direct sur la perception de la marque. La gestion proactive de l’image numérique devient un défi à grande échelle.</w:t>
            </w:r>
          </w:p>
        </w:tc>
      </w:tr>
      <w:tr w:rsidR="00E772DD" w:rsidRPr="00427D18" w:rsidTr="002F5C80">
        <w:tc>
          <w:tcPr>
            <w:tcW w:w="1963" w:type="dxa"/>
            <w:vMerge/>
            <w:shd w:val="clear" w:color="auto" w:fill="D8DCD1"/>
            <w:vAlign w:val="center"/>
            <w:hideMark/>
          </w:tcPr>
          <w:p w:rsidR="00E772DD" w:rsidRPr="00734962" w:rsidRDefault="00E772DD" w:rsidP="002B7EB3">
            <w:pPr>
              <w:spacing w:line="276" w:lineRule="auto"/>
              <w:jc w:val="center"/>
              <w:rPr>
                <w:color w:val="000000"/>
                <w:lang w:val="fr-FR"/>
              </w:rPr>
            </w:pPr>
          </w:p>
        </w:tc>
        <w:tc>
          <w:tcPr>
            <w:tcW w:w="2148" w:type="dxa"/>
            <w:vAlign w:val="center"/>
            <w:hideMark/>
          </w:tcPr>
          <w:p w:rsidR="00E772DD" w:rsidRPr="00734962" w:rsidRDefault="00E772DD" w:rsidP="002B7EB3">
            <w:pPr>
              <w:spacing w:line="276" w:lineRule="auto"/>
              <w:jc w:val="center"/>
              <w:rPr>
                <w:color w:val="000000"/>
                <w:lang w:val="fr-FR"/>
              </w:rPr>
            </w:pPr>
            <w:r w:rsidRPr="00734962">
              <w:rPr>
                <w:color w:val="000000"/>
                <w:lang w:val="fr-FR"/>
              </w:rPr>
              <w:t>Développement des stratégies de marketing digital</w:t>
            </w:r>
          </w:p>
        </w:tc>
        <w:tc>
          <w:tcPr>
            <w:tcW w:w="5387" w:type="dxa"/>
            <w:vAlign w:val="center"/>
            <w:hideMark/>
          </w:tcPr>
          <w:p w:rsidR="00E772DD" w:rsidRPr="00734962" w:rsidRDefault="00E772DD" w:rsidP="002B7EB3">
            <w:pPr>
              <w:spacing w:line="276" w:lineRule="auto"/>
              <w:jc w:val="center"/>
              <w:rPr>
                <w:color w:val="000000"/>
                <w:lang w:val="fr-FR"/>
              </w:rPr>
            </w:pPr>
            <w:r w:rsidRPr="00E177D5">
              <w:rPr>
                <w:color w:val="000000"/>
                <w:lang w:val="fr-FR"/>
              </w:rPr>
              <w:t>Le défi ici est de comprendre comment exploiter les outils numériques pour atteindre efficacement son public cible. La diversité des plateformes numériques rend complexe le choix des canaux et des méthodes les plus efficaces pour capter et fidéliser les clients.</w:t>
            </w:r>
          </w:p>
        </w:tc>
      </w:tr>
    </w:tbl>
    <w:p w:rsidR="005D7C22" w:rsidRPr="008A5941" w:rsidRDefault="00E772DD" w:rsidP="005D7C22">
      <w:pPr>
        <w:pStyle w:val="NormalWeb"/>
        <w:spacing w:line="360" w:lineRule="auto"/>
        <w:jc w:val="center"/>
        <w:rPr>
          <w:color w:val="000000"/>
          <w:lang w:val="en-US"/>
        </w:rPr>
      </w:pPr>
      <w:r w:rsidRPr="005B2A02">
        <w:rPr>
          <w:b/>
          <w:bCs/>
          <w:color w:val="000000"/>
          <w:lang w:val="fr-FR"/>
        </w:rPr>
        <w:t xml:space="preserve">Source : </w:t>
      </w:r>
      <w:r w:rsidR="004D5FD6" w:rsidRPr="004D5FD6">
        <w:t>Kwark Education. (13 février 2024). Enjeux de la digitalisation : les 9 aspects cruciaux à considérer en 2024. Kwark Education. https://kwark.education/blog/enjeux-de-la-digitalisation-les-9-aspects-cruciaux-a-considerer-en-2024</w:t>
      </w:r>
    </w:p>
    <w:p w:rsidR="00E772DD" w:rsidRPr="008317D2" w:rsidRDefault="00E772DD" w:rsidP="00172BCB">
      <w:pPr>
        <w:pStyle w:val="NormalWeb"/>
        <w:spacing w:line="360" w:lineRule="auto"/>
        <w:jc w:val="both"/>
        <w:rPr>
          <w:color w:val="000000"/>
          <w:lang w:val="fr-FR"/>
        </w:rPr>
      </w:pPr>
      <w:r w:rsidRPr="008317D2">
        <w:rPr>
          <w:color w:val="000000"/>
          <w:lang w:val="fr-FR"/>
        </w:rPr>
        <w:t xml:space="preserve">La digitalisation, ancrée dans un contexte théorique solide et une riche histoire d’évolution technologique, se décline aujourd’hui en plusieurs formes de transformation digitale qui impactent l’ensemble des fonctions de l’entreprise. Son intégration progressive au sein des </w:t>
      </w:r>
      <w:r w:rsidRPr="008317D2">
        <w:rPr>
          <w:color w:val="000000"/>
          <w:lang w:val="fr-FR"/>
        </w:rPr>
        <w:lastRenderedPageBreak/>
        <w:t>organisations, facilitée par des outils essentiels, modifie profondément les modes de travail, les processus et les stratégies. Ainsi, la digitalisation apparaît comme un levier stratégique incontournable pour répondre aux défis contemporains et assurer la compétitivité et la pérennité des entreprises.</w:t>
      </w:r>
    </w:p>
    <w:p w:rsidR="00E772DD" w:rsidRDefault="00E772DD" w:rsidP="00172BCB">
      <w:pPr>
        <w:pStyle w:val="NormalWeb"/>
        <w:spacing w:line="360" w:lineRule="auto"/>
        <w:jc w:val="both"/>
        <w:rPr>
          <w:b/>
          <w:bCs/>
          <w:color w:val="000000"/>
          <w:lang w:val="fr-FR"/>
        </w:rPr>
      </w:pPr>
    </w:p>
    <w:p w:rsidR="00E772DD" w:rsidRDefault="00E772DD"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6F7623" w:rsidRDefault="006F7623" w:rsidP="00172BCB">
      <w:pPr>
        <w:pStyle w:val="NormalWeb"/>
        <w:spacing w:line="360" w:lineRule="auto"/>
        <w:jc w:val="both"/>
        <w:rPr>
          <w:b/>
          <w:bCs/>
          <w:color w:val="000000"/>
          <w:lang w:val="fr-FR"/>
        </w:rPr>
      </w:pPr>
    </w:p>
    <w:p w:rsidR="00E772DD" w:rsidRDefault="00E772DD" w:rsidP="00FE6A36">
      <w:pPr>
        <w:pStyle w:val="NormalWeb"/>
        <w:spacing w:after="0" w:afterAutospacing="0" w:line="360" w:lineRule="auto"/>
        <w:jc w:val="both"/>
        <w:rPr>
          <w:b/>
          <w:bCs/>
          <w:color w:val="000000"/>
          <w:lang w:val="fr-FR"/>
        </w:rPr>
      </w:pPr>
    </w:p>
    <w:p w:rsidR="00E772DD" w:rsidRPr="00194E42" w:rsidRDefault="00E772DD" w:rsidP="00194E42">
      <w:pPr>
        <w:pStyle w:val="Titre3"/>
        <w:rPr>
          <w:sz w:val="28"/>
          <w:szCs w:val="28"/>
          <w:lang w:val="fr-FR"/>
        </w:rPr>
      </w:pPr>
      <w:bookmarkStart w:id="1349" w:name="_Toc200486694"/>
      <w:bookmarkStart w:id="1350" w:name="_Toc200635470"/>
      <w:bookmarkStart w:id="1351" w:name="_Toc200635858"/>
      <w:bookmarkStart w:id="1352" w:name="_Toc200636247"/>
      <w:bookmarkStart w:id="1353" w:name="_Toc200755984"/>
      <w:r w:rsidRPr="00194E42">
        <w:rPr>
          <w:sz w:val="28"/>
          <w:szCs w:val="28"/>
          <w:lang w:val="fr-FR"/>
        </w:rPr>
        <w:lastRenderedPageBreak/>
        <w:t>Section 2 : La digitalisation de la gestion des ressources humaines</w:t>
      </w:r>
      <w:bookmarkEnd w:id="1349"/>
      <w:bookmarkEnd w:id="1350"/>
      <w:bookmarkEnd w:id="1351"/>
      <w:bookmarkEnd w:id="1352"/>
      <w:bookmarkEnd w:id="1353"/>
    </w:p>
    <w:p w:rsidR="00E772DD" w:rsidRPr="00FE6A36" w:rsidRDefault="00E772DD" w:rsidP="00FE6A36">
      <w:pPr>
        <w:pStyle w:val="NormalWeb"/>
        <w:spacing w:before="0" w:beforeAutospacing="0" w:after="0" w:afterAutospacing="0" w:line="360" w:lineRule="auto"/>
        <w:jc w:val="both"/>
        <w:rPr>
          <w:color w:val="000000"/>
          <w:lang w:val="fr-FR"/>
        </w:rPr>
      </w:pPr>
      <w:r w:rsidRPr="00FE6A36">
        <w:rPr>
          <w:color w:val="000000"/>
          <w:lang w:val="fr-FR"/>
        </w:rPr>
        <w:t>La transformation digitale est désormais un élément central des stratégies d’entreprise, influençant profondément tous les domaines de gestion, y compris celui des ressources humaines (GRH). La digitalisation de la GRH se traduit par l’intégration des outils technologiques dans l’ensemble des processus liés à la gestion du personnel, couvrant des aspects tels que le recrutement, le développement des compétences, la formation, l’évaluation des performances et l’administration des employés.</w:t>
      </w:r>
    </w:p>
    <w:p w:rsidR="00E772DD" w:rsidRPr="00FE6A36" w:rsidRDefault="00E772DD" w:rsidP="00FE6A36">
      <w:pPr>
        <w:pStyle w:val="NormalWeb"/>
        <w:spacing w:before="0" w:beforeAutospacing="0" w:line="360" w:lineRule="auto"/>
        <w:jc w:val="both"/>
        <w:rPr>
          <w:color w:val="000000"/>
          <w:lang w:val="fr-FR"/>
        </w:rPr>
      </w:pPr>
      <w:r w:rsidRPr="00FE6A36">
        <w:rPr>
          <w:color w:val="000000"/>
          <w:lang w:val="fr-FR"/>
        </w:rPr>
        <w:t>L’émergence de technologies avancées, comme l’intelligence artificielle, le big data et les logiciels de gestion intégrée (SIRH – Système d’Information des Ressources Humaines), ouvre de nouvelles perspectives aux entreprises pour améliorer leurs pratiques RH. L’automatisation des tâches administratives, l’amélioration de l’expérience collaborateur et l’aide à la prise de décision grâce à l’exploitation des données sont autant d’avantages qui permettent aux organisations de renforcer leur performance et leur réactivité.</w:t>
      </w:r>
    </w:p>
    <w:p w:rsidR="00E772DD" w:rsidRPr="00BC76B5" w:rsidRDefault="00E772DD" w:rsidP="004D32AC">
      <w:pPr>
        <w:pStyle w:val="Titre3"/>
        <w:numPr>
          <w:ilvl w:val="1"/>
          <w:numId w:val="69"/>
        </w:numPr>
        <w:rPr>
          <w:sz w:val="24"/>
          <w:szCs w:val="24"/>
          <w:lang w:val="fr-FR"/>
        </w:rPr>
      </w:pPr>
      <w:bookmarkStart w:id="1354" w:name="_Toc199714416"/>
      <w:bookmarkStart w:id="1355" w:name="_Toc200486695"/>
      <w:bookmarkStart w:id="1356" w:name="_Toc200635471"/>
      <w:bookmarkStart w:id="1357" w:name="_Toc200635859"/>
      <w:bookmarkStart w:id="1358" w:name="_Toc200636248"/>
      <w:bookmarkStart w:id="1359" w:name="_Toc200755985"/>
      <w:r w:rsidRPr="00BC76B5">
        <w:rPr>
          <w:sz w:val="24"/>
          <w:szCs w:val="24"/>
          <w:lang w:val="fr-FR"/>
        </w:rPr>
        <w:t>Définition de la digitalisation de la gestion des ressources humaines</w:t>
      </w:r>
      <w:bookmarkEnd w:id="1354"/>
      <w:bookmarkEnd w:id="1355"/>
      <w:bookmarkEnd w:id="1356"/>
      <w:bookmarkEnd w:id="1357"/>
      <w:bookmarkEnd w:id="1358"/>
      <w:bookmarkEnd w:id="1359"/>
      <w:r w:rsidRPr="00BC76B5">
        <w:rPr>
          <w:sz w:val="24"/>
          <w:szCs w:val="24"/>
          <w:lang w:val="fr-FR"/>
        </w:rPr>
        <w:t xml:space="preserve"> </w:t>
      </w:r>
    </w:p>
    <w:p w:rsidR="00E772DD" w:rsidRPr="00C978F7" w:rsidRDefault="00E772DD" w:rsidP="00C978F7">
      <w:pPr>
        <w:pStyle w:val="NormalWeb"/>
        <w:spacing w:before="0" w:beforeAutospacing="0" w:after="0" w:afterAutospacing="0" w:line="360" w:lineRule="auto"/>
        <w:jc w:val="both"/>
        <w:rPr>
          <w:color w:val="000000"/>
          <w:lang w:val="fr-FR"/>
        </w:rPr>
      </w:pPr>
      <w:r w:rsidRPr="00C978F7">
        <w:rPr>
          <w:color w:val="000000"/>
          <w:lang w:val="fr-FR"/>
        </w:rPr>
        <w:t>Avant d’aborder la notion de digitalisation de la gestion des ressources humaines (GRH), il est pertinent de rappeler</w:t>
      </w:r>
      <w:r>
        <w:rPr>
          <w:color w:val="000000"/>
          <w:lang w:val="fr-FR"/>
        </w:rPr>
        <w:t xml:space="preserve"> </w:t>
      </w:r>
      <w:r w:rsidRPr="00C978F7">
        <w:rPr>
          <w:color w:val="000000"/>
          <w:lang w:val="fr-FR"/>
        </w:rPr>
        <w:t>que chaque auteur propose une vision différente en fonction de son champ d’étude et de son approche. Ainsi, plusieurs définitions académiques permettent de mieux appréhender ce concept.</w:t>
      </w:r>
    </w:p>
    <w:p w:rsidR="00E772DD" w:rsidRDefault="00E772DD" w:rsidP="004D32AC">
      <w:pPr>
        <w:pStyle w:val="NormalWeb"/>
        <w:numPr>
          <w:ilvl w:val="0"/>
          <w:numId w:val="70"/>
        </w:numPr>
        <w:spacing w:line="360" w:lineRule="auto"/>
        <w:jc w:val="both"/>
        <w:rPr>
          <w:color w:val="000000"/>
          <w:lang w:val="fr-FR"/>
        </w:rPr>
      </w:pPr>
      <w:r w:rsidRPr="002F0202">
        <w:rPr>
          <w:b/>
          <w:bCs/>
          <w:color w:val="000000"/>
          <w:lang w:val="fr-FR"/>
        </w:rPr>
        <w:t xml:space="preserve">Une mutation </w:t>
      </w:r>
      <w:r>
        <w:rPr>
          <w:b/>
          <w:bCs/>
          <w:color w:val="000000"/>
          <w:lang w:val="fr-FR"/>
        </w:rPr>
        <w:t xml:space="preserve">digitale </w:t>
      </w:r>
      <w:r w:rsidRPr="002F0202">
        <w:rPr>
          <w:b/>
          <w:bCs/>
          <w:color w:val="000000"/>
          <w:lang w:val="fr-FR"/>
        </w:rPr>
        <w:t>au cœur des RH</w:t>
      </w:r>
      <w:r w:rsidRPr="00B30AB5">
        <w:rPr>
          <w:b/>
          <w:bCs/>
          <w:color w:val="000000"/>
          <w:lang w:val="fr-FR"/>
        </w:rPr>
        <w:t>:</w:t>
      </w:r>
      <w:r>
        <w:rPr>
          <w:color w:val="000000"/>
          <w:lang w:val="fr-FR"/>
        </w:rPr>
        <w:t xml:space="preserve"> Elle </w:t>
      </w:r>
      <w:r w:rsidRPr="00422342">
        <w:rPr>
          <w:color w:val="000000"/>
          <w:lang w:val="fr-FR"/>
        </w:rPr>
        <w:t>désigne l’intégration des technologies numériques dans les processus de gestion des ressources humaines afin d’améliorer leur efficacité, leur rapidité et leur précision. Elle inclut l'automatisation des tâches administratives, l'utilisation d'outils analytiques pour la prise de décision et l'optimisation de l'expérience employé.</w:t>
      </w:r>
      <w:r>
        <w:rPr>
          <w:rStyle w:val="Appelnotedebasdep"/>
          <w:color w:val="000000"/>
          <w:lang w:val="fr-FR"/>
        </w:rPr>
        <w:footnoteReference w:id="240"/>
      </w:r>
      <w:r w:rsidRPr="00422342">
        <w:rPr>
          <w:color w:val="000000"/>
          <w:lang w:val="fr-FR"/>
        </w:rPr>
        <w:t xml:space="preserve"> </w:t>
      </w:r>
    </w:p>
    <w:p w:rsidR="00E772DD" w:rsidRPr="00C978F7" w:rsidRDefault="00E772DD" w:rsidP="004D32AC">
      <w:pPr>
        <w:pStyle w:val="NormalWeb"/>
        <w:numPr>
          <w:ilvl w:val="0"/>
          <w:numId w:val="70"/>
        </w:numPr>
        <w:spacing w:line="360" w:lineRule="auto"/>
        <w:jc w:val="both"/>
        <w:rPr>
          <w:color w:val="000000"/>
          <w:lang w:val="fr-FR"/>
        </w:rPr>
      </w:pPr>
      <w:r w:rsidRPr="002F0202">
        <w:rPr>
          <w:b/>
          <w:bCs/>
          <w:color w:val="000000"/>
          <w:lang w:val="fr-FR"/>
        </w:rPr>
        <w:t>Une révolution au service des employés :</w:t>
      </w:r>
      <w:r>
        <w:rPr>
          <w:color w:val="000000"/>
          <w:lang w:val="fr-FR"/>
        </w:rPr>
        <w:t xml:space="preserve"> la </w:t>
      </w:r>
      <w:r w:rsidRPr="00C978F7">
        <w:rPr>
          <w:color w:val="000000"/>
          <w:lang w:val="fr-FR"/>
        </w:rPr>
        <w:t>digitalisation des RH comme un levier stratégique améliore l’expérience des employés à travers des outils numériques interactifs. Ils insistent sur l’importance des plateformes collaboratives, des applications mobiles et des systèmes prédictifs qui personnalisent le parcours professionnel des travailleurs</w:t>
      </w:r>
      <w:r>
        <w:rPr>
          <w:color w:val="000000"/>
          <w:lang w:val="fr-FR"/>
        </w:rPr>
        <w:t>.</w:t>
      </w:r>
      <w:r>
        <w:rPr>
          <w:rStyle w:val="Appelnotedebasdep"/>
          <w:color w:val="000000"/>
          <w:lang w:val="fr-FR"/>
        </w:rPr>
        <w:footnoteReference w:id="241"/>
      </w:r>
      <w:r w:rsidRPr="00C978F7">
        <w:rPr>
          <w:color w:val="000000"/>
          <w:lang w:val="fr-FR"/>
        </w:rPr>
        <w:t xml:space="preserve"> </w:t>
      </w:r>
    </w:p>
    <w:p w:rsidR="00E772DD" w:rsidRPr="00C978F7" w:rsidRDefault="00E772DD" w:rsidP="004D32AC">
      <w:pPr>
        <w:pStyle w:val="NormalWeb"/>
        <w:numPr>
          <w:ilvl w:val="0"/>
          <w:numId w:val="70"/>
        </w:numPr>
        <w:spacing w:line="360" w:lineRule="auto"/>
        <w:jc w:val="both"/>
        <w:rPr>
          <w:color w:val="000000"/>
          <w:lang w:val="fr-FR"/>
        </w:rPr>
      </w:pPr>
      <w:r w:rsidRPr="002F0202">
        <w:rPr>
          <w:b/>
          <w:bCs/>
          <w:color w:val="000000"/>
          <w:lang w:val="fr-FR"/>
        </w:rPr>
        <w:lastRenderedPageBreak/>
        <w:t xml:space="preserve">Une approche innovante pour une gestion </w:t>
      </w:r>
      <w:r>
        <w:rPr>
          <w:b/>
          <w:bCs/>
          <w:color w:val="000000"/>
          <w:lang w:val="fr-FR"/>
        </w:rPr>
        <w:t xml:space="preserve">efficace :  </w:t>
      </w:r>
      <w:r w:rsidRPr="002F0202">
        <w:rPr>
          <w:color w:val="000000"/>
          <w:lang w:val="fr-FR"/>
        </w:rPr>
        <w:t xml:space="preserve">La digitalisation de la gestion des ressources humaines repose sur trois axes fondamentaux, à savoir l’automatisation des tâches récurrentes, la dématérialisation des documents et l’utilisation d’outils analytiques pour une gestion optimisée </w:t>
      </w:r>
      <w:r>
        <w:rPr>
          <w:color w:val="000000"/>
          <w:lang w:val="fr-FR"/>
        </w:rPr>
        <w:t xml:space="preserve">de la GRH </w:t>
      </w:r>
      <w:r w:rsidRPr="002F0202">
        <w:rPr>
          <w:color w:val="000000"/>
          <w:lang w:val="fr-FR"/>
        </w:rPr>
        <w:t>. Ces avancées permettent aux entreprises d’optimiser l’allocation des ressources et d’adopter une approche proactive dans la gestion des compétences.</w:t>
      </w:r>
      <w:r w:rsidRPr="002F0202">
        <w:rPr>
          <w:rStyle w:val="Appelnotedebasdep"/>
          <w:color w:val="000000"/>
          <w:lang w:val="fr-FR"/>
        </w:rPr>
        <w:footnoteReference w:id="242"/>
      </w:r>
      <w:r w:rsidRPr="00C978F7">
        <w:rPr>
          <w:color w:val="000000"/>
          <w:lang w:val="fr-FR"/>
        </w:rPr>
        <w:t xml:space="preserve"> </w:t>
      </w:r>
    </w:p>
    <w:p w:rsidR="00E772DD" w:rsidRPr="00C978F7" w:rsidRDefault="00E772DD" w:rsidP="004D32AC">
      <w:pPr>
        <w:pStyle w:val="NormalWeb"/>
        <w:numPr>
          <w:ilvl w:val="0"/>
          <w:numId w:val="70"/>
        </w:numPr>
        <w:spacing w:after="0" w:afterAutospacing="0" w:line="360" w:lineRule="auto"/>
        <w:jc w:val="both"/>
        <w:rPr>
          <w:color w:val="000000"/>
          <w:lang w:val="fr-FR"/>
        </w:rPr>
      </w:pPr>
      <w:r w:rsidRPr="002F0202">
        <w:rPr>
          <w:b/>
          <w:bCs/>
          <w:color w:val="000000"/>
          <w:lang w:val="fr-FR"/>
        </w:rPr>
        <w:t>Un changement durable des pratiques managériales :</w:t>
      </w:r>
      <w:r>
        <w:rPr>
          <w:color w:val="000000"/>
          <w:lang w:val="fr-FR"/>
        </w:rPr>
        <w:t xml:space="preserve"> La digitalisation de la GRH </w:t>
      </w:r>
      <w:r w:rsidRPr="00C978F7">
        <w:rPr>
          <w:color w:val="000000"/>
          <w:lang w:val="fr-FR"/>
        </w:rPr>
        <w:t>constitue un processus évolutif qui transforme la relation entre l’entreprise et ses employés. Grâce aux avancées en intelligence artificielle et aux solutions collaboratives, elle favorise une communication interne plus fluide, un engagement renforcé des collaborateurs et une prise de décision plus efficace</w:t>
      </w:r>
      <w:r>
        <w:rPr>
          <w:color w:val="000000"/>
          <w:lang w:val="fr-FR"/>
        </w:rPr>
        <w:t>.</w:t>
      </w:r>
      <w:r>
        <w:rPr>
          <w:rStyle w:val="Appelnotedebasdep"/>
          <w:color w:val="000000"/>
          <w:lang w:val="fr-FR"/>
        </w:rPr>
        <w:footnoteReference w:id="243"/>
      </w:r>
      <w:r w:rsidRPr="00C978F7">
        <w:rPr>
          <w:color w:val="000000"/>
          <w:lang w:val="fr-FR"/>
        </w:rPr>
        <w:t xml:space="preserve"> </w:t>
      </w:r>
    </w:p>
    <w:p w:rsidR="00E772DD" w:rsidRPr="00C978F7" w:rsidRDefault="00E772DD" w:rsidP="00C978F7">
      <w:pPr>
        <w:pStyle w:val="NormalWeb"/>
        <w:spacing w:before="0" w:beforeAutospacing="0" w:line="360" w:lineRule="auto"/>
        <w:jc w:val="both"/>
        <w:rPr>
          <w:color w:val="000000"/>
          <w:lang w:val="fr-FR"/>
        </w:rPr>
      </w:pPr>
      <w:r w:rsidRPr="00C978F7">
        <w:rPr>
          <w:color w:val="000000"/>
          <w:lang w:val="fr-FR"/>
        </w:rPr>
        <w:t>En somme, la digitalisation de la GRH ne se limite pas à la mise en place d’outils technologiques. Elle représente un changement structurel majeur dans la gestion du capital humain, en exploitant pleinement les innovations numériques pour améliorer la performance organisationnelle et l’expérience des employés.</w:t>
      </w:r>
    </w:p>
    <w:p w:rsidR="00E772DD" w:rsidRPr="00BC76B5" w:rsidRDefault="00E772DD" w:rsidP="004D32AC">
      <w:pPr>
        <w:pStyle w:val="Titre3"/>
        <w:numPr>
          <w:ilvl w:val="1"/>
          <w:numId w:val="69"/>
        </w:numPr>
        <w:rPr>
          <w:sz w:val="24"/>
          <w:szCs w:val="24"/>
          <w:lang w:val="fr-FR"/>
        </w:rPr>
      </w:pPr>
      <w:bookmarkStart w:id="1360" w:name="_Toc199714417"/>
      <w:bookmarkStart w:id="1361" w:name="_Toc200486696"/>
      <w:bookmarkStart w:id="1362" w:name="_Toc200635472"/>
      <w:bookmarkStart w:id="1363" w:name="_Toc200635860"/>
      <w:bookmarkStart w:id="1364" w:name="_Toc200636249"/>
      <w:bookmarkStart w:id="1365" w:name="_Toc200755986"/>
      <w:r w:rsidRPr="00BC76B5">
        <w:rPr>
          <w:sz w:val="24"/>
          <w:szCs w:val="24"/>
          <w:lang w:val="fr-FR"/>
        </w:rPr>
        <w:t>Comparaison entre la GRH traditionnelle et la digitalisation de la GRH</w:t>
      </w:r>
      <w:bookmarkEnd w:id="1360"/>
      <w:bookmarkEnd w:id="1361"/>
      <w:bookmarkEnd w:id="1362"/>
      <w:bookmarkEnd w:id="1363"/>
      <w:bookmarkEnd w:id="1364"/>
      <w:bookmarkEnd w:id="1365"/>
    </w:p>
    <w:p w:rsidR="00E772DD" w:rsidRPr="004520B2" w:rsidRDefault="00E772DD" w:rsidP="006A51E6">
      <w:pPr>
        <w:pStyle w:val="NormalWeb"/>
        <w:spacing w:before="0" w:beforeAutospacing="0" w:line="360" w:lineRule="auto"/>
        <w:jc w:val="both"/>
        <w:rPr>
          <w:color w:val="000000"/>
          <w:lang w:val="fr-FR"/>
        </w:rPr>
      </w:pPr>
      <w:r w:rsidRPr="004520B2">
        <w:rPr>
          <w:color w:val="000000"/>
          <w:lang w:val="fr-FR"/>
        </w:rPr>
        <w:t>Avec l'évolution des technologies, la gestion des ressources humaines (GRH) connaît une transformation majeure, passant d'une approche traditionnelle, basée sur des processus manuels et papier, à une digitalisation accrue. Cette transition vise à améliorer l'efficacité des opérations RH en automatisant diverses tâches, en optimisant la gestion des données et en facilitant l'accès aux services pour les employés et les gestionnaires. Le tableau ci-dessous met en perspective les principales différences entre la GRH traditionnelle et sa version digitalisée, en mettant en lumière les avantages et les enjeux liés à cette transformation.</w:t>
      </w:r>
      <w:r w:rsidRPr="004520B2">
        <w:rPr>
          <w:rStyle w:val="Appelnotedebasdep"/>
          <w:color w:val="000000"/>
          <w:lang w:val="fr-FR"/>
        </w:rPr>
        <w:footnoteReference w:id="244"/>
      </w:r>
    </w:p>
    <w:p w:rsidR="00E772DD" w:rsidRPr="004520B2" w:rsidRDefault="00E772DD" w:rsidP="00172BCB">
      <w:pPr>
        <w:pStyle w:val="NormalWeb"/>
        <w:spacing w:line="360" w:lineRule="auto"/>
        <w:jc w:val="both"/>
        <w:rPr>
          <w:b/>
          <w:bCs/>
          <w:color w:val="000000"/>
          <w:lang w:val="fr-FR"/>
        </w:rPr>
      </w:pPr>
    </w:p>
    <w:p w:rsidR="00E772DD" w:rsidRPr="004520B2" w:rsidRDefault="00E772DD" w:rsidP="00172BCB">
      <w:pPr>
        <w:pStyle w:val="NormalWeb"/>
        <w:spacing w:line="360" w:lineRule="auto"/>
        <w:jc w:val="both"/>
        <w:rPr>
          <w:b/>
          <w:bCs/>
          <w:color w:val="000000"/>
          <w:lang w:val="fr-FR"/>
        </w:rPr>
      </w:pPr>
    </w:p>
    <w:p w:rsidR="00626FDA" w:rsidRDefault="00626FDA" w:rsidP="00626FDA">
      <w:pPr>
        <w:pStyle w:val="NormalWeb"/>
        <w:spacing w:after="0" w:afterAutospacing="0" w:line="360" w:lineRule="auto"/>
        <w:jc w:val="center"/>
        <w:rPr>
          <w:b/>
          <w:bCs/>
          <w:color w:val="000000"/>
          <w:lang w:val="fr-FR"/>
        </w:rPr>
      </w:pPr>
    </w:p>
    <w:p w:rsidR="00E772DD" w:rsidRPr="004520B2" w:rsidRDefault="00E772DD" w:rsidP="00626FDA">
      <w:pPr>
        <w:pStyle w:val="NormalWeb"/>
        <w:spacing w:after="0" w:afterAutospacing="0" w:line="360" w:lineRule="auto"/>
        <w:jc w:val="center"/>
        <w:rPr>
          <w:b/>
          <w:bCs/>
          <w:color w:val="000000"/>
          <w:lang w:val="fr-FR"/>
        </w:rPr>
      </w:pPr>
      <w:r w:rsidRPr="004520B2">
        <w:rPr>
          <w:b/>
          <w:bCs/>
          <w:color w:val="000000"/>
          <w:lang w:val="fr-FR"/>
        </w:rPr>
        <w:lastRenderedPageBreak/>
        <w:t xml:space="preserve">Tableau </w:t>
      </w:r>
      <w:r>
        <w:rPr>
          <w:b/>
          <w:bCs/>
          <w:color w:val="000000"/>
          <w:lang w:val="fr-FR"/>
        </w:rPr>
        <w:t xml:space="preserve">N°10 </w:t>
      </w:r>
      <w:r w:rsidRPr="004520B2">
        <w:rPr>
          <w:b/>
          <w:bCs/>
          <w:color w:val="000000"/>
          <w:lang w:val="fr-FR"/>
        </w:rPr>
        <w:t xml:space="preserve">: </w:t>
      </w:r>
      <w:r w:rsidRPr="001F04DD">
        <w:rPr>
          <w:color w:val="000000"/>
          <w:lang w:val="fr-FR"/>
        </w:rPr>
        <w:t>Comparaison entre la GRH traditionnelle et la digitalisation de la GRH</w:t>
      </w:r>
    </w:p>
    <w:tbl>
      <w:tblPr>
        <w:tblStyle w:val="Grilledutableau"/>
        <w:tblW w:w="0" w:type="auto"/>
        <w:tblLook w:val="04A0" w:firstRow="1" w:lastRow="0" w:firstColumn="1" w:lastColumn="0" w:noHBand="0" w:noVBand="1"/>
      </w:tblPr>
      <w:tblGrid>
        <w:gridCol w:w="2150"/>
        <w:gridCol w:w="3195"/>
        <w:gridCol w:w="3665"/>
      </w:tblGrid>
      <w:tr w:rsidR="00E772DD" w:rsidRPr="00F11921" w:rsidTr="005F10A8">
        <w:trPr>
          <w:trHeight w:val="558"/>
        </w:trPr>
        <w:tc>
          <w:tcPr>
            <w:tcW w:w="0" w:type="auto"/>
            <w:shd w:val="clear" w:color="auto" w:fill="D8DCD1"/>
            <w:vAlign w:val="center"/>
            <w:hideMark/>
          </w:tcPr>
          <w:p w:rsidR="00E772DD" w:rsidRPr="00F11921" w:rsidRDefault="00E772DD" w:rsidP="00F11921">
            <w:pPr>
              <w:jc w:val="center"/>
              <w:rPr>
                <w:b/>
                <w:bCs/>
                <w:color w:val="000000"/>
                <w:lang w:val="fr-FR"/>
              </w:rPr>
            </w:pPr>
            <w:r w:rsidRPr="00F11921">
              <w:rPr>
                <w:b/>
                <w:bCs/>
                <w:color w:val="000000"/>
                <w:lang w:val="fr-FR"/>
              </w:rPr>
              <w:t>Critères</w:t>
            </w:r>
          </w:p>
        </w:tc>
        <w:tc>
          <w:tcPr>
            <w:tcW w:w="0" w:type="auto"/>
            <w:shd w:val="clear" w:color="auto" w:fill="D8DCD1"/>
            <w:vAlign w:val="center"/>
            <w:hideMark/>
          </w:tcPr>
          <w:p w:rsidR="00E772DD" w:rsidRPr="00F11921" w:rsidRDefault="00E772DD" w:rsidP="00F11921">
            <w:pPr>
              <w:jc w:val="center"/>
              <w:rPr>
                <w:b/>
                <w:bCs/>
                <w:color w:val="000000"/>
                <w:lang w:val="fr-FR"/>
              </w:rPr>
            </w:pPr>
            <w:r w:rsidRPr="00F11921">
              <w:rPr>
                <w:b/>
                <w:bCs/>
                <w:color w:val="000000"/>
                <w:lang w:val="fr-FR"/>
              </w:rPr>
              <w:t>GRH Traditionnelle</w:t>
            </w:r>
          </w:p>
        </w:tc>
        <w:tc>
          <w:tcPr>
            <w:tcW w:w="0" w:type="auto"/>
            <w:shd w:val="clear" w:color="auto" w:fill="D8DCD1"/>
            <w:vAlign w:val="center"/>
            <w:hideMark/>
          </w:tcPr>
          <w:p w:rsidR="00E772DD" w:rsidRPr="00F11921" w:rsidRDefault="00E772DD" w:rsidP="00F11921">
            <w:pPr>
              <w:jc w:val="center"/>
              <w:rPr>
                <w:b/>
                <w:bCs/>
                <w:color w:val="000000"/>
                <w:lang w:val="fr-FR"/>
              </w:rPr>
            </w:pPr>
            <w:r w:rsidRPr="00F11921">
              <w:rPr>
                <w:b/>
                <w:bCs/>
                <w:color w:val="000000"/>
                <w:lang w:val="fr-FR"/>
              </w:rPr>
              <w:t>Digitalisation de la GRH</w:t>
            </w:r>
          </w:p>
        </w:tc>
      </w:tr>
      <w:tr w:rsidR="00E772DD" w:rsidRPr="00427D18" w:rsidTr="005F10A8">
        <w:trPr>
          <w:trHeight w:val="849"/>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Mode de gestion</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Manuel, basé sur des documents papier</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Automatisé, basé sur des logiciels et plateformes numériques</w:t>
            </w:r>
          </w:p>
        </w:tc>
      </w:tr>
      <w:tr w:rsidR="00E772DD" w:rsidRPr="00F11921" w:rsidTr="005F10A8">
        <w:trPr>
          <w:trHeight w:val="832"/>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Stockage des données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Physique (classeurs, dossiers papier)</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Numérique (serveurs, cloud)</w:t>
            </w:r>
          </w:p>
        </w:tc>
      </w:tr>
      <w:tr w:rsidR="00E772DD" w:rsidRPr="00427D18" w:rsidTr="005F10A8">
        <w:trPr>
          <w:trHeight w:val="844"/>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Accessibilité</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Limitée aux bureaux et aux horaires de travail</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Accessible en tout temps et en tout lieu</w:t>
            </w:r>
          </w:p>
        </w:tc>
      </w:tr>
      <w:tr w:rsidR="00E772DD" w:rsidRPr="00F11921" w:rsidTr="005F10A8">
        <w:trPr>
          <w:trHeight w:val="700"/>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Temps de traitement</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Long (saisie et traitement manuels)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Réduit grâce à l’automatisation</w:t>
            </w:r>
          </w:p>
        </w:tc>
      </w:tr>
      <w:tr w:rsidR="00E772DD" w:rsidRPr="00427D18" w:rsidTr="005F10A8">
        <w:trPr>
          <w:trHeight w:val="966"/>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Coût</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Élevé (impression, archivage, ressources humaines dédiées)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Optimisé grâce à la réduction de l’utilisation du papier et des ressources</w:t>
            </w:r>
          </w:p>
        </w:tc>
      </w:tr>
      <w:tr w:rsidR="00E772DD" w:rsidRPr="00427D18" w:rsidTr="005F10A8">
        <w:trPr>
          <w:trHeight w:val="838"/>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Sécurité des données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Vulnérable aux pertes et détériorations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Sécurisée avec des protocoles de cryptage et de sauvegarde</w:t>
            </w:r>
          </w:p>
        </w:tc>
      </w:tr>
      <w:tr w:rsidR="00E772DD" w:rsidRPr="00427D18" w:rsidTr="005F10A8">
        <w:trPr>
          <w:trHeight w:val="850"/>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Communication interne</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Basée sur les échanges physiques et les courriers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Instantanée via emails, messageries et outils collaboratifs</w:t>
            </w:r>
          </w:p>
        </w:tc>
      </w:tr>
      <w:tr w:rsidR="00E772DD" w:rsidRPr="00427D18" w:rsidTr="005F10A8">
        <w:trPr>
          <w:trHeight w:val="847"/>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Recrutement</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Processus long (annonces papier, tri manuel des CV)</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Rapide et automatisé via des plateformes de recrutement</w:t>
            </w:r>
          </w:p>
        </w:tc>
      </w:tr>
      <w:tr w:rsidR="00E772DD" w:rsidRPr="00427D18" w:rsidTr="005F10A8">
        <w:trPr>
          <w:trHeight w:val="842"/>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Formation</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Présentielle avec supports physiques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E-learning et formations interactives en ligne</w:t>
            </w:r>
          </w:p>
        </w:tc>
      </w:tr>
      <w:tr w:rsidR="00E772DD" w:rsidRPr="00427D18" w:rsidTr="005F10A8">
        <w:trPr>
          <w:trHeight w:val="850"/>
        </w:trPr>
        <w:tc>
          <w:tcPr>
            <w:tcW w:w="0" w:type="auto"/>
            <w:shd w:val="clear" w:color="auto" w:fill="D8DCD1"/>
            <w:vAlign w:val="center"/>
            <w:hideMark/>
          </w:tcPr>
          <w:p w:rsidR="00E772DD" w:rsidRPr="00F11921" w:rsidRDefault="00E772DD" w:rsidP="00F11921">
            <w:pPr>
              <w:jc w:val="center"/>
              <w:rPr>
                <w:color w:val="000000"/>
                <w:lang w:val="fr-FR"/>
              </w:rPr>
            </w:pPr>
            <w:r w:rsidRPr="00F11921">
              <w:rPr>
                <w:b/>
                <w:bCs/>
                <w:color w:val="000000"/>
                <w:lang w:val="fr-FR"/>
              </w:rPr>
              <w:t>Suivi des performances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Manuel et basé sur des évaluations périodiques</w:t>
            </w:r>
          </w:p>
        </w:tc>
        <w:tc>
          <w:tcPr>
            <w:tcW w:w="0" w:type="auto"/>
            <w:vAlign w:val="center"/>
            <w:hideMark/>
          </w:tcPr>
          <w:p w:rsidR="00E772DD" w:rsidRPr="00F11921" w:rsidRDefault="00E772DD" w:rsidP="00F11921">
            <w:pPr>
              <w:jc w:val="center"/>
              <w:rPr>
                <w:color w:val="000000"/>
                <w:lang w:val="fr-FR"/>
              </w:rPr>
            </w:pPr>
            <w:r w:rsidRPr="00F11921">
              <w:rPr>
                <w:color w:val="000000"/>
                <w:lang w:val="fr-FR"/>
              </w:rPr>
              <w:t>En temps réel grâce aux tableaux de bord et KPI</w:t>
            </w:r>
          </w:p>
        </w:tc>
      </w:tr>
    </w:tbl>
    <w:p w:rsidR="00E772DD" w:rsidRPr="004520B2" w:rsidRDefault="00E772DD" w:rsidP="00F11921">
      <w:pPr>
        <w:pStyle w:val="NormalWeb"/>
        <w:spacing w:line="360" w:lineRule="auto"/>
        <w:jc w:val="center"/>
        <w:rPr>
          <w:b/>
          <w:bCs/>
          <w:color w:val="000000"/>
          <w:lang w:val="fr-FR"/>
        </w:rPr>
      </w:pPr>
      <w:r w:rsidRPr="004520B2">
        <w:rPr>
          <w:b/>
          <w:bCs/>
          <w:color w:val="000000"/>
          <w:lang w:val="fr-FR"/>
        </w:rPr>
        <w:t xml:space="preserve">Source : </w:t>
      </w:r>
      <w:proofErr w:type="spellStart"/>
      <w:r w:rsidRPr="004520B2">
        <w:rPr>
          <w:color w:val="000000"/>
          <w:lang w:val="fr-FR"/>
        </w:rPr>
        <w:t>Lifandali</w:t>
      </w:r>
      <w:proofErr w:type="spellEnd"/>
      <w:r w:rsidRPr="004520B2">
        <w:rPr>
          <w:color w:val="000000"/>
          <w:lang w:val="fr-FR"/>
        </w:rPr>
        <w:t>, S. (2023). La transformation des métiers d’avenir et la digitalisation des outils de gestion des ressources humaines. Dossiers de Recherches en Économie et Gestion, 11(01), 199–215.</w:t>
      </w:r>
    </w:p>
    <w:p w:rsidR="00E772DD" w:rsidRPr="00626FDA" w:rsidRDefault="00E772DD" w:rsidP="004D32AC">
      <w:pPr>
        <w:pStyle w:val="Paragraphedeliste"/>
        <w:numPr>
          <w:ilvl w:val="0"/>
          <w:numId w:val="184"/>
        </w:numPr>
        <w:spacing w:before="100" w:beforeAutospacing="1" w:line="360" w:lineRule="auto"/>
        <w:jc w:val="both"/>
        <w:outlineLvl w:val="2"/>
        <w:rPr>
          <w:rFonts w:ascii="Times New Roman" w:hAnsi="Times New Roman" w:cs="Times New Roman"/>
          <w:b/>
          <w:bCs/>
          <w:color w:val="000000"/>
          <w:lang w:val="fr-FR"/>
        </w:rPr>
      </w:pPr>
      <w:bookmarkStart w:id="1366" w:name="_Toc199714418"/>
      <w:bookmarkStart w:id="1367" w:name="_Toc200486697"/>
      <w:bookmarkStart w:id="1368" w:name="_Toc200635473"/>
      <w:bookmarkStart w:id="1369" w:name="_Toc200635861"/>
      <w:bookmarkStart w:id="1370" w:name="_Toc200636250"/>
      <w:bookmarkStart w:id="1371" w:name="_Toc200755987"/>
      <w:r w:rsidRPr="00626FDA">
        <w:rPr>
          <w:rFonts w:ascii="Times New Roman" w:hAnsi="Times New Roman" w:cs="Times New Roman"/>
          <w:b/>
          <w:bCs/>
          <w:color w:val="000000"/>
          <w:lang w:val="fr-FR"/>
        </w:rPr>
        <w:t>Les domaines des ressources humaines en cours de digitalisation</w:t>
      </w:r>
      <w:bookmarkEnd w:id="1366"/>
      <w:bookmarkEnd w:id="1367"/>
      <w:bookmarkEnd w:id="1368"/>
      <w:bookmarkEnd w:id="1369"/>
      <w:bookmarkEnd w:id="1370"/>
      <w:bookmarkEnd w:id="1371"/>
    </w:p>
    <w:p w:rsidR="00E772DD" w:rsidRDefault="00E772DD" w:rsidP="00626FDA">
      <w:pPr>
        <w:spacing w:after="240" w:line="360" w:lineRule="auto"/>
        <w:jc w:val="both"/>
        <w:outlineLvl w:val="2"/>
        <w:rPr>
          <w:color w:val="000000"/>
          <w:lang w:val="fr-FR"/>
        </w:rPr>
      </w:pPr>
      <w:bookmarkStart w:id="1372" w:name="_Toc199714036"/>
      <w:bookmarkStart w:id="1373" w:name="_Toc199714419"/>
      <w:bookmarkStart w:id="1374" w:name="_Toc200486698"/>
      <w:bookmarkStart w:id="1375" w:name="_Toc200635474"/>
      <w:bookmarkStart w:id="1376" w:name="_Toc200635862"/>
      <w:bookmarkStart w:id="1377" w:name="_Toc200636251"/>
      <w:bookmarkStart w:id="1378" w:name="_Toc200755988"/>
      <w:r w:rsidRPr="00626FDA">
        <w:rPr>
          <w:color w:val="000000"/>
          <w:lang w:val="fr-FR"/>
        </w:rPr>
        <w:t>La digitalisation transforme progressivement plusieurs domaines clés des ressources humaines, en automatisant les processus, en améliorant la gestion des talents et en favorisant une meilleure expérience collaborateur.</w:t>
      </w:r>
      <w:bookmarkEnd w:id="1372"/>
      <w:bookmarkEnd w:id="1373"/>
      <w:bookmarkEnd w:id="1374"/>
      <w:bookmarkEnd w:id="1375"/>
      <w:bookmarkEnd w:id="1376"/>
      <w:bookmarkEnd w:id="1377"/>
      <w:bookmarkEnd w:id="1378"/>
    </w:p>
    <w:p w:rsidR="00626FDA" w:rsidRPr="00626FDA" w:rsidRDefault="00626FDA" w:rsidP="00626FDA">
      <w:pPr>
        <w:spacing w:after="240" w:line="360" w:lineRule="auto"/>
        <w:jc w:val="both"/>
        <w:outlineLvl w:val="2"/>
        <w:rPr>
          <w:color w:val="000000"/>
          <w:lang w:val="fr-FR"/>
        </w:rPr>
      </w:pP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lastRenderedPageBreak/>
        <w:t xml:space="preserve"> </w:t>
      </w:r>
      <w:bookmarkStart w:id="1379" w:name="_Toc199714420"/>
      <w:bookmarkStart w:id="1380" w:name="_Toc200486699"/>
      <w:bookmarkStart w:id="1381" w:name="_Toc200635475"/>
      <w:bookmarkStart w:id="1382" w:name="_Toc200635863"/>
      <w:bookmarkStart w:id="1383" w:name="_Toc200636252"/>
      <w:bookmarkStart w:id="1384" w:name="_Toc200755989"/>
      <w:r w:rsidR="00E772DD" w:rsidRPr="003914CC">
        <w:rPr>
          <w:sz w:val="24"/>
          <w:szCs w:val="24"/>
          <w:lang w:val="fr-FR"/>
        </w:rPr>
        <w:t>La gestion des données : Un pilier de la digitalisation RH</w:t>
      </w:r>
      <w:bookmarkEnd w:id="1379"/>
      <w:bookmarkEnd w:id="1380"/>
      <w:bookmarkEnd w:id="1381"/>
      <w:bookmarkEnd w:id="1382"/>
      <w:bookmarkEnd w:id="1383"/>
      <w:bookmarkEnd w:id="1384"/>
    </w:p>
    <w:p w:rsidR="00E772DD" w:rsidRPr="00F11921" w:rsidRDefault="00E772DD" w:rsidP="00F11921">
      <w:pPr>
        <w:spacing w:line="360" w:lineRule="auto"/>
        <w:jc w:val="both"/>
        <w:rPr>
          <w:color w:val="000000"/>
          <w:lang w:val="fr-FR"/>
        </w:rPr>
      </w:pPr>
      <w:r w:rsidRPr="00F11921">
        <w:rPr>
          <w:color w:val="000000"/>
          <w:lang w:val="fr-FR"/>
        </w:rPr>
        <w:t xml:space="preserve">L’adoption de solutions numériques telles que le cloud </w:t>
      </w:r>
      <w:proofErr w:type="spellStart"/>
      <w:r w:rsidRPr="00F11921">
        <w:rPr>
          <w:color w:val="000000"/>
          <w:lang w:val="fr-FR"/>
        </w:rPr>
        <w:t>computing</w:t>
      </w:r>
      <w:proofErr w:type="spellEnd"/>
      <w:r w:rsidRPr="00F11921">
        <w:rPr>
          <w:color w:val="000000"/>
          <w:lang w:val="fr-FR"/>
        </w:rPr>
        <w:t xml:space="preserve"> et les services SaaS révolutionne la gestion des données en ressources humaines. Ces technologies optimisent le stockage, la gestion et le partage des informations tout en garantissant leur confidentialité et leur protection, conformément aux réglementations en vigueur comme le RGPD. La digitalisation concerne plusieurs aspects des RH, notamment la dématérialisation des fiches de paie et la signature électronique des contrats, facilitant ainsi les processus administratifs.</w:t>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385" w:name="_Toc199714421"/>
      <w:bookmarkStart w:id="1386" w:name="_Toc200486700"/>
      <w:bookmarkStart w:id="1387" w:name="_Toc200635476"/>
      <w:bookmarkStart w:id="1388" w:name="_Toc200635864"/>
      <w:bookmarkStart w:id="1389" w:name="_Toc200636253"/>
      <w:bookmarkStart w:id="1390" w:name="_Toc200755990"/>
      <w:r w:rsidR="00E772DD" w:rsidRPr="003914CC">
        <w:rPr>
          <w:sz w:val="24"/>
          <w:szCs w:val="24"/>
          <w:lang w:val="fr-FR"/>
        </w:rPr>
        <w:t>Le recrutement</w:t>
      </w:r>
      <w:bookmarkEnd w:id="1385"/>
      <w:bookmarkEnd w:id="1386"/>
      <w:bookmarkEnd w:id="1387"/>
      <w:bookmarkEnd w:id="1388"/>
      <w:bookmarkEnd w:id="1389"/>
      <w:bookmarkEnd w:id="1390"/>
    </w:p>
    <w:p w:rsidR="00E772DD" w:rsidRPr="00F11921" w:rsidRDefault="00E772DD" w:rsidP="00626FDA">
      <w:pPr>
        <w:spacing w:after="240" w:line="360" w:lineRule="auto"/>
        <w:jc w:val="both"/>
        <w:rPr>
          <w:color w:val="000000"/>
          <w:lang w:val="fr-FR"/>
        </w:rPr>
      </w:pPr>
      <w:r w:rsidRPr="00F11921">
        <w:rPr>
          <w:color w:val="000000"/>
          <w:lang w:val="fr-FR"/>
        </w:rPr>
        <w:t>Avec l'évolution des technologies, les employeurs exploitent désormais, en plus des plateformes web traditionnelles, les réseaux sociaux pour identifier et attirer de nouveaux talents. Grâce à la viralité d'Internet, les offres d'emploi et les informations sur les entreprises bénéficient d'une large diffusion, permettant ainsi d’atteindre un public plus vaste et de mieux cibler les candidats. Cette transformation contribue à un processus de recrutement plus équitable et efficace. De plus, les entretiens à distance se démocratisent grâce à l’essor des solutions de visioconférence, modifiant ainsi les pratiques habituelles en matière d’embauche.</w:t>
      </w:r>
    </w:p>
    <w:p w:rsidR="00E772DD" w:rsidRPr="003914CC" w:rsidRDefault="00E772DD" w:rsidP="004D32AC">
      <w:pPr>
        <w:pStyle w:val="Titre3"/>
        <w:numPr>
          <w:ilvl w:val="1"/>
          <w:numId w:val="184"/>
        </w:numPr>
        <w:spacing w:after="0" w:afterAutospacing="0" w:line="360" w:lineRule="auto"/>
        <w:rPr>
          <w:sz w:val="24"/>
          <w:szCs w:val="24"/>
          <w:lang w:val="fr-FR"/>
        </w:rPr>
      </w:pPr>
      <w:bookmarkStart w:id="1391" w:name="_Toc199714422"/>
      <w:bookmarkStart w:id="1392" w:name="_Toc200486701"/>
      <w:bookmarkStart w:id="1393" w:name="_Toc200635477"/>
      <w:bookmarkStart w:id="1394" w:name="_Toc200635865"/>
      <w:bookmarkStart w:id="1395" w:name="_Toc200636254"/>
      <w:bookmarkStart w:id="1396" w:name="_Toc200755991"/>
      <w:r w:rsidRPr="003914CC">
        <w:rPr>
          <w:sz w:val="24"/>
          <w:szCs w:val="24"/>
          <w:lang w:val="fr-FR"/>
        </w:rPr>
        <w:t>La formation</w:t>
      </w:r>
      <w:bookmarkEnd w:id="1391"/>
      <w:bookmarkEnd w:id="1392"/>
      <w:bookmarkEnd w:id="1393"/>
      <w:bookmarkEnd w:id="1394"/>
      <w:bookmarkEnd w:id="1395"/>
      <w:bookmarkEnd w:id="1396"/>
    </w:p>
    <w:p w:rsidR="00E772DD" w:rsidRPr="00E2646A" w:rsidRDefault="00E772DD" w:rsidP="003914CC">
      <w:pPr>
        <w:spacing w:after="100" w:afterAutospacing="1" w:line="360" w:lineRule="auto"/>
        <w:jc w:val="both"/>
        <w:rPr>
          <w:color w:val="000000"/>
          <w:lang w:val="fr-FR"/>
        </w:rPr>
      </w:pPr>
      <w:r w:rsidRPr="00F11921">
        <w:rPr>
          <w:color w:val="000000"/>
          <w:lang w:val="fr-FR"/>
        </w:rPr>
        <w:t xml:space="preserve">L’impact du numérique dans le domaine de la formation est significatif, avec l’intégration de technologies comme le cloud, les logiciels de visioconférence et les plateformes d’apprentissage en ligne. Des approches innovantes telles que l’e-learning, le </w:t>
      </w:r>
      <w:proofErr w:type="spellStart"/>
      <w:r w:rsidRPr="00F11921">
        <w:rPr>
          <w:color w:val="000000"/>
          <w:lang w:val="fr-FR"/>
        </w:rPr>
        <w:t>blended</w:t>
      </w:r>
      <w:proofErr w:type="spellEnd"/>
      <w:r w:rsidRPr="00F11921">
        <w:rPr>
          <w:color w:val="000000"/>
          <w:lang w:val="fr-FR"/>
        </w:rPr>
        <w:t xml:space="preserve"> </w:t>
      </w:r>
      <w:proofErr w:type="spellStart"/>
      <w:r w:rsidRPr="00F11921">
        <w:rPr>
          <w:color w:val="000000"/>
          <w:lang w:val="fr-FR"/>
        </w:rPr>
        <w:t>learning</w:t>
      </w:r>
      <w:proofErr w:type="spellEnd"/>
      <w:r w:rsidRPr="00F11921">
        <w:rPr>
          <w:color w:val="000000"/>
          <w:lang w:val="fr-FR"/>
        </w:rPr>
        <w:t xml:space="preserve"> et le mobile </w:t>
      </w:r>
      <w:proofErr w:type="spellStart"/>
      <w:r w:rsidRPr="00F11921">
        <w:rPr>
          <w:color w:val="000000"/>
          <w:lang w:val="fr-FR"/>
        </w:rPr>
        <w:t>learning</w:t>
      </w:r>
      <w:proofErr w:type="spellEnd"/>
      <w:r w:rsidRPr="00F11921">
        <w:rPr>
          <w:color w:val="000000"/>
          <w:lang w:val="fr-FR"/>
        </w:rPr>
        <w:t xml:space="preserve"> permettent un accès simplifié et flexible à la formation, libérant ainsi les apprenants des contraintes de temps et de lieu.</w:t>
      </w:r>
      <w:r w:rsidRPr="004520B2">
        <w:rPr>
          <w:rStyle w:val="Appelnotedebasdep"/>
          <w:color w:val="000000"/>
          <w:lang w:val="fr-FR"/>
        </w:rPr>
        <w:footnoteReference w:id="245"/>
      </w:r>
    </w:p>
    <w:p w:rsidR="00E772DD" w:rsidRPr="003914CC" w:rsidRDefault="00E772DD" w:rsidP="004D32AC">
      <w:pPr>
        <w:pStyle w:val="Titre3"/>
        <w:numPr>
          <w:ilvl w:val="0"/>
          <w:numId w:val="184"/>
        </w:numPr>
        <w:spacing w:after="0" w:afterAutospacing="0" w:line="360" w:lineRule="auto"/>
        <w:rPr>
          <w:sz w:val="24"/>
          <w:szCs w:val="24"/>
          <w:lang w:val="fr-FR"/>
        </w:rPr>
      </w:pPr>
      <w:bookmarkStart w:id="1397" w:name="_Toc199714423"/>
      <w:bookmarkStart w:id="1398" w:name="_Toc200486702"/>
      <w:bookmarkStart w:id="1399" w:name="_Toc200635478"/>
      <w:bookmarkStart w:id="1400" w:name="_Toc200635866"/>
      <w:bookmarkStart w:id="1401" w:name="_Toc200636255"/>
      <w:bookmarkStart w:id="1402" w:name="_Toc200755992"/>
      <w:r w:rsidRPr="003914CC">
        <w:rPr>
          <w:sz w:val="24"/>
          <w:szCs w:val="24"/>
          <w:lang w:val="fr-FR"/>
        </w:rPr>
        <w:t xml:space="preserve">Les </w:t>
      </w:r>
      <w:r w:rsidR="00626FDA" w:rsidRPr="003914CC">
        <w:rPr>
          <w:sz w:val="24"/>
          <w:szCs w:val="24"/>
          <w:lang w:val="fr-FR"/>
        </w:rPr>
        <w:t>o</w:t>
      </w:r>
      <w:r w:rsidRPr="003914CC">
        <w:rPr>
          <w:sz w:val="24"/>
          <w:szCs w:val="24"/>
          <w:lang w:val="fr-FR"/>
        </w:rPr>
        <w:t>utils de la digitalisation de la gestion des ressources humaines (GRH)</w:t>
      </w:r>
      <w:bookmarkEnd w:id="1397"/>
      <w:bookmarkEnd w:id="1398"/>
      <w:bookmarkEnd w:id="1399"/>
      <w:bookmarkEnd w:id="1400"/>
      <w:bookmarkEnd w:id="1401"/>
      <w:bookmarkEnd w:id="1402"/>
    </w:p>
    <w:p w:rsidR="00E772DD" w:rsidRPr="00D90DC4" w:rsidRDefault="00E772DD" w:rsidP="00DB3802">
      <w:pPr>
        <w:pStyle w:val="NormalWeb"/>
        <w:spacing w:before="0" w:beforeAutospacing="0" w:after="240" w:afterAutospacing="0" w:line="360" w:lineRule="auto"/>
        <w:jc w:val="both"/>
        <w:rPr>
          <w:b/>
          <w:bCs/>
          <w:color w:val="000000"/>
          <w:lang w:val="fr-FR"/>
        </w:rPr>
      </w:pPr>
      <w:r w:rsidRPr="00D90DC4">
        <w:rPr>
          <w:color w:val="000000"/>
          <w:lang w:val="fr-FR"/>
        </w:rPr>
        <w:t>La digitalisation de</w:t>
      </w:r>
      <w:r>
        <w:rPr>
          <w:color w:val="000000"/>
          <w:lang w:val="fr-FR"/>
        </w:rPr>
        <w:t xml:space="preserve"> la gestion des</w:t>
      </w:r>
      <w:r w:rsidRPr="00D90DC4">
        <w:rPr>
          <w:color w:val="000000"/>
          <w:lang w:val="fr-FR"/>
        </w:rPr>
        <w:t xml:space="preserve"> ressources humaines repose sur l’utilisation de technologies avancées qui permettent d’améliorer l’efficacité des processus RH, de mieux gérer les talents et de prendre des décisions stratégiques basées sur des données précises. </w:t>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03" w:name="_Toc199714424"/>
      <w:bookmarkStart w:id="1404" w:name="_Toc200486703"/>
      <w:bookmarkStart w:id="1405" w:name="_Toc200635479"/>
      <w:bookmarkStart w:id="1406" w:name="_Toc200635867"/>
      <w:bookmarkStart w:id="1407" w:name="_Toc200636256"/>
      <w:bookmarkStart w:id="1408" w:name="_Toc200755993"/>
      <w:r w:rsidR="00E772DD" w:rsidRPr="003914CC">
        <w:rPr>
          <w:sz w:val="24"/>
          <w:szCs w:val="24"/>
          <w:lang w:val="fr-FR"/>
        </w:rPr>
        <w:t>Systèmes d’</w:t>
      </w:r>
      <w:r w:rsidR="00626FDA" w:rsidRPr="003914CC">
        <w:rPr>
          <w:sz w:val="24"/>
          <w:szCs w:val="24"/>
          <w:lang w:val="fr-FR"/>
        </w:rPr>
        <w:t>i</w:t>
      </w:r>
      <w:r w:rsidR="00E772DD" w:rsidRPr="003914CC">
        <w:rPr>
          <w:sz w:val="24"/>
          <w:szCs w:val="24"/>
          <w:lang w:val="fr-FR"/>
        </w:rPr>
        <w:t xml:space="preserve">nformation des </w:t>
      </w:r>
      <w:r w:rsidR="00626FDA" w:rsidRPr="003914CC">
        <w:rPr>
          <w:sz w:val="24"/>
          <w:szCs w:val="24"/>
          <w:lang w:val="fr-FR"/>
        </w:rPr>
        <w:t>r</w:t>
      </w:r>
      <w:r w:rsidR="00E772DD" w:rsidRPr="003914CC">
        <w:rPr>
          <w:sz w:val="24"/>
          <w:szCs w:val="24"/>
          <w:lang w:val="fr-FR"/>
        </w:rPr>
        <w:t xml:space="preserve">essources </w:t>
      </w:r>
      <w:r w:rsidR="00626FDA" w:rsidRPr="003914CC">
        <w:rPr>
          <w:sz w:val="24"/>
          <w:szCs w:val="24"/>
          <w:lang w:val="fr-FR"/>
        </w:rPr>
        <w:t>h</w:t>
      </w:r>
      <w:r w:rsidR="00E772DD" w:rsidRPr="003914CC">
        <w:rPr>
          <w:sz w:val="24"/>
          <w:szCs w:val="24"/>
          <w:lang w:val="fr-FR"/>
        </w:rPr>
        <w:t>umaines (SIRH)</w:t>
      </w:r>
      <w:bookmarkEnd w:id="1403"/>
      <w:bookmarkEnd w:id="1404"/>
      <w:bookmarkEnd w:id="1405"/>
      <w:bookmarkEnd w:id="1406"/>
      <w:bookmarkEnd w:id="1407"/>
      <w:bookmarkEnd w:id="1408"/>
    </w:p>
    <w:p w:rsidR="00E772DD" w:rsidRPr="00D90DC4" w:rsidRDefault="00E772DD" w:rsidP="00B70E76">
      <w:pPr>
        <w:pStyle w:val="NormalWeb"/>
        <w:spacing w:before="0" w:beforeAutospacing="0" w:after="0" w:afterAutospacing="0" w:line="360" w:lineRule="auto"/>
        <w:jc w:val="both"/>
        <w:rPr>
          <w:color w:val="000000"/>
          <w:lang w:val="fr-FR"/>
        </w:rPr>
      </w:pPr>
      <w:r w:rsidRPr="00D90DC4">
        <w:rPr>
          <w:color w:val="000000"/>
          <w:lang w:val="fr-FR"/>
        </w:rPr>
        <w:t xml:space="preserve">Le Système d’Information des Ressources Humaines (SIRH) est une plateforme intégrée permettant d’automatiser et de centraliser plusieurs processus RH. Il facilite la gestion des </w:t>
      </w:r>
      <w:r w:rsidRPr="00D90DC4">
        <w:rPr>
          <w:color w:val="000000"/>
          <w:lang w:val="fr-FR"/>
        </w:rPr>
        <w:lastRenderedPageBreak/>
        <w:t>employés, optimise l’administration des contrats et simplifie le suivi des rémunérations. Grâce à ses nombreuses fonctionnalités, il permet</w:t>
      </w:r>
      <w:r>
        <w:rPr>
          <w:color w:val="000000"/>
          <w:lang w:val="fr-FR"/>
        </w:rPr>
        <w:t xml:space="preserve"> de faire</w:t>
      </w:r>
      <w:r w:rsidRPr="00D90DC4">
        <w:rPr>
          <w:color w:val="000000"/>
          <w:lang w:val="fr-FR"/>
        </w:rPr>
        <w:t xml:space="preserve"> :</w:t>
      </w:r>
    </w:p>
    <w:p w:rsidR="00E772DD" w:rsidRPr="00D90DC4" w:rsidRDefault="00E772DD" w:rsidP="004D32AC">
      <w:pPr>
        <w:pStyle w:val="NormalWeb"/>
        <w:numPr>
          <w:ilvl w:val="0"/>
          <w:numId w:val="71"/>
        </w:numPr>
        <w:spacing w:before="0" w:beforeAutospacing="0" w:after="0" w:afterAutospacing="0" w:line="360" w:lineRule="auto"/>
        <w:jc w:val="both"/>
        <w:rPr>
          <w:color w:val="000000"/>
          <w:lang w:val="fr-FR"/>
        </w:rPr>
      </w:pPr>
      <w:r w:rsidRPr="00D90DC4">
        <w:rPr>
          <w:color w:val="000000"/>
          <w:lang w:val="fr-FR"/>
        </w:rPr>
        <w:t>La gestion des dossiers du personnel (contrats, absences, congés, promotions).</w:t>
      </w:r>
    </w:p>
    <w:p w:rsidR="00E772DD" w:rsidRPr="00D90DC4" w:rsidRDefault="00E772DD" w:rsidP="004D32AC">
      <w:pPr>
        <w:pStyle w:val="NormalWeb"/>
        <w:numPr>
          <w:ilvl w:val="0"/>
          <w:numId w:val="71"/>
        </w:numPr>
        <w:spacing w:before="0" w:beforeAutospacing="0" w:after="0" w:afterAutospacing="0" w:line="360" w:lineRule="auto"/>
        <w:jc w:val="both"/>
        <w:rPr>
          <w:color w:val="000000"/>
          <w:lang w:val="fr-FR"/>
        </w:rPr>
      </w:pPr>
      <w:r w:rsidRPr="00D90DC4">
        <w:rPr>
          <w:color w:val="000000"/>
          <w:lang w:val="fr-FR"/>
        </w:rPr>
        <w:t>L’automatisation de la paie et des déclarations sociales.</w:t>
      </w:r>
    </w:p>
    <w:p w:rsidR="00E772DD" w:rsidRPr="00D90DC4" w:rsidRDefault="00E772DD" w:rsidP="004D32AC">
      <w:pPr>
        <w:pStyle w:val="NormalWeb"/>
        <w:numPr>
          <w:ilvl w:val="0"/>
          <w:numId w:val="71"/>
        </w:numPr>
        <w:spacing w:before="0" w:beforeAutospacing="0" w:after="0" w:afterAutospacing="0" w:line="360" w:lineRule="auto"/>
        <w:jc w:val="both"/>
        <w:rPr>
          <w:color w:val="000000"/>
          <w:lang w:val="fr-FR"/>
        </w:rPr>
      </w:pPr>
      <w:r w:rsidRPr="00D90DC4">
        <w:rPr>
          <w:color w:val="000000"/>
          <w:lang w:val="fr-FR"/>
        </w:rPr>
        <w:t>L’évaluation des performances et l’accompagnement du développement professionnel des employés.</w:t>
      </w:r>
    </w:p>
    <w:p w:rsidR="00E772DD" w:rsidRPr="00D90DC4" w:rsidRDefault="00E772DD" w:rsidP="00B43AAA">
      <w:pPr>
        <w:pStyle w:val="NormalWeb"/>
        <w:spacing w:before="0" w:beforeAutospacing="0" w:after="240" w:afterAutospacing="0" w:line="360" w:lineRule="auto"/>
        <w:jc w:val="both"/>
        <w:rPr>
          <w:color w:val="000000"/>
          <w:lang w:val="fr-FR"/>
        </w:rPr>
      </w:pPr>
      <w:r w:rsidRPr="00D90DC4">
        <w:rPr>
          <w:color w:val="000000"/>
          <w:lang w:val="fr-FR"/>
        </w:rPr>
        <w:t>Son principal avantage est d’améliorer l’efficacité des services RH en réduisant les tâches répétitives et en garantissant une gestion plus fluide des informations.</w:t>
      </w:r>
      <w:r>
        <w:rPr>
          <w:rStyle w:val="Appelnotedebasdep"/>
          <w:color w:val="000000"/>
          <w:lang w:val="fr-FR"/>
        </w:rPr>
        <w:footnoteReference w:id="246"/>
      </w:r>
    </w:p>
    <w:p w:rsidR="00E772DD" w:rsidRPr="0066151E" w:rsidRDefault="00E772DD" w:rsidP="00B70E76">
      <w:pPr>
        <w:pStyle w:val="NormalWeb"/>
        <w:spacing w:before="0" w:beforeAutospacing="0" w:after="0" w:afterAutospacing="0" w:line="360" w:lineRule="auto"/>
        <w:jc w:val="both"/>
        <w:rPr>
          <w:b/>
          <w:bCs/>
          <w:color w:val="000000"/>
          <w:lang w:val="fr-FR"/>
        </w:rPr>
      </w:pPr>
      <w:r w:rsidRPr="0066151E">
        <w:rPr>
          <w:b/>
          <w:bCs/>
          <w:color w:val="000000"/>
          <w:lang w:val="fr-FR"/>
        </w:rPr>
        <w:t>Exemples :</w:t>
      </w:r>
    </w:p>
    <w:p w:rsidR="00E772DD" w:rsidRPr="00B43AAA" w:rsidRDefault="00E772DD" w:rsidP="004D32AC">
      <w:pPr>
        <w:pStyle w:val="NormalWeb"/>
        <w:numPr>
          <w:ilvl w:val="0"/>
          <w:numId w:val="55"/>
        </w:numPr>
        <w:spacing w:before="0" w:beforeAutospacing="0" w:after="0" w:afterAutospacing="0" w:line="360" w:lineRule="auto"/>
        <w:jc w:val="both"/>
        <w:rPr>
          <w:b/>
          <w:bCs/>
          <w:color w:val="000000"/>
          <w:lang w:val="fr-FR"/>
        </w:rPr>
      </w:pPr>
      <w:r w:rsidRPr="00B43AAA">
        <w:rPr>
          <w:b/>
          <w:bCs/>
          <w:color w:val="000000"/>
          <w:lang w:val="fr-FR"/>
        </w:rPr>
        <w:t xml:space="preserve">SAP </w:t>
      </w:r>
      <w:proofErr w:type="spellStart"/>
      <w:r w:rsidRPr="00B43AAA">
        <w:rPr>
          <w:b/>
          <w:bCs/>
          <w:color w:val="000000"/>
          <w:lang w:val="fr-FR"/>
        </w:rPr>
        <w:t>SuccessFactors</w:t>
      </w:r>
      <w:proofErr w:type="spellEnd"/>
    </w:p>
    <w:p w:rsidR="00E772DD" w:rsidRPr="0066151E" w:rsidRDefault="00E772DD" w:rsidP="00493A7C">
      <w:pPr>
        <w:pStyle w:val="NormalWeb"/>
        <w:spacing w:before="0" w:beforeAutospacing="0" w:after="0" w:afterAutospacing="0" w:line="360" w:lineRule="auto"/>
        <w:ind w:left="360"/>
        <w:jc w:val="both"/>
        <w:rPr>
          <w:color w:val="000000"/>
          <w:lang w:val="fr-FR"/>
        </w:rPr>
      </w:pPr>
      <w:r w:rsidRPr="00B43AAA">
        <w:rPr>
          <w:color w:val="000000"/>
          <w:lang w:val="fr-FR"/>
        </w:rPr>
        <w:t xml:space="preserve">SAP </w:t>
      </w:r>
      <w:proofErr w:type="spellStart"/>
      <w:r w:rsidRPr="00B43AAA">
        <w:rPr>
          <w:color w:val="000000"/>
          <w:lang w:val="fr-FR"/>
        </w:rPr>
        <w:t>SuccessFactors</w:t>
      </w:r>
      <w:proofErr w:type="spellEnd"/>
      <w:r w:rsidRPr="00B43AAA">
        <w:rPr>
          <w:color w:val="000000"/>
          <w:lang w:val="fr-FR"/>
        </w:rPr>
        <w:t xml:space="preserve"> est une suite logicielle de gestion des ressources humaines (GRH) basée sur le cloud, développée par SAP. Elle est largement utilisée par </w:t>
      </w:r>
      <w:r w:rsidRPr="0066151E">
        <w:rPr>
          <w:color w:val="000000"/>
          <w:lang w:val="fr-FR"/>
        </w:rPr>
        <w:t>les</w:t>
      </w:r>
      <w:r w:rsidRPr="00B43AAA">
        <w:rPr>
          <w:color w:val="000000"/>
          <w:lang w:val="fr-FR"/>
        </w:rPr>
        <w:t xml:space="preserve"> grandes entreprises pour gérer l’ensemble du cycle de vie des employés. </w:t>
      </w:r>
    </w:p>
    <w:p w:rsidR="00E772DD" w:rsidRPr="00B43AAA" w:rsidRDefault="00E772DD" w:rsidP="00493A7C">
      <w:pPr>
        <w:pStyle w:val="NormalWeb"/>
        <w:spacing w:before="0" w:beforeAutospacing="0" w:after="0" w:afterAutospacing="0" w:line="360" w:lineRule="auto"/>
        <w:ind w:left="360"/>
        <w:jc w:val="both"/>
        <w:rPr>
          <w:color w:val="000000"/>
          <w:lang w:val="fr-FR"/>
        </w:rPr>
      </w:pPr>
      <w:r w:rsidRPr="00B43AAA">
        <w:rPr>
          <w:color w:val="000000"/>
          <w:lang w:val="fr-FR"/>
        </w:rPr>
        <w:t>Ses principales fonctionnalités incluent :</w:t>
      </w:r>
    </w:p>
    <w:p w:rsidR="00E772DD" w:rsidRPr="00B43AAA" w:rsidRDefault="00E772DD" w:rsidP="004D32AC">
      <w:pPr>
        <w:pStyle w:val="NormalWeb"/>
        <w:numPr>
          <w:ilvl w:val="0"/>
          <w:numId w:val="79"/>
        </w:numPr>
        <w:spacing w:before="0" w:beforeAutospacing="0" w:after="0" w:afterAutospacing="0" w:line="360" w:lineRule="auto"/>
        <w:jc w:val="both"/>
        <w:rPr>
          <w:color w:val="000000"/>
          <w:lang w:val="fr-FR"/>
        </w:rPr>
      </w:pPr>
      <w:r w:rsidRPr="00B43AAA">
        <w:rPr>
          <w:color w:val="000000"/>
          <w:lang w:val="fr-FR"/>
        </w:rPr>
        <w:t>Recrutement et intégration : Facilite l’embauche et l’intégration des nouveaux talents.</w:t>
      </w:r>
    </w:p>
    <w:p w:rsidR="00E772DD" w:rsidRPr="00B43AAA" w:rsidRDefault="00E772DD" w:rsidP="004D32AC">
      <w:pPr>
        <w:pStyle w:val="NormalWeb"/>
        <w:numPr>
          <w:ilvl w:val="0"/>
          <w:numId w:val="79"/>
        </w:numPr>
        <w:spacing w:before="0" w:beforeAutospacing="0" w:after="0" w:afterAutospacing="0" w:line="360" w:lineRule="auto"/>
        <w:jc w:val="both"/>
        <w:rPr>
          <w:color w:val="000000"/>
          <w:lang w:val="fr-FR"/>
        </w:rPr>
      </w:pPr>
      <w:r w:rsidRPr="00B43AAA">
        <w:rPr>
          <w:color w:val="000000"/>
          <w:lang w:val="fr-FR"/>
        </w:rPr>
        <w:t>Gestion de la performance et des objectifs : Permet d’aligner les objectifs des employés avec ceux de l’entreprise.</w:t>
      </w:r>
    </w:p>
    <w:p w:rsidR="00E772DD" w:rsidRPr="00B43AAA" w:rsidRDefault="00E772DD" w:rsidP="004D32AC">
      <w:pPr>
        <w:pStyle w:val="NormalWeb"/>
        <w:numPr>
          <w:ilvl w:val="0"/>
          <w:numId w:val="79"/>
        </w:numPr>
        <w:spacing w:before="0" w:beforeAutospacing="0" w:after="0" w:afterAutospacing="0" w:line="360" w:lineRule="auto"/>
        <w:jc w:val="both"/>
        <w:rPr>
          <w:color w:val="000000"/>
          <w:lang w:val="fr-FR"/>
        </w:rPr>
      </w:pPr>
      <w:r w:rsidRPr="00B43AAA">
        <w:rPr>
          <w:color w:val="000000"/>
          <w:lang w:val="fr-FR"/>
        </w:rPr>
        <w:t>Formation et développement : Propose des modules de formation pour le développement des compétences.</w:t>
      </w:r>
    </w:p>
    <w:p w:rsidR="00E772DD" w:rsidRPr="00B43AAA" w:rsidRDefault="00E772DD" w:rsidP="004D32AC">
      <w:pPr>
        <w:pStyle w:val="NormalWeb"/>
        <w:numPr>
          <w:ilvl w:val="0"/>
          <w:numId w:val="79"/>
        </w:numPr>
        <w:spacing w:before="0" w:beforeAutospacing="0" w:after="0" w:afterAutospacing="0" w:line="360" w:lineRule="auto"/>
        <w:jc w:val="both"/>
        <w:rPr>
          <w:color w:val="000000"/>
          <w:lang w:val="fr-FR"/>
        </w:rPr>
      </w:pPr>
      <w:r w:rsidRPr="00B43AAA">
        <w:rPr>
          <w:color w:val="000000"/>
          <w:lang w:val="fr-FR"/>
        </w:rPr>
        <w:t>Planification de la succession et gestion des talents : Identifie les talents internes pour assurer une continuité dans l’entreprise.</w:t>
      </w:r>
    </w:p>
    <w:p w:rsidR="00E772DD" w:rsidRPr="00B43AAA" w:rsidRDefault="00E772DD" w:rsidP="004D32AC">
      <w:pPr>
        <w:pStyle w:val="NormalWeb"/>
        <w:numPr>
          <w:ilvl w:val="0"/>
          <w:numId w:val="79"/>
        </w:numPr>
        <w:spacing w:before="0" w:beforeAutospacing="0" w:after="0" w:afterAutospacing="0" w:line="360" w:lineRule="auto"/>
        <w:jc w:val="both"/>
        <w:rPr>
          <w:color w:val="000000"/>
          <w:lang w:val="fr-FR"/>
        </w:rPr>
      </w:pPr>
      <w:r w:rsidRPr="00B43AAA">
        <w:rPr>
          <w:color w:val="000000"/>
          <w:lang w:val="fr-FR"/>
        </w:rPr>
        <w:t>Gestion de la paie et des avantages sociaux : Assure une administration efficace des rémunérations et avantages.</w:t>
      </w:r>
    </w:p>
    <w:p w:rsidR="00E772DD" w:rsidRPr="0066151E" w:rsidRDefault="00E772DD" w:rsidP="00B43AAA">
      <w:pPr>
        <w:pStyle w:val="NormalWeb"/>
        <w:spacing w:before="0" w:beforeAutospacing="0" w:after="0" w:afterAutospacing="0" w:line="360" w:lineRule="auto"/>
        <w:ind w:left="360"/>
        <w:jc w:val="both"/>
        <w:rPr>
          <w:color w:val="000000"/>
          <w:lang w:val="fr-FR"/>
        </w:rPr>
      </w:pPr>
      <w:r w:rsidRPr="00B43AAA">
        <w:rPr>
          <w:color w:val="000000"/>
          <w:lang w:val="fr-FR"/>
        </w:rPr>
        <w:t xml:space="preserve">SAP </w:t>
      </w:r>
      <w:proofErr w:type="spellStart"/>
      <w:r w:rsidRPr="00B43AAA">
        <w:rPr>
          <w:color w:val="000000"/>
          <w:lang w:val="fr-FR"/>
        </w:rPr>
        <w:t>SuccessFactors</w:t>
      </w:r>
      <w:proofErr w:type="spellEnd"/>
      <w:r w:rsidRPr="00B43AAA">
        <w:rPr>
          <w:color w:val="000000"/>
          <w:lang w:val="fr-FR"/>
        </w:rPr>
        <w:t xml:space="preserve"> est particulièrement apprécié pour sa capacité à s’intégrer à d’autres solutions SAP et sa robustesse pour les grandes entreprises</w:t>
      </w:r>
      <w:r w:rsidRPr="0066151E">
        <w:rPr>
          <w:color w:val="000000"/>
          <w:lang w:val="fr-FR"/>
        </w:rPr>
        <w:t>.</w:t>
      </w:r>
      <w:r w:rsidRPr="0066151E">
        <w:rPr>
          <w:rStyle w:val="Appelnotedebasdep"/>
          <w:color w:val="000000"/>
          <w:lang w:val="fr-FR"/>
        </w:rPr>
        <w:footnoteReference w:id="247"/>
      </w:r>
    </w:p>
    <w:p w:rsidR="00E772DD" w:rsidRPr="00B43AAA" w:rsidRDefault="00E772DD" w:rsidP="004D32AC">
      <w:pPr>
        <w:pStyle w:val="NormalWeb"/>
        <w:numPr>
          <w:ilvl w:val="0"/>
          <w:numId w:val="55"/>
        </w:numPr>
        <w:spacing w:before="0" w:beforeAutospacing="0" w:after="0" w:afterAutospacing="0" w:line="360" w:lineRule="auto"/>
        <w:jc w:val="both"/>
        <w:rPr>
          <w:b/>
          <w:bCs/>
          <w:color w:val="000000"/>
          <w:lang w:val="fr-FR"/>
        </w:rPr>
      </w:pPr>
      <w:proofErr w:type="spellStart"/>
      <w:r w:rsidRPr="00B43AAA">
        <w:rPr>
          <w:b/>
          <w:bCs/>
          <w:color w:val="000000"/>
          <w:lang w:val="fr-FR"/>
        </w:rPr>
        <w:t>Workday</w:t>
      </w:r>
      <w:proofErr w:type="spellEnd"/>
    </w:p>
    <w:p w:rsidR="00E772DD" w:rsidRPr="00B43AAA" w:rsidRDefault="00E772DD" w:rsidP="00B43AAA">
      <w:pPr>
        <w:pStyle w:val="NormalWeb"/>
        <w:spacing w:before="0" w:beforeAutospacing="0" w:after="0" w:afterAutospacing="0" w:line="360" w:lineRule="auto"/>
        <w:ind w:left="360"/>
        <w:jc w:val="both"/>
        <w:rPr>
          <w:color w:val="000000"/>
          <w:lang w:val="fr-FR"/>
        </w:rPr>
      </w:pPr>
      <w:proofErr w:type="spellStart"/>
      <w:r w:rsidRPr="00B43AAA">
        <w:rPr>
          <w:color w:val="000000"/>
          <w:lang w:val="fr-FR"/>
        </w:rPr>
        <w:t>Workday</w:t>
      </w:r>
      <w:proofErr w:type="spellEnd"/>
      <w:r w:rsidRPr="00B43AAA">
        <w:rPr>
          <w:color w:val="000000"/>
          <w:lang w:val="fr-FR"/>
        </w:rPr>
        <w:t xml:space="preserve"> est une plateforme cloud de gestion des ressources humaines et de la finance. Elle offre une solution complète et intuitive pour la gestion du personnel et l’analyse des données RH. Ses principales fonctionnalités incluent :</w:t>
      </w:r>
    </w:p>
    <w:p w:rsidR="00E772DD" w:rsidRPr="00B43AAA" w:rsidRDefault="00E772DD" w:rsidP="004D32AC">
      <w:pPr>
        <w:pStyle w:val="NormalWeb"/>
        <w:numPr>
          <w:ilvl w:val="0"/>
          <w:numId w:val="78"/>
        </w:numPr>
        <w:spacing w:before="0" w:beforeAutospacing="0" w:after="0" w:afterAutospacing="0" w:line="360" w:lineRule="auto"/>
        <w:jc w:val="both"/>
        <w:rPr>
          <w:color w:val="000000"/>
          <w:lang w:val="fr-FR"/>
        </w:rPr>
      </w:pPr>
      <w:r w:rsidRPr="00B43AAA">
        <w:rPr>
          <w:color w:val="000000"/>
          <w:lang w:val="fr-FR"/>
        </w:rPr>
        <w:lastRenderedPageBreak/>
        <w:t>Gestion des talents : Suivi des performances, développement des employés et planification de la succession.</w:t>
      </w:r>
    </w:p>
    <w:p w:rsidR="00E772DD" w:rsidRPr="00B43AAA" w:rsidRDefault="00E772DD" w:rsidP="004D32AC">
      <w:pPr>
        <w:pStyle w:val="NormalWeb"/>
        <w:numPr>
          <w:ilvl w:val="0"/>
          <w:numId w:val="78"/>
        </w:numPr>
        <w:spacing w:before="0" w:beforeAutospacing="0" w:after="0" w:afterAutospacing="0" w:line="360" w:lineRule="auto"/>
        <w:jc w:val="both"/>
        <w:rPr>
          <w:color w:val="000000"/>
          <w:lang w:val="fr-FR"/>
        </w:rPr>
      </w:pPr>
      <w:r w:rsidRPr="00B43AAA">
        <w:rPr>
          <w:color w:val="000000"/>
          <w:lang w:val="fr-FR"/>
        </w:rPr>
        <w:t>Gestion de la paie et des avantages : Administration des salaires, conformité réglementaire et gestion des avantages sociaux.</w:t>
      </w:r>
    </w:p>
    <w:p w:rsidR="00E772DD" w:rsidRPr="00B43AAA" w:rsidRDefault="00E772DD" w:rsidP="004D32AC">
      <w:pPr>
        <w:pStyle w:val="NormalWeb"/>
        <w:numPr>
          <w:ilvl w:val="0"/>
          <w:numId w:val="78"/>
        </w:numPr>
        <w:spacing w:before="0" w:beforeAutospacing="0" w:after="0" w:afterAutospacing="0" w:line="360" w:lineRule="auto"/>
        <w:jc w:val="both"/>
        <w:rPr>
          <w:color w:val="000000"/>
          <w:lang w:val="fr-FR"/>
        </w:rPr>
      </w:pPr>
      <w:r w:rsidRPr="00B43AAA">
        <w:rPr>
          <w:color w:val="000000"/>
          <w:lang w:val="fr-FR"/>
        </w:rPr>
        <w:t>Planification et analyse RH : Outils d’analyse avancés pour anticiper les besoins en main-d'œuvre et optimiser les processus RH.</w:t>
      </w:r>
    </w:p>
    <w:p w:rsidR="00E772DD" w:rsidRPr="00B43AAA" w:rsidRDefault="00E772DD" w:rsidP="004D32AC">
      <w:pPr>
        <w:pStyle w:val="NormalWeb"/>
        <w:numPr>
          <w:ilvl w:val="0"/>
          <w:numId w:val="78"/>
        </w:numPr>
        <w:spacing w:before="0" w:beforeAutospacing="0" w:after="0" w:afterAutospacing="0" w:line="360" w:lineRule="auto"/>
        <w:jc w:val="both"/>
        <w:rPr>
          <w:color w:val="000000"/>
          <w:lang w:val="fr-FR"/>
        </w:rPr>
      </w:pPr>
      <w:r w:rsidRPr="00B43AAA">
        <w:rPr>
          <w:color w:val="000000"/>
          <w:lang w:val="fr-FR"/>
        </w:rPr>
        <w:t>Expérience employé : Interface intuitive pour les employés et managers, facilitant la gestion des demandes et des processus RH.</w:t>
      </w:r>
    </w:p>
    <w:p w:rsidR="00E772DD" w:rsidRDefault="00E772DD" w:rsidP="00DA7BB2">
      <w:pPr>
        <w:pStyle w:val="NormalWeb"/>
        <w:spacing w:before="0" w:beforeAutospacing="0" w:after="240" w:afterAutospacing="0" w:line="360" w:lineRule="auto"/>
        <w:ind w:left="360"/>
        <w:jc w:val="both"/>
        <w:rPr>
          <w:color w:val="000000"/>
          <w:lang w:val="fr-FR"/>
        </w:rPr>
      </w:pPr>
      <w:proofErr w:type="spellStart"/>
      <w:r w:rsidRPr="00B43AAA">
        <w:rPr>
          <w:color w:val="000000"/>
          <w:lang w:val="fr-FR"/>
        </w:rPr>
        <w:t>Workday</w:t>
      </w:r>
      <w:proofErr w:type="spellEnd"/>
      <w:r w:rsidRPr="00B43AAA">
        <w:rPr>
          <w:color w:val="000000"/>
          <w:lang w:val="fr-FR"/>
        </w:rPr>
        <w:t xml:space="preserve"> est particulièrement prisé pour son interface utilisateur moderne et son approche orientée vers les données analytiques, ce qui le rend idéal pour les entreprises en quête d’agilité et de transformation digitale.</w:t>
      </w:r>
      <w:r w:rsidRPr="0066151E">
        <w:rPr>
          <w:rStyle w:val="Appelnotedebasdep"/>
          <w:color w:val="000000"/>
          <w:lang w:val="fr-FR"/>
        </w:rPr>
        <w:footnoteReference w:id="248"/>
      </w:r>
    </w:p>
    <w:p w:rsidR="00E772DD" w:rsidRPr="006631F0" w:rsidRDefault="00E772DD" w:rsidP="006631F0">
      <w:pPr>
        <w:pStyle w:val="NormalWeb"/>
        <w:spacing w:before="0" w:beforeAutospacing="0" w:after="0" w:afterAutospacing="0" w:line="360" w:lineRule="auto"/>
        <w:ind w:left="360"/>
        <w:jc w:val="center"/>
        <w:rPr>
          <w:b/>
          <w:bCs/>
          <w:color w:val="000000"/>
          <w:lang w:val="fr-FR"/>
        </w:rPr>
      </w:pPr>
      <w:r>
        <w:rPr>
          <w:b/>
          <w:bCs/>
          <w:color w:val="000000"/>
          <w:lang w:val="fr-FR"/>
        </w:rPr>
        <w:t xml:space="preserve">Figure N°21 : </w:t>
      </w:r>
      <w:proofErr w:type="spellStart"/>
      <w:r w:rsidRPr="001F04DD">
        <w:rPr>
          <w:color w:val="000000"/>
          <w:lang w:val="fr-FR"/>
        </w:rPr>
        <w:t>Workday</w:t>
      </w:r>
      <w:proofErr w:type="spellEnd"/>
      <w:r w:rsidRPr="001F04DD">
        <w:rPr>
          <w:color w:val="000000"/>
          <w:lang w:val="fr-FR"/>
        </w:rPr>
        <w:t xml:space="preserve"> : La solution cloud innovante pour une gestion RH optimisée</w:t>
      </w:r>
    </w:p>
    <w:p w:rsidR="00E772DD" w:rsidRDefault="00E772DD" w:rsidP="006631F0">
      <w:pPr>
        <w:pStyle w:val="NormalWeb"/>
        <w:spacing w:before="0" w:beforeAutospacing="0" w:after="0" w:afterAutospacing="0" w:line="360" w:lineRule="auto"/>
        <w:ind w:left="360"/>
        <w:jc w:val="center"/>
        <w:rPr>
          <w:color w:val="000000"/>
          <w:lang w:val="fr-FR"/>
        </w:rPr>
      </w:pPr>
      <w:r>
        <w:rPr>
          <w:noProof/>
          <w:color w:val="000000"/>
          <w:lang w:val="fr-FR"/>
          <w14:ligatures w14:val="standardContextual"/>
        </w:rPr>
        <w:drawing>
          <wp:inline distT="0" distB="0" distL="0" distR="0">
            <wp:extent cx="5486400" cy="2741686"/>
            <wp:effectExtent l="0" t="0" r="0" b="1905"/>
            <wp:docPr id="148602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2246" name="Picture 148602246"/>
                    <pic:cNvPicPr/>
                  </pic:nvPicPr>
                  <pic:blipFill rotWithShape="1">
                    <a:blip r:embed="rId86" cstate="print">
                      <a:extLst>
                        <a:ext uri="{28A0092B-C50C-407E-A947-70E740481C1C}">
                          <a14:useLocalDpi xmlns:a14="http://schemas.microsoft.com/office/drawing/2010/main" val="0"/>
                        </a:ext>
                      </a:extLst>
                    </a:blip>
                    <a:srcRect t="13933" b="6118"/>
                    <a:stretch/>
                  </pic:blipFill>
                  <pic:spPr bwMode="auto">
                    <a:xfrm>
                      <a:off x="0" y="0"/>
                      <a:ext cx="5537059" cy="2767002"/>
                    </a:xfrm>
                    <a:prstGeom prst="rect">
                      <a:avLst/>
                    </a:prstGeom>
                    <a:ln>
                      <a:noFill/>
                    </a:ln>
                    <a:extLst>
                      <a:ext uri="{53640926-AAD7-44D8-BBD7-CCE9431645EC}">
                        <a14:shadowObscured xmlns:a14="http://schemas.microsoft.com/office/drawing/2010/main"/>
                      </a:ext>
                    </a:extLst>
                  </pic:spPr>
                </pic:pic>
              </a:graphicData>
            </a:graphic>
          </wp:inline>
        </w:drawing>
      </w:r>
    </w:p>
    <w:p w:rsidR="00E772DD" w:rsidRPr="003914CC" w:rsidRDefault="00E772DD" w:rsidP="00F60EBD">
      <w:pPr>
        <w:pStyle w:val="NormalWeb"/>
        <w:spacing w:before="0" w:beforeAutospacing="0" w:after="0" w:afterAutospacing="0" w:line="360" w:lineRule="auto"/>
        <w:ind w:left="360"/>
        <w:jc w:val="center"/>
        <w:rPr>
          <w:lang w:val="fr-FR"/>
        </w:rPr>
      </w:pPr>
      <w:r w:rsidRPr="006631F0">
        <w:rPr>
          <w:b/>
          <w:bCs/>
          <w:color w:val="000000"/>
          <w:lang w:val="fr-FR"/>
        </w:rPr>
        <w:t>Source :</w:t>
      </w:r>
      <w:r w:rsidRPr="005B2A02">
        <w:rPr>
          <w:lang w:val="fr-FR"/>
        </w:rPr>
        <w:t xml:space="preserve"> </w:t>
      </w:r>
      <w:proofErr w:type="spellStart"/>
      <w:r w:rsidR="00F60EBD" w:rsidRPr="00F60EBD">
        <w:rPr>
          <w:lang w:val="fr-FR"/>
        </w:rPr>
        <w:t>Workday</w:t>
      </w:r>
      <w:proofErr w:type="spellEnd"/>
      <w:r w:rsidR="00F60EBD" w:rsidRPr="00F60EBD">
        <w:rPr>
          <w:lang w:val="fr-FR"/>
        </w:rPr>
        <w:t>. (s.d.). Gestion des talents : définition et avantages.</w:t>
      </w:r>
      <w:r w:rsidR="00F60EBD">
        <w:rPr>
          <w:lang w:val="fr-FR"/>
        </w:rPr>
        <w:t xml:space="preserve"> </w:t>
      </w:r>
      <w:r w:rsidR="00F60EBD">
        <w:t>https://www.workday.com/fr-fr/pages/gestion-des-talents.html</w:t>
      </w:r>
    </w:p>
    <w:p w:rsidR="00E772DD" w:rsidRPr="0066151E" w:rsidRDefault="00E772DD" w:rsidP="00B70E76">
      <w:pPr>
        <w:pStyle w:val="NormalWeb"/>
        <w:spacing w:before="0" w:beforeAutospacing="0" w:after="0" w:afterAutospacing="0" w:line="360" w:lineRule="auto"/>
        <w:jc w:val="both"/>
        <w:rPr>
          <w:color w:val="000000"/>
          <w:lang w:val="fr-FR"/>
        </w:rPr>
      </w:pPr>
      <w:r w:rsidRPr="0066151E">
        <w:rPr>
          <w:color w:val="000000"/>
          <w:lang w:val="fr-FR"/>
        </w:rPr>
        <w:t>Les ATS (</w:t>
      </w:r>
      <w:proofErr w:type="spellStart"/>
      <w:r w:rsidRPr="0066151E">
        <w:rPr>
          <w:color w:val="000000"/>
          <w:lang w:val="fr-FR"/>
        </w:rPr>
        <w:t>Applicant</w:t>
      </w:r>
      <w:proofErr w:type="spellEnd"/>
      <w:r w:rsidRPr="0066151E">
        <w:rPr>
          <w:color w:val="000000"/>
          <w:lang w:val="fr-FR"/>
        </w:rPr>
        <w:t xml:space="preserve"> </w:t>
      </w:r>
      <w:proofErr w:type="spellStart"/>
      <w:r w:rsidRPr="0066151E">
        <w:rPr>
          <w:color w:val="000000"/>
          <w:lang w:val="fr-FR"/>
        </w:rPr>
        <w:t>Tracking</w:t>
      </w:r>
      <w:proofErr w:type="spellEnd"/>
      <w:r w:rsidRPr="0066151E">
        <w:rPr>
          <w:color w:val="000000"/>
          <w:lang w:val="fr-FR"/>
        </w:rPr>
        <w:t xml:space="preserve"> </w:t>
      </w:r>
      <w:proofErr w:type="spellStart"/>
      <w:r w:rsidRPr="0066151E">
        <w:rPr>
          <w:color w:val="000000"/>
          <w:lang w:val="fr-FR"/>
        </w:rPr>
        <w:t>Systems</w:t>
      </w:r>
      <w:proofErr w:type="spellEnd"/>
      <w:r w:rsidRPr="0066151E">
        <w:rPr>
          <w:color w:val="000000"/>
          <w:lang w:val="fr-FR"/>
        </w:rPr>
        <w:t>) sont des logiciels qui automatisent les différentes étapes du recrutement. Ils permettent aux entreprises de gérer efficacement les candidatures en facilitant :</w:t>
      </w:r>
    </w:p>
    <w:p w:rsidR="00E772DD" w:rsidRPr="0066151E" w:rsidRDefault="00E772DD" w:rsidP="004D32AC">
      <w:pPr>
        <w:pStyle w:val="NormalWeb"/>
        <w:numPr>
          <w:ilvl w:val="0"/>
          <w:numId w:val="72"/>
        </w:numPr>
        <w:spacing w:before="0" w:beforeAutospacing="0" w:after="0" w:afterAutospacing="0" w:line="360" w:lineRule="auto"/>
        <w:jc w:val="both"/>
        <w:rPr>
          <w:color w:val="000000"/>
          <w:lang w:val="fr-FR"/>
        </w:rPr>
      </w:pPr>
      <w:r w:rsidRPr="0066151E">
        <w:rPr>
          <w:color w:val="000000"/>
          <w:lang w:val="fr-FR"/>
        </w:rPr>
        <w:t>La diffusion des offres d’emploi sur plusieurs plateformes simultanément.</w:t>
      </w:r>
    </w:p>
    <w:p w:rsidR="00E772DD" w:rsidRPr="0066151E" w:rsidRDefault="00E772DD" w:rsidP="004D32AC">
      <w:pPr>
        <w:pStyle w:val="NormalWeb"/>
        <w:numPr>
          <w:ilvl w:val="0"/>
          <w:numId w:val="72"/>
        </w:numPr>
        <w:spacing w:before="0" w:beforeAutospacing="0" w:after="0" w:afterAutospacing="0" w:line="360" w:lineRule="auto"/>
        <w:jc w:val="both"/>
        <w:rPr>
          <w:color w:val="000000"/>
          <w:lang w:val="fr-FR"/>
        </w:rPr>
      </w:pPr>
      <w:r w:rsidRPr="0066151E">
        <w:rPr>
          <w:color w:val="000000"/>
          <w:lang w:val="fr-FR"/>
        </w:rPr>
        <w:t>La présélection des candidats via des filtres intelligents et des algorithmes de tri.</w:t>
      </w:r>
    </w:p>
    <w:p w:rsidR="00E772DD" w:rsidRPr="0066151E" w:rsidRDefault="00E772DD" w:rsidP="004D32AC">
      <w:pPr>
        <w:pStyle w:val="NormalWeb"/>
        <w:numPr>
          <w:ilvl w:val="0"/>
          <w:numId w:val="72"/>
        </w:numPr>
        <w:spacing w:before="0" w:beforeAutospacing="0" w:after="0" w:afterAutospacing="0" w:line="360" w:lineRule="auto"/>
        <w:jc w:val="both"/>
        <w:rPr>
          <w:color w:val="000000"/>
          <w:lang w:val="fr-FR"/>
        </w:rPr>
      </w:pPr>
      <w:r w:rsidRPr="0066151E">
        <w:rPr>
          <w:color w:val="000000"/>
          <w:lang w:val="fr-FR"/>
        </w:rPr>
        <w:t>L’organisation et la planification des entretiens.</w:t>
      </w:r>
    </w:p>
    <w:p w:rsidR="00E772DD" w:rsidRPr="0066151E" w:rsidRDefault="00E772DD" w:rsidP="003914CC">
      <w:pPr>
        <w:pStyle w:val="NormalWeb"/>
        <w:spacing w:before="0" w:beforeAutospacing="0" w:after="240" w:afterAutospacing="0" w:line="360" w:lineRule="auto"/>
        <w:jc w:val="both"/>
        <w:rPr>
          <w:color w:val="000000"/>
          <w:lang w:val="fr-FR"/>
        </w:rPr>
      </w:pPr>
      <w:r w:rsidRPr="0066151E">
        <w:rPr>
          <w:color w:val="000000"/>
          <w:lang w:val="fr-FR"/>
        </w:rPr>
        <w:lastRenderedPageBreak/>
        <w:t>Ces outils sont particulièrement utiles pour les entreprises qui reçoivent un grand nombre de candidatures et souhaitent optimiser leur processus d’embauche.</w:t>
      </w:r>
      <w:r w:rsidRPr="0066151E">
        <w:rPr>
          <w:rStyle w:val="Appelnotedebasdep"/>
          <w:color w:val="000000"/>
          <w:lang w:val="fr-FR"/>
        </w:rPr>
        <w:footnoteReference w:id="249"/>
      </w:r>
    </w:p>
    <w:p w:rsidR="00E772DD" w:rsidRPr="0066151E" w:rsidRDefault="00E772DD" w:rsidP="00B70E76">
      <w:pPr>
        <w:pStyle w:val="NormalWeb"/>
        <w:spacing w:before="0" w:beforeAutospacing="0" w:after="0" w:afterAutospacing="0" w:line="360" w:lineRule="auto"/>
        <w:jc w:val="both"/>
        <w:rPr>
          <w:b/>
          <w:bCs/>
          <w:color w:val="000000"/>
          <w:lang w:val="fr-FR"/>
        </w:rPr>
      </w:pPr>
      <w:r w:rsidRPr="0066151E">
        <w:rPr>
          <w:b/>
          <w:bCs/>
          <w:color w:val="000000"/>
          <w:lang w:val="fr-FR"/>
        </w:rPr>
        <w:t>Exemples :</w:t>
      </w:r>
    </w:p>
    <w:p w:rsidR="00E772DD" w:rsidRPr="00CF69BB" w:rsidRDefault="00E772DD" w:rsidP="004D32AC">
      <w:pPr>
        <w:pStyle w:val="NormalWeb"/>
        <w:numPr>
          <w:ilvl w:val="0"/>
          <w:numId w:val="55"/>
        </w:numPr>
        <w:spacing w:before="0" w:beforeAutospacing="0" w:after="0" w:afterAutospacing="0" w:line="360" w:lineRule="auto"/>
        <w:jc w:val="both"/>
        <w:rPr>
          <w:b/>
          <w:bCs/>
          <w:color w:val="000000"/>
          <w:lang w:val="fr-FR"/>
        </w:rPr>
      </w:pPr>
      <w:proofErr w:type="spellStart"/>
      <w:r w:rsidRPr="00CF69BB">
        <w:rPr>
          <w:b/>
          <w:bCs/>
          <w:color w:val="000000"/>
          <w:lang w:val="fr-FR"/>
        </w:rPr>
        <w:t>Taleo</w:t>
      </w:r>
      <w:proofErr w:type="spellEnd"/>
      <w:r w:rsidRPr="00CF69BB">
        <w:rPr>
          <w:b/>
          <w:bCs/>
          <w:color w:val="000000"/>
          <w:lang w:val="fr-FR"/>
        </w:rPr>
        <w:t xml:space="preserve"> (Oracle)</w:t>
      </w:r>
    </w:p>
    <w:p w:rsidR="00E772DD" w:rsidRPr="00CF69BB" w:rsidRDefault="00E772DD" w:rsidP="00CF69BB">
      <w:pPr>
        <w:pStyle w:val="NormalWeb"/>
        <w:spacing w:before="0" w:beforeAutospacing="0" w:after="0" w:afterAutospacing="0" w:line="360" w:lineRule="auto"/>
        <w:jc w:val="both"/>
        <w:rPr>
          <w:color w:val="000000"/>
          <w:lang w:val="fr-FR"/>
        </w:rPr>
      </w:pPr>
      <w:proofErr w:type="spellStart"/>
      <w:r w:rsidRPr="00CF69BB">
        <w:rPr>
          <w:color w:val="000000"/>
          <w:lang w:val="fr-FR"/>
        </w:rPr>
        <w:t>Taleo</w:t>
      </w:r>
      <w:proofErr w:type="spellEnd"/>
      <w:r w:rsidRPr="00CF69BB">
        <w:rPr>
          <w:color w:val="000000"/>
          <w:lang w:val="fr-FR"/>
        </w:rPr>
        <w:t xml:space="preserve"> est l’un des leaders du marché des logiciels de recrutement, utilisé par de nombreuses multinationales. Son intégration avec Oracle Cloud et ses fonctionnalités avancées en font une solution privilégiée pour les grandes entreprises. Il est particulièrement apprécié pour :</w:t>
      </w:r>
    </w:p>
    <w:p w:rsidR="00E772DD" w:rsidRPr="00CF69BB" w:rsidRDefault="00E772DD" w:rsidP="004D32AC">
      <w:pPr>
        <w:pStyle w:val="NormalWeb"/>
        <w:numPr>
          <w:ilvl w:val="0"/>
          <w:numId w:val="80"/>
        </w:numPr>
        <w:spacing w:before="0" w:beforeAutospacing="0" w:after="0" w:afterAutospacing="0" w:line="360" w:lineRule="auto"/>
        <w:jc w:val="both"/>
        <w:rPr>
          <w:color w:val="000000"/>
          <w:lang w:val="fr-FR"/>
        </w:rPr>
      </w:pPr>
      <w:r w:rsidRPr="00CF69BB">
        <w:rPr>
          <w:color w:val="000000"/>
          <w:lang w:val="fr-FR"/>
        </w:rPr>
        <w:t>Sa robustesse et sa capacité à gérer un volume élevé de candidatures.</w:t>
      </w:r>
    </w:p>
    <w:p w:rsidR="00E772DD" w:rsidRPr="00CF69BB" w:rsidRDefault="00E772DD" w:rsidP="004D32AC">
      <w:pPr>
        <w:pStyle w:val="NormalWeb"/>
        <w:numPr>
          <w:ilvl w:val="0"/>
          <w:numId w:val="80"/>
        </w:numPr>
        <w:spacing w:before="0" w:beforeAutospacing="0" w:after="0" w:afterAutospacing="0" w:line="360" w:lineRule="auto"/>
        <w:jc w:val="both"/>
        <w:rPr>
          <w:color w:val="000000"/>
          <w:lang w:val="fr-FR"/>
        </w:rPr>
      </w:pPr>
      <w:r w:rsidRPr="00CF69BB">
        <w:rPr>
          <w:color w:val="000000"/>
          <w:lang w:val="fr-FR"/>
        </w:rPr>
        <w:t>Son intégration avec d’autres solutions Oracle, ce qui le rend idéal pour les entreprises utilisant déjà cet écosystème.</w:t>
      </w:r>
    </w:p>
    <w:p w:rsidR="00E772DD" w:rsidRDefault="00E772DD" w:rsidP="004D32AC">
      <w:pPr>
        <w:pStyle w:val="NormalWeb"/>
        <w:numPr>
          <w:ilvl w:val="0"/>
          <w:numId w:val="80"/>
        </w:numPr>
        <w:spacing w:before="0" w:beforeAutospacing="0" w:after="0" w:afterAutospacing="0" w:line="360" w:lineRule="auto"/>
        <w:rPr>
          <w:color w:val="000000"/>
          <w:lang w:val="fr-FR"/>
        </w:rPr>
      </w:pPr>
      <w:r w:rsidRPr="00CF69BB">
        <w:rPr>
          <w:color w:val="000000"/>
          <w:lang w:val="fr-FR"/>
        </w:rPr>
        <w:t xml:space="preserve">Sa présence mondiale, avec une adoption massive par des entreprises de divers </w:t>
      </w:r>
    </w:p>
    <w:p w:rsidR="00E772DD" w:rsidRDefault="00E772DD" w:rsidP="006631F0">
      <w:pPr>
        <w:pStyle w:val="NormalWeb"/>
        <w:spacing w:before="0" w:beforeAutospacing="0" w:after="0" w:afterAutospacing="0" w:line="360" w:lineRule="auto"/>
        <w:ind w:left="284"/>
        <w:rPr>
          <w:color w:val="000000"/>
          <w:lang w:val="fr-FR"/>
        </w:rPr>
      </w:pPr>
      <w:r w:rsidRPr="0086518A">
        <w:rPr>
          <w:color w:val="000000"/>
          <w:lang w:val="fr-FR"/>
        </w:rPr>
        <w:t>secteurs.</w:t>
      </w:r>
      <w:r w:rsidRPr="0066151E">
        <w:rPr>
          <w:rStyle w:val="Appelnotedebasdep"/>
          <w:color w:val="000000"/>
          <w:lang w:val="fr-FR"/>
        </w:rPr>
        <w:footnoteReference w:id="250"/>
      </w:r>
    </w:p>
    <w:p w:rsidR="00E772DD" w:rsidRPr="006631F0" w:rsidRDefault="00E772DD" w:rsidP="006631F0">
      <w:pPr>
        <w:pStyle w:val="NormalWeb"/>
        <w:spacing w:before="0" w:beforeAutospacing="0" w:after="0" w:afterAutospacing="0" w:line="360" w:lineRule="auto"/>
        <w:ind w:left="284"/>
        <w:jc w:val="center"/>
        <w:rPr>
          <w:b/>
          <w:bCs/>
          <w:color w:val="000000"/>
          <w:lang w:val="fr-FR"/>
        </w:rPr>
      </w:pPr>
      <w:r w:rsidRPr="006631F0">
        <w:rPr>
          <w:b/>
          <w:bCs/>
          <w:color w:val="000000"/>
          <w:lang w:val="fr-FR"/>
        </w:rPr>
        <w:t>Figure</w:t>
      </w:r>
      <w:r>
        <w:rPr>
          <w:b/>
          <w:bCs/>
          <w:color w:val="000000"/>
          <w:lang w:val="fr-FR"/>
        </w:rPr>
        <w:t xml:space="preserve"> N°22</w:t>
      </w:r>
      <w:r w:rsidRPr="006631F0">
        <w:rPr>
          <w:b/>
          <w:bCs/>
          <w:color w:val="000000"/>
          <w:lang w:val="fr-FR"/>
        </w:rPr>
        <w:t xml:space="preserve"> : </w:t>
      </w:r>
      <w:r w:rsidRPr="001F04DD">
        <w:rPr>
          <w:color w:val="000000"/>
          <w:lang w:val="fr-FR"/>
        </w:rPr>
        <w:t>Oracle présente générative développent pour les entreprises</w:t>
      </w:r>
    </w:p>
    <w:p w:rsidR="00E772DD" w:rsidRDefault="00E772DD" w:rsidP="00DA7BB2">
      <w:pPr>
        <w:pStyle w:val="NormalWeb"/>
        <w:spacing w:before="0" w:beforeAutospacing="0" w:after="0" w:afterAutospacing="0" w:line="360" w:lineRule="auto"/>
        <w:ind w:left="284"/>
        <w:jc w:val="center"/>
        <w:rPr>
          <w:color w:val="000000"/>
          <w:lang w:val="fr-FR"/>
        </w:rPr>
      </w:pPr>
      <w:r>
        <w:rPr>
          <w:noProof/>
          <w:color w:val="000000"/>
          <w:lang w:val="fr-FR"/>
          <w14:ligatures w14:val="standardContextual"/>
        </w:rPr>
        <w:drawing>
          <wp:inline distT="0" distB="0" distL="0" distR="0">
            <wp:extent cx="5321808" cy="2986584"/>
            <wp:effectExtent l="0" t="0" r="0" b="0"/>
            <wp:docPr id="2114594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9499" name="Picture 211459499"/>
                    <pic:cNvPicPr/>
                  </pic:nvPicPr>
                  <pic:blipFill rotWithShape="1">
                    <a:blip r:embed="rId87" cstate="print">
                      <a:extLst>
                        <a:ext uri="{28A0092B-C50C-407E-A947-70E740481C1C}">
                          <a14:useLocalDpi xmlns:a14="http://schemas.microsoft.com/office/drawing/2010/main" val="0"/>
                        </a:ext>
                      </a:extLst>
                    </a:blip>
                    <a:srcRect t="10216"/>
                    <a:stretch/>
                  </pic:blipFill>
                  <pic:spPr bwMode="auto">
                    <a:xfrm>
                      <a:off x="0" y="0"/>
                      <a:ext cx="5332001" cy="2992304"/>
                    </a:xfrm>
                    <a:prstGeom prst="rect">
                      <a:avLst/>
                    </a:prstGeom>
                    <a:ln>
                      <a:noFill/>
                    </a:ln>
                    <a:extLst>
                      <a:ext uri="{53640926-AAD7-44D8-BBD7-CCE9431645EC}">
                        <a14:shadowObscured xmlns:a14="http://schemas.microsoft.com/office/drawing/2010/main"/>
                      </a:ext>
                    </a:extLst>
                  </pic:spPr>
                </pic:pic>
              </a:graphicData>
            </a:graphic>
          </wp:inline>
        </w:drawing>
      </w:r>
      <w:r w:rsidRPr="006631F0">
        <w:rPr>
          <w:b/>
          <w:bCs/>
          <w:color w:val="000000"/>
          <w:lang w:val="fr-FR"/>
        </w:rPr>
        <w:t>Source :</w:t>
      </w:r>
      <w:r w:rsidRPr="0086518A">
        <w:rPr>
          <w:color w:val="000000"/>
          <w:lang w:val="fr-FR"/>
        </w:rPr>
        <w:t xml:space="preserve"> </w:t>
      </w:r>
      <w:r w:rsidR="00F60EBD" w:rsidRPr="00F60EBD">
        <w:t>Oracle. (s.d.). Gestion des ressources humaines (GRH). Oracle. https://www.oracle.com/dz/human-capital-management/hr/</w:t>
      </w:r>
    </w:p>
    <w:p w:rsidR="00E772DD" w:rsidRDefault="00E772DD" w:rsidP="00DA7BB2">
      <w:pPr>
        <w:pStyle w:val="NormalWeb"/>
        <w:spacing w:before="0" w:beforeAutospacing="0" w:after="0" w:afterAutospacing="0" w:line="360" w:lineRule="auto"/>
        <w:ind w:left="284"/>
        <w:jc w:val="center"/>
        <w:rPr>
          <w:color w:val="000000"/>
          <w:lang w:val="fr-FR"/>
        </w:rPr>
      </w:pPr>
    </w:p>
    <w:p w:rsidR="00E772DD" w:rsidRDefault="00E772DD" w:rsidP="00DA7BB2">
      <w:pPr>
        <w:pStyle w:val="NormalWeb"/>
        <w:spacing w:before="0" w:beforeAutospacing="0" w:after="0" w:afterAutospacing="0" w:line="360" w:lineRule="auto"/>
        <w:ind w:left="284"/>
        <w:jc w:val="center"/>
        <w:rPr>
          <w:color w:val="000000"/>
          <w:lang w:val="fr-FR"/>
        </w:rPr>
      </w:pPr>
    </w:p>
    <w:p w:rsidR="00E772DD" w:rsidRDefault="00E772DD" w:rsidP="00DA7BB2">
      <w:pPr>
        <w:pStyle w:val="NormalWeb"/>
        <w:spacing w:before="0" w:beforeAutospacing="0" w:after="0" w:afterAutospacing="0" w:line="360" w:lineRule="auto"/>
        <w:ind w:left="284"/>
        <w:jc w:val="center"/>
        <w:rPr>
          <w:color w:val="000000"/>
          <w:lang w:val="fr-FR"/>
        </w:rPr>
      </w:pPr>
    </w:p>
    <w:p w:rsidR="00E772DD" w:rsidRPr="0086518A" w:rsidRDefault="00E772DD" w:rsidP="006631F0">
      <w:pPr>
        <w:pStyle w:val="NormalWeb"/>
        <w:spacing w:before="0" w:beforeAutospacing="0" w:after="0" w:afterAutospacing="0" w:line="360" w:lineRule="auto"/>
        <w:ind w:left="284"/>
        <w:jc w:val="center"/>
        <w:rPr>
          <w:color w:val="000000"/>
          <w:lang w:val="fr-FR"/>
        </w:rPr>
      </w:pPr>
    </w:p>
    <w:p w:rsidR="00E772DD" w:rsidRPr="00CF69BB" w:rsidRDefault="00E772DD" w:rsidP="004D32AC">
      <w:pPr>
        <w:pStyle w:val="NormalWeb"/>
        <w:numPr>
          <w:ilvl w:val="0"/>
          <w:numId w:val="55"/>
        </w:numPr>
        <w:spacing w:before="0" w:beforeAutospacing="0" w:after="0" w:afterAutospacing="0" w:line="360" w:lineRule="auto"/>
        <w:jc w:val="both"/>
        <w:rPr>
          <w:b/>
          <w:bCs/>
          <w:color w:val="000000"/>
          <w:lang w:val="fr-FR"/>
        </w:rPr>
      </w:pPr>
      <w:proofErr w:type="spellStart"/>
      <w:r w:rsidRPr="00CF69BB">
        <w:rPr>
          <w:b/>
          <w:bCs/>
          <w:color w:val="000000"/>
          <w:lang w:val="fr-FR"/>
        </w:rPr>
        <w:lastRenderedPageBreak/>
        <w:t>iCIMS</w:t>
      </w:r>
      <w:proofErr w:type="spellEnd"/>
    </w:p>
    <w:p w:rsidR="00E772DD" w:rsidRPr="00CF69BB" w:rsidRDefault="00E772DD" w:rsidP="00CF69BB">
      <w:pPr>
        <w:pStyle w:val="NormalWeb"/>
        <w:spacing w:before="0" w:beforeAutospacing="0" w:after="0" w:afterAutospacing="0" w:line="360" w:lineRule="auto"/>
        <w:jc w:val="both"/>
        <w:rPr>
          <w:color w:val="000000"/>
          <w:lang w:val="fr-FR"/>
        </w:rPr>
      </w:pPr>
      <w:proofErr w:type="spellStart"/>
      <w:r w:rsidRPr="00CF69BB">
        <w:rPr>
          <w:color w:val="000000"/>
          <w:lang w:val="fr-FR"/>
        </w:rPr>
        <w:t>iCIMS</w:t>
      </w:r>
      <w:proofErr w:type="spellEnd"/>
      <w:r w:rsidRPr="00CF69BB">
        <w:rPr>
          <w:color w:val="000000"/>
          <w:lang w:val="fr-FR"/>
        </w:rPr>
        <w:t xml:space="preserve"> est également un acteur majeur dans le domaine du recrutement, connu pour sa flexibilité et son évolutivité. Il est largement adopté par des entreprises de toutes tailles, des PME aux grandes corporations. Ses atouts principaux sont :</w:t>
      </w:r>
    </w:p>
    <w:p w:rsidR="00E772DD" w:rsidRPr="00CF69BB" w:rsidRDefault="00E772DD" w:rsidP="004D32AC">
      <w:pPr>
        <w:pStyle w:val="NormalWeb"/>
        <w:numPr>
          <w:ilvl w:val="0"/>
          <w:numId w:val="81"/>
        </w:numPr>
        <w:spacing w:before="0" w:beforeAutospacing="0" w:after="0" w:afterAutospacing="0" w:line="360" w:lineRule="auto"/>
        <w:jc w:val="both"/>
        <w:rPr>
          <w:color w:val="000000"/>
          <w:lang w:val="fr-FR"/>
        </w:rPr>
      </w:pPr>
      <w:r w:rsidRPr="00CF69BB">
        <w:rPr>
          <w:color w:val="000000"/>
          <w:lang w:val="fr-FR"/>
        </w:rPr>
        <w:t xml:space="preserve">Un système ATS avancé, avec des outils puissants pour le </w:t>
      </w:r>
      <w:proofErr w:type="spellStart"/>
      <w:r w:rsidRPr="00CF69BB">
        <w:rPr>
          <w:color w:val="000000"/>
          <w:lang w:val="fr-FR"/>
        </w:rPr>
        <w:t>sourcing</w:t>
      </w:r>
      <w:proofErr w:type="spellEnd"/>
      <w:r w:rsidRPr="00CF69BB">
        <w:rPr>
          <w:color w:val="000000"/>
          <w:lang w:val="fr-FR"/>
        </w:rPr>
        <w:t>, le suivi et l’évaluation des candidats.</w:t>
      </w:r>
    </w:p>
    <w:p w:rsidR="00E772DD" w:rsidRPr="00CF69BB" w:rsidRDefault="00E772DD" w:rsidP="004D32AC">
      <w:pPr>
        <w:pStyle w:val="NormalWeb"/>
        <w:numPr>
          <w:ilvl w:val="0"/>
          <w:numId w:val="81"/>
        </w:numPr>
        <w:spacing w:before="0" w:beforeAutospacing="0" w:after="0" w:afterAutospacing="0" w:line="360" w:lineRule="auto"/>
        <w:jc w:val="both"/>
        <w:rPr>
          <w:color w:val="000000"/>
          <w:lang w:val="fr-FR"/>
        </w:rPr>
      </w:pPr>
      <w:r w:rsidRPr="00CF69BB">
        <w:rPr>
          <w:color w:val="000000"/>
          <w:lang w:val="fr-FR"/>
        </w:rPr>
        <w:t>Une expérience candidat optimisée, favorisant l’engagement des talents.</w:t>
      </w:r>
    </w:p>
    <w:p w:rsidR="00E772DD" w:rsidRPr="0066151E" w:rsidRDefault="00E772DD" w:rsidP="004D32AC">
      <w:pPr>
        <w:pStyle w:val="NormalWeb"/>
        <w:numPr>
          <w:ilvl w:val="0"/>
          <w:numId w:val="81"/>
        </w:numPr>
        <w:spacing w:before="0" w:beforeAutospacing="0" w:after="240" w:afterAutospacing="0" w:line="360" w:lineRule="auto"/>
        <w:jc w:val="both"/>
        <w:rPr>
          <w:color w:val="000000"/>
          <w:lang w:val="fr-FR"/>
        </w:rPr>
      </w:pPr>
      <w:r w:rsidRPr="00CF69BB">
        <w:rPr>
          <w:color w:val="000000"/>
          <w:lang w:val="fr-FR"/>
        </w:rPr>
        <w:t>De nombreuses intégrations avec d’autres outils RH, facilitant son adoption dans divers environnements technologiques.</w:t>
      </w:r>
      <w:r w:rsidRPr="0066151E">
        <w:rPr>
          <w:rStyle w:val="Appelnotedebasdep"/>
          <w:color w:val="000000"/>
          <w:lang w:val="fr-FR"/>
        </w:rPr>
        <w:footnoteReference w:id="251"/>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09" w:name="_Toc199714426"/>
      <w:bookmarkStart w:id="1410" w:name="_Toc200486704"/>
      <w:bookmarkStart w:id="1411" w:name="_Toc200635480"/>
      <w:bookmarkStart w:id="1412" w:name="_Toc200635868"/>
      <w:bookmarkStart w:id="1413" w:name="_Toc200636257"/>
      <w:bookmarkStart w:id="1414" w:name="_Toc200755994"/>
      <w:r w:rsidR="00E772DD" w:rsidRPr="003914CC">
        <w:rPr>
          <w:sz w:val="24"/>
          <w:szCs w:val="24"/>
          <w:lang w:val="fr-FR"/>
        </w:rPr>
        <w:t>Plateformes de Formation Digitale et E-learning</w:t>
      </w:r>
      <w:bookmarkEnd w:id="1409"/>
      <w:bookmarkEnd w:id="1410"/>
      <w:bookmarkEnd w:id="1411"/>
      <w:bookmarkEnd w:id="1412"/>
      <w:bookmarkEnd w:id="1413"/>
      <w:bookmarkEnd w:id="1414"/>
    </w:p>
    <w:p w:rsidR="00E772DD" w:rsidRPr="0066151E" w:rsidRDefault="00E772DD" w:rsidP="00B70E76">
      <w:pPr>
        <w:pStyle w:val="NormalWeb"/>
        <w:spacing w:before="0" w:beforeAutospacing="0" w:after="0" w:afterAutospacing="0" w:line="360" w:lineRule="auto"/>
        <w:jc w:val="both"/>
        <w:rPr>
          <w:color w:val="000000"/>
          <w:lang w:val="fr-FR"/>
        </w:rPr>
      </w:pPr>
      <w:r w:rsidRPr="0066151E">
        <w:rPr>
          <w:color w:val="000000"/>
          <w:lang w:val="fr-FR"/>
        </w:rPr>
        <w:t>Les outils de formation digitale permettent aux employés d’améliorer leurs compétences en accédant à des formations en ligne. Ces plateformes proposent plusieurs formats d’apprentissage :</w:t>
      </w:r>
    </w:p>
    <w:p w:rsidR="00E772DD" w:rsidRPr="0066151E" w:rsidRDefault="00E772DD" w:rsidP="004D32AC">
      <w:pPr>
        <w:pStyle w:val="NormalWeb"/>
        <w:numPr>
          <w:ilvl w:val="0"/>
          <w:numId w:val="73"/>
        </w:numPr>
        <w:spacing w:before="0" w:beforeAutospacing="0" w:after="0" w:afterAutospacing="0" w:line="360" w:lineRule="auto"/>
        <w:jc w:val="both"/>
        <w:rPr>
          <w:color w:val="000000"/>
          <w:lang w:val="fr-FR"/>
        </w:rPr>
      </w:pPr>
      <w:r w:rsidRPr="0066151E">
        <w:rPr>
          <w:color w:val="000000"/>
          <w:lang w:val="fr-FR"/>
        </w:rPr>
        <w:t>E-learning : Cours accessibles à tout moment et à distance.</w:t>
      </w:r>
    </w:p>
    <w:p w:rsidR="00E772DD" w:rsidRPr="0066151E" w:rsidRDefault="00E772DD" w:rsidP="004D32AC">
      <w:pPr>
        <w:pStyle w:val="NormalWeb"/>
        <w:numPr>
          <w:ilvl w:val="0"/>
          <w:numId w:val="73"/>
        </w:numPr>
        <w:spacing w:before="0" w:beforeAutospacing="0" w:after="0" w:afterAutospacing="0" w:line="360" w:lineRule="auto"/>
        <w:jc w:val="both"/>
        <w:rPr>
          <w:color w:val="000000"/>
          <w:lang w:val="fr-FR"/>
        </w:rPr>
      </w:pPr>
      <w:r w:rsidRPr="0066151E">
        <w:rPr>
          <w:color w:val="000000"/>
          <w:lang w:val="fr-FR"/>
        </w:rPr>
        <w:t>Blended Learning : Mélange entre formation en ligne et présentielle.</w:t>
      </w:r>
    </w:p>
    <w:p w:rsidR="00E772DD" w:rsidRPr="0066151E" w:rsidRDefault="00E772DD" w:rsidP="004D32AC">
      <w:pPr>
        <w:pStyle w:val="NormalWeb"/>
        <w:numPr>
          <w:ilvl w:val="0"/>
          <w:numId w:val="73"/>
        </w:numPr>
        <w:spacing w:before="0" w:beforeAutospacing="0" w:after="0" w:afterAutospacing="0" w:line="360" w:lineRule="auto"/>
        <w:jc w:val="both"/>
        <w:rPr>
          <w:color w:val="000000"/>
          <w:lang w:val="fr-FR"/>
        </w:rPr>
      </w:pPr>
      <w:r w:rsidRPr="0066151E">
        <w:rPr>
          <w:color w:val="000000"/>
          <w:lang w:val="fr-FR"/>
        </w:rPr>
        <w:t>Mobile Learning : Formation accessible via des applications mobiles.</w:t>
      </w:r>
    </w:p>
    <w:p w:rsidR="00E772DD" w:rsidRPr="0066151E" w:rsidRDefault="00E772DD" w:rsidP="00315434">
      <w:pPr>
        <w:pStyle w:val="NormalWeb"/>
        <w:spacing w:before="0" w:beforeAutospacing="0" w:after="240" w:afterAutospacing="0" w:line="360" w:lineRule="auto"/>
        <w:jc w:val="both"/>
        <w:rPr>
          <w:color w:val="000000"/>
          <w:lang w:val="fr-FR"/>
        </w:rPr>
      </w:pPr>
      <w:r w:rsidRPr="0066151E">
        <w:rPr>
          <w:color w:val="000000"/>
          <w:lang w:val="fr-FR"/>
        </w:rPr>
        <w:t>Ces solutions permettent une montée en compétences continue des employés, adaptée à leur rythme et à leurs besoins professionnels.</w:t>
      </w:r>
      <w:r w:rsidRPr="0066151E">
        <w:rPr>
          <w:rStyle w:val="Appelnotedebasdep"/>
          <w:color w:val="000000"/>
          <w:lang w:val="fr-FR"/>
        </w:rPr>
        <w:footnoteReference w:id="252"/>
      </w:r>
    </w:p>
    <w:p w:rsidR="00E772DD" w:rsidRPr="0066151E" w:rsidRDefault="00E772DD" w:rsidP="00CF69BB">
      <w:pPr>
        <w:pStyle w:val="NormalWeb"/>
        <w:spacing w:before="0" w:beforeAutospacing="0" w:after="0" w:afterAutospacing="0" w:line="360" w:lineRule="auto"/>
        <w:jc w:val="both"/>
        <w:rPr>
          <w:b/>
          <w:bCs/>
          <w:color w:val="000000"/>
          <w:lang w:val="fr-FR"/>
        </w:rPr>
      </w:pPr>
      <w:r w:rsidRPr="0066151E">
        <w:rPr>
          <w:b/>
          <w:bCs/>
          <w:color w:val="000000"/>
          <w:lang w:val="fr-FR"/>
        </w:rPr>
        <w:t>Exemples :</w:t>
      </w:r>
    </w:p>
    <w:p w:rsidR="00E772DD" w:rsidRPr="00CF69BB" w:rsidRDefault="00E772DD" w:rsidP="004D32AC">
      <w:pPr>
        <w:pStyle w:val="NormalWeb"/>
        <w:numPr>
          <w:ilvl w:val="0"/>
          <w:numId w:val="55"/>
        </w:numPr>
        <w:spacing w:before="0" w:beforeAutospacing="0" w:after="0" w:afterAutospacing="0" w:line="360" w:lineRule="auto"/>
        <w:jc w:val="both"/>
        <w:rPr>
          <w:b/>
          <w:bCs/>
          <w:color w:val="000000"/>
          <w:lang w:val="fr-FR"/>
        </w:rPr>
      </w:pPr>
      <w:r w:rsidRPr="00CF69BB">
        <w:rPr>
          <w:b/>
          <w:bCs/>
          <w:color w:val="000000"/>
          <w:lang w:val="fr-FR"/>
        </w:rPr>
        <w:t>Coursera for Business</w:t>
      </w:r>
    </w:p>
    <w:p w:rsidR="00E772DD" w:rsidRPr="00CF69BB" w:rsidRDefault="00E772DD" w:rsidP="00CF69BB">
      <w:pPr>
        <w:pStyle w:val="NormalWeb"/>
        <w:spacing w:before="0" w:beforeAutospacing="0" w:after="0" w:afterAutospacing="0" w:line="360" w:lineRule="auto"/>
        <w:jc w:val="both"/>
        <w:rPr>
          <w:color w:val="000000"/>
          <w:lang w:val="fr-FR"/>
        </w:rPr>
      </w:pPr>
      <w:r w:rsidRPr="00CF69BB">
        <w:rPr>
          <w:color w:val="000000"/>
          <w:lang w:val="fr-FR"/>
        </w:rPr>
        <w:t>Coursera for Business est une plateforme de formation en ligne qui propose des cours et des certifications adaptés aux besoins des entreprises. Elle permet aux employés de se former aux compétences clés du marché, avec des contenus fournis par des universités et institutions renommées comme Stanford, Yale ou Google.</w:t>
      </w:r>
      <w:r w:rsidRPr="0066151E">
        <w:rPr>
          <w:color w:val="000000"/>
          <w:lang w:val="fr-FR"/>
        </w:rPr>
        <w:t xml:space="preserve"> Il permet : </w:t>
      </w:r>
    </w:p>
    <w:p w:rsidR="00E772DD" w:rsidRPr="00CF69BB" w:rsidRDefault="00E772DD" w:rsidP="004D32AC">
      <w:pPr>
        <w:pStyle w:val="NormalWeb"/>
        <w:numPr>
          <w:ilvl w:val="0"/>
          <w:numId w:val="83"/>
        </w:numPr>
        <w:spacing w:before="0" w:beforeAutospacing="0" w:after="0" w:afterAutospacing="0" w:line="360" w:lineRule="auto"/>
        <w:jc w:val="both"/>
        <w:rPr>
          <w:color w:val="000000"/>
          <w:lang w:val="fr-FR"/>
        </w:rPr>
      </w:pPr>
      <w:r w:rsidRPr="0066151E">
        <w:rPr>
          <w:color w:val="000000"/>
          <w:lang w:val="fr-FR"/>
        </w:rPr>
        <w:t>Un a</w:t>
      </w:r>
      <w:r w:rsidRPr="00CF69BB">
        <w:rPr>
          <w:color w:val="000000"/>
          <w:lang w:val="fr-FR"/>
        </w:rPr>
        <w:t>ccès à des cours certifiés par des universités et grandes entreprises.</w:t>
      </w:r>
    </w:p>
    <w:p w:rsidR="00E772DD" w:rsidRPr="00CF69BB" w:rsidRDefault="00E772DD" w:rsidP="004D32AC">
      <w:pPr>
        <w:pStyle w:val="NormalWeb"/>
        <w:numPr>
          <w:ilvl w:val="0"/>
          <w:numId w:val="83"/>
        </w:numPr>
        <w:spacing w:before="0" w:beforeAutospacing="0" w:after="0" w:afterAutospacing="0" w:line="360" w:lineRule="auto"/>
        <w:jc w:val="both"/>
        <w:rPr>
          <w:color w:val="000000"/>
          <w:lang w:val="fr-FR"/>
        </w:rPr>
      </w:pPr>
      <w:r w:rsidRPr="0066151E">
        <w:rPr>
          <w:color w:val="000000"/>
          <w:lang w:val="fr-FR"/>
        </w:rPr>
        <w:t>Un s</w:t>
      </w:r>
      <w:r w:rsidRPr="00CF69BB">
        <w:rPr>
          <w:color w:val="000000"/>
          <w:lang w:val="fr-FR"/>
        </w:rPr>
        <w:t>uivi des progrès et rapports analytiques pour les RH.</w:t>
      </w:r>
    </w:p>
    <w:p w:rsidR="003B5837" w:rsidRDefault="00E772DD" w:rsidP="004D32AC">
      <w:pPr>
        <w:pStyle w:val="NormalWeb"/>
        <w:numPr>
          <w:ilvl w:val="0"/>
          <w:numId w:val="83"/>
        </w:numPr>
        <w:spacing w:before="0" w:beforeAutospacing="0" w:after="240" w:afterAutospacing="0" w:line="360" w:lineRule="auto"/>
        <w:ind w:left="284"/>
        <w:jc w:val="both"/>
        <w:rPr>
          <w:color w:val="000000"/>
          <w:lang w:val="fr-FR"/>
        </w:rPr>
      </w:pPr>
      <w:r w:rsidRPr="003B5837">
        <w:rPr>
          <w:color w:val="000000"/>
          <w:lang w:val="fr-FR"/>
        </w:rPr>
        <w:t xml:space="preserve">Des formations adaptées aux compétences techniques (data science, cloud </w:t>
      </w:r>
      <w:proofErr w:type="spellStart"/>
      <w:r w:rsidRPr="003B5837">
        <w:rPr>
          <w:color w:val="000000"/>
          <w:lang w:val="fr-FR"/>
        </w:rPr>
        <w:t>computing</w:t>
      </w:r>
      <w:proofErr w:type="spellEnd"/>
      <w:r w:rsidRPr="003B5837">
        <w:rPr>
          <w:color w:val="000000"/>
          <w:lang w:val="fr-FR"/>
        </w:rPr>
        <w:t xml:space="preserve">, IA) et aux soft </w:t>
      </w:r>
      <w:proofErr w:type="spellStart"/>
      <w:r w:rsidRPr="003B5837">
        <w:rPr>
          <w:color w:val="000000"/>
          <w:lang w:val="fr-FR"/>
        </w:rPr>
        <w:t>skills</w:t>
      </w:r>
      <w:proofErr w:type="spellEnd"/>
      <w:r w:rsidRPr="003B5837">
        <w:rPr>
          <w:color w:val="000000"/>
          <w:lang w:val="fr-FR"/>
        </w:rPr>
        <w:t>.</w:t>
      </w:r>
      <w:r w:rsidRPr="0066151E">
        <w:rPr>
          <w:rStyle w:val="Appelnotedebasdep"/>
          <w:color w:val="000000"/>
          <w:lang w:val="fr-FR"/>
        </w:rPr>
        <w:footnoteReference w:id="253"/>
      </w:r>
    </w:p>
    <w:p w:rsidR="003B5837" w:rsidRPr="003B5837" w:rsidRDefault="003B5837" w:rsidP="003B5837">
      <w:pPr>
        <w:pStyle w:val="NormalWeb"/>
        <w:spacing w:before="0" w:beforeAutospacing="0" w:after="0" w:afterAutospacing="0" w:line="360" w:lineRule="auto"/>
        <w:ind w:left="360"/>
        <w:jc w:val="both"/>
        <w:rPr>
          <w:b/>
          <w:bCs/>
          <w:color w:val="000000"/>
          <w:lang w:val="fr-FR"/>
        </w:rPr>
      </w:pPr>
    </w:p>
    <w:p w:rsidR="00E772DD" w:rsidRPr="00CF69BB" w:rsidRDefault="00E772DD" w:rsidP="004D32AC">
      <w:pPr>
        <w:pStyle w:val="NormalWeb"/>
        <w:numPr>
          <w:ilvl w:val="0"/>
          <w:numId w:val="84"/>
        </w:numPr>
        <w:spacing w:before="0" w:beforeAutospacing="0" w:after="0" w:afterAutospacing="0" w:line="360" w:lineRule="auto"/>
        <w:jc w:val="both"/>
        <w:rPr>
          <w:b/>
          <w:bCs/>
          <w:color w:val="000000"/>
          <w:lang w:val="fr-FR"/>
        </w:rPr>
      </w:pPr>
      <w:r w:rsidRPr="00CF69BB">
        <w:rPr>
          <w:b/>
          <w:bCs/>
          <w:color w:val="000000"/>
          <w:lang w:val="fr-FR"/>
        </w:rPr>
        <w:lastRenderedPageBreak/>
        <w:t>LinkedIn Learning</w:t>
      </w:r>
    </w:p>
    <w:p w:rsidR="00E772DD" w:rsidRPr="00CF69BB" w:rsidRDefault="00E772DD" w:rsidP="00315434">
      <w:pPr>
        <w:pStyle w:val="NormalWeb"/>
        <w:spacing w:before="0" w:beforeAutospacing="0" w:after="0" w:afterAutospacing="0" w:line="360" w:lineRule="auto"/>
        <w:jc w:val="both"/>
        <w:rPr>
          <w:color w:val="000000"/>
          <w:lang w:val="fr-FR"/>
        </w:rPr>
      </w:pPr>
      <w:r w:rsidRPr="00CF69BB">
        <w:rPr>
          <w:color w:val="000000"/>
          <w:lang w:val="fr-FR"/>
        </w:rPr>
        <w:t>LinkedIn Learning est une plateforme de formation en ligne qui propose des milliers de cours vidéo dans divers domaines professionnels, notamment le leadership, la gestion de projet, le développement informatique et la communication. Son intégration avec LinkedIn permet aux utilisateurs d'afficher leurs certifications directement sur leur profil.</w:t>
      </w:r>
      <w:r w:rsidRPr="0066151E">
        <w:rPr>
          <w:color w:val="000000"/>
          <w:lang w:val="fr-FR"/>
        </w:rPr>
        <w:t xml:space="preserve"> Il permet : </w:t>
      </w:r>
    </w:p>
    <w:p w:rsidR="00E772DD" w:rsidRPr="00CF69BB" w:rsidRDefault="00E772DD" w:rsidP="004D32AC">
      <w:pPr>
        <w:pStyle w:val="NormalWeb"/>
        <w:numPr>
          <w:ilvl w:val="0"/>
          <w:numId w:val="82"/>
        </w:numPr>
        <w:spacing w:before="0" w:beforeAutospacing="0" w:after="0" w:afterAutospacing="0" w:line="360" w:lineRule="auto"/>
        <w:jc w:val="both"/>
        <w:rPr>
          <w:color w:val="000000"/>
          <w:lang w:val="fr-FR"/>
        </w:rPr>
      </w:pPr>
      <w:r w:rsidRPr="00CF69BB">
        <w:rPr>
          <w:color w:val="000000"/>
          <w:lang w:val="fr-FR"/>
        </w:rPr>
        <w:t>Large bibliothèque de cours en vidéo, accessibles en illimité.</w:t>
      </w:r>
    </w:p>
    <w:p w:rsidR="00E772DD" w:rsidRPr="00CF69BB" w:rsidRDefault="00E772DD" w:rsidP="004D32AC">
      <w:pPr>
        <w:pStyle w:val="NormalWeb"/>
        <w:numPr>
          <w:ilvl w:val="0"/>
          <w:numId w:val="82"/>
        </w:numPr>
        <w:spacing w:before="0" w:beforeAutospacing="0" w:after="0" w:afterAutospacing="0" w:line="360" w:lineRule="auto"/>
        <w:jc w:val="both"/>
        <w:rPr>
          <w:color w:val="000000"/>
          <w:lang w:val="fr-FR"/>
        </w:rPr>
      </w:pPr>
      <w:r w:rsidRPr="00CF69BB">
        <w:rPr>
          <w:color w:val="000000"/>
          <w:lang w:val="fr-FR"/>
        </w:rPr>
        <w:t>Personnalisation des parcours de formation selon les besoins des entreprises.</w:t>
      </w:r>
    </w:p>
    <w:p w:rsidR="00E772DD" w:rsidRPr="0066151E" w:rsidRDefault="00E772DD" w:rsidP="004D32AC">
      <w:pPr>
        <w:pStyle w:val="NormalWeb"/>
        <w:numPr>
          <w:ilvl w:val="0"/>
          <w:numId w:val="82"/>
        </w:numPr>
        <w:spacing w:before="0" w:beforeAutospacing="0" w:after="240" w:afterAutospacing="0" w:line="360" w:lineRule="auto"/>
        <w:jc w:val="both"/>
        <w:rPr>
          <w:color w:val="000000"/>
          <w:lang w:val="fr-FR"/>
        </w:rPr>
      </w:pPr>
      <w:r w:rsidRPr="00CF69BB">
        <w:rPr>
          <w:color w:val="000000"/>
          <w:lang w:val="fr-FR"/>
        </w:rPr>
        <w:t>Suivi des progrès des employés avec des outils analytiques.</w:t>
      </w:r>
      <w:r w:rsidRPr="0066151E">
        <w:rPr>
          <w:rStyle w:val="Appelnotedebasdep"/>
          <w:color w:val="000000"/>
          <w:lang w:val="fr-FR"/>
        </w:rPr>
        <w:footnoteReference w:id="254"/>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15" w:name="_Toc199714427"/>
      <w:bookmarkStart w:id="1416" w:name="_Toc200486705"/>
      <w:bookmarkStart w:id="1417" w:name="_Toc200635481"/>
      <w:bookmarkStart w:id="1418" w:name="_Toc200635869"/>
      <w:bookmarkStart w:id="1419" w:name="_Toc200636258"/>
      <w:bookmarkStart w:id="1420" w:name="_Toc200755995"/>
      <w:r w:rsidR="00E772DD" w:rsidRPr="003914CC">
        <w:rPr>
          <w:sz w:val="24"/>
          <w:szCs w:val="24"/>
          <w:lang w:val="fr-FR"/>
        </w:rPr>
        <w:t>Outils de Suivi des Performances et des Compétences</w:t>
      </w:r>
      <w:bookmarkEnd w:id="1415"/>
      <w:bookmarkEnd w:id="1416"/>
      <w:bookmarkEnd w:id="1417"/>
      <w:bookmarkEnd w:id="1418"/>
      <w:bookmarkEnd w:id="1419"/>
      <w:bookmarkEnd w:id="1420"/>
    </w:p>
    <w:p w:rsidR="00E772DD" w:rsidRPr="0066151E" w:rsidRDefault="00E772DD" w:rsidP="00B70E76">
      <w:pPr>
        <w:pStyle w:val="NormalWeb"/>
        <w:spacing w:before="0" w:beforeAutospacing="0" w:after="0" w:afterAutospacing="0" w:line="360" w:lineRule="auto"/>
        <w:jc w:val="both"/>
        <w:rPr>
          <w:color w:val="000000"/>
          <w:lang w:val="fr-FR"/>
        </w:rPr>
      </w:pPr>
      <w:r w:rsidRPr="0066151E">
        <w:rPr>
          <w:color w:val="000000"/>
          <w:lang w:val="fr-FR"/>
        </w:rPr>
        <w:t>Les outils de gestion des performances permettent d’analyser l’évolution des employés en fonction des objectifs définis par l’entreprise. Ils offrent des fonctionnalités comme :</w:t>
      </w:r>
    </w:p>
    <w:p w:rsidR="00E772DD" w:rsidRPr="0066151E" w:rsidRDefault="00E772DD" w:rsidP="004D32AC">
      <w:pPr>
        <w:pStyle w:val="NormalWeb"/>
        <w:numPr>
          <w:ilvl w:val="0"/>
          <w:numId w:val="74"/>
        </w:numPr>
        <w:spacing w:before="0" w:beforeAutospacing="0" w:after="0" w:afterAutospacing="0" w:line="360" w:lineRule="auto"/>
        <w:jc w:val="both"/>
        <w:rPr>
          <w:color w:val="000000"/>
          <w:lang w:val="fr-FR"/>
        </w:rPr>
      </w:pPr>
      <w:r w:rsidRPr="0066151E">
        <w:rPr>
          <w:color w:val="000000"/>
          <w:lang w:val="fr-FR"/>
        </w:rPr>
        <w:t>Le suivi des indicateurs de performance (KPI, OKR).</w:t>
      </w:r>
    </w:p>
    <w:p w:rsidR="00E772DD" w:rsidRPr="0066151E" w:rsidRDefault="00E772DD" w:rsidP="004D32AC">
      <w:pPr>
        <w:pStyle w:val="NormalWeb"/>
        <w:numPr>
          <w:ilvl w:val="0"/>
          <w:numId w:val="74"/>
        </w:numPr>
        <w:spacing w:before="0" w:beforeAutospacing="0" w:after="0" w:afterAutospacing="0" w:line="360" w:lineRule="auto"/>
        <w:jc w:val="both"/>
        <w:rPr>
          <w:color w:val="000000"/>
          <w:lang w:val="fr-FR"/>
        </w:rPr>
      </w:pPr>
      <w:r w:rsidRPr="0066151E">
        <w:rPr>
          <w:color w:val="000000"/>
          <w:lang w:val="fr-FR"/>
        </w:rPr>
        <w:t>L’évaluation annuelle et les feedbacks continus.</w:t>
      </w:r>
    </w:p>
    <w:p w:rsidR="00E772DD" w:rsidRPr="0066151E" w:rsidRDefault="00E772DD" w:rsidP="004D32AC">
      <w:pPr>
        <w:pStyle w:val="NormalWeb"/>
        <w:numPr>
          <w:ilvl w:val="0"/>
          <w:numId w:val="74"/>
        </w:numPr>
        <w:spacing w:before="0" w:beforeAutospacing="0" w:after="0" w:afterAutospacing="0" w:line="360" w:lineRule="auto"/>
        <w:jc w:val="both"/>
        <w:rPr>
          <w:color w:val="000000"/>
          <w:lang w:val="fr-FR"/>
        </w:rPr>
      </w:pPr>
      <w:r w:rsidRPr="0066151E">
        <w:rPr>
          <w:color w:val="000000"/>
          <w:lang w:val="fr-FR"/>
        </w:rPr>
        <w:t>La gestion des plans de formation et d’évolution de carrière.</w:t>
      </w:r>
    </w:p>
    <w:p w:rsidR="00E772DD" w:rsidRPr="0066151E" w:rsidRDefault="00E772DD" w:rsidP="00626FDA">
      <w:pPr>
        <w:pStyle w:val="NormalWeb"/>
        <w:spacing w:before="0" w:beforeAutospacing="0" w:after="240" w:afterAutospacing="0" w:line="360" w:lineRule="auto"/>
        <w:jc w:val="both"/>
        <w:rPr>
          <w:color w:val="000000"/>
          <w:lang w:val="fr-FR"/>
        </w:rPr>
      </w:pPr>
      <w:r w:rsidRPr="0066151E">
        <w:rPr>
          <w:color w:val="000000"/>
          <w:lang w:val="fr-FR"/>
        </w:rPr>
        <w:t>Grâce à ces outils, les entreprises peuvent identifier les points forts et les axes d’amélioration de leurs collaborateurs, tout en adaptant leurs stratégies de gestion des talents.</w:t>
      </w:r>
      <w:r w:rsidRPr="0066151E">
        <w:rPr>
          <w:rStyle w:val="Appelnotedebasdep"/>
          <w:color w:val="000000"/>
          <w:lang w:val="fr-FR"/>
        </w:rPr>
        <w:footnoteReference w:id="255"/>
      </w:r>
    </w:p>
    <w:p w:rsidR="00E772DD" w:rsidRPr="0066151E" w:rsidRDefault="00E772DD" w:rsidP="00B70E76">
      <w:pPr>
        <w:pStyle w:val="NormalWeb"/>
        <w:spacing w:before="0" w:beforeAutospacing="0" w:after="0" w:afterAutospacing="0" w:line="360" w:lineRule="auto"/>
        <w:jc w:val="both"/>
        <w:rPr>
          <w:b/>
          <w:bCs/>
          <w:color w:val="000000"/>
          <w:lang w:val="fr-FR"/>
        </w:rPr>
      </w:pPr>
      <w:r w:rsidRPr="0066151E">
        <w:rPr>
          <w:b/>
          <w:bCs/>
          <w:color w:val="000000"/>
          <w:lang w:val="fr-FR"/>
        </w:rPr>
        <w:t>Exemples :</w:t>
      </w:r>
    </w:p>
    <w:p w:rsidR="00E772DD" w:rsidRPr="00315434" w:rsidRDefault="00E772DD" w:rsidP="004D32AC">
      <w:pPr>
        <w:pStyle w:val="NormalWeb"/>
        <w:numPr>
          <w:ilvl w:val="0"/>
          <w:numId w:val="84"/>
        </w:numPr>
        <w:spacing w:before="0" w:beforeAutospacing="0" w:after="0" w:afterAutospacing="0" w:line="360" w:lineRule="auto"/>
        <w:jc w:val="both"/>
        <w:rPr>
          <w:b/>
          <w:bCs/>
          <w:color w:val="000000"/>
          <w:lang w:val="fr-FR"/>
        </w:rPr>
      </w:pPr>
      <w:proofErr w:type="spellStart"/>
      <w:r w:rsidRPr="00315434">
        <w:rPr>
          <w:b/>
          <w:bCs/>
          <w:color w:val="000000"/>
          <w:lang w:val="fr-FR"/>
        </w:rPr>
        <w:t>Cornerstone</w:t>
      </w:r>
      <w:proofErr w:type="spellEnd"/>
      <w:r w:rsidRPr="00315434">
        <w:rPr>
          <w:b/>
          <w:bCs/>
          <w:color w:val="000000"/>
          <w:lang w:val="fr-FR"/>
        </w:rPr>
        <w:t xml:space="preserve"> </w:t>
      </w:r>
      <w:proofErr w:type="spellStart"/>
      <w:r w:rsidRPr="00315434">
        <w:rPr>
          <w:b/>
          <w:bCs/>
          <w:color w:val="000000"/>
          <w:lang w:val="fr-FR"/>
        </w:rPr>
        <w:t>OnDemand</w:t>
      </w:r>
      <w:proofErr w:type="spellEnd"/>
    </w:p>
    <w:p w:rsidR="00E772DD" w:rsidRPr="00315434" w:rsidRDefault="00E772DD" w:rsidP="00315434">
      <w:pPr>
        <w:pStyle w:val="NormalWeb"/>
        <w:spacing w:before="0" w:beforeAutospacing="0" w:after="0" w:afterAutospacing="0" w:line="360" w:lineRule="auto"/>
        <w:jc w:val="both"/>
        <w:rPr>
          <w:color w:val="000000"/>
          <w:lang w:val="fr-FR"/>
        </w:rPr>
      </w:pPr>
      <w:proofErr w:type="spellStart"/>
      <w:r w:rsidRPr="00315434">
        <w:rPr>
          <w:color w:val="000000"/>
          <w:lang w:val="fr-FR"/>
        </w:rPr>
        <w:t>Cornerstone</w:t>
      </w:r>
      <w:proofErr w:type="spellEnd"/>
      <w:r w:rsidRPr="00315434">
        <w:rPr>
          <w:color w:val="000000"/>
          <w:lang w:val="fr-FR"/>
        </w:rPr>
        <w:t xml:space="preserve"> </w:t>
      </w:r>
      <w:proofErr w:type="spellStart"/>
      <w:r w:rsidRPr="00315434">
        <w:rPr>
          <w:color w:val="000000"/>
          <w:lang w:val="fr-FR"/>
        </w:rPr>
        <w:t>OnDemand</w:t>
      </w:r>
      <w:proofErr w:type="spellEnd"/>
      <w:r w:rsidRPr="00315434">
        <w:rPr>
          <w:color w:val="000000"/>
          <w:lang w:val="fr-FR"/>
        </w:rPr>
        <w:t> est une plateforme de gestion des talents qui aide les entreprises à recruter, former et gérer leurs employés. Elle propose une suite complète de fonctionnalités pour le développement des compétences et l'évaluation des performances.</w:t>
      </w:r>
      <w:r>
        <w:rPr>
          <w:color w:val="000000"/>
          <w:lang w:val="fr-FR"/>
        </w:rPr>
        <w:t xml:space="preserve"> Ses p</w:t>
      </w:r>
      <w:r w:rsidRPr="00315434">
        <w:rPr>
          <w:color w:val="000000"/>
          <w:lang w:val="fr-FR"/>
        </w:rPr>
        <w:t>rincipales fonctionnalités</w:t>
      </w:r>
      <w:r>
        <w:rPr>
          <w:color w:val="000000"/>
          <w:lang w:val="fr-FR"/>
        </w:rPr>
        <w:t> :</w:t>
      </w:r>
    </w:p>
    <w:p w:rsidR="00E772DD" w:rsidRPr="00315434" w:rsidRDefault="00E772DD" w:rsidP="004D32AC">
      <w:pPr>
        <w:pStyle w:val="NormalWeb"/>
        <w:numPr>
          <w:ilvl w:val="0"/>
          <w:numId w:val="99"/>
        </w:numPr>
        <w:spacing w:before="0" w:beforeAutospacing="0" w:after="0" w:afterAutospacing="0" w:line="360" w:lineRule="auto"/>
        <w:jc w:val="both"/>
        <w:rPr>
          <w:color w:val="000000"/>
          <w:lang w:val="fr-FR"/>
        </w:rPr>
      </w:pPr>
      <w:r w:rsidRPr="00315434">
        <w:rPr>
          <w:color w:val="000000"/>
          <w:lang w:val="fr-FR"/>
        </w:rPr>
        <w:t>Gestion de la formation : Création et suivi des parcours de formation.</w:t>
      </w:r>
    </w:p>
    <w:p w:rsidR="00E772DD" w:rsidRPr="00315434" w:rsidRDefault="00E772DD" w:rsidP="004D32AC">
      <w:pPr>
        <w:pStyle w:val="NormalWeb"/>
        <w:numPr>
          <w:ilvl w:val="0"/>
          <w:numId w:val="99"/>
        </w:numPr>
        <w:spacing w:before="0" w:beforeAutospacing="0" w:after="0" w:afterAutospacing="0" w:line="360" w:lineRule="auto"/>
        <w:jc w:val="both"/>
        <w:rPr>
          <w:color w:val="000000"/>
          <w:lang w:val="fr-FR"/>
        </w:rPr>
      </w:pPr>
      <w:r w:rsidRPr="00315434">
        <w:rPr>
          <w:color w:val="000000"/>
          <w:lang w:val="fr-FR"/>
        </w:rPr>
        <w:t>Gestion des performances : Suivi des objectifs et évaluations des employés.</w:t>
      </w:r>
    </w:p>
    <w:p w:rsidR="00EB5D6D" w:rsidRPr="003B5837" w:rsidRDefault="00E772DD" w:rsidP="004D32AC">
      <w:pPr>
        <w:pStyle w:val="NormalWeb"/>
        <w:numPr>
          <w:ilvl w:val="0"/>
          <w:numId w:val="99"/>
        </w:numPr>
        <w:spacing w:before="0" w:beforeAutospacing="0" w:after="240" w:afterAutospacing="0" w:line="360" w:lineRule="auto"/>
        <w:jc w:val="both"/>
        <w:rPr>
          <w:color w:val="000000"/>
          <w:lang w:val="fr-FR"/>
        </w:rPr>
      </w:pPr>
      <w:r w:rsidRPr="00315434">
        <w:rPr>
          <w:color w:val="000000"/>
          <w:lang w:val="fr-FR"/>
        </w:rPr>
        <w:t xml:space="preserve">Recrutement et </w:t>
      </w:r>
      <w:proofErr w:type="spellStart"/>
      <w:r w:rsidRPr="00315434">
        <w:rPr>
          <w:color w:val="000000"/>
          <w:lang w:val="fr-FR"/>
        </w:rPr>
        <w:t>onboarding</w:t>
      </w:r>
      <w:proofErr w:type="spellEnd"/>
      <w:r w:rsidRPr="00315434">
        <w:rPr>
          <w:color w:val="000000"/>
          <w:lang w:val="fr-FR"/>
        </w:rPr>
        <w:t> : Outils avancés pour l’acquisition de talents.</w:t>
      </w:r>
      <w:r>
        <w:rPr>
          <w:rStyle w:val="Appelnotedebasdep"/>
          <w:color w:val="000000"/>
          <w:lang w:val="fr-FR"/>
        </w:rPr>
        <w:footnoteReference w:id="256"/>
      </w:r>
    </w:p>
    <w:p w:rsidR="00E772DD" w:rsidRPr="00315434" w:rsidRDefault="00E772DD" w:rsidP="004D32AC">
      <w:pPr>
        <w:pStyle w:val="NormalWeb"/>
        <w:numPr>
          <w:ilvl w:val="0"/>
          <w:numId w:val="84"/>
        </w:numPr>
        <w:spacing w:before="0" w:beforeAutospacing="0" w:after="0" w:afterAutospacing="0" w:line="360" w:lineRule="auto"/>
        <w:jc w:val="both"/>
        <w:rPr>
          <w:b/>
          <w:bCs/>
          <w:color w:val="000000"/>
          <w:lang w:val="fr-FR"/>
        </w:rPr>
      </w:pPr>
      <w:proofErr w:type="spellStart"/>
      <w:r w:rsidRPr="00315434">
        <w:rPr>
          <w:b/>
          <w:bCs/>
          <w:color w:val="000000"/>
          <w:lang w:val="fr-FR"/>
        </w:rPr>
        <w:t>Lattice</w:t>
      </w:r>
      <w:proofErr w:type="spellEnd"/>
    </w:p>
    <w:p w:rsidR="00E772DD" w:rsidRPr="00315434" w:rsidRDefault="00E772DD" w:rsidP="00315434">
      <w:pPr>
        <w:pStyle w:val="NormalWeb"/>
        <w:spacing w:before="0" w:beforeAutospacing="0" w:after="0" w:afterAutospacing="0" w:line="360" w:lineRule="auto"/>
        <w:jc w:val="both"/>
        <w:rPr>
          <w:rFonts w:asciiTheme="majorBidi" w:hAnsiTheme="majorBidi" w:cstheme="majorBidi"/>
          <w:color w:val="000000"/>
          <w:lang w:val="fr-FR"/>
        </w:rPr>
      </w:pPr>
      <w:proofErr w:type="spellStart"/>
      <w:r w:rsidRPr="00315434">
        <w:rPr>
          <w:rFonts w:asciiTheme="majorBidi" w:hAnsiTheme="majorBidi" w:cstheme="majorBidi"/>
          <w:color w:val="000000"/>
          <w:lang w:val="fr-FR"/>
        </w:rPr>
        <w:t>Lattice</w:t>
      </w:r>
      <w:proofErr w:type="spellEnd"/>
      <w:r w:rsidRPr="00315434">
        <w:rPr>
          <w:rFonts w:asciiTheme="majorBidi" w:hAnsiTheme="majorBidi" w:cstheme="majorBidi"/>
          <w:color w:val="000000"/>
          <w:lang w:val="fr-FR"/>
        </w:rPr>
        <w:t xml:space="preserve"> est un logiciel de gestion des performances qui permet aux entreprises d’avoir une approche plus agile et continue dans l’évaluation de leurs employés. Il est particulièrement </w:t>
      </w:r>
      <w:r w:rsidRPr="00315434">
        <w:rPr>
          <w:rFonts w:asciiTheme="majorBidi" w:hAnsiTheme="majorBidi" w:cstheme="majorBidi"/>
          <w:color w:val="000000"/>
          <w:lang w:val="fr-FR"/>
        </w:rPr>
        <w:lastRenderedPageBreak/>
        <w:t>adapté aux entreprises qui veulent favoriser la croissance et l’engagement des collaborateurs.</w:t>
      </w:r>
      <w:r w:rsidRPr="007958E9">
        <w:rPr>
          <w:rFonts w:asciiTheme="majorBidi" w:hAnsiTheme="majorBidi" w:cstheme="majorBidi"/>
          <w:color w:val="000000"/>
          <w:lang w:val="fr-FR"/>
        </w:rPr>
        <w:t xml:space="preserve"> Ses p</w:t>
      </w:r>
      <w:r w:rsidRPr="00315434">
        <w:rPr>
          <w:rFonts w:asciiTheme="majorBidi" w:hAnsiTheme="majorBidi" w:cstheme="majorBidi"/>
          <w:color w:val="000000"/>
          <w:lang w:val="fr-FR"/>
        </w:rPr>
        <w:t>rincipales fonctionnalités</w:t>
      </w:r>
      <w:r w:rsidRPr="007958E9">
        <w:rPr>
          <w:rFonts w:asciiTheme="majorBidi" w:hAnsiTheme="majorBidi" w:cstheme="majorBidi"/>
          <w:color w:val="000000"/>
          <w:lang w:val="fr-FR"/>
        </w:rPr>
        <w:t> :</w:t>
      </w:r>
    </w:p>
    <w:p w:rsidR="00E772DD" w:rsidRPr="00315434" w:rsidRDefault="00E772DD" w:rsidP="004D32AC">
      <w:pPr>
        <w:pStyle w:val="NormalWeb"/>
        <w:numPr>
          <w:ilvl w:val="0"/>
          <w:numId w:val="98"/>
        </w:numPr>
        <w:spacing w:before="0" w:beforeAutospacing="0" w:after="0" w:afterAutospacing="0" w:line="360" w:lineRule="auto"/>
        <w:jc w:val="both"/>
        <w:rPr>
          <w:rFonts w:asciiTheme="majorBidi" w:hAnsiTheme="majorBidi" w:cstheme="majorBidi"/>
          <w:color w:val="000000"/>
          <w:lang w:val="fr-FR"/>
        </w:rPr>
      </w:pPr>
      <w:r w:rsidRPr="00315434">
        <w:rPr>
          <w:rFonts w:asciiTheme="majorBidi" w:hAnsiTheme="majorBidi" w:cstheme="majorBidi"/>
          <w:color w:val="000000"/>
          <w:lang w:val="fr-FR"/>
        </w:rPr>
        <w:t>Évaluations de performance continues : Feedback en temps réel et suivi des objectifs.</w:t>
      </w:r>
    </w:p>
    <w:p w:rsidR="00E772DD" w:rsidRPr="00315434" w:rsidRDefault="00E772DD" w:rsidP="004D32AC">
      <w:pPr>
        <w:pStyle w:val="NormalWeb"/>
        <w:numPr>
          <w:ilvl w:val="0"/>
          <w:numId w:val="98"/>
        </w:numPr>
        <w:spacing w:before="0" w:beforeAutospacing="0" w:after="0" w:afterAutospacing="0" w:line="360" w:lineRule="auto"/>
        <w:jc w:val="both"/>
        <w:rPr>
          <w:rFonts w:asciiTheme="majorBidi" w:hAnsiTheme="majorBidi" w:cstheme="majorBidi"/>
          <w:color w:val="000000"/>
          <w:lang w:val="fr-FR"/>
        </w:rPr>
      </w:pPr>
      <w:r w:rsidRPr="00315434">
        <w:rPr>
          <w:rFonts w:asciiTheme="majorBidi" w:hAnsiTheme="majorBidi" w:cstheme="majorBidi"/>
          <w:color w:val="000000"/>
          <w:lang w:val="fr-FR"/>
        </w:rPr>
        <w:t>Planification de carrière et développement : Outils pour la gestion des talents.</w:t>
      </w:r>
    </w:p>
    <w:p w:rsidR="00E772DD" w:rsidRPr="00315434" w:rsidRDefault="00E772DD" w:rsidP="004D32AC">
      <w:pPr>
        <w:pStyle w:val="NormalWeb"/>
        <w:numPr>
          <w:ilvl w:val="0"/>
          <w:numId w:val="98"/>
        </w:numPr>
        <w:spacing w:before="0" w:beforeAutospacing="0" w:after="240" w:afterAutospacing="0" w:line="360" w:lineRule="auto"/>
        <w:jc w:val="both"/>
        <w:rPr>
          <w:rFonts w:asciiTheme="majorBidi" w:hAnsiTheme="majorBidi" w:cstheme="majorBidi"/>
          <w:color w:val="000000"/>
          <w:lang w:val="fr-FR"/>
        </w:rPr>
      </w:pPr>
      <w:r w:rsidRPr="00315434">
        <w:rPr>
          <w:rFonts w:asciiTheme="majorBidi" w:hAnsiTheme="majorBidi" w:cstheme="majorBidi"/>
          <w:color w:val="000000"/>
          <w:lang w:val="fr-FR"/>
        </w:rPr>
        <w:t>Engagement des employés : Sondages et analyses pour améliorer l’expérience collaborateur.</w:t>
      </w:r>
      <w:r>
        <w:rPr>
          <w:rStyle w:val="Appelnotedebasdep"/>
          <w:rFonts w:cstheme="majorBidi"/>
          <w:color w:val="000000"/>
          <w:lang w:val="fr-FR"/>
        </w:rPr>
        <w:footnoteReference w:id="257"/>
      </w:r>
    </w:p>
    <w:p w:rsidR="00E772DD" w:rsidRPr="003914CC" w:rsidRDefault="003914CC" w:rsidP="004D32AC">
      <w:pPr>
        <w:pStyle w:val="Titre3"/>
        <w:numPr>
          <w:ilvl w:val="1"/>
          <w:numId w:val="184"/>
        </w:numPr>
        <w:spacing w:after="0" w:afterAutospacing="0" w:line="360" w:lineRule="auto"/>
        <w:rPr>
          <w:sz w:val="24"/>
          <w:szCs w:val="24"/>
        </w:rPr>
      </w:pPr>
      <w:r w:rsidRPr="00847F4A">
        <w:rPr>
          <w:sz w:val="24"/>
          <w:szCs w:val="24"/>
          <w:lang w:val="fr-FR"/>
        </w:rPr>
        <w:t xml:space="preserve"> </w:t>
      </w:r>
      <w:bookmarkStart w:id="1421" w:name="_Toc199714428"/>
      <w:bookmarkStart w:id="1422" w:name="_Toc200486706"/>
      <w:bookmarkStart w:id="1423" w:name="_Toc200635482"/>
      <w:bookmarkStart w:id="1424" w:name="_Toc200635870"/>
      <w:bookmarkStart w:id="1425" w:name="_Toc200636259"/>
      <w:bookmarkStart w:id="1426" w:name="_Toc200755996"/>
      <w:r w:rsidR="00E772DD" w:rsidRPr="003914CC">
        <w:rPr>
          <w:sz w:val="24"/>
          <w:szCs w:val="24"/>
        </w:rPr>
        <w:t>Outils de Communication et de Travail Collaboratif</w:t>
      </w:r>
      <w:bookmarkEnd w:id="1421"/>
      <w:bookmarkEnd w:id="1422"/>
      <w:bookmarkEnd w:id="1423"/>
      <w:bookmarkEnd w:id="1424"/>
      <w:bookmarkEnd w:id="1425"/>
      <w:bookmarkEnd w:id="1426"/>
    </w:p>
    <w:p w:rsidR="00E772DD" w:rsidRPr="0066151E" w:rsidRDefault="00E772DD" w:rsidP="00B70E76">
      <w:pPr>
        <w:pStyle w:val="NormalWeb"/>
        <w:spacing w:before="0" w:beforeAutospacing="0" w:after="0" w:afterAutospacing="0" w:line="360" w:lineRule="auto"/>
        <w:jc w:val="both"/>
        <w:rPr>
          <w:color w:val="000000"/>
          <w:lang w:val="fr-FR"/>
        </w:rPr>
      </w:pPr>
      <w:r w:rsidRPr="0066151E">
        <w:rPr>
          <w:color w:val="000000"/>
          <w:lang w:val="fr-FR"/>
        </w:rPr>
        <w:t>Avec l’essor du télétravail, les entreprises ont besoin d’outils de collaboration pour assurer une communication fluide entre leurs équipes. Ces outils offrent :</w:t>
      </w:r>
    </w:p>
    <w:p w:rsidR="00E772DD" w:rsidRPr="0066151E" w:rsidRDefault="00E772DD" w:rsidP="004D32AC">
      <w:pPr>
        <w:pStyle w:val="NormalWeb"/>
        <w:numPr>
          <w:ilvl w:val="0"/>
          <w:numId w:val="75"/>
        </w:numPr>
        <w:spacing w:before="0" w:beforeAutospacing="0" w:after="0" w:afterAutospacing="0" w:line="360" w:lineRule="auto"/>
        <w:jc w:val="both"/>
        <w:rPr>
          <w:color w:val="000000"/>
          <w:lang w:val="fr-FR"/>
        </w:rPr>
      </w:pPr>
      <w:r w:rsidRPr="0066151E">
        <w:rPr>
          <w:color w:val="000000"/>
          <w:lang w:val="fr-FR"/>
        </w:rPr>
        <w:t>Une messagerie instantanée et des espaces de discussion.</w:t>
      </w:r>
    </w:p>
    <w:p w:rsidR="00E772DD" w:rsidRPr="0066151E" w:rsidRDefault="00E772DD" w:rsidP="004D32AC">
      <w:pPr>
        <w:pStyle w:val="NormalWeb"/>
        <w:numPr>
          <w:ilvl w:val="0"/>
          <w:numId w:val="75"/>
        </w:numPr>
        <w:spacing w:before="0" w:beforeAutospacing="0" w:after="0" w:afterAutospacing="0" w:line="360" w:lineRule="auto"/>
        <w:jc w:val="both"/>
        <w:rPr>
          <w:color w:val="000000"/>
          <w:lang w:val="fr-FR"/>
        </w:rPr>
      </w:pPr>
      <w:r w:rsidRPr="0066151E">
        <w:rPr>
          <w:color w:val="000000"/>
          <w:lang w:val="fr-FR"/>
        </w:rPr>
        <w:t>Des solutions de gestion de projet pour suivre l’avancement des tâches.</w:t>
      </w:r>
    </w:p>
    <w:p w:rsidR="00E772DD" w:rsidRPr="0066151E" w:rsidRDefault="00E772DD" w:rsidP="004D32AC">
      <w:pPr>
        <w:pStyle w:val="NormalWeb"/>
        <w:numPr>
          <w:ilvl w:val="0"/>
          <w:numId w:val="75"/>
        </w:numPr>
        <w:spacing w:before="0" w:beforeAutospacing="0" w:after="0" w:afterAutospacing="0" w:line="360" w:lineRule="auto"/>
        <w:jc w:val="both"/>
        <w:rPr>
          <w:color w:val="000000"/>
          <w:lang w:val="fr-FR"/>
        </w:rPr>
      </w:pPr>
      <w:r w:rsidRPr="0066151E">
        <w:rPr>
          <w:color w:val="000000"/>
          <w:lang w:val="fr-FR"/>
        </w:rPr>
        <w:t>Des plateformes de visioconférence pour faciliter les échanges à distance.</w:t>
      </w:r>
    </w:p>
    <w:p w:rsidR="00E772DD" w:rsidRPr="0066151E" w:rsidRDefault="00E772DD" w:rsidP="007958E9">
      <w:pPr>
        <w:pStyle w:val="NormalWeb"/>
        <w:spacing w:before="0" w:beforeAutospacing="0" w:after="240" w:afterAutospacing="0" w:line="360" w:lineRule="auto"/>
        <w:jc w:val="both"/>
        <w:rPr>
          <w:color w:val="000000"/>
          <w:lang w:val="fr-FR"/>
        </w:rPr>
      </w:pPr>
      <w:r w:rsidRPr="0066151E">
        <w:rPr>
          <w:color w:val="000000"/>
          <w:lang w:val="fr-FR"/>
        </w:rPr>
        <w:t>Ils améliorent la productivité et renforcent la cohésion des équipes, même lorsqu’elles travaillent à distance.</w:t>
      </w:r>
      <w:r w:rsidRPr="0066151E">
        <w:rPr>
          <w:rStyle w:val="Appelnotedebasdep"/>
          <w:color w:val="000000"/>
          <w:lang w:val="fr-FR"/>
        </w:rPr>
        <w:footnoteReference w:id="258"/>
      </w:r>
    </w:p>
    <w:p w:rsidR="00E772DD" w:rsidRPr="0066151E" w:rsidRDefault="00E772DD" w:rsidP="00B70E76">
      <w:pPr>
        <w:pStyle w:val="NormalWeb"/>
        <w:spacing w:before="0" w:beforeAutospacing="0" w:after="0" w:afterAutospacing="0" w:line="360" w:lineRule="auto"/>
        <w:jc w:val="both"/>
        <w:rPr>
          <w:b/>
          <w:bCs/>
          <w:color w:val="000000"/>
          <w:lang w:val="fr-FR"/>
        </w:rPr>
      </w:pPr>
      <w:r w:rsidRPr="0066151E">
        <w:rPr>
          <w:b/>
          <w:bCs/>
          <w:color w:val="000000"/>
          <w:lang w:val="fr-FR"/>
        </w:rPr>
        <w:t>Exemples :</w:t>
      </w:r>
    </w:p>
    <w:p w:rsidR="00E772DD" w:rsidRPr="00315434" w:rsidRDefault="00E772DD" w:rsidP="004D32AC">
      <w:pPr>
        <w:pStyle w:val="NormalWeb"/>
        <w:numPr>
          <w:ilvl w:val="0"/>
          <w:numId w:val="84"/>
        </w:numPr>
        <w:spacing w:before="0" w:beforeAutospacing="0" w:after="0" w:afterAutospacing="0" w:line="360" w:lineRule="auto"/>
        <w:jc w:val="both"/>
        <w:rPr>
          <w:b/>
          <w:bCs/>
          <w:color w:val="000000"/>
          <w:lang w:val="fr-FR"/>
        </w:rPr>
      </w:pPr>
      <w:r w:rsidRPr="00315434">
        <w:rPr>
          <w:b/>
          <w:bCs/>
          <w:color w:val="000000"/>
          <w:lang w:val="fr-FR"/>
        </w:rPr>
        <w:t>Microsoft Teams</w:t>
      </w:r>
    </w:p>
    <w:p w:rsidR="00E772DD" w:rsidRPr="00315434" w:rsidRDefault="00E772DD" w:rsidP="00315434">
      <w:pPr>
        <w:pStyle w:val="NormalWeb"/>
        <w:spacing w:before="0" w:beforeAutospacing="0" w:after="0" w:afterAutospacing="0" w:line="360" w:lineRule="auto"/>
        <w:jc w:val="both"/>
        <w:rPr>
          <w:color w:val="000000"/>
          <w:lang w:val="fr-FR"/>
        </w:rPr>
      </w:pPr>
      <w:r w:rsidRPr="00315434">
        <w:rPr>
          <w:color w:val="000000"/>
          <w:lang w:val="fr-FR"/>
        </w:rPr>
        <w:t>Microsoft Teams est une plateforme de collaboration intégrée à la suite Microsoft 365. Elle permet aux entreprises de centraliser la communication interne à travers des fonctionnalités de chat, de visioconférence et de partage de documents.</w:t>
      </w:r>
      <w:r w:rsidRPr="007958E9">
        <w:rPr>
          <w:color w:val="000000"/>
          <w:lang w:val="fr-FR"/>
        </w:rPr>
        <w:t xml:space="preserve"> Elle</w:t>
      </w:r>
      <w:r w:rsidRPr="007958E9">
        <w:t xml:space="preserve"> </w:t>
      </w:r>
      <w:r w:rsidRPr="007958E9">
        <w:rPr>
          <w:color w:val="000000"/>
          <w:lang w:val="fr-FR"/>
        </w:rPr>
        <w:t>donne accès à:</w:t>
      </w:r>
    </w:p>
    <w:p w:rsidR="00E772DD" w:rsidRPr="00315434" w:rsidRDefault="00E772DD" w:rsidP="004D32AC">
      <w:pPr>
        <w:pStyle w:val="NormalWeb"/>
        <w:numPr>
          <w:ilvl w:val="0"/>
          <w:numId w:val="87"/>
        </w:numPr>
        <w:spacing w:before="0" w:beforeAutospacing="0" w:after="0" w:afterAutospacing="0" w:line="360" w:lineRule="auto"/>
        <w:jc w:val="both"/>
        <w:rPr>
          <w:color w:val="000000"/>
          <w:lang w:val="fr-FR"/>
        </w:rPr>
      </w:pPr>
      <w:r w:rsidRPr="00315434">
        <w:rPr>
          <w:color w:val="000000"/>
          <w:lang w:val="fr-FR"/>
        </w:rPr>
        <w:t>Chat et appels vidéo : Communication en temps réel avec des équipes distantes.</w:t>
      </w:r>
    </w:p>
    <w:p w:rsidR="00E772DD" w:rsidRPr="00315434" w:rsidRDefault="00E772DD" w:rsidP="004D32AC">
      <w:pPr>
        <w:pStyle w:val="NormalWeb"/>
        <w:numPr>
          <w:ilvl w:val="0"/>
          <w:numId w:val="87"/>
        </w:numPr>
        <w:spacing w:before="0" w:beforeAutospacing="0" w:after="0" w:afterAutospacing="0" w:line="360" w:lineRule="auto"/>
        <w:jc w:val="both"/>
        <w:rPr>
          <w:color w:val="000000"/>
          <w:lang w:val="fr-FR"/>
        </w:rPr>
      </w:pPr>
      <w:r w:rsidRPr="00315434">
        <w:rPr>
          <w:color w:val="000000"/>
          <w:lang w:val="fr-FR"/>
        </w:rPr>
        <w:t>Intégration avec Microsoft 365 : Accès à SharePoint, OneDrive et Outlook.</w:t>
      </w:r>
    </w:p>
    <w:p w:rsidR="00EB5D6D" w:rsidRPr="003B5837" w:rsidRDefault="00E772DD" w:rsidP="004D32AC">
      <w:pPr>
        <w:pStyle w:val="NormalWeb"/>
        <w:numPr>
          <w:ilvl w:val="0"/>
          <w:numId w:val="87"/>
        </w:numPr>
        <w:spacing w:before="0" w:beforeAutospacing="0" w:after="240" w:afterAutospacing="0" w:line="360" w:lineRule="auto"/>
        <w:jc w:val="both"/>
        <w:rPr>
          <w:color w:val="000000"/>
          <w:lang w:val="fr-FR"/>
        </w:rPr>
      </w:pPr>
      <w:r w:rsidRPr="00315434">
        <w:rPr>
          <w:color w:val="000000"/>
          <w:lang w:val="fr-FR"/>
        </w:rPr>
        <w:t>Espaces de travail collaboratifs : Partage et coédition de documents en équipe.</w:t>
      </w:r>
      <w:r>
        <w:rPr>
          <w:rStyle w:val="Appelnotedebasdep"/>
          <w:color w:val="000000"/>
          <w:lang w:val="fr-FR"/>
        </w:rPr>
        <w:footnoteReference w:id="259"/>
      </w:r>
    </w:p>
    <w:p w:rsidR="00E772DD" w:rsidRPr="00315434" w:rsidRDefault="00E772DD" w:rsidP="004D32AC">
      <w:pPr>
        <w:pStyle w:val="NormalWeb"/>
        <w:numPr>
          <w:ilvl w:val="0"/>
          <w:numId w:val="84"/>
        </w:numPr>
        <w:spacing w:before="0" w:beforeAutospacing="0" w:after="0" w:afterAutospacing="0" w:line="360" w:lineRule="auto"/>
        <w:jc w:val="both"/>
        <w:rPr>
          <w:b/>
          <w:bCs/>
          <w:color w:val="000000"/>
          <w:lang w:val="fr-FR"/>
        </w:rPr>
      </w:pPr>
      <w:r w:rsidRPr="00315434">
        <w:rPr>
          <w:b/>
          <w:bCs/>
          <w:color w:val="000000"/>
          <w:lang w:val="fr-FR"/>
        </w:rPr>
        <w:t>Slack</w:t>
      </w:r>
    </w:p>
    <w:p w:rsidR="00E772DD" w:rsidRPr="00315434" w:rsidRDefault="00E772DD" w:rsidP="007958E9">
      <w:pPr>
        <w:pStyle w:val="NormalWeb"/>
        <w:spacing w:before="0" w:beforeAutospacing="0" w:after="0" w:afterAutospacing="0" w:line="360" w:lineRule="auto"/>
        <w:jc w:val="both"/>
        <w:rPr>
          <w:color w:val="000000"/>
          <w:lang w:val="fr-FR"/>
        </w:rPr>
      </w:pPr>
      <w:r w:rsidRPr="00315434">
        <w:rPr>
          <w:color w:val="000000"/>
          <w:lang w:val="fr-FR"/>
        </w:rPr>
        <w:t>Slack est une plateforme de communication qui facilite le travail collaboratif en entreprise grâce à un système de messagerie instantanée avancé et des intégrations avec de nombreux outils professionnels.</w:t>
      </w:r>
      <w:r>
        <w:rPr>
          <w:color w:val="000000"/>
          <w:lang w:val="fr-FR"/>
        </w:rPr>
        <w:t xml:space="preserve"> </w:t>
      </w:r>
      <w:r w:rsidRPr="007958E9">
        <w:rPr>
          <w:color w:val="000000"/>
          <w:lang w:val="fr-FR"/>
        </w:rPr>
        <w:t>Elle</w:t>
      </w:r>
      <w:r w:rsidRPr="007958E9">
        <w:t xml:space="preserve"> </w:t>
      </w:r>
      <w:r w:rsidRPr="007958E9">
        <w:rPr>
          <w:color w:val="000000"/>
          <w:lang w:val="fr-FR"/>
        </w:rPr>
        <w:t>donne accès à:</w:t>
      </w:r>
    </w:p>
    <w:p w:rsidR="00E772DD" w:rsidRPr="00315434" w:rsidRDefault="00E772DD" w:rsidP="004D32AC">
      <w:pPr>
        <w:pStyle w:val="NormalWeb"/>
        <w:numPr>
          <w:ilvl w:val="0"/>
          <w:numId w:val="88"/>
        </w:numPr>
        <w:spacing w:before="0" w:beforeAutospacing="0" w:after="0" w:afterAutospacing="0" w:line="360" w:lineRule="auto"/>
        <w:jc w:val="both"/>
        <w:rPr>
          <w:color w:val="000000"/>
          <w:lang w:val="fr-FR"/>
        </w:rPr>
      </w:pPr>
      <w:r w:rsidRPr="00315434">
        <w:rPr>
          <w:color w:val="000000"/>
          <w:lang w:val="fr-FR"/>
        </w:rPr>
        <w:t>Canaux de discussion organisés : Structuration des conversations par projet ou équipe.</w:t>
      </w:r>
    </w:p>
    <w:p w:rsidR="00E772DD" w:rsidRPr="00315434" w:rsidRDefault="00E772DD" w:rsidP="004D32AC">
      <w:pPr>
        <w:pStyle w:val="NormalWeb"/>
        <w:numPr>
          <w:ilvl w:val="0"/>
          <w:numId w:val="88"/>
        </w:numPr>
        <w:spacing w:before="0" w:beforeAutospacing="0" w:after="0" w:afterAutospacing="0" w:line="360" w:lineRule="auto"/>
        <w:jc w:val="both"/>
        <w:rPr>
          <w:color w:val="000000"/>
          <w:lang w:val="fr-FR"/>
        </w:rPr>
      </w:pPr>
      <w:r w:rsidRPr="00315434">
        <w:rPr>
          <w:color w:val="000000"/>
          <w:lang w:val="fr-FR"/>
        </w:rPr>
        <w:t>Intégration avec des outils tiers : Compatible avec Google Drive, Trello, Zoom, etc.</w:t>
      </w:r>
    </w:p>
    <w:p w:rsidR="00E772DD" w:rsidRPr="00315434" w:rsidRDefault="00E772DD" w:rsidP="004D32AC">
      <w:pPr>
        <w:pStyle w:val="NormalWeb"/>
        <w:numPr>
          <w:ilvl w:val="0"/>
          <w:numId w:val="88"/>
        </w:numPr>
        <w:spacing w:before="0" w:beforeAutospacing="0" w:after="240" w:afterAutospacing="0" w:line="360" w:lineRule="auto"/>
        <w:jc w:val="both"/>
        <w:rPr>
          <w:color w:val="000000"/>
          <w:lang w:val="fr-FR"/>
        </w:rPr>
      </w:pPr>
      <w:r w:rsidRPr="00315434">
        <w:rPr>
          <w:color w:val="000000"/>
          <w:lang w:val="fr-FR"/>
        </w:rPr>
        <w:lastRenderedPageBreak/>
        <w:t>Automatisation et bots : Possibilité d’ajouter des workflows et des rappels automatisés.</w:t>
      </w:r>
      <w:r>
        <w:rPr>
          <w:rStyle w:val="Appelnotedebasdep"/>
          <w:color w:val="000000"/>
          <w:lang w:val="fr-FR"/>
        </w:rPr>
        <w:footnoteReference w:id="260"/>
      </w:r>
    </w:p>
    <w:p w:rsidR="00E772DD" w:rsidRPr="003914CC" w:rsidRDefault="003B5837" w:rsidP="004D32AC">
      <w:pPr>
        <w:pStyle w:val="Titre3"/>
        <w:numPr>
          <w:ilvl w:val="1"/>
          <w:numId w:val="184"/>
        </w:numPr>
        <w:spacing w:after="0" w:afterAutospacing="0" w:line="360" w:lineRule="auto"/>
        <w:rPr>
          <w:sz w:val="24"/>
          <w:szCs w:val="24"/>
          <w:lang w:val="fr-FR"/>
        </w:rPr>
      </w:pPr>
      <w:bookmarkStart w:id="1427" w:name="_Toc199714429"/>
      <w:r>
        <w:rPr>
          <w:sz w:val="24"/>
          <w:szCs w:val="24"/>
          <w:lang w:val="fr-FR"/>
        </w:rPr>
        <w:t xml:space="preserve"> </w:t>
      </w:r>
      <w:bookmarkStart w:id="1428" w:name="_Toc200486707"/>
      <w:bookmarkStart w:id="1429" w:name="_Toc200635483"/>
      <w:bookmarkStart w:id="1430" w:name="_Toc200635871"/>
      <w:bookmarkStart w:id="1431" w:name="_Toc200636260"/>
      <w:bookmarkStart w:id="1432" w:name="_Toc200755997"/>
      <w:r w:rsidR="00E772DD" w:rsidRPr="003914CC">
        <w:rPr>
          <w:sz w:val="24"/>
          <w:szCs w:val="24"/>
          <w:lang w:val="fr-FR"/>
        </w:rPr>
        <w:t>Outils de Dématérialisation et de Signature Électronique</w:t>
      </w:r>
      <w:bookmarkEnd w:id="1427"/>
      <w:bookmarkEnd w:id="1428"/>
      <w:bookmarkEnd w:id="1429"/>
      <w:bookmarkEnd w:id="1430"/>
      <w:bookmarkEnd w:id="1431"/>
      <w:bookmarkEnd w:id="1432"/>
    </w:p>
    <w:p w:rsidR="00E772DD" w:rsidRPr="0066151E" w:rsidRDefault="00E772DD" w:rsidP="00B70E76">
      <w:pPr>
        <w:pStyle w:val="NormalWeb"/>
        <w:spacing w:before="0" w:beforeAutospacing="0" w:after="0" w:afterAutospacing="0" w:line="360" w:lineRule="auto"/>
        <w:jc w:val="both"/>
        <w:rPr>
          <w:color w:val="000000"/>
          <w:lang w:val="fr-FR"/>
        </w:rPr>
      </w:pPr>
      <w:r w:rsidRPr="0066151E">
        <w:rPr>
          <w:color w:val="000000"/>
          <w:lang w:val="fr-FR"/>
        </w:rPr>
        <w:t>La dématérialisation consiste à transformer les documents RH traditionnels en fichiers numériques, facilitant ainsi leur gestion et leur archivage. Elle repose sur plusieurs outils, notamment :</w:t>
      </w:r>
    </w:p>
    <w:p w:rsidR="00E772DD" w:rsidRPr="0066151E" w:rsidRDefault="00E772DD" w:rsidP="004D32AC">
      <w:pPr>
        <w:pStyle w:val="NormalWeb"/>
        <w:numPr>
          <w:ilvl w:val="0"/>
          <w:numId w:val="76"/>
        </w:numPr>
        <w:spacing w:before="0" w:beforeAutospacing="0" w:after="0" w:afterAutospacing="0" w:line="360" w:lineRule="auto"/>
        <w:jc w:val="both"/>
        <w:rPr>
          <w:color w:val="000000"/>
          <w:lang w:val="fr-FR"/>
        </w:rPr>
      </w:pPr>
      <w:r w:rsidRPr="0066151E">
        <w:rPr>
          <w:color w:val="000000"/>
          <w:lang w:val="fr-FR"/>
        </w:rPr>
        <w:t>La signature électronique, qui permet de valider des documents sans impression.</w:t>
      </w:r>
    </w:p>
    <w:p w:rsidR="00E772DD" w:rsidRPr="0066151E" w:rsidRDefault="00E772DD" w:rsidP="004D32AC">
      <w:pPr>
        <w:pStyle w:val="NormalWeb"/>
        <w:numPr>
          <w:ilvl w:val="0"/>
          <w:numId w:val="76"/>
        </w:numPr>
        <w:spacing w:before="0" w:beforeAutospacing="0" w:after="0" w:afterAutospacing="0" w:line="360" w:lineRule="auto"/>
        <w:jc w:val="both"/>
        <w:rPr>
          <w:color w:val="000000"/>
          <w:lang w:val="fr-FR"/>
        </w:rPr>
      </w:pPr>
      <w:r w:rsidRPr="0066151E">
        <w:rPr>
          <w:color w:val="000000"/>
          <w:lang w:val="fr-FR"/>
        </w:rPr>
        <w:t>L’archivage numérique sécurisé, garantissant la confidentialité des données.</w:t>
      </w:r>
    </w:p>
    <w:p w:rsidR="00E772DD" w:rsidRPr="0066151E" w:rsidRDefault="00E772DD" w:rsidP="004D32AC">
      <w:pPr>
        <w:pStyle w:val="NormalWeb"/>
        <w:numPr>
          <w:ilvl w:val="0"/>
          <w:numId w:val="76"/>
        </w:numPr>
        <w:spacing w:before="0" w:beforeAutospacing="0" w:after="0" w:afterAutospacing="0" w:line="360" w:lineRule="auto"/>
        <w:jc w:val="both"/>
        <w:rPr>
          <w:color w:val="000000"/>
          <w:lang w:val="fr-FR"/>
        </w:rPr>
      </w:pPr>
      <w:r w:rsidRPr="0066151E">
        <w:rPr>
          <w:color w:val="000000"/>
          <w:lang w:val="fr-FR"/>
        </w:rPr>
        <w:t>L’automatisation des documents administratifs, comme les bulletins de paie.</w:t>
      </w:r>
    </w:p>
    <w:p w:rsidR="00E772DD" w:rsidRPr="0066151E" w:rsidRDefault="00E772DD" w:rsidP="00E0792F">
      <w:pPr>
        <w:pStyle w:val="NormalWeb"/>
        <w:spacing w:before="0" w:beforeAutospacing="0" w:after="240" w:afterAutospacing="0" w:line="360" w:lineRule="auto"/>
        <w:jc w:val="both"/>
        <w:rPr>
          <w:color w:val="000000"/>
          <w:lang w:val="fr-FR"/>
        </w:rPr>
      </w:pPr>
      <w:r w:rsidRPr="0066151E">
        <w:rPr>
          <w:color w:val="000000"/>
          <w:lang w:val="fr-FR"/>
        </w:rPr>
        <w:t>Ces solutions améliorent l’efficacité des services RH et réduisent l’impact environnemental lié à l’utilisation du papier.</w:t>
      </w:r>
      <w:r>
        <w:rPr>
          <w:rStyle w:val="Appelnotedebasdep"/>
          <w:color w:val="000000"/>
          <w:lang w:val="fr-FR"/>
        </w:rPr>
        <w:footnoteReference w:id="261"/>
      </w:r>
    </w:p>
    <w:p w:rsidR="00E772DD" w:rsidRPr="0066151E" w:rsidRDefault="00E772DD" w:rsidP="00B70E76">
      <w:pPr>
        <w:pStyle w:val="NormalWeb"/>
        <w:spacing w:before="0" w:beforeAutospacing="0" w:after="0" w:afterAutospacing="0" w:line="360" w:lineRule="auto"/>
        <w:jc w:val="both"/>
        <w:rPr>
          <w:b/>
          <w:bCs/>
          <w:color w:val="000000"/>
          <w:lang w:val="fr-FR"/>
        </w:rPr>
      </w:pPr>
      <w:r w:rsidRPr="0066151E">
        <w:rPr>
          <w:b/>
          <w:bCs/>
          <w:color w:val="000000"/>
          <w:lang w:val="fr-FR"/>
        </w:rPr>
        <w:t>Exemples :</w:t>
      </w:r>
    </w:p>
    <w:p w:rsidR="00E772DD" w:rsidRPr="0066151E" w:rsidRDefault="00E772DD" w:rsidP="004D32AC">
      <w:pPr>
        <w:pStyle w:val="NormalWeb"/>
        <w:numPr>
          <w:ilvl w:val="0"/>
          <w:numId w:val="84"/>
        </w:numPr>
        <w:spacing w:before="0" w:beforeAutospacing="0" w:after="0" w:afterAutospacing="0" w:line="360" w:lineRule="auto"/>
        <w:jc w:val="both"/>
        <w:rPr>
          <w:b/>
          <w:bCs/>
          <w:color w:val="000000"/>
          <w:lang w:val="fr-FR"/>
        </w:rPr>
      </w:pPr>
      <w:r w:rsidRPr="0066151E">
        <w:rPr>
          <w:b/>
          <w:bCs/>
          <w:color w:val="000000"/>
          <w:lang w:val="fr-FR"/>
        </w:rPr>
        <w:t>DocuSign</w:t>
      </w:r>
    </w:p>
    <w:p w:rsidR="00E772DD" w:rsidRPr="0066151E" w:rsidRDefault="00E772DD" w:rsidP="0066151E">
      <w:pPr>
        <w:pStyle w:val="NormalWeb"/>
        <w:spacing w:before="0" w:beforeAutospacing="0" w:after="0" w:afterAutospacing="0" w:line="360" w:lineRule="auto"/>
        <w:jc w:val="both"/>
        <w:rPr>
          <w:color w:val="000000"/>
          <w:lang w:val="fr-FR"/>
        </w:rPr>
      </w:pPr>
      <w:r w:rsidRPr="0066151E">
        <w:rPr>
          <w:color w:val="000000"/>
          <w:lang w:val="fr-FR"/>
        </w:rPr>
        <w:t>DocuSign est une solution leader de signature électronique sécurisée, permettant aux entreprises de signer, envoyer et gérer des documents numériques en toute conformité avec les réglementations internationales.</w:t>
      </w:r>
      <w:r w:rsidRPr="00E0792F">
        <w:rPr>
          <w:color w:val="000000"/>
          <w:lang w:val="fr-FR"/>
        </w:rPr>
        <w:t xml:space="preserve"> Elle offre :</w:t>
      </w:r>
    </w:p>
    <w:p w:rsidR="00E772DD" w:rsidRPr="0066151E" w:rsidRDefault="00E772DD" w:rsidP="004D32AC">
      <w:pPr>
        <w:pStyle w:val="NormalWeb"/>
        <w:numPr>
          <w:ilvl w:val="0"/>
          <w:numId w:val="186"/>
        </w:numPr>
        <w:spacing w:before="0" w:beforeAutospacing="0" w:after="0" w:afterAutospacing="0" w:line="360" w:lineRule="auto"/>
        <w:jc w:val="both"/>
        <w:rPr>
          <w:color w:val="000000"/>
          <w:lang w:val="fr-FR"/>
        </w:rPr>
      </w:pPr>
      <w:r w:rsidRPr="0066151E">
        <w:rPr>
          <w:color w:val="000000"/>
          <w:lang w:val="fr-FR"/>
        </w:rPr>
        <w:t xml:space="preserve">Sécurité et conformité : Respect des normes comme </w:t>
      </w:r>
      <w:proofErr w:type="spellStart"/>
      <w:r w:rsidRPr="0066151E">
        <w:rPr>
          <w:color w:val="000000"/>
          <w:lang w:val="fr-FR"/>
        </w:rPr>
        <w:t>eIDAS</w:t>
      </w:r>
      <w:proofErr w:type="spellEnd"/>
      <w:r w:rsidRPr="0066151E">
        <w:rPr>
          <w:color w:val="000000"/>
          <w:lang w:val="fr-FR"/>
        </w:rPr>
        <w:t xml:space="preserve"> et ESIGN </w:t>
      </w:r>
      <w:proofErr w:type="spellStart"/>
      <w:r w:rsidRPr="0066151E">
        <w:rPr>
          <w:color w:val="000000"/>
          <w:lang w:val="fr-FR"/>
        </w:rPr>
        <w:t>Act</w:t>
      </w:r>
      <w:proofErr w:type="spellEnd"/>
      <w:r w:rsidRPr="0066151E">
        <w:rPr>
          <w:color w:val="000000"/>
          <w:lang w:val="fr-FR"/>
        </w:rPr>
        <w:t>.</w:t>
      </w:r>
    </w:p>
    <w:p w:rsidR="00E772DD" w:rsidRPr="0066151E" w:rsidRDefault="00E772DD" w:rsidP="004D32AC">
      <w:pPr>
        <w:pStyle w:val="NormalWeb"/>
        <w:numPr>
          <w:ilvl w:val="0"/>
          <w:numId w:val="186"/>
        </w:numPr>
        <w:spacing w:before="0" w:beforeAutospacing="0" w:after="0" w:afterAutospacing="0" w:line="360" w:lineRule="auto"/>
        <w:jc w:val="both"/>
        <w:rPr>
          <w:color w:val="000000"/>
          <w:lang w:val="fr-FR"/>
        </w:rPr>
      </w:pPr>
      <w:r w:rsidRPr="0066151E">
        <w:rPr>
          <w:color w:val="000000"/>
          <w:lang w:val="fr-FR"/>
        </w:rPr>
        <w:t>Automatisation des flux de travail : Simplifie la validation et l'approbation des documents.</w:t>
      </w:r>
    </w:p>
    <w:p w:rsidR="00EB5D6D" w:rsidRDefault="00E772DD" w:rsidP="004D32AC">
      <w:pPr>
        <w:pStyle w:val="NormalWeb"/>
        <w:numPr>
          <w:ilvl w:val="0"/>
          <w:numId w:val="186"/>
        </w:numPr>
        <w:spacing w:before="0" w:beforeAutospacing="0" w:after="240" w:afterAutospacing="0" w:line="360" w:lineRule="auto"/>
        <w:jc w:val="both"/>
        <w:rPr>
          <w:color w:val="000000"/>
          <w:lang w:val="fr-FR"/>
        </w:rPr>
      </w:pPr>
      <w:r w:rsidRPr="0066151E">
        <w:rPr>
          <w:color w:val="000000"/>
          <w:lang w:val="fr-FR"/>
        </w:rPr>
        <w:t>Intégration avec divers outils : Compatible avec Microsoft, Salesforce, Google</w:t>
      </w:r>
      <w:r>
        <w:rPr>
          <w:color w:val="000000"/>
          <w:lang w:val="fr-FR"/>
        </w:rPr>
        <w:t>.</w:t>
      </w:r>
      <w:r>
        <w:rPr>
          <w:rStyle w:val="Appelnotedebasdep"/>
          <w:color w:val="000000"/>
          <w:lang w:val="fr-FR"/>
        </w:rPr>
        <w:footnoteReference w:id="262"/>
      </w:r>
    </w:p>
    <w:p w:rsidR="003B5837" w:rsidRDefault="003B5837" w:rsidP="003B5837">
      <w:pPr>
        <w:pStyle w:val="NormalWeb"/>
        <w:spacing w:before="0" w:beforeAutospacing="0" w:after="240" w:afterAutospacing="0" w:line="360" w:lineRule="auto"/>
        <w:jc w:val="both"/>
        <w:rPr>
          <w:color w:val="000000"/>
          <w:lang w:val="fr-FR"/>
        </w:rPr>
      </w:pPr>
    </w:p>
    <w:p w:rsidR="003B5837" w:rsidRDefault="003B5837" w:rsidP="003B5837">
      <w:pPr>
        <w:pStyle w:val="NormalWeb"/>
        <w:spacing w:before="0" w:beforeAutospacing="0" w:after="240" w:afterAutospacing="0" w:line="360" w:lineRule="auto"/>
        <w:jc w:val="both"/>
        <w:rPr>
          <w:color w:val="000000"/>
          <w:lang w:val="fr-FR"/>
        </w:rPr>
      </w:pPr>
    </w:p>
    <w:p w:rsidR="003B5837" w:rsidRDefault="003B5837" w:rsidP="003B5837">
      <w:pPr>
        <w:pStyle w:val="NormalWeb"/>
        <w:spacing w:before="0" w:beforeAutospacing="0" w:after="240" w:afterAutospacing="0" w:line="360" w:lineRule="auto"/>
        <w:jc w:val="both"/>
        <w:rPr>
          <w:color w:val="000000"/>
          <w:lang w:val="fr-FR"/>
        </w:rPr>
      </w:pPr>
    </w:p>
    <w:p w:rsidR="003B5837" w:rsidRDefault="003B5837" w:rsidP="003B5837">
      <w:pPr>
        <w:pStyle w:val="NormalWeb"/>
        <w:spacing w:before="0" w:beforeAutospacing="0" w:after="240" w:afterAutospacing="0" w:line="360" w:lineRule="auto"/>
        <w:jc w:val="both"/>
        <w:rPr>
          <w:color w:val="000000"/>
          <w:lang w:val="fr-FR"/>
        </w:rPr>
      </w:pPr>
    </w:p>
    <w:p w:rsidR="003B5837" w:rsidRPr="003B5837" w:rsidRDefault="003B5837" w:rsidP="003B5837">
      <w:pPr>
        <w:pStyle w:val="NormalWeb"/>
        <w:spacing w:before="0" w:beforeAutospacing="0" w:after="240" w:afterAutospacing="0" w:line="360" w:lineRule="auto"/>
        <w:jc w:val="both"/>
        <w:rPr>
          <w:color w:val="000000"/>
          <w:lang w:val="fr-FR"/>
        </w:rPr>
      </w:pPr>
    </w:p>
    <w:p w:rsidR="00E772DD" w:rsidRPr="006631F0" w:rsidRDefault="00E772DD" w:rsidP="006631F0">
      <w:pPr>
        <w:pStyle w:val="NormalWeb"/>
        <w:spacing w:before="0" w:beforeAutospacing="0" w:after="240" w:afterAutospacing="0" w:line="360" w:lineRule="auto"/>
        <w:ind w:left="786"/>
        <w:jc w:val="both"/>
        <w:rPr>
          <w:b/>
          <w:bCs/>
          <w:color w:val="000000"/>
          <w:lang w:val="fr-FR"/>
        </w:rPr>
      </w:pPr>
      <w:r w:rsidRPr="006631F0">
        <w:rPr>
          <w:b/>
          <w:bCs/>
          <w:color w:val="000000"/>
          <w:lang w:val="fr-FR"/>
        </w:rPr>
        <w:lastRenderedPageBreak/>
        <w:t>Figure </w:t>
      </w:r>
      <w:r>
        <w:rPr>
          <w:b/>
          <w:bCs/>
          <w:color w:val="000000"/>
          <w:lang w:val="fr-FR"/>
        </w:rPr>
        <w:t xml:space="preserve">N°23 </w:t>
      </w:r>
      <w:r w:rsidRPr="006631F0">
        <w:rPr>
          <w:b/>
          <w:bCs/>
          <w:color w:val="000000"/>
          <w:lang w:val="fr-FR"/>
        </w:rPr>
        <w:t xml:space="preserve">: </w:t>
      </w:r>
      <w:r w:rsidRPr="001F04DD">
        <w:rPr>
          <w:color w:val="000000"/>
          <w:lang w:val="fr-FR"/>
        </w:rPr>
        <w:t>Docu</w:t>
      </w:r>
      <w:r w:rsidR="00EB5D6D">
        <w:rPr>
          <w:color w:val="000000"/>
          <w:lang w:val="fr-FR"/>
        </w:rPr>
        <w:t>S</w:t>
      </w:r>
      <w:r w:rsidRPr="001F04DD">
        <w:rPr>
          <w:color w:val="000000"/>
          <w:lang w:val="fr-FR"/>
        </w:rPr>
        <w:t>ign : La solution n° 1 de signature électronique</w:t>
      </w:r>
    </w:p>
    <w:p w:rsidR="00E772DD" w:rsidRDefault="00E772DD" w:rsidP="004D32AC">
      <w:pPr>
        <w:pStyle w:val="NormalWeb"/>
        <w:numPr>
          <w:ilvl w:val="0"/>
          <w:numId w:val="97"/>
        </w:numPr>
        <w:spacing w:before="0" w:beforeAutospacing="0" w:after="240" w:afterAutospacing="0" w:line="360" w:lineRule="auto"/>
        <w:jc w:val="center"/>
        <w:rPr>
          <w:color w:val="000000"/>
          <w:lang w:val="fr-FR"/>
        </w:rPr>
      </w:pPr>
      <w:r>
        <w:rPr>
          <w:noProof/>
          <w:color w:val="000000"/>
          <w:lang w:val="fr-FR"/>
          <w14:ligatures w14:val="standardContextual"/>
        </w:rPr>
        <w:drawing>
          <wp:inline distT="0" distB="0" distL="0" distR="0">
            <wp:extent cx="4678680" cy="2609088"/>
            <wp:effectExtent l="0" t="0" r="0" b="0"/>
            <wp:docPr id="442356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356779" name="Picture 442356779"/>
                    <pic:cNvPicPr/>
                  </pic:nvPicPr>
                  <pic:blipFill rotWithShape="1">
                    <a:blip r:embed="rId88" cstate="print">
                      <a:extLst>
                        <a:ext uri="{28A0092B-C50C-407E-A947-70E740481C1C}">
                          <a14:useLocalDpi xmlns:a14="http://schemas.microsoft.com/office/drawing/2010/main" val="0"/>
                        </a:ext>
                      </a:extLst>
                    </a:blip>
                    <a:srcRect t="8937"/>
                    <a:stretch/>
                  </pic:blipFill>
                  <pic:spPr bwMode="auto">
                    <a:xfrm>
                      <a:off x="0" y="0"/>
                      <a:ext cx="4678680" cy="2609088"/>
                    </a:xfrm>
                    <a:prstGeom prst="rect">
                      <a:avLst/>
                    </a:prstGeom>
                    <a:ln>
                      <a:noFill/>
                    </a:ln>
                    <a:extLst>
                      <a:ext uri="{53640926-AAD7-44D8-BBD7-CCE9431645EC}">
                        <a14:shadowObscured xmlns:a14="http://schemas.microsoft.com/office/drawing/2010/main"/>
                      </a:ext>
                    </a:extLst>
                  </pic:spPr>
                </pic:pic>
              </a:graphicData>
            </a:graphic>
          </wp:inline>
        </w:drawing>
      </w:r>
    </w:p>
    <w:p w:rsidR="00E772DD" w:rsidRPr="0086518A" w:rsidRDefault="00E772DD" w:rsidP="0091398F">
      <w:pPr>
        <w:pStyle w:val="NormalWeb"/>
        <w:spacing w:before="0" w:beforeAutospacing="0" w:after="240" w:afterAutospacing="0" w:line="360" w:lineRule="auto"/>
        <w:ind w:left="786"/>
        <w:jc w:val="center"/>
        <w:rPr>
          <w:color w:val="000000"/>
          <w:lang w:val="fr-FR"/>
        </w:rPr>
      </w:pPr>
      <w:r w:rsidRPr="0086518A">
        <w:rPr>
          <w:b/>
          <w:bCs/>
          <w:color w:val="000000"/>
          <w:lang w:val="fr-FR"/>
        </w:rPr>
        <w:t>Source :</w:t>
      </w:r>
      <w:r>
        <w:rPr>
          <w:color w:val="000000"/>
          <w:lang w:val="fr-FR"/>
        </w:rPr>
        <w:t xml:space="preserve"> </w:t>
      </w:r>
      <w:r w:rsidR="004D5FD6" w:rsidRPr="004D5FD6">
        <w:t>DocuSign. (s.d.). Solutions de signature électronique et de gestion des accords. DocuSign. https://www.docusign.com/fr-fr</w:t>
      </w:r>
    </w:p>
    <w:p w:rsidR="00E772DD" w:rsidRPr="0066151E" w:rsidRDefault="00E772DD" w:rsidP="004D32AC">
      <w:pPr>
        <w:pStyle w:val="NormalWeb"/>
        <w:numPr>
          <w:ilvl w:val="0"/>
          <w:numId w:val="84"/>
        </w:numPr>
        <w:spacing w:before="0" w:beforeAutospacing="0" w:after="0" w:afterAutospacing="0" w:line="360" w:lineRule="auto"/>
        <w:jc w:val="both"/>
        <w:rPr>
          <w:b/>
          <w:bCs/>
          <w:color w:val="000000"/>
          <w:lang w:val="fr-FR"/>
        </w:rPr>
      </w:pPr>
      <w:r w:rsidRPr="0066151E">
        <w:rPr>
          <w:b/>
          <w:bCs/>
          <w:color w:val="000000"/>
          <w:lang w:val="fr-FR"/>
        </w:rPr>
        <w:t xml:space="preserve">Adobe </w:t>
      </w:r>
      <w:proofErr w:type="spellStart"/>
      <w:r w:rsidRPr="0066151E">
        <w:rPr>
          <w:b/>
          <w:bCs/>
          <w:color w:val="000000"/>
          <w:lang w:val="fr-FR"/>
        </w:rPr>
        <w:t>Sign</w:t>
      </w:r>
      <w:proofErr w:type="spellEnd"/>
    </w:p>
    <w:p w:rsidR="00E772DD" w:rsidRPr="0066151E" w:rsidRDefault="00E772DD" w:rsidP="0066151E">
      <w:pPr>
        <w:pStyle w:val="NormalWeb"/>
        <w:spacing w:before="0" w:beforeAutospacing="0" w:after="0" w:afterAutospacing="0" w:line="360" w:lineRule="auto"/>
        <w:jc w:val="both"/>
        <w:rPr>
          <w:color w:val="000000"/>
          <w:lang w:val="fr-FR"/>
        </w:rPr>
      </w:pPr>
      <w:r w:rsidRPr="0066151E">
        <w:rPr>
          <w:color w:val="000000"/>
          <w:lang w:val="fr-FR"/>
        </w:rPr>
        <w:t xml:space="preserve">Adobe </w:t>
      </w:r>
      <w:proofErr w:type="spellStart"/>
      <w:r w:rsidRPr="0066151E">
        <w:rPr>
          <w:color w:val="000000"/>
          <w:lang w:val="fr-FR"/>
        </w:rPr>
        <w:t>Sign</w:t>
      </w:r>
      <w:proofErr w:type="spellEnd"/>
      <w:r w:rsidRPr="0066151E">
        <w:rPr>
          <w:color w:val="000000"/>
          <w:lang w:val="fr-FR"/>
        </w:rPr>
        <w:t> est un outil de signature électronique intégré à la suite Adobe Acrobat, offrant une validation rapide et sécurisée des documents en ligne.</w:t>
      </w:r>
      <w:r w:rsidRPr="00E0792F">
        <w:rPr>
          <w:color w:val="000000"/>
          <w:lang w:val="fr-FR"/>
        </w:rPr>
        <w:t xml:space="preserve"> Il offre :</w:t>
      </w:r>
    </w:p>
    <w:p w:rsidR="00E772DD" w:rsidRPr="0066151E" w:rsidRDefault="00E772DD" w:rsidP="004D32AC">
      <w:pPr>
        <w:pStyle w:val="NormalWeb"/>
        <w:numPr>
          <w:ilvl w:val="0"/>
          <w:numId w:val="96"/>
        </w:numPr>
        <w:spacing w:before="0" w:beforeAutospacing="0" w:after="0" w:afterAutospacing="0" w:line="360" w:lineRule="auto"/>
        <w:jc w:val="both"/>
        <w:rPr>
          <w:color w:val="000000"/>
          <w:lang w:val="fr-FR"/>
        </w:rPr>
      </w:pPr>
      <w:r w:rsidRPr="0066151E">
        <w:rPr>
          <w:color w:val="000000"/>
          <w:lang w:val="fr-FR"/>
        </w:rPr>
        <w:t>Intégration avec Adobe Acrobat et Microsoft 365 : Signature et validation de PDF et autres documents.</w:t>
      </w:r>
    </w:p>
    <w:p w:rsidR="00E772DD" w:rsidRPr="0066151E" w:rsidRDefault="00E772DD" w:rsidP="004D32AC">
      <w:pPr>
        <w:pStyle w:val="NormalWeb"/>
        <w:numPr>
          <w:ilvl w:val="0"/>
          <w:numId w:val="96"/>
        </w:numPr>
        <w:spacing w:before="0" w:beforeAutospacing="0" w:after="0" w:afterAutospacing="0" w:line="360" w:lineRule="auto"/>
        <w:jc w:val="both"/>
        <w:rPr>
          <w:color w:val="000000"/>
          <w:lang w:val="fr-FR"/>
        </w:rPr>
      </w:pPr>
      <w:r w:rsidRPr="0066151E">
        <w:rPr>
          <w:color w:val="000000"/>
          <w:lang w:val="fr-FR"/>
        </w:rPr>
        <w:t>Conformité aux réglementations : Sécurisé et reconnu légalement dans de nombreux pays.</w:t>
      </w:r>
    </w:p>
    <w:p w:rsidR="00E772DD" w:rsidRPr="0066151E" w:rsidRDefault="00E772DD" w:rsidP="004D32AC">
      <w:pPr>
        <w:pStyle w:val="NormalWeb"/>
        <w:numPr>
          <w:ilvl w:val="0"/>
          <w:numId w:val="96"/>
        </w:numPr>
        <w:spacing w:before="0" w:beforeAutospacing="0" w:after="240" w:afterAutospacing="0" w:line="360" w:lineRule="auto"/>
        <w:jc w:val="both"/>
        <w:rPr>
          <w:color w:val="000000"/>
          <w:lang w:val="fr-FR"/>
        </w:rPr>
      </w:pPr>
      <w:r w:rsidRPr="0066151E">
        <w:rPr>
          <w:color w:val="000000"/>
          <w:lang w:val="fr-FR"/>
        </w:rPr>
        <w:t>Expérience utilisateur fluide : Interface intuitive et accessible sur tout appareil.</w:t>
      </w:r>
      <w:r w:rsidRPr="0013269B">
        <w:rPr>
          <w:rStyle w:val="Appelnotedebasdep"/>
          <w:color w:val="000000"/>
          <w:lang w:val="fr-FR"/>
        </w:rPr>
        <w:footnoteReference w:id="263"/>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33" w:name="_Toc199714430"/>
      <w:bookmarkStart w:id="1434" w:name="_Toc200486708"/>
      <w:bookmarkStart w:id="1435" w:name="_Toc200635484"/>
      <w:bookmarkStart w:id="1436" w:name="_Toc200635872"/>
      <w:bookmarkStart w:id="1437" w:name="_Toc200636261"/>
      <w:bookmarkStart w:id="1438" w:name="_Toc200755998"/>
      <w:r w:rsidR="00E772DD" w:rsidRPr="003914CC">
        <w:rPr>
          <w:sz w:val="24"/>
          <w:szCs w:val="24"/>
          <w:lang w:val="fr-FR"/>
        </w:rPr>
        <w:t>Automatisation et Intelligence Artificielle (IA) dans les RH</w:t>
      </w:r>
      <w:bookmarkEnd w:id="1433"/>
      <w:bookmarkEnd w:id="1434"/>
      <w:bookmarkEnd w:id="1435"/>
      <w:bookmarkEnd w:id="1436"/>
      <w:bookmarkEnd w:id="1437"/>
      <w:bookmarkEnd w:id="1438"/>
    </w:p>
    <w:p w:rsidR="00E772DD" w:rsidRPr="0013269B" w:rsidRDefault="00E772DD" w:rsidP="00B70E76">
      <w:pPr>
        <w:pStyle w:val="NormalWeb"/>
        <w:spacing w:before="0" w:beforeAutospacing="0" w:after="0" w:afterAutospacing="0" w:line="360" w:lineRule="auto"/>
        <w:jc w:val="both"/>
        <w:rPr>
          <w:color w:val="000000"/>
          <w:lang w:val="fr-FR"/>
        </w:rPr>
      </w:pPr>
      <w:r w:rsidRPr="0013269B">
        <w:rPr>
          <w:color w:val="000000"/>
          <w:lang w:val="fr-FR"/>
        </w:rPr>
        <w:t>L’intelligence artificielle (IA) révolutionne la gestion des ressources humaines en apportant des solutions avancées pour automatiser les processus. Parmi les applications les plus courantes:</w:t>
      </w:r>
    </w:p>
    <w:p w:rsidR="00E772DD" w:rsidRPr="0013269B" w:rsidRDefault="00E772DD" w:rsidP="004D32AC">
      <w:pPr>
        <w:pStyle w:val="NormalWeb"/>
        <w:numPr>
          <w:ilvl w:val="0"/>
          <w:numId w:val="77"/>
        </w:numPr>
        <w:spacing w:before="0" w:beforeAutospacing="0" w:after="0" w:afterAutospacing="0" w:line="360" w:lineRule="auto"/>
        <w:jc w:val="both"/>
        <w:rPr>
          <w:color w:val="000000"/>
          <w:lang w:val="fr-FR"/>
        </w:rPr>
      </w:pPr>
      <w:r w:rsidRPr="0013269B">
        <w:rPr>
          <w:color w:val="000000"/>
          <w:lang w:val="fr-FR"/>
        </w:rPr>
        <w:t xml:space="preserve">Les </w:t>
      </w:r>
      <w:proofErr w:type="spellStart"/>
      <w:r w:rsidRPr="0013269B">
        <w:rPr>
          <w:color w:val="000000"/>
          <w:lang w:val="fr-FR"/>
        </w:rPr>
        <w:t>chatbots</w:t>
      </w:r>
      <w:proofErr w:type="spellEnd"/>
      <w:r w:rsidRPr="0013269B">
        <w:rPr>
          <w:color w:val="000000"/>
          <w:lang w:val="fr-FR"/>
        </w:rPr>
        <w:t xml:space="preserve"> RH, qui répondent aux questions des employés en temps réel.</w:t>
      </w:r>
    </w:p>
    <w:p w:rsidR="00E772DD" w:rsidRPr="0013269B" w:rsidRDefault="00E772DD" w:rsidP="004D32AC">
      <w:pPr>
        <w:pStyle w:val="NormalWeb"/>
        <w:numPr>
          <w:ilvl w:val="0"/>
          <w:numId w:val="77"/>
        </w:numPr>
        <w:spacing w:before="0" w:beforeAutospacing="0" w:after="0" w:afterAutospacing="0" w:line="360" w:lineRule="auto"/>
        <w:jc w:val="both"/>
        <w:rPr>
          <w:color w:val="000000"/>
          <w:lang w:val="fr-FR"/>
        </w:rPr>
      </w:pPr>
      <w:r w:rsidRPr="0013269B">
        <w:rPr>
          <w:color w:val="000000"/>
          <w:lang w:val="fr-FR"/>
        </w:rPr>
        <w:t>L’analyse prédictive des données RH pour anticiper les besoins en recrutement.</w:t>
      </w:r>
    </w:p>
    <w:p w:rsidR="00E772DD" w:rsidRPr="0013269B" w:rsidRDefault="00E772DD" w:rsidP="004D32AC">
      <w:pPr>
        <w:pStyle w:val="NormalWeb"/>
        <w:numPr>
          <w:ilvl w:val="0"/>
          <w:numId w:val="77"/>
        </w:numPr>
        <w:spacing w:before="0" w:beforeAutospacing="0" w:after="0" w:afterAutospacing="0" w:line="360" w:lineRule="auto"/>
        <w:jc w:val="both"/>
        <w:rPr>
          <w:color w:val="000000"/>
          <w:lang w:val="fr-FR"/>
        </w:rPr>
      </w:pPr>
      <w:r w:rsidRPr="0013269B">
        <w:rPr>
          <w:color w:val="000000"/>
          <w:lang w:val="fr-FR"/>
        </w:rPr>
        <w:t>L’automatisation des tâches administratives répétitives, libérant ainsi du temps pour des missions à plus forte valeur ajoutée.</w:t>
      </w:r>
    </w:p>
    <w:p w:rsidR="00E772DD" w:rsidRPr="0013269B" w:rsidRDefault="00E772DD" w:rsidP="00E0792F">
      <w:pPr>
        <w:pStyle w:val="NormalWeb"/>
        <w:spacing w:before="0" w:beforeAutospacing="0" w:after="240" w:afterAutospacing="0" w:line="360" w:lineRule="auto"/>
        <w:jc w:val="both"/>
        <w:rPr>
          <w:color w:val="000000"/>
          <w:lang w:val="fr-FR"/>
        </w:rPr>
      </w:pPr>
      <w:r w:rsidRPr="0013269B">
        <w:rPr>
          <w:color w:val="000000"/>
          <w:lang w:val="fr-FR"/>
        </w:rPr>
        <w:lastRenderedPageBreak/>
        <w:t>Ces outils aident les professionnels des RH à optimiser leur gestion et à offrir une meilleure expérience aux employés.</w:t>
      </w:r>
      <w:r w:rsidRPr="0013269B">
        <w:rPr>
          <w:rStyle w:val="Appelnotedebasdep"/>
          <w:color w:val="000000"/>
          <w:lang w:val="fr-FR"/>
        </w:rPr>
        <w:footnoteReference w:id="264"/>
      </w:r>
    </w:p>
    <w:p w:rsidR="00E772DD" w:rsidRPr="0013269B" w:rsidRDefault="00E772DD" w:rsidP="0066151E">
      <w:pPr>
        <w:pStyle w:val="NormalWeb"/>
        <w:spacing w:before="0" w:beforeAutospacing="0" w:after="0" w:afterAutospacing="0" w:line="360" w:lineRule="auto"/>
        <w:jc w:val="both"/>
        <w:rPr>
          <w:b/>
          <w:bCs/>
          <w:color w:val="000000"/>
          <w:lang w:val="fr-FR"/>
        </w:rPr>
      </w:pPr>
      <w:r w:rsidRPr="0013269B">
        <w:rPr>
          <w:b/>
          <w:bCs/>
          <w:color w:val="000000"/>
          <w:lang w:val="fr-FR"/>
        </w:rPr>
        <w:t>Exemples :</w:t>
      </w:r>
    </w:p>
    <w:p w:rsidR="00E772DD" w:rsidRPr="0066151E" w:rsidRDefault="00E772DD" w:rsidP="004D32AC">
      <w:pPr>
        <w:pStyle w:val="NormalWeb"/>
        <w:numPr>
          <w:ilvl w:val="0"/>
          <w:numId w:val="84"/>
        </w:numPr>
        <w:spacing w:before="0" w:beforeAutospacing="0" w:after="0" w:afterAutospacing="0" w:line="360" w:lineRule="auto"/>
        <w:jc w:val="both"/>
        <w:rPr>
          <w:b/>
          <w:bCs/>
          <w:color w:val="000000"/>
          <w:lang w:val="fr-FR"/>
        </w:rPr>
      </w:pPr>
      <w:proofErr w:type="spellStart"/>
      <w:r w:rsidRPr="0066151E">
        <w:rPr>
          <w:b/>
          <w:bCs/>
          <w:color w:val="000000"/>
          <w:lang w:val="fr-FR"/>
        </w:rPr>
        <w:t>Leena</w:t>
      </w:r>
      <w:proofErr w:type="spellEnd"/>
      <w:r w:rsidRPr="0066151E">
        <w:rPr>
          <w:b/>
          <w:bCs/>
          <w:color w:val="000000"/>
          <w:lang w:val="fr-FR"/>
        </w:rPr>
        <w:t xml:space="preserve"> AI</w:t>
      </w:r>
    </w:p>
    <w:p w:rsidR="00E772DD" w:rsidRPr="0066151E" w:rsidRDefault="00E772DD" w:rsidP="007958E9">
      <w:pPr>
        <w:pStyle w:val="NormalWeb"/>
        <w:spacing w:before="0" w:beforeAutospacing="0" w:after="0" w:afterAutospacing="0" w:line="360" w:lineRule="auto"/>
        <w:jc w:val="both"/>
        <w:rPr>
          <w:color w:val="000000"/>
          <w:lang w:val="fr-FR"/>
        </w:rPr>
      </w:pPr>
      <w:proofErr w:type="spellStart"/>
      <w:r w:rsidRPr="0066151E">
        <w:rPr>
          <w:color w:val="000000"/>
          <w:lang w:val="fr-FR"/>
        </w:rPr>
        <w:t>Leena</w:t>
      </w:r>
      <w:proofErr w:type="spellEnd"/>
      <w:r w:rsidRPr="0066151E">
        <w:rPr>
          <w:color w:val="000000"/>
          <w:lang w:val="fr-FR"/>
        </w:rPr>
        <w:t xml:space="preserve"> AI est un </w:t>
      </w:r>
      <w:proofErr w:type="spellStart"/>
      <w:r w:rsidRPr="0066151E">
        <w:rPr>
          <w:color w:val="000000"/>
          <w:lang w:val="fr-FR"/>
        </w:rPr>
        <w:t>chatbot</w:t>
      </w:r>
      <w:proofErr w:type="spellEnd"/>
      <w:r w:rsidRPr="0066151E">
        <w:rPr>
          <w:color w:val="000000"/>
          <w:lang w:val="fr-FR"/>
        </w:rPr>
        <w:t xml:space="preserve"> RH intelligent conçu pour automatiser la gestion des demandes des employés et améliorer leur expérience. Il utilise l'intelligence artificielle pour répondre aux questions fréquemment posées et gérer divers processus RH.</w:t>
      </w:r>
      <w:r w:rsidRPr="0013269B">
        <w:rPr>
          <w:color w:val="000000"/>
          <w:lang w:val="fr-FR"/>
        </w:rPr>
        <w:t xml:space="preserve"> Il offre la possibilité de :</w:t>
      </w:r>
    </w:p>
    <w:p w:rsidR="00E772DD" w:rsidRPr="0066151E" w:rsidRDefault="00E772DD" w:rsidP="004D32AC">
      <w:pPr>
        <w:pStyle w:val="NormalWeb"/>
        <w:numPr>
          <w:ilvl w:val="0"/>
          <w:numId w:val="86"/>
        </w:numPr>
        <w:spacing w:before="0" w:beforeAutospacing="0" w:after="0" w:afterAutospacing="0" w:line="360" w:lineRule="auto"/>
        <w:jc w:val="both"/>
        <w:rPr>
          <w:color w:val="000000"/>
          <w:lang w:val="fr-FR"/>
        </w:rPr>
      </w:pPr>
      <w:r w:rsidRPr="0066151E">
        <w:rPr>
          <w:color w:val="000000"/>
          <w:lang w:val="fr-FR"/>
        </w:rPr>
        <w:t>Automatisation des demandes RH : Réponses instantanées sur la paie, les congés, les avantages sociaux.</w:t>
      </w:r>
    </w:p>
    <w:p w:rsidR="00E772DD" w:rsidRPr="0066151E" w:rsidRDefault="00E772DD" w:rsidP="004D32AC">
      <w:pPr>
        <w:pStyle w:val="NormalWeb"/>
        <w:numPr>
          <w:ilvl w:val="0"/>
          <w:numId w:val="86"/>
        </w:numPr>
        <w:spacing w:before="0" w:beforeAutospacing="0" w:after="0" w:afterAutospacing="0" w:line="360" w:lineRule="auto"/>
        <w:jc w:val="both"/>
        <w:rPr>
          <w:color w:val="000000"/>
          <w:lang w:val="fr-FR"/>
        </w:rPr>
      </w:pPr>
      <w:r w:rsidRPr="0066151E">
        <w:rPr>
          <w:color w:val="000000"/>
          <w:lang w:val="fr-FR"/>
        </w:rPr>
        <w:t xml:space="preserve">Intégration avec des systèmes RH : Compatible avec SAP </w:t>
      </w:r>
      <w:proofErr w:type="spellStart"/>
      <w:r w:rsidRPr="0066151E">
        <w:rPr>
          <w:color w:val="000000"/>
          <w:lang w:val="fr-FR"/>
        </w:rPr>
        <w:t>SuccessFactors</w:t>
      </w:r>
      <w:proofErr w:type="spellEnd"/>
      <w:r w:rsidRPr="0066151E">
        <w:rPr>
          <w:color w:val="000000"/>
          <w:lang w:val="fr-FR"/>
        </w:rPr>
        <w:t xml:space="preserve">, </w:t>
      </w:r>
      <w:proofErr w:type="spellStart"/>
      <w:r w:rsidRPr="0066151E">
        <w:rPr>
          <w:color w:val="000000"/>
          <w:lang w:val="fr-FR"/>
        </w:rPr>
        <w:t>Workday</w:t>
      </w:r>
      <w:proofErr w:type="spellEnd"/>
      <w:r w:rsidRPr="0066151E">
        <w:rPr>
          <w:color w:val="000000"/>
          <w:lang w:val="fr-FR"/>
        </w:rPr>
        <w:t>, Oracle, etc.</w:t>
      </w:r>
    </w:p>
    <w:p w:rsidR="00E772DD" w:rsidRPr="0066151E" w:rsidRDefault="00E772DD" w:rsidP="004D32AC">
      <w:pPr>
        <w:pStyle w:val="NormalWeb"/>
        <w:numPr>
          <w:ilvl w:val="0"/>
          <w:numId w:val="86"/>
        </w:numPr>
        <w:spacing w:before="0" w:beforeAutospacing="0" w:after="240" w:afterAutospacing="0" w:line="360" w:lineRule="auto"/>
        <w:jc w:val="both"/>
        <w:rPr>
          <w:color w:val="000000"/>
          <w:lang w:val="fr-FR"/>
        </w:rPr>
      </w:pPr>
      <w:r w:rsidRPr="0066151E">
        <w:rPr>
          <w:color w:val="000000"/>
          <w:lang w:val="fr-FR"/>
        </w:rPr>
        <w:t>Expérience conversationnelle avancée : Utilise le NLP (traitement du langage naturel) pour des interactions fluides.</w:t>
      </w:r>
      <w:r w:rsidRPr="0013269B">
        <w:rPr>
          <w:rStyle w:val="Appelnotedebasdep"/>
          <w:color w:val="000000"/>
          <w:lang w:val="fr-FR"/>
        </w:rPr>
        <w:footnoteReference w:id="265"/>
      </w:r>
    </w:p>
    <w:p w:rsidR="00E772DD" w:rsidRPr="0066151E" w:rsidRDefault="00E772DD" w:rsidP="004D32AC">
      <w:pPr>
        <w:pStyle w:val="NormalWeb"/>
        <w:numPr>
          <w:ilvl w:val="0"/>
          <w:numId w:val="84"/>
        </w:numPr>
        <w:spacing w:before="0" w:beforeAutospacing="0" w:after="0" w:afterAutospacing="0" w:line="360" w:lineRule="auto"/>
        <w:jc w:val="both"/>
        <w:rPr>
          <w:b/>
          <w:bCs/>
          <w:color w:val="000000"/>
          <w:lang w:val="fr-FR"/>
        </w:rPr>
      </w:pPr>
      <w:proofErr w:type="spellStart"/>
      <w:r w:rsidRPr="0066151E">
        <w:rPr>
          <w:b/>
          <w:bCs/>
          <w:color w:val="000000"/>
          <w:lang w:val="fr-FR"/>
        </w:rPr>
        <w:t>Eightfold</w:t>
      </w:r>
      <w:proofErr w:type="spellEnd"/>
      <w:r w:rsidRPr="0066151E">
        <w:rPr>
          <w:b/>
          <w:bCs/>
          <w:color w:val="000000"/>
          <w:lang w:val="fr-FR"/>
        </w:rPr>
        <w:t xml:space="preserve"> AI</w:t>
      </w:r>
    </w:p>
    <w:p w:rsidR="00E772DD" w:rsidRPr="0066151E" w:rsidRDefault="00E772DD" w:rsidP="007958E9">
      <w:pPr>
        <w:pStyle w:val="NormalWeb"/>
        <w:spacing w:before="0" w:beforeAutospacing="0" w:after="0" w:afterAutospacing="0" w:line="360" w:lineRule="auto"/>
        <w:jc w:val="both"/>
        <w:rPr>
          <w:color w:val="000000"/>
          <w:lang w:val="fr-FR"/>
        </w:rPr>
      </w:pPr>
      <w:proofErr w:type="spellStart"/>
      <w:r w:rsidRPr="0066151E">
        <w:rPr>
          <w:color w:val="000000"/>
          <w:lang w:val="fr-FR"/>
        </w:rPr>
        <w:t>Eightfold</w:t>
      </w:r>
      <w:proofErr w:type="spellEnd"/>
      <w:r w:rsidRPr="0066151E">
        <w:rPr>
          <w:color w:val="000000"/>
          <w:lang w:val="fr-FR"/>
        </w:rPr>
        <w:t xml:space="preserve"> AI est une plateforme de gestion des talents basée sur l'intelligence artificielle, qui aide les entreprises à analyser, prédire et optimiser leurs besoins en recrutement et en développement des compétences.</w:t>
      </w:r>
      <w:r w:rsidRPr="0013269B">
        <w:rPr>
          <w:color w:val="000000"/>
          <w:lang w:val="fr-FR"/>
        </w:rPr>
        <w:t xml:space="preserve"> Elle assure :</w:t>
      </w:r>
    </w:p>
    <w:p w:rsidR="00E772DD" w:rsidRPr="0066151E" w:rsidRDefault="00E772DD" w:rsidP="004D32AC">
      <w:pPr>
        <w:pStyle w:val="NormalWeb"/>
        <w:numPr>
          <w:ilvl w:val="0"/>
          <w:numId w:val="85"/>
        </w:numPr>
        <w:spacing w:before="0" w:beforeAutospacing="0" w:after="0" w:afterAutospacing="0" w:line="360" w:lineRule="auto"/>
        <w:jc w:val="both"/>
        <w:rPr>
          <w:color w:val="000000"/>
          <w:lang w:val="fr-FR"/>
        </w:rPr>
      </w:pPr>
      <w:r w:rsidRPr="0066151E">
        <w:rPr>
          <w:color w:val="000000"/>
          <w:lang w:val="fr-FR"/>
        </w:rPr>
        <w:t>Analyse prédictive des talents : Identifie les profils les plus adaptés aux postes ouverts.</w:t>
      </w:r>
    </w:p>
    <w:p w:rsidR="00E772DD" w:rsidRPr="0066151E" w:rsidRDefault="00E772DD" w:rsidP="004D32AC">
      <w:pPr>
        <w:pStyle w:val="NormalWeb"/>
        <w:numPr>
          <w:ilvl w:val="0"/>
          <w:numId w:val="85"/>
        </w:numPr>
        <w:spacing w:before="0" w:beforeAutospacing="0" w:after="0" w:afterAutospacing="0" w:line="360" w:lineRule="auto"/>
        <w:jc w:val="both"/>
        <w:rPr>
          <w:color w:val="000000"/>
          <w:lang w:val="fr-FR"/>
        </w:rPr>
      </w:pPr>
      <w:r w:rsidRPr="0066151E">
        <w:rPr>
          <w:color w:val="000000"/>
          <w:lang w:val="fr-FR"/>
        </w:rPr>
        <w:t>Amélioration de la diversité et de l’inclusion : IA réduisant les biais dans le recrutement.</w:t>
      </w:r>
    </w:p>
    <w:p w:rsidR="00E772DD" w:rsidRPr="0013269B" w:rsidRDefault="00E772DD" w:rsidP="004D32AC">
      <w:pPr>
        <w:pStyle w:val="NormalWeb"/>
        <w:numPr>
          <w:ilvl w:val="0"/>
          <w:numId w:val="85"/>
        </w:numPr>
        <w:spacing w:before="0" w:beforeAutospacing="0" w:after="240" w:afterAutospacing="0" w:line="360" w:lineRule="auto"/>
        <w:jc w:val="both"/>
        <w:rPr>
          <w:color w:val="000000"/>
          <w:lang w:val="fr-FR"/>
        </w:rPr>
      </w:pPr>
      <w:r w:rsidRPr="0066151E">
        <w:rPr>
          <w:color w:val="000000"/>
          <w:lang w:val="fr-FR"/>
        </w:rPr>
        <w:t>Gestion des carrières et de la mobilité interne : Suggestions de postes en fonction des compétences des employés.</w:t>
      </w:r>
      <w:r w:rsidRPr="0013269B">
        <w:rPr>
          <w:rStyle w:val="Appelnotedebasdep"/>
          <w:color w:val="000000"/>
          <w:lang w:val="fr-FR"/>
        </w:rPr>
        <w:footnoteReference w:id="266"/>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39" w:name="_Toc199714431"/>
      <w:bookmarkStart w:id="1440" w:name="_Toc200486709"/>
      <w:bookmarkStart w:id="1441" w:name="_Toc200635485"/>
      <w:bookmarkStart w:id="1442" w:name="_Toc200635873"/>
      <w:bookmarkStart w:id="1443" w:name="_Toc200636262"/>
      <w:bookmarkStart w:id="1444" w:name="_Toc200755999"/>
      <w:r w:rsidR="00E772DD" w:rsidRPr="003914CC">
        <w:rPr>
          <w:sz w:val="24"/>
          <w:szCs w:val="24"/>
          <w:lang w:val="fr-FR"/>
        </w:rPr>
        <w:t>Les plateformes sociales internes</w:t>
      </w:r>
      <w:bookmarkEnd w:id="1439"/>
      <w:bookmarkEnd w:id="1440"/>
      <w:bookmarkEnd w:id="1441"/>
      <w:bookmarkEnd w:id="1442"/>
      <w:bookmarkEnd w:id="1443"/>
      <w:bookmarkEnd w:id="1444"/>
    </w:p>
    <w:p w:rsidR="00E772DD" w:rsidRPr="00E2646A" w:rsidRDefault="00E772DD" w:rsidP="0013269B">
      <w:pPr>
        <w:pStyle w:val="NormalWeb"/>
        <w:spacing w:before="0" w:beforeAutospacing="0" w:after="0" w:afterAutospacing="0" w:line="360" w:lineRule="auto"/>
        <w:jc w:val="both"/>
        <w:rPr>
          <w:color w:val="000000"/>
          <w:lang w:val="fr-FR"/>
        </w:rPr>
      </w:pPr>
      <w:r w:rsidRPr="00E2646A">
        <w:rPr>
          <w:color w:val="000000"/>
          <w:lang w:val="fr-FR"/>
        </w:rPr>
        <w:t>Les entreprises utilisent des plateformes sociales internes afin de simplifier les échanges et renforcer la culture organisationnelle. Ces outils permettent aux employés de différentes équipes de communiquer efficacement, favorisant ainsi un environnement de travail plus collaboratif et interactif.</w:t>
      </w:r>
      <w:r w:rsidRPr="0013269B">
        <w:rPr>
          <w:color w:val="000000"/>
          <w:lang w:val="fr-FR"/>
        </w:rPr>
        <w:t xml:space="preserve"> Elles assurent :</w:t>
      </w:r>
    </w:p>
    <w:p w:rsidR="00E772DD" w:rsidRPr="00E2646A" w:rsidRDefault="00E772DD" w:rsidP="004D32AC">
      <w:pPr>
        <w:pStyle w:val="NormalWeb"/>
        <w:numPr>
          <w:ilvl w:val="0"/>
          <w:numId w:val="89"/>
        </w:numPr>
        <w:spacing w:before="0" w:beforeAutospacing="0" w:after="0" w:afterAutospacing="0" w:line="360" w:lineRule="auto"/>
        <w:jc w:val="both"/>
        <w:rPr>
          <w:color w:val="000000"/>
          <w:lang w:val="fr-FR"/>
        </w:rPr>
      </w:pPr>
      <w:r w:rsidRPr="00E2646A">
        <w:rPr>
          <w:b/>
          <w:bCs/>
          <w:color w:val="000000"/>
          <w:lang w:val="fr-FR"/>
        </w:rPr>
        <w:t>Fluidification des échanges</w:t>
      </w:r>
      <w:r w:rsidRPr="00E2646A">
        <w:rPr>
          <w:color w:val="000000"/>
          <w:lang w:val="fr-FR"/>
        </w:rPr>
        <w:t> : Facilite le partage d’informations et d’idées en temps réel.</w:t>
      </w:r>
    </w:p>
    <w:p w:rsidR="00E772DD" w:rsidRPr="00E2646A" w:rsidRDefault="00E772DD" w:rsidP="004D32AC">
      <w:pPr>
        <w:pStyle w:val="NormalWeb"/>
        <w:numPr>
          <w:ilvl w:val="0"/>
          <w:numId w:val="89"/>
        </w:numPr>
        <w:spacing w:before="0" w:beforeAutospacing="0" w:after="0" w:afterAutospacing="0" w:line="360" w:lineRule="auto"/>
        <w:jc w:val="both"/>
        <w:rPr>
          <w:color w:val="000000"/>
          <w:lang w:val="fr-FR"/>
        </w:rPr>
      </w:pPr>
      <w:r w:rsidRPr="00E2646A">
        <w:rPr>
          <w:b/>
          <w:bCs/>
          <w:color w:val="000000"/>
          <w:lang w:val="fr-FR"/>
        </w:rPr>
        <w:lastRenderedPageBreak/>
        <w:t>Création d’un esprit d’équipe</w:t>
      </w:r>
      <w:r w:rsidRPr="00E2646A">
        <w:rPr>
          <w:color w:val="000000"/>
          <w:lang w:val="fr-FR"/>
        </w:rPr>
        <w:t> : Renforce le lien entre collaborateurs grâce à des interactions régulières.</w:t>
      </w:r>
    </w:p>
    <w:p w:rsidR="00E772DD" w:rsidRPr="0013269B" w:rsidRDefault="00E772DD" w:rsidP="004D32AC">
      <w:pPr>
        <w:pStyle w:val="NormalWeb"/>
        <w:numPr>
          <w:ilvl w:val="0"/>
          <w:numId w:val="89"/>
        </w:numPr>
        <w:spacing w:before="0" w:beforeAutospacing="0" w:after="240" w:afterAutospacing="0" w:line="360" w:lineRule="auto"/>
        <w:jc w:val="both"/>
        <w:rPr>
          <w:color w:val="000000"/>
          <w:lang w:val="fr-FR"/>
        </w:rPr>
      </w:pPr>
      <w:r w:rsidRPr="00E2646A">
        <w:rPr>
          <w:b/>
          <w:bCs/>
          <w:color w:val="000000"/>
          <w:lang w:val="fr-FR"/>
        </w:rPr>
        <w:t>Réduction des barrières hiérarchiques</w:t>
      </w:r>
      <w:r w:rsidRPr="00E2646A">
        <w:rPr>
          <w:color w:val="000000"/>
          <w:lang w:val="fr-FR"/>
        </w:rPr>
        <w:t> : Encourage le dialogue entre employés de tous niveaux, améliorant ainsi les relations professionnelles.</w:t>
      </w:r>
      <w:r>
        <w:rPr>
          <w:rStyle w:val="Appelnotedebasdep"/>
          <w:color w:val="000000"/>
          <w:lang w:val="fr-FR"/>
        </w:rPr>
        <w:footnoteReference w:id="267"/>
      </w:r>
    </w:p>
    <w:p w:rsidR="00E772DD" w:rsidRPr="00E2646A" w:rsidRDefault="00E772DD" w:rsidP="0013269B">
      <w:pPr>
        <w:pStyle w:val="NormalWeb"/>
        <w:spacing w:before="0" w:beforeAutospacing="0" w:after="0" w:afterAutospacing="0" w:line="360" w:lineRule="auto"/>
        <w:ind w:left="360"/>
        <w:jc w:val="both"/>
        <w:rPr>
          <w:color w:val="000000"/>
          <w:lang w:val="fr-FR"/>
        </w:rPr>
      </w:pPr>
      <w:r w:rsidRPr="0013269B">
        <w:rPr>
          <w:b/>
          <w:bCs/>
          <w:color w:val="000000"/>
          <w:lang w:val="fr-FR"/>
        </w:rPr>
        <w:t>Exemples </w:t>
      </w:r>
      <w:r w:rsidRPr="0013269B">
        <w:rPr>
          <w:color w:val="000000"/>
          <w:lang w:val="fr-FR"/>
        </w:rPr>
        <w:t xml:space="preserve">: </w:t>
      </w:r>
    </w:p>
    <w:p w:rsidR="00E772DD" w:rsidRPr="0013269B" w:rsidRDefault="00E772DD" w:rsidP="004D32AC">
      <w:pPr>
        <w:pStyle w:val="NormalWeb"/>
        <w:numPr>
          <w:ilvl w:val="0"/>
          <w:numId w:val="92"/>
        </w:numPr>
        <w:spacing w:before="0" w:beforeAutospacing="0" w:after="0" w:afterAutospacing="0" w:line="360" w:lineRule="auto"/>
        <w:jc w:val="both"/>
        <w:rPr>
          <w:b/>
          <w:bCs/>
          <w:color w:val="000000"/>
          <w:lang w:val="fr-FR"/>
        </w:rPr>
      </w:pPr>
      <w:proofErr w:type="spellStart"/>
      <w:r w:rsidRPr="0013269B">
        <w:rPr>
          <w:b/>
          <w:bCs/>
          <w:color w:val="000000"/>
          <w:lang w:val="fr-FR"/>
        </w:rPr>
        <w:t>Jive</w:t>
      </w:r>
      <w:proofErr w:type="spellEnd"/>
    </w:p>
    <w:p w:rsidR="00E772DD" w:rsidRPr="0013269B" w:rsidRDefault="00E772DD" w:rsidP="0013269B">
      <w:pPr>
        <w:pStyle w:val="NormalWeb"/>
        <w:spacing w:before="0" w:beforeAutospacing="0" w:after="0" w:afterAutospacing="0" w:line="360" w:lineRule="auto"/>
        <w:ind w:left="644"/>
        <w:jc w:val="both"/>
        <w:rPr>
          <w:color w:val="000000"/>
          <w:lang w:val="fr-FR"/>
        </w:rPr>
      </w:pPr>
      <w:proofErr w:type="spellStart"/>
      <w:r w:rsidRPr="0013269B">
        <w:rPr>
          <w:b/>
          <w:bCs/>
          <w:color w:val="000000"/>
          <w:lang w:val="fr-FR"/>
        </w:rPr>
        <w:t>Jive</w:t>
      </w:r>
      <w:proofErr w:type="spellEnd"/>
      <w:r w:rsidRPr="0013269B">
        <w:rPr>
          <w:color w:val="000000"/>
          <w:lang w:val="fr-FR"/>
        </w:rPr>
        <w:t> est une </w:t>
      </w:r>
      <w:r w:rsidRPr="0013269B">
        <w:rPr>
          <w:b/>
          <w:bCs/>
          <w:color w:val="000000"/>
          <w:lang w:val="fr-FR"/>
        </w:rPr>
        <w:t>plateforme de collaboration d’entreprise</w:t>
      </w:r>
      <w:r w:rsidRPr="0013269B">
        <w:rPr>
          <w:color w:val="000000"/>
          <w:lang w:val="fr-FR"/>
        </w:rPr>
        <w:t> conçue pour améliorer la communication interne, centraliser les informations et faciliter le partage des connaissances au sein des organisations. Il s'agit d'un </w:t>
      </w:r>
      <w:r w:rsidRPr="0013269B">
        <w:rPr>
          <w:b/>
          <w:bCs/>
          <w:color w:val="000000"/>
          <w:lang w:val="fr-FR"/>
        </w:rPr>
        <w:t>réseau social d’entreprise (RSE)</w:t>
      </w:r>
      <w:r w:rsidRPr="0013269B">
        <w:rPr>
          <w:color w:val="000000"/>
          <w:lang w:val="fr-FR"/>
        </w:rPr>
        <w:t> qui permet aux employés de travailler plus efficacement grâce à des outils interactifs et intuitifs. Elle off</w:t>
      </w:r>
      <w:r>
        <w:rPr>
          <w:color w:val="000000"/>
          <w:lang w:val="fr-FR"/>
        </w:rPr>
        <w:t>re</w:t>
      </w:r>
      <w:r w:rsidRPr="0013269B">
        <w:rPr>
          <w:color w:val="000000"/>
          <w:lang w:val="fr-FR"/>
        </w:rPr>
        <w:t xml:space="preserve"> :</w:t>
      </w:r>
    </w:p>
    <w:p w:rsidR="00E772DD" w:rsidRPr="0013269B" w:rsidRDefault="00E772DD" w:rsidP="004D32AC">
      <w:pPr>
        <w:pStyle w:val="NormalWeb"/>
        <w:numPr>
          <w:ilvl w:val="0"/>
          <w:numId w:val="91"/>
        </w:numPr>
        <w:spacing w:before="0" w:beforeAutospacing="0" w:after="0" w:afterAutospacing="0" w:line="360" w:lineRule="auto"/>
        <w:jc w:val="both"/>
        <w:rPr>
          <w:color w:val="000000"/>
          <w:lang w:val="fr-FR"/>
        </w:rPr>
      </w:pPr>
      <w:r w:rsidRPr="0013269B">
        <w:rPr>
          <w:color w:val="000000"/>
          <w:lang w:val="fr-FR"/>
        </w:rPr>
        <w:t>Espaces de collaboration : Crée des groupes dédiés à des projets ou équipes spécifiques.</w:t>
      </w:r>
    </w:p>
    <w:p w:rsidR="00E772DD" w:rsidRPr="0013269B" w:rsidRDefault="00E772DD" w:rsidP="004D32AC">
      <w:pPr>
        <w:pStyle w:val="NormalWeb"/>
        <w:numPr>
          <w:ilvl w:val="0"/>
          <w:numId w:val="93"/>
        </w:numPr>
        <w:spacing w:before="0" w:beforeAutospacing="0" w:after="0" w:afterAutospacing="0" w:line="360" w:lineRule="auto"/>
        <w:jc w:val="both"/>
        <w:rPr>
          <w:color w:val="000000"/>
          <w:lang w:val="fr-FR"/>
        </w:rPr>
      </w:pPr>
      <w:r w:rsidRPr="0013269B">
        <w:rPr>
          <w:color w:val="000000"/>
          <w:lang w:val="fr-FR"/>
        </w:rPr>
        <w:t>Partage de connaissances : Stocke et organise les informations importantes pour un accès rapide.</w:t>
      </w:r>
    </w:p>
    <w:p w:rsidR="00E772DD" w:rsidRPr="0013269B" w:rsidRDefault="00E772DD" w:rsidP="004D32AC">
      <w:pPr>
        <w:pStyle w:val="NormalWeb"/>
        <w:numPr>
          <w:ilvl w:val="0"/>
          <w:numId w:val="93"/>
        </w:numPr>
        <w:spacing w:before="0" w:beforeAutospacing="0" w:after="0" w:afterAutospacing="0" w:line="360" w:lineRule="auto"/>
        <w:jc w:val="both"/>
        <w:rPr>
          <w:color w:val="000000"/>
          <w:lang w:val="fr-FR"/>
        </w:rPr>
      </w:pPr>
      <w:r w:rsidRPr="0013269B">
        <w:rPr>
          <w:color w:val="000000"/>
          <w:lang w:val="fr-FR"/>
        </w:rPr>
        <w:t>Analyse des interactions : Fournit des insights sur les échanges entre collaborateurs.</w:t>
      </w:r>
    </w:p>
    <w:p w:rsidR="00E772DD" w:rsidRPr="00B449DD" w:rsidRDefault="00E772DD" w:rsidP="004D32AC">
      <w:pPr>
        <w:pStyle w:val="NormalWeb"/>
        <w:numPr>
          <w:ilvl w:val="0"/>
          <w:numId w:val="93"/>
        </w:numPr>
        <w:spacing w:before="0" w:beforeAutospacing="0" w:after="240" w:afterAutospacing="0" w:line="360" w:lineRule="auto"/>
        <w:jc w:val="both"/>
        <w:rPr>
          <w:color w:val="000000"/>
          <w:lang w:val="fr-FR"/>
        </w:rPr>
      </w:pPr>
      <w:r w:rsidRPr="0013269B">
        <w:rPr>
          <w:color w:val="000000"/>
          <w:lang w:val="fr-FR"/>
        </w:rPr>
        <w:t xml:space="preserve">Intégration avec d'autres outils : Compatible avec Microsoft 365, Google Workspace et </w:t>
      </w:r>
      <w:r w:rsidRPr="00B449DD">
        <w:rPr>
          <w:color w:val="000000"/>
          <w:lang w:val="fr-FR"/>
        </w:rPr>
        <w:t>d'autres logiciels professionnels.</w:t>
      </w:r>
      <w:r w:rsidRPr="00B449DD">
        <w:rPr>
          <w:rStyle w:val="Appelnotedebasdep"/>
          <w:color w:val="000000"/>
          <w:lang w:val="fr-FR"/>
        </w:rPr>
        <w:footnoteReference w:id="268"/>
      </w:r>
    </w:p>
    <w:p w:rsidR="00E772DD" w:rsidRPr="00B449DD" w:rsidRDefault="00E772DD" w:rsidP="004D32AC">
      <w:pPr>
        <w:pStyle w:val="NormalWeb"/>
        <w:numPr>
          <w:ilvl w:val="1"/>
          <w:numId w:val="92"/>
        </w:numPr>
        <w:spacing w:before="0" w:beforeAutospacing="0" w:after="0" w:afterAutospacing="0" w:line="360" w:lineRule="auto"/>
        <w:jc w:val="both"/>
        <w:rPr>
          <w:b/>
          <w:bCs/>
          <w:color w:val="000000"/>
          <w:lang w:val="fr-FR"/>
        </w:rPr>
      </w:pPr>
      <w:r w:rsidRPr="00B449DD">
        <w:rPr>
          <w:b/>
          <w:bCs/>
          <w:color w:val="000000"/>
          <w:lang w:val="fr-FR"/>
        </w:rPr>
        <w:t>Yammer (Microsoft)</w:t>
      </w:r>
    </w:p>
    <w:p w:rsidR="00E772DD" w:rsidRPr="00B449DD" w:rsidRDefault="00E772DD" w:rsidP="00435E3A">
      <w:pPr>
        <w:pStyle w:val="NormalWeb"/>
        <w:spacing w:before="0" w:beforeAutospacing="0" w:after="0" w:afterAutospacing="0" w:line="360" w:lineRule="auto"/>
        <w:ind w:left="644"/>
        <w:jc w:val="both"/>
        <w:rPr>
          <w:color w:val="000000"/>
          <w:lang w:val="fr-FR"/>
        </w:rPr>
      </w:pPr>
      <w:r w:rsidRPr="00B449DD">
        <w:rPr>
          <w:color w:val="000000"/>
          <w:lang w:val="fr-FR"/>
        </w:rPr>
        <w:t xml:space="preserve">Yammer est un réseau social d’entreprise développé par Microsoft, qui facilite la communication et la collaboration entre les employés d’une organisation. Il est particulièrement utilisé par les entreprises qui travaillent avec Microsoft 365, car il s'intègre naturellement aux autres outils de la suite. Il donne accès à : </w:t>
      </w:r>
    </w:p>
    <w:p w:rsidR="00E772DD" w:rsidRPr="00B449DD" w:rsidRDefault="00E772DD" w:rsidP="004D32AC">
      <w:pPr>
        <w:pStyle w:val="NormalWeb"/>
        <w:numPr>
          <w:ilvl w:val="0"/>
          <w:numId w:val="94"/>
        </w:numPr>
        <w:spacing w:before="0" w:beforeAutospacing="0" w:after="0" w:afterAutospacing="0" w:line="360" w:lineRule="auto"/>
        <w:jc w:val="both"/>
        <w:rPr>
          <w:color w:val="000000"/>
          <w:lang w:val="fr-FR"/>
        </w:rPr>
      </w:pPr>
      <w:r w:rsidRPr="00B449DD">
        <w:rPr>
          <w:color w:val="000000"/>
          <w:lang w:val="fr-FR"/>
        </w:rPr>
        <w:t>Groupes de discussion : Permet aux employés d’échanger sur des sujets spécifiques.</w:t>
      </w:r>
    </w:p>
    <w:p w:rsidR="00E772DD" w:rsidRPr="00B449DD" w:rsidRDefault="00E772DD" w:rsidP="004D32AC">
      <w:pPr>
        <w:pStyle w:val="NormalWeb"/>
        <w:numPr>
          <w:ilvl w:val="0"/>
          <w:numId w:val="94"/>
        </w:numPr>
        <w:spacing w:before="0" w:beforeAutospacing="0" w:after="0" w:afterAutospacing="0" w:line="360" w:lineRule="auto"/>
        <w:jc w:val="both"/>
        <w:rPr>
          <w:color w:val="000000"/>
          <w:lang w:val="fr-FR"/>
        </w:rPr>
      </w:pPr>
      <w:r w:rsidRPr="00B449DD">
        <w:rPr>
          <w:color w:val="000000"/>
          <w:lang w:val="fr-FR"/>
        </w:rPr>
        <w:t>Partage de fichiers et d’annonces : Diffuse des informations importantes à l’ensemble des collaborateurs.</w:t>
      </w:r>
    </w:p>
    <w:p w:rsidR="00E772DD" w:rsidRPr="00B449DD" w:rsidRDefault="00E772DD" w:rsidP="004D32AC">
      <w:pPr>
        <w:pStyle w:val="NormalWeb"/>
        <w:numPr>
          <w:ilvl w:val="0"/>
          <w:numId w:val="94"/>
        </w:numPr>
        <w:spacing w:before="0" w:beforeAutospacing="0" w:after="0" w:afterAutospacing="0" w:line="360" w:lineRule="auto"/>
        <w:jc w:val="both"/>
        <w:rPr>
          <w:color w:val="000000"/>
          <w:lang w:val="fr-FR"/>
        </w:rPr>
      </w:pPr>
      <w:r w:rsidRPr="00B449DD">
        <w:rPr>
          <w:color w:val="000000"/>
          <w:lang w:val="fr-FR"/>
        </w:rPr>
        <w:t>Connexion avec Microsoft 365 : S’intègre à SharePoint, Teams et Outlook.</w:t>
      </w:r>
    </w:p>
    <w:p w:rsidR="00E772DD" w:rsidRPr="00B449DD" w:rsidRDefault="00E772DD" w:rsidP="004D32AC">
      <w:pPr>
        <w:pStyle w:val="NormalWeb"/>
        <w:numPr>
          <w:ilvl w:val="0"/>
          <w:numId w:val="94"/>
        </w:numPr>
        <w:spacing w:before="0" w:beforeAutospacing="0" w:after="240" w:afterAutospacing="0" w:line="360" w:lineRule="auto"/>
        <w:jc w:val="both"/>
        <w:rPr>
          <w:color w:val="000000"/>
          <w:lang w:val="fr-FR"/>
        </w:rPr>
      </w:pPr>
      <w:r w:rsidRPr="00B449DD">
        <w:rPr>
          <w:color w:val="000000"/>
          <w:lang w:val="fr-FR"/>
        </w:rPr>
        <w:lastRenderedPageBreak/>
        <w:t>Accessibilité multi-appareils : Disponible sur PC et mobile pour une communication fluide.</w:t>
      </w:r>
      <w:r w:rsidRPr="00B449DD">
        <w:rPr>
          <w:rStyle w:val="Appelnotedebasdep"/>
          <w:color w:val="000000"/>
          <w:lang w:val="fr-FR"/>
        </w:rPr>
        <w:footnoteReference w:id="269"/>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45" w:name="_Toc199714432"/>
      <w:bookmarkStart w:id="1446" w:name="_Toc200486710"/>
      <w:bookmarkStart w:id="1447" w:name="_Toc200635486"/>
      <w:bookmarkStart w:id="1448" w:name="_Toc200635874"/>
      <w:bookmarkStart w:id="1449" w:name="_Toc200636263"/>
      <w:bookmarkStart w:id="1450" w:name="_Toc200756000"/>
      <w:r w:rsidR="00E772DD" w:rsidRPr="003914CC">
        <w:rPr>
          <w:sz w:val="24"/>
          <w:szCs w:val="24"/>
          <w:lang w:val="fr-FR"/>
        </w:rPr>
        <w:t>Les outils de gamification</w:t>
      </w:r>
      <w:bookmarkEnd w:id="1445"/>
      <w:bookmarkEnd w:id="1446"/>
      <w:bookmarkEnd w:id="1447"/>
      <w:bookmarkEnd w:id="1448"/>
      <w:bookmarkEnd w:id="1449"/>
      <w:bookmarkEnd w:id="1450"/>
      <w:r w:rsidR="00E772DD" w:rsidRPr="003914CC">
        <w:rPr>
          <w:sz w:val="24"/>
          <w:szCs w:val="24"/>
          <w:lang w:val="fr-FR"/>
        </w:rPr>
        <w:t xml:space="preserve"> </w:t>
      </w:r>
    </w:p>
    <w:p w:rsidR="00E772DD" w:rsidRPr="00B449DD" w:rsidRDefault="00E772DD" w:rsidP="006D0BDD">
      <w:pPr>
        <w:pStyle w:val="NormalWeb"/>
        <w:spacing w:before="0" w:beforeAutospacing="0" w:after="0" w:afterAutospacing="0" w:line="360" w:lineRule="auto"/>
        <w:jc w:val="both"/>
        <w:rPr>
          <w:color w:val="000000"/>
          <w:lang w:val="fr-FR"/>
        </w:rPr>
      </w:pPr>
      <w:r w:rsidRPr="00B449DD">
        <w:rPr>
          <w:color w:val="000000"/>
          <w:lang w:val="fr-FR"/>
        </w:rPr>
        <w:t xml:space="preserve">Les outils de gamification appliquent des principes issus des jeux pour booster la motivation et l’implication des employés dans leur travail. L’objectif est de transformer certaines tâches en défis engageants, en intégrant des récompenses et classements (badges, points, niveaux) afin de stimuler la participation et l’efficacité. Ils aident à : </w:t>
      </w:r>
    </w:p>
    <w:p w:rsidR="00E772DD" w:rsidRPr="00B449DD" w:rsidRDefault="00E772DD" w:rsidP="004D32AC">
      <w:pPr>
        <w:pStyle w:val="NormalWeb"/>
        <w:numPr>
          <w:ilvl w:val="0"/>
          <w:numId w:val="90"/>
        </w:numPr>
        <w:spacing w:before="0" w:beforeAutospacing="0" w:after="0" w:afterAutospacing="0" w:line="360" w:lineRule="auto"/>
        <w:jc w:val="both"/>
        <w:rPr>
          <w:color w:val="000000"/>
          <w:lang w:val="fr-FR"/>
        </w:rPr>
      </w:pPr>
      <w:r w:rsidRPr="00B449DD">
        <w:rPr>
          <w:color w:val="000000"/>
          <w:lang w:val="fr-FR"/>
        </w:rPr>
        <w:t>Encourager la performance : Grâce aux récompenses, les collaborateurs sont davantage motivés à atteindre leurs objectifs.</w:t>
      </w:r>
    </w:p>
    <w:p w:rsidR="00E772DD" w:rsidRPr="00B449DD" w:rsidRDefault="00E772DD" w:rsidP="004D32AC">
      <w:pPr>
        <w:pStyle w:val="NormalWeb"/>
        <w:numPr>
          <w:ilvl w:val="0"/>
          <w:numId w:val="90"/>
        </w:numPr>
        <w:spacing w:before="0" w:beforeAutospacing="0" w:after="0" w:afterAutospacing="0" w:line="360" w:lineRule="auto"/>
        <w:jc w:val="both"/>
        <w:rPr>
          <w:color w:val="000000"/>
          <w:lang w:val="fr-FR"/>
        </w:rPr>
      </w:pPr>
      <w:r w:rsidRPr="00B449DD">
        <w:rPr>
          <w:color w:val="000000"/>
          <w:lang w:val="fr-FR"/>
        </w:rPr>
        <w:t>Favoriser l’engagement : Les mécanismes ludiques incitent à une participation plus active aux initiatives internes.</w:t>
      </w:r>
    </w:p>
    <w:p w:rsidR="00E772DD" w:rsidRPr="00B449DD" w:rsidRDefault="00E772DD" w:rsidP="004D32AC">
      <w:pPr>
        <w:pStyle w:val="NormalWeb"/>
        <w:numPr>
          <w:ilvl w:val="0"/>
          <w:numId w:val="90"/>
        </w:numPr>
        <w:spacing w:before="0" w:beforeAutospacing="0" w:after="240" w:afterAutospacing="0" w:line="360" w:lineRule="auto"/>
        <w:jc w:val="both"/>
        <w:rPr>
          <w:color w:val="000000"/>
          <w:lang w:val="fr-FR"/>
        </w:rPr>
      </w:pPr>
      <w:r w:rsidRPr="00B449DD">
        <w:rPr>
          <w:color w:val="000000"/>
          <w:lang w:val="fr-FR"/>
        </w:rPr>
        <w:t>Polyvalence d’utilisation : Adaptable à divers services comme la gestion des ventes, les ressources humaines ou encore la formation.</w:t>
      </w:r>
      <w:r w:rsidRPr="00B449DD">
        <w:rPr>
          <w:rStyle w:val="Appelnotedebasdep"/>
          <w:color w:val="000000"/>
          <w:lang w:val="fr-FR"/>
        </w:rPr>
        <w:footnoteReference w:id="270"/>
      </w:r>
    </w:p>
    <w:p w:rsidR="00E772DD" w:rsidRPr="00B449DD" w:rsidRDefault="00E772DD" w:rsidP="006D0BDD">
      <w:pPr>
        <w:pStyle w:val="NormalWeb"/>
        <w:spacing w:before="0" w:beforeAutospacing="0" w:after="0" w:afterAutospacing="0" w:line="360" w:lineRule="auto"/>
        <w:ind w:left="644"/>
        <w:jc w:val="both"/>
        <w:rPr>
          <w:b/>
          <w:bCs/>
          <w:color w:val="000000"/>
          <w:lang w:val="fr-FR"/>
        </w:rPr>
      </w:pPr>
      <w:r w:rsidRPr="00B449DD">
        <w:rPr>
          <w:b/>
          <w:bCs/>
          <w:color w:val="000000"/>
          <w:lang w:val="fr-FR"/>
        </w:rPr>
        <w:t>Exemple :</w:t>
      </w:r>
    </w:p>
    <w:p w:rsidR="00E772DD" w:rsidRPr="00B449DD" w:rsidRDefault="00E772DD" w:rsidP="004D32AC">
      <w:pPr>
        <w:pStyle w:val="NormalWeb"/>
        <w:numPr>
          <w:ilvl w:val="0"/>
          <w:numId w:val="84"/>
        </w:numPr>
        <w:spacing w:before="0" w:beforeAutospacing="0" w:after="0" w:afterAutospacing="0" w:line="360" w:lineRule="auto"/>
        <w:jc w:val="both"/>
        <w:rPr>
          <w:b/>
          <w:bCs/>
          <w:color w:val="000000"/>
          <w:lang w:val="fr-FR"/>
        </w:rPr>
      </w:pPr>
      <w:proofErr w:type="spellStart"/>
      <w:r w:rsidRPr="00B449DD">
        <w:rPr>
          <w:b/>
          <w:bCs/>
          <w:color w:val="000000"/>
          <w:lang w:val="fr-FR"/>
        </w:rPr>
        <w:t>My</w:t>
      </w:r>
      <w:proofErr w:type="spellEnd"/>
      <w:r>
        <w:rPr>
          <w:b/>
          <w:bCs/>
          <w:color w:val="000000"/>
          <w:lang w:val="fr-FR"/>
        </w:rPr>
        <w:t xml:space="preserve"> </w:t>
      </w:r>
      <w:proofErr w:type="spellStart"/>
      <w:r w:rsidRPr="00B449DD">
        <w:rPr>
          <w:b/>
          <w:bCs/>
          <w:color w:val="000000"/>
          <w:lang w:val="fr-FR"/>
        </w:rPr>
        <w:t>Crowd</w:t>
      </w:r>
      <w:proofErr w:type="spellEnd"/>
      <w:r>
        <w:rPr>
          <w:b/>
          <w:bCs/>
          <w:color w:val="000000"/>
          <w:lang w:val="fr-FR"/>
        </w:rPr>
        <w:t xml:space="preserve"> </w:t>
      </w:r>
      <w:proofErr w:type="spellStart"/>
      <w:r w:rsidRPr="00B449DD">
        <w:rPr>
          <w:b/>
          <w:bCs/>
          <w:color w:val="000000"/>
          <w:lang w:val="fr-FR"/>
        </w:rPr>
        <w:t>Company</w:t>
      </w:r>
      <w:proofErr w:type="spellEnd"/>
    </w:p>
    <w:p w:rsidR="00E772DD" w:rsidRPr="00B449DD" w:rsidRDefault="00E772DD" w:rsidP="0013269B">
      <w:pPr>
        <w:pStyle w:val="NormalWeb"/>
        <w:spacing w:before="0" w:beforeAutospacing="0" w:after="0" w:afterAutospacing="0" w:line="360" w:lineRule="auto"/>
        <w:ind w:left="644"/>
        <w:jc w:val="both"/>
        <w:rPr>
          <w:color w:val="000000"/>
          <w:lang w:val="fr-FR"/>
        </w:rPr>
      </w:pPr>
      <w:proofErr w:type="spellStart"/>
      <w:r w:rsidRPr="00B449DD">
        <w:rPr>
          <w:color w:val="000000"/>
          <w:lang w:val="fr-FR"/>
        </w:rPr>
        <w:t>My</w:t>
      </w:r>
      <w:proofErr w:type="spellEnd"/>
      <w:r>
        <w:rPr>
          <w:color w:val="000000"/>
          <w:lang w:val="fr-FR"/>
        </w:rPr>
        <w:t xml:space="preserve"> </w:t>
      </w:r>
      <w:proofErr w:type="spellStart"/>
      <w:r w:rsidRPr="00B449DD">
        <w:rPr>
          <w:color w:val="000000"/>
          <w:lang w:val="fr-FR"/>
        </w:rPr>
        <w:t>Crowd</w:t>
      </w:r>
      <w:proofErr w:type="spellEnd"/>
      <w:r>
        <w:rPr>
          <w:color w:val="000000"/>
          <w:lang w:val="fr-FR"/>
        </w:rPr>
        <w:t xml:space="preserve"> </w:t>
      </w:r>
      <w:proofErr w:type="spellStart"/>
      <w:r w:rsidRPr="00B449DD">
        <w:rPr>
          <w:color w:val="000000"/>
          <w:lang w:val="fr-FR"/>
        </w:rPr>
        <w:t>Company</w:t>
      </w:r>
      <w:proofErr w:type="spellEnd"/>
      <w:r w:rsidRPr="00B449DD">
        <w:rPr>
          <w:color w:val="000000"/>
          <w:lang w:val="fr-FR"/>
        </w:rPr>
        <w:t> est une solution de gamification d’entreprise qui favorise l’engagement collaboratif en transformant les projets et objectifs professionnels en expériences interactives. La plateforme repose sur des mécanismes de jeu comme l’attribution de points, la reconnaissance des performances et la compétition amicale pour renforcer la motivation des équipes. Elle permet :</w:t>
      </w:r>
    </w:p>
    <w:p w:rsidR="00E772DD" w:rsidRPr="00B449DD" w:rsidRDefault="00E772DD" w:rsidP="004D32AC">
      <w:pPr>
        <w:pStyle w:val="NormalWeb"/>
        <w:numPr>
          <w:ilvl w:val="0"/>
          <w:numId w:val="95"/>
        </w:numPr>
        <w:spacing w:before="0" w:beforeAutospacing="0" w:after="0" w:afterAutospacing="0" w:line="360" w:lineRule="auto"/>
        <w:jc w:val="both"/>
        <w:rPr>
          <w:color w:val="000000"/>
          <w:lang w:val="fr-FR"/>
        </w:rPr>
      </w:pPr>
      <w:r w:rsidRPr="00B449DD">
        <w:rPr>
          <w:color w:val="000000"/>
          <w:lang w:val="fr-FR"/>
        </w:rPr>
        <w:t>Mise en place d’un système de récompenses pour stimuler la participation.</w:t>
      </w:r>
    </w:p>
    <w:p w:rsidR="00E772DD" w:rsidRPr="00B449DD" w:rsidRDefault="00E772DD" w:rsidP="004D32AC">
      <w:pPr>
        <w:pStyle w:val="NormalWeb"/>
        <w:numPr>
          <w:ilvl w:val="0"/>
          <w:numId w:val="95"/>
        </w:numPr>
        <w:spacing w:before="0" w:beforeAutospacing="0" w:after="0" w:afterAutospacing="0" w:line="360" w:lineRule="auto"/>
        <w:jc w:val="both"/>
        <w:rPr>
          <w:color w:val="000000"/>
          <w:lang w:val="fr-FR"/>
        </w:rPr>
      </w:pPr>
      <w:r w:rsidRPr="00B449DD">
        <w:rPr>
          <w:color w:val="000000"/>
          <w:lang w:val="fr-FR"/>
        </w:rPr>
        <w:t>Suivi des performances des employés grâce à des indicateurs de progression.</w:t>
      </w:r>
    </w:p>
    <w:p w:rsidR="00E772DD" w:rsidRPr="00B449DD" w:rsidRDefault="00E772DD" w:rsidP="004D32AC">
      <w:pPr>
        <w:pStyle w:val="NormalWeb"/>
        <w:numPr>
          <w:ilvl w:val="0"/>
          <w:numId w:val="95"/>
        </w:numPr>
        <w:spacing w:before="0" w:beforeAutospacing="0" w:after="0" w:afterAutospacing="0" w:line="360" w:lineRule="auto"/>
        <w:jc w:val="both"/>
        <w:rPr>
          <w:color w:val="000000"/>
          <w:lang w:val="fr-FR"/>
        </w:rPr>
      </w:pPr>
      <w:r w:rsidRPr="00B449DD">
        <w:rPr>
          <w:color w:val="000000"/>
          <w:lang w:val="fr-FR"/>
        </w:rPr>
        <w:t>Intégration dans divers domaines comme la gestion de l’innovation ou le développement des compétences.</w:t>
      </w:r>
      <w:r w:rsidRPr="00B449DD">
        <w:rPr>
          <w:rStyle w:val="Appelnotedebasdep"/>
          <w:color w:val="000000"/>
          <w:lang w:val="fr-FR"/>
        </w:rPr>
        <w:footnoteReference w:id="271"/>
      </w:r>
    </w:p>
    <w:p w:rsidR="00E772DD" w:rsidRPr="00B449DD" w:rsidRDefault="00E772DD" w:rsidP="00645C2A">
      <w:pPr>
        <w:pStyle w:val="NormalWeb"/>
        <w:spacing w:before="0" w:beforeAutospacing="0" w:after="240" w:afterAutospacing="0" w:line="360" w:lineRule="auto"/>
        <w:jc w:val="both"/>
        <w:rPr>
          <w:color w:val="000000"/>
          <w:lang w:val="fr-FR"/>
        </w:rPr>
      </w:pPr>
      <w:r w:rsidRPr="00B449DD">
        <w:rPr>
          <w:color w:val="000000"/>
          <w:lang w:val="fr-FR"/>
        </w:rPr>
        <w:t xml:space="preserve">L’intégration de ces outils numériques transforme profondément la gestion des ressources humaines en optimisant les processus et en améliorant l’expérience des employés. Grâce à ces </w:t>
      </w:r>
      <w:r w:rsidRPr="00B449DD">
        <w:rPr>
          <w:color w:val="000000"/>
          <w:lang w:val="fr-FR"/>
        </w:rPr>
        <w:lastRenderedPageBreak/>
        <w:t>solutions, les entreprises peuvent mieux gérer leurs talents, simplifier leurs tâches administratives et améliorer leur compétitivité dans un environnement en constante évolution.</w:t>
      </w:r>
    </w:p>
    <w:p w:rsidR="00E772DD" w:rsidRPr="003914CC" w:rsidRDefault="00E772DD" w:rsidP="004D32AC">
      <w:pPr>
        <w:pStyle w:val="Titre3"/>
        <w:numPr>
          <w:ilvl w:val="0"/>
          <w:numId w:val="184"/>
        </w:numPr>
        <w:spacing w:after="0" w:afterAutospacing="0" w:line="360" w:lineRule="auto"/>
        <w:rPr>
          <w:sz w:val="24"/>
          <w:szCs w:val="24"/>
          <w:lang w:val="fr-FR"/>
        </w:rPr>
      </w:pPr>
      <w:bookmarkStart w:id="1451" w:name="_Toc199714433"/>
      <w:bookmarkStart w:id="1452" w:name="_Toc200486711"/>
      <w:bookmarkStart w:id="1453" w:name="_Toc200635487"/>
      <w:bookmarkStart w:id="1454" w:name="_Toc200635875"/>
      <w:bookmarkStart w:id="1455" w:name="_Toc200636264"/>
      <w:bookmarkStart w:id="1456" w:name="_Toc200756001"/>
      <w:r w:rsidRPr="003914CC">
        <w:rPr>
          <w:sz w:val="24"/>
          <w:szCs w:val="24"/>
          <w:lang w:val="fr-FR"/>
        </w:rPr>
        <w:t>Les étapes de la digitalisation de la gestion des ressources humaines</w:t>
      </w:r>
      <w:bookmarkEnd w:id="1451"/>
      <w:bookmarkEnd w:id="1452"/>
      <w:bookmarkEnd w:id="1453"/>
      <w:bookmarkEnd w:id="1454"/>
      <w:bookmarkEnd w:id="1455"/>
      <w:bookmarkEnd w:id="1456"/>
    </w:p>
    <w:p w:rsidR="00E772DD" w:rsidRPr="00A52499" w:rsidRDefault="00E772DD" w:rsidP="00A52499">
      <w:pPr>
        <w:pStyle w:val="NormalWeb"/>
        <w:spacing w:before="0" w:beforeAutospacing="0" w:after="0" w:afterAutospacing="0" w:line="360" w:lineRule="auto"/>
        <w:jc w:val="both"/>
        <w:rPr>
          <w:rFonts w:asciiTheme="majorBidi" w:hAnsiTheme="majorBidi" w:cstheme="majorBidi"/>
          <w:lang w:val="fr-FR"/>
        </w:rPr>
      </w:pPr>
      <w:r w:rsidRPr="00A52499">
        <w:rPr>
          <w:rFonts w:asciiTheme="majorBidi" w:hAnsiTheme="majorBidi" w:cstheme="majorBidi"/>
          <w:lang w:val="fr-FR"/>
        </w:rPr>
        <w:t>La digitalisation de la gestion des ressources humaines ne s'opère pas de manière instantanée, mais suit un processus structuré en plusieurs étapes. Chacune d’elles permet une transition progressive vers une GRH plus efficace, réactive et alignée avec les exigences du monde numérique.</w:t>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57" w:name="_Toc199714434"/>
      <w:bookmarkStart w:id="1458" w:name="_Toc200486712"/>
      <w:bookmarkStart w:id="1459" w:name="_Toc200635488"/>
      <w:bookmarkStart w:id="1460" w:name="_Toc200635876"/>
      <w:bookmarkStart w:id="1461" w:name="_Toc200636265"/>
      <w:bookmarkStart w:id="1462" w:name="_Toc200756002"/>
      <w:r w:rsidR="00E772DD" w:rsidRPr="003914CC">
        <w:rPr>
          <w:sz w:val="24"/>
          <w:szCs w:val="24"/>
          <w:lang w:val="fr-FR"/>
        </w:rPr>
        <w:t>Identifier les besoins</w:t>
      </w:r>
      <w:bookmarkEnd w:id="1457"/>
      <w:bookmarkEnd w:id="1458"/>
      <w:bookmarkEnd w:id="1459"/>
      <w:bookmarkEnd w:id="1460"/>
      <w:bookmarkEnd w:id="1461"/>
      <w:bookmarkEnd w:id="1462"/>
    </w:p>
    <w:p w:rsidR="00E772DD" w:rsidRPr="00645C2A" w:rsidRDefault="00E772DD" w:rsidP="00B5461A">
      <w:pPr>
        <w:pStyle w:val="NormalWeb"/>
        <w:spacing w:before="0" w:beforeAutospacing="0" w:after="0" w:afterAutospacing="0" w:line="360" w:lineRule="auto"/>
        <w:jc w:val="both"/>
        <w:rPr>
          <w:color w:val="000000"/>
          <w:lang w:val="fr-FR"/>
        </w:rPr>
      </w:pPr>
      <w:r w:rsidRPr="00645C2A">
        <w:rPr>
          <w:color w:val="000000"/>
          <w:lang w:val="fr-FR"/>
        </w:rPr>
        <w:t>Avant d'entamer la digitalisation des processus RH, il est essentiel d’évaluer les besoins spécifiques de l’entreprise. Cette analyse permet d’identifier les aspects à améliorer, comme la gestion de la paie, des absences ou du recrutement. Une évaluation précise des lacunes et des opportunités assure une transition fluide vers des solutions numériques adaptées</w:t>
      </w:r>
      <w:r>
        <w:rPr>
          <w:color w:val="000000"/>
          <w:lang w:val="fr-FR"/>
        </w:rPr>
        <w:t>.</w:t>
      </w:r>
      <w:r>
        <w:rPr>
          <w:rStyle w:val="Appelnotedebasdep"/>
          <w:color w:val="000000"/>
          <w:lang w:val="fr-FR"/>
        </w:rPr>
        <w:footnoteReference w:id="272"/>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63" w:name="_Toc199714435"/>
      <w:bookmarkStart w:id="1464" w:name="_Toc200486713"/>
      <w:bookmarkStart w:id="1465" w:name="_Toc200635489"/>
      <w:bookmarkStart w:id="1466" w:name="_Toc200635877"/>
      <w:bookmarkStart w:id="1467" w:name="_Toc200636266"/>
      <w:bookmarkStart w:id="1468" w:name="_Toc200756003"/>
      <w:r w:rsidR="00E772DD" w:rsidRPr="003914CC">
        <w:rPr>
          <w:sz w:val="24"/>
          <w:szCs w:val="24"/>
          <w:lang w:val="fr-FR"/>
        </w:rPr>
        <w:t>Sélectionner les outils</w:t>
      </w:r>
      <w:bookmarkEnd w:id="1463"/>
      <w:bookmarkEnd w:id="1464"/>
      <w:bookmarkEnd w:id="1465"/>
      <w:bookmarkEnd w:id="1466"/>
      <w:bookmarkEnd w:id="1467"/>
      <w:bookmarkEnd w:id="1468"/>
    </w:p>
    <w:p w:rsidR="00E772DD" w:rsidRPr="00645C2A" w:rsidRDefault="00E772DD" w:rsidP="00B5461A">
      <w:pPr>
        <w:pStyle w:val="NormalWeb"/>
        <w:spacing w:before="0" w:beforeAutospacing="0" w:line="360" w:lineRule="auto"/>
        <w:jc w:val="both"/>
        <w:rPr>
          <w:color w:val="000000"/>
          <w:lang w:val="fr-FR"/>
        </w:rPr>
      </w:pPr>
      <w:r w:rsidRPr="00645C2A">
        <w:rPr>
          <w:color w:val="000000"/>
          <w:lang w:val="fr-FR"/>
        </w:rPr>
        <w:t>Après avoir déterminé les besoins organisationnels, il est crucial de choisir les technologies les plus adaptées. De nombreuses entreprises optent pour des logiciels intégrés de gestion des ressources humaines (SIRH) afin de centraliser les informations et de faciliter la gestion du personnel. Il est recommandé d’opter pour des solutions évolutives qui s’intègrent aux autres systèmes utilisés par l’entreprise</w:t>
      </w:r>
      <w:r>
        <w:rPr>
          <w:color w:val="000000"/>
          <w:lang w:val="fr-FR"/>
        </w:rPr>
        <w:t>.</w:t>
      </w:r>
      <w:r>
        <w:rPr>
          <w:rStyle w:val="Appelnotedebasdep"/>
          <w:color w:val="000000"/>
          <w:lang w:val="fr-FR"/>
        </w:rPr>
        <w:footnoteReference w:id="273"/>
      </w:r>
    </w:p>
    <w:p w:rsidR="00E772DD" w:rsidRPr="003914CC" w:rsidRDefault="003914CC"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69" w:name="_Toc199714436"/>
      <w:bookmarkStart w:id="1470" w:name="_Toc200486714"/>
      <w:bookmarkStart w:id="1471" w:name="_Toc200635490"/>
      <w:bookmarkStart w:id="1472" w:name="_Toc200635878"/>
      <w:bookmarkStart w:id="1473" w:name="_Toc200636267"/>
      <w:bookmarkStart w:id="1474" w:name="_Toc200756004"/>
      <w:r w:rsidR="00E772DD" w:rsidRPr="003914CC">
        <w:rPr>
          <w:sz w:val="24"/>
          <w:szCs w:val="24"/>
          <w:lang w:val="fr-FR"/>
        </w:rPr>
        <w:t>Implémenter les outils</w:t>
      </w:r>
      <w:bookmarkEnd w:id="1469"/>
      <w:bookmarkEnd w:id="1470"/>
      <w:bookmarkEnd w:id="1471"/>
      <w:bookmarkEnd w:id="1472"/>
      <w:bookmarkEnd w:id="1473"/>
      <w:bookmarkEnd w:id="1474"/>
    </w:p>
    <w:p w:rsidR="00E772DD" w:rsidRDefault="00E772DD" w:rsidP="003914CC">
      <w:pPr>
        <w:pStyle w:val="NormalWeb"/>
        <w:spacing w:before="0" w:beforeAutospacing="0" w:line="360" w:lineRule="auto"/>
        <w:jc w:val="both"/>
        <w:rPr>
          <w:color w:val="000000"/>
          <w:lang w:val="fr-FR"/>
        </w:rPr>
      </w:pPr>
      <w:r w:rsidRPr="00645C2A">
        <w:rPr>
          <w:color w:val="000000"/>
          <w:lang w:val="fr-FR"/>
        </w:rPr>
        <w:t>Une fois les technologies choisies, leur mise en place doit être soigneusement planifiée. Cette étape inclut l’ajustement des processus internes ainsi que la formation des équipes RH et des employés. Une approche progressive et un accompagnement au changement permettent d’optimiser l’adoption des nouveaux outils et de réduire les résistances éventuelles</w:t>
      </w:r>
      <w:r>
        <w:rPr>
          <w:color w:val="000000"/>
          <w:lang w:val="fr-FR"/>
        </w:rPr>
        <w:t>.</w:t>
      </w:r>
      <w:r>
        <w:rPr>
          <w:rStyle w:val="Appelnotedebasdep"/>
          <w:color w:val="000000"/>
          <w:lang w:val="fr-FR"/>
        </w:rPr>
        <w:footnoteReference w:id="274"/>
      </w:r>
    </w:p>
    <w:p w:rsidR="003B5837" w:rsidRDefault="003B5837" w:rsidP="003914CC">
      <w:pPr>
        <w:pStyle w:val="NormalWeb"/>
        <w:spacing w:before="0" w:beforeAutospacing="0" w:line="360" w:lineRule="auto"/>
        <w:jc w:val="both"/>
        <w:rPr>
          <w:color w:val="000000"/>
          <w:lang w:val="fr-FR"/>
        </w:rPr>
      </w:pPr>
    </w:p>
    <w:p w:rsidR="003B5837" w:rsidRDefault="003B5837" w:rsidP="003B5837">
      <w:pPr>
        <w:pStyle w:val="Titre3"/>
        <w:spacing w:after="0" w:afterAutospacing="0" w:line="360" w:lineRule="auto"/>
        <w:ind w:left="360"/>
        <w:rPr>
          <w:sz w:val="24"/>
          <w:szCs w:val="24"/>
          <w:lang w:val="fr-FR"/>
        </w:rPr>
      </w:pPr>
      <w:bookmarkStart w:id="1475" w:name="_Toc199714437"/>
    </w:p>
    <w:p w:rsidR="00E772DD" w:rsidRPr="003914CC" w:rsidRDefault="00E772DD" w:rsidP="004D32AC">
      <w:pPr>
        <w:pStyle w:val="Titre3"/>
        <w:numPr>
          <w:ilvl w:val="1"/>
          <w:numId w:val="184"/>
        </w:numPr>
        <w:spacing w:after="0" w:afterAutospacing="0" w:line="360" w:lineRule="auto"/>
        <w:rPr>
          <w:sz w:val="24"/>
          <w:szCs w:val="24"/>
          <w:lang w:val="fr-FR"/>
        </w:rPr>
      </w:pPr>
      <w:bookmarkStart w:id="1476" w:name="_Toc200486715"/>
      <w:bookmarkStart w:id="1477" w:name="_Toc200635491"/>
      <w:bookmarkStart w:id="1478" w:name="_Toc200635879"/>
      <w:bookmarkStart w:id="1479" w:name="_Toc200636268"/>
      <w:bookmarkStart w:id="1480" w:name="_Toc200756005"/>
      <w:r w:rsidRPr="003914CC">
        <w:rPr>
          <w:sz w:val="24"/>
          <w:szCs w:val="24"/>
          <w:lang w:val="fr-FR"/>
        </w:rPr>
        <w:lastRenderedPageBreak/>
        <w:t>Collecter et analyser les données</w:t>
      </w:r>
      <w:bookmarkEnd w:id="1475"/>
      <w:bookmarkEnd w:id="1476"/>
      <w:bookmarkEnd w:id="1477"/>
      <w:bookmarkEnd w:id="1478"/>
      <w:bookmarkEnd w:id="1479"/>
      <w:bookmarkEnd w:id="1480"/>
    </w:p>
    <w:p w:rsidR="00E772DD" w:rsidRPr="00645C2A" w:rsidRDefault="00E772DD" w:rsidP="00626FDA">
      <w:pPr>
        <w:pStyle w:val="NormalWeb"/>
        <w:spacing w:before="0" w:beforeAutospacing="0" w:after="240" w:afterAutospacing="0" w:line="360" w:lineRule="auto"/>
        <w:jc w:val="both"/>
        <w:rPr>
          <w:b/>
          <w:bCs/>
          <w:color w:val="000000"/>
          <w:lang w:val="fr-FR"/>
        </w:rPr>
      </w:pPr>
      <w:r w:rsidRPr="00645C2A">
        <w:rPr>
          <w:color w:val="000000"/>
          <w:lang w:val="fr-FR"/>
        </w:rPr>
        <w:t>L’un des principaux avantages de la digitalisation RH est la capacité à exploiter les données pour améliorer la prise de décision et optimiser la gestion des talents. Pour en tirer pleinement parti, les entreprises doivent mettre en place des outils analytiques performants et définir des indicateurs de performance pertinents</w:t>
      </w:r>
      <w:r>
        <w:rPr>
          <w:color w:val="000000"/>
          <w:lang w:val="fr-FR"/>
        </w:rPr>
        <w:t>.</w:t>
      </w:r>
      <w:r>
        <w:rPr>
          <w:rStyle w:val="Appelnotedebasdep"/>
          <w:color w:val="000000"/>
          <w:lang w:val="fr-FR"/>
        </w:rPr>
        <w:footnoteReference w:id="275"/>
      </w:r>
      <w:r w:rsidRPr="00645C2A">
        <w:rPr>
          <w:color w:val="000000"/>
          <w:lang w:val="fr-FR"/>
        </w:rPr>
        <w:t xml:space="preserve"> </w:t>
      </w:r>
    </w:p>
    <w:p w:rsidR="00E772DD" w:rsidRPr="003914CC" w:rsidRDefault="00E772DD" w:rsidP="004D32AC">
      <w:pPr>
        <w:pStyle w:val="Titre3"/>
        <w:numPr>
          <w:ilvl w:val="1"/>
          <w:numId w:val="184"/>
        </w:numPr>
        <w:spacing w:after="0" w:afterAutospacing="0" w:line="360" w:lineRule="auto"/>
        <w:rPr>
          <w:sz w:val="24"/>
          <w:szCs w:val="24"/>
          <w:lang w:val="fr-FR"/>
        </w:rPr>
      </w:pPr>
      <w:r w:rsidRPr="003914CC">
        <w:rPr>
          <w:sz w:val="24"/>
          <w:szCs w:val="24"/>
          <w:lang w:val="fr-FR"/>
        </w:rPr>
        <w:t> </w:t>
      </w:r>
      <w:bookmarkStart w:id="1481" w:name="_Toc199714438"/>
      <w:bookmarkStart w:id="1482" w:name="_Toc200486716"/>
      <w:bookmarkStart w:id="1483" w:name="_Toc200635492"/>
      <w:bookmarkStart w:id="1484" w:name="_Toc200635880"/>
      <w:bookmarkStart w:id="1485" w:name="_Toc200636269"/>
      <w:bookmarkStart w:id="1486" w:name="_Toc200756006"/>
      <w:r w:rsidRPr="003914CC">
        <w:rPr>
          <w:sz w:val="24"/>
          <w:szCs w:val="24"/>
          <w:lang w:val="fr-FR"/>
        </w:rPr>
        <w:t>Améliorer en continu</w:t>
      </w:r>
      <w:bookmarkEnd w:id="1481"/>
      <w:bookmarkEnd w:id="1482"/>
      <w:bookmarkEnd w:id="1483"/>
      <w:bookmarkEnd w:id="1484"/>
      <w:bookmarkEnd w:id="1485"/>
      <w:bookmarkEnd w:id="1486"/>
    </w:p>
    <w:p w:rsidR="00E772DD" w:rsidRPr="00A52499" w:rsidRDefault="00E772DD" w:rsidP="00A52499">
      <w:pPr>
        <w:pStyle w:val="NormalWeb"/>
        <w:spacing w:before="0" w:beforeAutospacing="0" w:after="0" w:afterAutospacing="0" w:line="360" w:lineRule="auto"/>
        <w:jc w:val="both"/>
        <w:rPr>
          <w:color w:val="000000"/>
          <w:lang w:val="fr-FR"/>
        </w:rPr>
      </w:pPr>
      <w:r w:rsidRPr="00645C2A">
        <w:rPr>
          <w:color w:val="000000"/>
          <w:lang w:val="fr-FR"/>
        </w:rPr>
        <w:t>La transformation numérique des ressources humaines est un processus évolutif nécessitant des ajustements réguliers. Le suivi des performances à l’aide d’indicateurs clés permet d’évaluer l’efficacité des outils et d’identifier les points à améliorer. Une culture d’innovation et d’adaptation aux évolutions technologiques est essentielle pour garantir des résultats optimaux</w:t>
      </w:r>
      <w:r>
        <w:rPr>
          <w:color w:val="000000"/>
          <w:lang w:val="fr-FR"/>
        </w:rPr>
        <w:t>.</w:t>
      </w:r>
      <w:r>
        <w:rPr>
          <w:rStyle w:val="Appelnotedebasdep"/>
          <w:color w:val="000000"/>
          <w:lang w:val="fr-FR"/>
        </w:rPr>
        <w:footnoteReference w:id="276"/>
      </w:r>
      <w:r w:rsidRPr="00645C2A">
        <w:rPr>
          <w:color w:val="000000"/>
          <w:lang w:val="fr-FR"/>
        </w:rPr>
        <w:t xml:space="preserve"> </w:t>
      </w:r>
    </w:p>
    <w:p w:rsidR="00E772DD" w:rsidRPr="0091398F" w:rsidRDefault="00E772DD" w:rsidP="0064284B">
      <w:pPr>
        <w:pStyle w:val="NormalWeb"/>
        <w:spacing w:line="360" w:lineRule="auto"/>
        <w:ind w:left="360"/>
        <w:jc w:val="center"/>
        <w:rPr>
          <w:color w:val="000000"/>
          <w:lang w:val="fr-FR"/>
        </w:rPr>
      </w:pPr>
      <w:r w:rsidRPr="00B449DD">
        <w:rPr>
          <w:b/>
          <w:bCs/>
          <w:color w:val="000000"/>
          <w:lang w:val="fr-FR"/>
        </w:rPr>
        <w:t>Figure</w:t>
      </w:r>
      <w:r>
        <w:rPr>
          <w:b/>
          <w:bCs/>
          <w:color w:val="000000"/>
          <w:lang w:val="fr-FR"/>
        </w:rPr>
        <w:t xml:space="preserve"> N°24</w:t>
      </w:r>
      <w:r w:rsidRPr="00B449DD">
        <w:rPr>
          <w:b/>
          <w:bCs/>
          <w:color w:val="000000"/>
          <w:lang w:val="fr-FR"/>
        </w:rPr>
        <w:t xml:space="preserve"> : </w:t>
      </w:r>
      <w:r w:rsidRPr="0091398F">
        <w:rPr>
          <w:color w:val="000000"/>
          <w:lang w:val="fr-FR"/>
        </w:rPr>
        <w:t>Les étapes de la digitalisation de la GRH</w:t>
      </w:r>
    </w:p>
    <w:p w:rsidR="00E772DD" w:rsidRPr="00B449DD" w:rsidRDefault="00E772DD" w:rsidP="003039FA">
      <w:pPr>
        <w:pStyle w:val="NormalWeb"/>
        <w:spacing w:line="360" w:lineRule="auto"/>
        <w:jc w:val="center"/>
        <w:rPr>
          <w:b/>
          <w:bCs/>
          <w:color w:val="000000"/>
          <w:lang w:val="fr-FR"/>
        </w:rPr>
      </w:pPr>
      <w:r w:rsidRPr="00B449DD">
        <w:rPr>
          <w:noProof/>
          <w:lang w:val="fr-FR"/>
          <w14:ligatures w14:val="standardContextual"/>
        </w:rPr>
        <mc:AlternateContent>
          <mc:Choice Requires="wps">
            <w:drawing>
              <wp:anchor distT="0" distB="0" distL="114300" distR="114300" simplePos="0" relativeHeight="251678720" behindDoc="0" locked="0" layoutInCell="1" allowOverlap="1">
                <wp:simplePos x="0" y="0"/>
                <wp:positionH relativeFrom="column">
                  <wp:posOffset>35626</wp:posOffset>
                </wp:positionH>
                <wp:positionV relativeFrom="paragraph">
                  <wp:posOffset>240376</wp:posOffset>
                </wp:positionV>
                <wp:extent cx="2553195" cy="546265"/>
                <wp:effectExtent l="0" t="0" r="12700" b="12700"/>
                <wp:wrapNone/>
                <wp:docPr id="1903238046" name="Rectangle 2"/>
                <wp:cNvGraphicFramePr/>
                <a:graphic xmlns:a="http://schemas.openxmlformats.org/drawingml/2006/main">
                  <a:graphicData uri="http://schemas.microsoft.com/office/word/2010/wordprocessingShape">
                    <wps:wsp>
                      <wps:cNvSpPr/>
                      <wps:spPr>
                        <a:xfrm>
                          <a:off x="0" y="0"/>
                          <a:ext cx="2553195" cy="546265"/>
                        </a:xfrm>
                        <a:prstGeom prst="rect">
                          <a:avLst/>
                        </a:prstGeom>
                        <a:solidFill>
                          <a:srgbClr val="FFFFFF"/>
                        </a:solidFill>
                        <a:ln>
                          <a:solidFill>
                            <a:srgbClr val="FFFF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7D821" id="Rectangle 2" o:spid="_x0000_s1026" style="position:absolute;margin-left:2.8pt;margin-top:18.95pt;width:201.05pt;height:4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" strokecolor="white" strokeweight="1pt"/>
            </w:pict>
          </mc:Fallback>
        </mc:AlternateContent>
      </w:r>
      <w:r w:rsidRPr="00B449DD">
        <w:rPr>
          <w:lang w:val="fr-FR"/>
        </w:rPr>
        <w:fldChar w:fldCharType="begin"/>
      </w:r>
      <w:r w:rsidRPr="00B449DD">
        <w:rPr>
          <w:lang w:val="fr-FR"/>
        </w:rPr>
        <w:instrText xml:space="preserve"> INCLUDEPICTURE "/Users/misha/Library/Group Containers/UBF8T346G9.ms/WebArchiveCopyPasteTempFiles/com.microsoft.Word/etapes-cles-du-digital-rh.png" \* MERGEFORMATINET </w:instrText>
      </w:r>
      <w:r w:rsidRPr="00B449DD">
        <w:rPr>
          <w:lang w:val="fr-FR"/>
        </w:rPr>
        <w:fldChar w:fldCharType="separate"/>
      </w:r>
      <w:r w:rsidRPr="00B449DD">
        <w:rPr>
          <w:noProof/>
          <w:lang w:val="fr-FR"/>
        </w:rPr>
        <w:drawing>
          <wp:inline distT="0" distB="0" distL="0" distR="0" wp14:anchorId="3C6D3E9E" wp14:editId="4607F928">
            <wp:extent cx="4301004" cy="2889504"/>
            <wp:effectExtent l="0" t="0" r="4445" b="6350"/>
            <wp:docPr id="1224220646" name="Picture 1" descr="etapes cles du digital 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tapes cles du digital rh"/>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390031" cy="2949314"/>
                    </a:xfrm>
                    <a:prstGeom prst="rect">
                      <a:avLst/>
                    </a:prstGeom>
                    <a:noFill/>
                    <a:ln>
                      <a:noFill/>
                    </a:ln>
                  </pic:spPr>
                </pic:pic>
              </a:graphicData>
            </a:graphic>
          </wp:inline>
        </w:drawing>
      </w:r>
      <w:r w:rsidRPr="00B449DD">
        <w:rPr>
          <w:lang w:val="fr-FR"/>
        </w:rPr>
        <w:fldChar w:fldCharType="end"/>
      </w:r>
    </w:p>
    <w:p w:rsidR="00626FDA" w:rsidRDefault="00E772DD" w:rsidP="003914CC">
      <w:pPr>
        <w:pStyle w:val="NormalWeb"/>
        <w:spacing w:line="360" w:lineRule="auto"/>
        <w:jc w:val="center"/>
        <w:rPr>
          <w:rStyle w:val="Lienhypertexte"/>
          <w:lang w:val="en-US"/>
        </w:rPr>
      </w:pPr>
      <w:r w:rsidRPr="00B449DD">
        <w:rPr>
          <w:b/>
          <w:bCs/>
          <w:color w:val="000000"/>
          <w:lang w:val="fr-FR"/>
        </w:rPr>
        <w:t xml:space="preserve">Source : </w:t>
      </w:r>
      <w:proofErr w:type="spellStart"/>
      <w:r w:rsidRPr="00B449DD">
        <w:rPr>
          <w:color w:val="000000"/>
          <w:lang w:val="fr-FR"/>
        </w:rPr>
        <w:t>Tiilt</w:t>
      </w:r>
      <w:proofErr w:type="spellEnd"/>
      <w:r w:rsidRPr="00B449DD">
        <w:rPr>
          <w:color w:val="000000"/>
          <w:lang w:val="fr-FR"/>
        </w:rPr>
        <w:t xml:space="preserve">. (s.d.). Digital RH : La transformation numérique dans la RH. </w:t>
      </w:r>
      <w:proofErr w:type="spellStart"/>
      <w:r w:rsidRPr="005B2A02">
        <w:rPr>
          <w:color w:val="000000"/>
          <w:lang w:val="en-US"/>
        </w:rPr>
        <w:t>Tiilt</w:t>
      </w:r>
      <w:proofErr w:type="spellEnd"/>
      <w:r w:rsidRPr="005B2A02">
        <w:rPr>
          <w:color w:val="000000"/>
          <w:lang w:val="en-US"/>
        </w:rPr>
        <w:t xml:space="preserve">. </w:t>
      </w:r>
      <w:hyperlink r:id="rId90" w:history="1">
        <w:r w:rsidR="00626FDA" w:rsidRPr="002D7F69">
          <w:rPr>
            <w:rStyle w:val="Lienhypertexte"/>
            <w:lang w:val="en-US"/>
          </w:rPr>
          <w:t>https://www.tiilt.io/digital-rh-la-transformation-numerique-dans-la-rh/</w:t>
        </w:r>
      </w:hyperlink>
    </w:p>
    <w:p w:rsidR="003B5837" w:rsidRPr="003914CC" w:rsidRDefault="003B5837" w:rsidP="003914CC">
      <w:pPr>
        <w:pStyle w:val="NormalWeb"/>
        <w:spacing w:line="360" w:lineRule="auto"/>
        <w:jc w:val="center"/>
        <w:rPr>
          <w:color w:val="000000"/>
          <w:lang w:val="en-US"/>
        </w:rPr>
      </w:pPr>
    </w:p>
    <w:p w:rsidR="00E772DD" w:rsidRPr="00D9038E" w:rsidRDefault="00E772DD" w:rsidP="004D32AC">
      <w:pPr>
        <w:pStyle w:val="Titre3"/>
        <w:numPr>
          <w:ilvl w:val="0"/>
          <w:numId w:val="184"/>
        </w:numPr>
        <w:spacing w:after="0" w:afterAutospacing="0" w:line="360" w:lineRule="auto"/>
        <w:rPr>
          <w:sz w:val="24"/>
          <w:szCs w:val="24"/>
          <w:lang w:val="fr-FR"/>
        </w:rPr>
      </w:pPr>
      <w:bookmarkStart w:id="1487" w:name="_Toc199714439"/>
      <w:bookmarkStart w:id="1488" w:name="_Toc200486717"/>
      <w:bookmarkStart w:id="1489" w:name="_Toc200635493"/>
      <w:bookmarkStart w:id="1490" w:name="_Toc200635881"/>
      <w:bookmarkStart w:id="1491" w:name="_Toc200636270"/>
      <w:bookmarkStart w:id="1492" w:name="_Toc200756007"/>
      <w:r w:rsidRPr="00D9038E">
        <w:rPr>
          <w:sz w:val="24"/>
          <w:szCs w:val="24"/>
          <w:lang w:val="fr-FR"/>
        </w:rPr>
        <w:lastRenderedPageBreak/>
        <w:t>Les nouveaux métiers des ressources humaines digitales</w:t>
      </w:r>
      <w:bookmarkEnd w:id="1487"/>
      <w:bookmarkEnd w:id="1488"/>
      <w:bookmarkEnd w:id="1489"/>
      <w:bookmarkEnd w:id="1490"/>
      <w:bookmarkEnd w:id="1491"/>
      <w:bookmarkEnd w:id="1492"/>
    </w:p>
    <w:p w:rsidR="00E772DD" w:rsidRPr="00A52499" w:rsidRDefault="00E772DD" w:rsidP="00626FDA">
      <w:pPr>
        <w:pStyle w:val="NormalWeb"/>
        <w:spacing w:before="0" w:beforeAutospacing="0" w:line="360" w:lineRule="auto"/>
        <w:jc w:val="both"/>
        <w:rPr>
          <w:rFonts w:asciiTheme="majorBidi" w:hAnsiTheme="majorBidi" w:cstheme="majorBidi"/>
          <w:lang w:val="fr-FR"/>
        </w:rPr>
      </w:pPr>
      <w:r w:rsidRPr="00A52499">
        <w:rPr>
          <w:rFonts w:asciiTheme="majorBidi" w:hAnsiTheme="majorBidi" w:cstheme="majorBidi"/>
          <w:lang w:val="fr-FR"/>
        </w:rPr>
        <w:t>L’émergence du digital dans la fonction RH a donné naissance à de nouveaux métiers, adaptés aux exigences technologiques et aux enjeux stratégiques actuels. Ces fonctions innovantes reflètent l’évolution du rôle des ressources humaines vers davantage d’analyse, de pilotage numérique et d’accompagnement du changement.</w:t>
      </w:r>
    </w:p>
    <w:p w:rsidR="00E772DD" w:rsidRPr="00D9038E" w:rsidRDefault="00D9038E" w:rsidP="004D32AC">
      <w:pPr>
        <w:pStyle w:val="Titre3"/>
        <w:numPr>
          <w:ilvl w:val="1"/>
          <w:numId w:val="184"/>
        </w:numPr>
        <w:spacing w:after="0" w:afterAutospacing="0" w:line="360" w:lineRule="auto"/>
        <w:rPr>
          <w:sz w:val="24"/>
          <w:szCs w:val="24"/>
          <w:lang w:val="en-US"/>
        </w:rPr>
      </w:pPr>
      <w:r w:rsidRPr="00847F4A">
        <w:rPr>
          <w:sz w:val="24"/>
          <w:szCs w:val="24"/>
          <w:lang w:val="fr-FR"/>
        </w:rPr>
        <w:t xml:space="preserve"> </w:t>
      </w:r>
      <w:bookmarkStart w:id="1493" w:name="_Toc199714440"/>
      <w:bookmarkStart w:id="1494" w:name="_Toc200486718"/>
      <w:bookmarkStart w:id="1495" w:name="_Toc200635494"/>
      <w:bookmarkStart w:id="1496" w:name="_Toc200635882"/>
      <w:bookmarkStart w:id="1497" w:name="_Toc200636271"/>
      <w:bookmarkStart w:id="1498" w:name="_Toc200756008"/>
      <w:r w:rsidR="00E772DD" w:rsidRPr="00D9038E">
        <w:rPr>
          <w:sz w:val="24"/>
          <w:szCs w:val="24"/>
          <w:lang w:val="en-US"/>
        </w:rPr>
        <w:t>Le Data Privacy Officer (DPO)</w:t>
      </w:r>
      <w:bookmarkEnd w:id="1493"/>
      <w:bookmarkEnd w:id="1494"/>
      <w:bookmarkEnd w:id="1495"/>
      <w:bookmarkEnd w:id="1496"/>
      <w:bookmarkEnd w:id="1497"/>
      <w:bookmarkEnd w:id="1498"/>
    </w:p>
    <w:p w:rsidR="00E772DD" w:rsidRPr="003039FA" w:rsidRDefault="00E772DD" w:rsidP="00626FDA">
      <w:pPr>
        <w:pStyle w:val="NormalWeb"/>
        <w:spacing w:before="0" w:beforeAutospacing="0" w:line="360" w:lineRule="auto"/>
        <w:jc w:val="both"/>
        <w:rPr>
          <w:color w:val="000000"/>
          <w:lang w:val="fr-FR"/>
        </w:rPr>
      </w:pPr>
      <w:r w:rsidRPr="007E4564">
        <w:rPr>
          <w:color w:val="000000"/>
          <w:lang w:val="fr-FR"/>
        </w:rPr>
        <w:t>Avec l’entrée en vigueur du Règlement Général sur la Protection des Données (RGPD)</w:t>
      </w:r>
      <w:r>
        <w:rPr>
          <w:color w:val="000000"/>
          <w:lang w:val="fr-FR"/>
        </w:rPr>
        <w:t xml:space="preserve">, </w:t>
      </w:r>
      <w:r w:rsidRPr="007E4564">
        <w:rPr>
          <w:color w:val="000000"/>
          <w:lang w:val="fr-FR"/>
        </w:rPr>
        <w:t xml:space="preserve">le rôle du Data </w:t>
      </w:r>
      <w:proofErr w:type="spellStart"/>
      <w:r w:rsidRPr="007E4564">
        <w:rPr>
          <w:color w:val="000000"/>
          <w:lang w:val="fr-FR"/>
        </w:rPr>
        <w:t>Privacy</w:t>
      </w:r>
      <w:proofErr w:type="spellEnd"/>
      <w:r w:rsidRPr="007E4564">
        <w:rPr>
          <w:color w:val="000000"/>
          <w:lang w:val="fr-FR"/>
        </w:rPr>
        <w:t xml:space="preserve"> </w:t>
      </w:r>
      <w:proofErr w:type="spellStart"/>
      <w:r w:rsidRPr="007E4564">
        <w:rPr>
          <w:color w:val="000000"/>
          <w:lang w:val="fr-FR"/>
        </w:rPr>
        <w:t>Officer</w:t>
      </w:r>
      <w:proofErr w:type="spellEnd"/>
      <w:r w:rsidRPr="007E4564">
        <w:rPr>
          <w:color w:val="000000"/>
          <w:lang w:val="fr-FR"/>
        </w:rPr>
        <w:t xml:space="preserve"> (DPO) s’est imposé comme un acteur clé dans les entreprises soumises à cette réglementation. Sa mission principale est d’assurer la sécurité et la conformité des données personnelles, tout en sensibilisant les collaborateurs à leur bonne utilisation. En raison de la nature transversale de ses responsabilités, le DPO collabore avec divers départements, combinant des compétences en droit et en informatique afin de garantir le respect des obligations légales en matière de protection des données</w:t>
      </w:r>
      <w:r w:rsidRPr="003039FA">
        <w:rPr>
          <w:color w:val="000000"/>
          <w:lang w:val="fr-FR"/>
        </w:rPr>
        <w:t>.</w:t>
      </w:r>
      <w:r>
        <w:rPr>
          <w:rStyle w:val="Appelnotedebasdep"/>
          <w:color w:val="000000"/>
          <w:lang w:val="fr-FR"/>
        </w:rPr>
        <w:footnoteReference w:id="277"/>
      </w:r>
    </w:p>
    <w:p w:rsidR="00E772DD" w:rsidRPr="00D9038E" w:rsidRDefault="00D9038E"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499" w:name="_Toc199714441"/>
      <w:bookmarkStart w:id="1500" w:name="_Toc200486719"/>
      <w:bookmarkStart w:id="1501" w:name="_Toc200635495"/>
      <w:bookmarkStart w:id="1502" w:name="_Toc200635883"/>
      <w:bookmarkStart w:id="1503" w:name="_Toc200636272"/>
      <w:bookmarkStart w:id="1504" w:name="_Toc200756009"/>
      <w:r w:rsidR="00E772DD" w:rsidRPr="00D9038E">
        <w:rPr>
          <w:sz w:val="24"/>
          <w:szCs w:val="24"/>
          <w:lang w:val="fr-FR"/>
        </w:rPr>
        <w:t xml:space="preserve">Le Data </w:t>
      </w:r>
      <w:proofErr w:type="spellStart"/>
      <w:r w:rsidR="00E772DD" w:rsidRPr="00D9038E">
        <w:rPr>
          <w:sz w:val="24"/>
          <w:szCs w:val="24"/>
          <w:lang w:val="fr-FR"/>
        </w:rPr>
        <w:t>Analyst</w:t>
      </w:r>
      <w:proofErr w:type="spellEnd"/>
      <w:r w:rsidR="00E772DD" w:rsidRPr="00D9038E">
        <w:rPr>
          <w:sz w:val="24"/>
          <w:szCs w:val="24"/>
          <w:lang w:val="fr-FR"/>
        </w:rPr>
        <w:t xml:space="preserve"> RH</w:t>
      </w:r>
      <w:bookmarkEnd w:id="1499"/>
      <w:bookmarkEnd w:id="1500"/>
      <w:bookmarkEnd w:id="1501"/>
      <w:bookmarkEnd w:id="1502"/>
      <w:bookmarkEnd w:id="1503"/>
      <w:bookmarkEnd w:id="1504"/>
    </w:p>
    <w:p w:rsidR="00E772DD" w:rsidRPr="003039FA" w:rsidRDefault="00E772DD" w:rsidP="00B5461A">
      <w:pPr>
        <w:pStyle w:val="NormalWeb"/>
        <w:spacing w:before="0" w:beforeAutospacing="0" w:line="360" w:lineRule="auto"/>
        <w:jc w:val="both"/>
        <w:rPr>
          <w:color w:val="000000"/>
          <w:lang w:val="fr-FR"/>
        </w:rPr>
      </w:pPr>
      <w:r w:rsidRPr="007E4564">
        <w:rPr>
          <w:color w:val="000000"/>
          <w:lang w:val="fr-FR"/>
        </w:rPr>
        <w:t xml:space="preserve">L’essor des technologies numériques a donné naissance à un métier alliant analyse de données et gestion des ressources humaines : le Data </w:t>
      </w:r>
      <w:proofErr w:type="spellStart"/>
      <w:r w:rsidRPr="007E4564">
        <w:rPr>
          <w:color w:val="000000"/>
          <w:lang w:val="fr-FR"/>
        </w:rPr>
        <w:t>Analyst</w:t>
      </w:r>
      <w:proofErr w:type="spellEnd"/>
      <w:r w:rsidRPr="007E4564">
        <w:rPr>
          <w:color w:val="000000"/>
          <w:lang w:val="fr-FR"/>
        </w:rPr>
        <w:t xml:space="preserve"> RH. Spécialiste des systèmes d’information RH (SIRH), il collecte et exploite des données stratégiques pour optimiser les processus internes et faciliter la prise de décision à moyen et long terme. Ses compétences techniques en analyse de données et en statistique lui permettent d’améliorer le recrutement, la gestion des talents et l’optimisation des ressources humaines en général. Grâce à ses analyses prédictives, il contribue à la réduction des coûts et à une meilleure efficacité des politiques RH</w:t>
      </w:r>
      <w:r w:rsidRPr="003039FA">
        <w:rPr>
          <w:color w:val="000000"/>
          <w:lang w:val="fr-FR"/>
        </w:rPr>
        <w:t>.</w:t>
      </w:r>
      <w:r>
        <w:rPr>
          <w:rStyle w:val="Appelnotedebasdep"/>
          <w:color w:val="000000"/>
          <w:lang w:val="fr-FR"/>
        </w:rPr>
        <w:footnoteReference w:id="278"/>
      </w:r>
    </w:p>
    <w:p w:rsidR="00E772DD" w:rsidRPr="00D9038E" w:rsidRDefault="00D9038E"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505" w:name="_Toc199714442"/>
      <w:bookmarkStart w:id="1506" w:name="_Toc200486720"/>
      <w:bookmarkStart w:id="1507" w:name="_Toc200635496"/>
      <w:bookmarkStart w:id="1508" w:name="_Toc200635884"/>
      <w:bookmarkStart w:id="1509" w:name="_Toc200636273"/>
      <w:bookmarkStart w:id="1510" w:name="_Toc200756010"/>
      <w:r w:rsidR="00E772DD" w:rsidRPr="00D9038E">
        <w:rPr>
          <w:sz w:val="24"/>
          <w:szCs w:val="24"/>
          <w:lang w:val="fr-FR"/>
        </w:rPr>
        <w:t>Le Marketing RH</w:t>
      </w:r>
      <w:bookmarkEnd w:id="1505"/>
      <w:bookmarkEnd w:id="1506"/>
      <w:bookmarkEnd w:id="1507"/>
      <w:bookmarkEnd w:id="1508"/>
      <w:bookmarkEnd w:id="1509"/>
      <w:bookmarkEnd w:id="1510"/>
    </w:p>
    <w:p w:rsidR="00E772DD" w:rsidRPr="003039FA" w:rsidRDefault="00E772DD" w:rsidP="00B5461A">
      <w:pPr>
        <w:pStyle w:val="NormalWeb"/>
        <w:spacing w:before="0" w:beforeAutospacing="0" w:line="360" w:lineRule="auto"/>
        <w:jc w:val="both"/>
        <w:rPr>
          <w:color w:val="000000"/>
          <w:lang w:val="fr-FR"/>
        </w:rPr>
      </w:pPr>
      <w:r w:rsidRPr="007E4564">
        <w:rPr>
          <w:color w:val="000000"/>
          <w:lang w:val="fr-FR"/>
        </w:rPr>
        <w:t xml:space="preserve">Dans un contexte de forte concurrence pour attirer et fidéliser les talents, les entreprises adoptent de plus en plus une approche marketing appliquée aux ressources humaines. Le Marketing RH vise à renforcer l’image employeur et à promouvoir une culture d’entreprise attrayante. Il repose sur des stratégies de communication et d’engagement similaires à celles du marketing classique, en intégrant des outils digitaux pour valoriser l’expérience </w:t>
      </w:r>
      <w:r w:rsidRPr="007E4564">
        <w:rPr>
          <w:color w:val="000000"/>
          <w:lang w:val="fr-FR"/>
        </w:rPr>
        <w:lastRenderedPageBreak/>
        <w:t>collaborateur. L’objectif est de considérer les employés comme des clients internes, en veillant à leur satisfaction et à leur fidélisation à long terme</w:t>
      </w:r>
      <w:r w:rsidRPr="003039FA">
        <w:rPr>
          <w:color w:val="000000"/>
          <w:lang w:val="fr-FR"/>
        </w:rPr>
        <w:t>.</w:t>
      </w:r>
      <w:r>
        <w:rPr>
          <w:rStyle w:val="Appelnotedebasdep"/>
          <w:color w:val="000000"/>
          <w:lang w:val="fr-FR"/>
        </w:rPr>
        <w:footnoteReference w:id="279"/>
      </w:r>
    </w:p>
    <w:p w:rsidR="00E772DD" w:rsidRPr="00D9038E" w:rsidRDefault="00D9038E"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511" w:name="_Toc199714443"/>
      <w:bookmarkStart w:id="1512" w:name="_Toc200486721"/>
      <w:bookmarkStart w:id="1513" w:name="_Toc200635497"/>
      <w:bookmarkStart w:id="1514" w:name="_Toc200635885"/>
      <w:bookmarkStart w:id="1515" w:name="_Toc200636274"/>
      <w:bookmarkStart w:id="1516" w:name="_Toc200756011"/>
      <w:r w:rsidR="00E772DD" w:rsidRPr="00D9038E">
        <w:rPr>
          <w:sz w:val="24"/>
          <w:szCs w:val="24"/>
          <w:lang w:val="fr-FR"/>
        </w:rPr>
        <w:t>Le responsable développement des talents</w:t>
      </w:r>
      <w:bookmarkEnd w:id="1511"/>
      <w:bookmarkEnd w:id="1512"/>
      <w:bookmarkEnd w:id="1513"/>
      <w:bookmarkEnd w:id="1514"/>
      <w:bookmarkEnd w:id="1515"/>
      <w:bookmarkEnd w:id="1516"/>
    </w:p>
    <w:p w:rsidR="00E772DD" w:rsidRPr="003039FA" w:rsidRDefault="00E772DD" w:rsidP="00B5461A">
      <w:pPr>
        <w:pStyle w:val="NormalWeb"/>
        <w:spacing w:before="0" w:beforeAutospacing="0" w:line="360" w:lineRule="auto"/>
        <w:jc w:val="both"/>
        <w:rPr>
          <w:color w:val="000000"/>
          <w:lang w:val="fr-FR"/>
        </w:rPr>
      </w:pPr>
      <w:r w:rsidRPr="007E4564">
        <w:rPr>
          <w:color w:val="000000"/>
          <w:lang w:val="fr-FR"/>
        </w:rPr>
        <w:t>Face aux transformations rapides du marché du travail et aux avancées technologiques, le Responsable Développement des Talents joue un rôle clé dans l’identification, la montée en compétences et la rétention des collaborateurs à fort potentiel. Il doit anticiper les besoins futurs en matière de compétences et mettre en place des stratégies de formation et d’évolution adaptées. En s’appuyant sur des méthodes innovantes, il contribue à la croissance des talents et à leur engagement dans l’entreprise, garantissant ainsi une meilleure compétitivité à long terme</w:t>
      </w:r>
      <w:r w:rsidRPr="003039FA">
        <w:rPr>
          <w:color w:val="000000"/>
          <w:lang w:val="fr-FR"/>
        </w:rPr>
        <w:t>.</w:t>
      </w:r>
      <w:r>
        <w:rPr>
          <w:rStyle w:val="Appelnotedebasdep"/>
          <w:color w:val="000000"/>
          <w:lang w:val="fr-FR"/>
        </w:rPr>
        <w:footnoteReference w:id="280"/>
      </w:r>
    </w:p>
    <w:p w:rsidR="00E772DD" w:rsidRPr="00D9038E" w:rsidRDefault="00D9038E"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517" w:name="_Toc199714444"/>
      <w:bookmarkStart w:id="1518" w:name="_Toc200486722"/>
      <w:bookmarkStart w:id="1519" w:name="_Toc200635498"/>
      <w:bookmarkStart w:id="1520" w:name="_Toc200635886"/>
      <w:bookmarkStart w:id="1521" w:name="_Toc200636275"/>
      <w:bookmarkStart w:id="1522" w:name="_Toc200756012"/>
      <w:r w:rsidR="00E772DD" w:rsidRPr="00D9038E">
        <w:rPr>
          <w:sz w:val="24"/>
          <w:szCs w:val="24"/>
          <w:lang w:val="fr-FR"/>
        </w:rPr>
        <w:t>Le DRH 4.0 : un gestionnaire RH augmenté</w:t>
      </w:r>
      <w:bookmarkEnd w:id="1517"/>
      <w:bookmarkEnd w:id="1518"/>
      <w:bookmarkEnd w:id="1519"/>
      <w:bookmarkEnd w:id="1520"/>
      <w:bookmarkEnd w:id="1521"/>
      <w:bookmarkEnd w:id="1522"/>
    </w:p>
    <w:p w:rsidR="00E772DD" w:rsidRPr="003039FA" w:rsidRDefault="00E772DD" w:rsidP="00B5461A">
      <w:pPr>
        <w:pStyle w:val="NormalWeb"/>
        <w:spacing w:before="0" w:beforeAutospacing="0" w:line="360" w:lineRule="auto"/>
        <w:jc w:val="both"/>
        <w:rPr>
          <w:color w:val="000000"/>
          <w:lang w:val="fr-FR"/>
        </w:rPr>
      </w:pPr>
      <w:r w:rsidRPr="007E4564">
        <w:rPr>
          <w:color w:val="000000"/>
          <w:lang w:val="fr-FR"/>
        </w:rPr>
        <w:t>À l’ère de la transformation numérique, le Directeur des Ressources Humaines 4.0 est un véritable chef d’orchestre combinant expertise traditionnelle en gestion du personnel et maîtrise des technologies avancées comme le Big Data et l’intelligence artificielle. Il est chargé d’optimiser l’expérience collaborateur, d’améliorer la gestion des talents et d’intégrer des solutions numériques pour renforcer l’efficacité organisationnelle. Alliant leadership, innovation et sens stratégique, le DRH 4.0 incarne l’évolution du métier vers une gestion plus agile et digitalisée des ressources humaines</w:t>
      </w:r>
      <w:r w:rsidRPr="003039FA">
        <w:rPr>
          <w:color w:val="000000"/>
          <w:lang w:val="fr-FR"/>
        </w:rPr>
        <w:t>.</w:t>
      </w:r>
      <w:r w:rsidRPr="003039FA">
        <w:rPr>
          <w:rStyle w:val="Appelnotedebasdep"/>
          <w:color w:val="000000"/>
          <w:lang w:val="fr-FR"/>
        </w:rPr>
        <w:footnoteReference w:id="281"/>
      </w:r>
      <w:r w:rsidRPr="007E4564">
        <w:rPr>
          <w:color w:val="000000"/>
          <w:lang w:val="fr-FR"/>
        </w:rPr>
        <w:t xml:space="preserve"> </w:t>
      </w:r>
    </w:p>
    <w:p w:rsidR="00E772DD" w:rsidRPr="00D9038E" w:rsidRDefault="00E772DD" w:rsidP="004D32AC">
      <w:pPr>
        <w:pStyle w:val="Titre3"/>
        <w:numPr>
          <w:ilvl w:val="0"/>
          <w:numId w:val="184"/>
        </w:numPr>
        <w:spacing w:after="0" w:afterAutospacing="0" w:line="360" w:lineRule="auto"/>
        <w:rPr>
          <w:sz w:val="24"/>
          <w:szCs w:val="24"/>
          <w:lang w:val="fr-FR"/>
        </w:rPr>
      </w:pPr>
      <w:bookmarkStart w:id="1523" w:name="_Toc199714445"/>
      <w:bookmarkStart w:id="1524" w:name="_Toc200486723"/>
      <w:bookmarkStart w:id="1525" w:name="_Toc200635499"/>
      <w:bookmarkStart w:id="1526" w:name="_Toc200635887"/>
      <w:bookmarkStart w:id="1527" w:name="_Toc200636276"/>
      <w:bookmarkStart w:id="1528" w:name="_Toc200756013"/>
      <w:r w:rsidRPr="00D9038E">
        <w:rPr>
          <w:sz w:val="24"/>
          <w:szCs w:val="24"/>
          <w:lang w:val="fr-FR"/>
        </w:rPr>
        <w:t>Les bénéfices de la digitalisation de la GRH</w:t>
      </w:r>
      <w:bookmarkEnd w:id="1523"/>
      <w:bookmarkEnd w:id="1524"/>
      <w:bookmarkEnd w:id="1525"/>
      <w:bookmarkEnd w:id="1526"/>
      <w:bookmarkEnd w:id="1527"/>
      <w:bookmarkEnd w:id="1528"/>
      <w:r w:rsidRPr="00D9038E">
        <w:rPr>
          <w:sz w:val="24"/>
          <w:szCs w:val="24"/>
          <w:lang w:val="fr-FR"/>
        </w:rPr>
        <w:t xml:space="preserve"> </w:t>
      </w:r>
    </w:p>
    <w:p w:rsidR="00E772DD" w:rsidRPr="00A52499" w:rsidRDefault="00E772DD" w:rsidP="00626FDA">
      <w:pPr>
        <w:pStyle w:val="NormalWeb"/>
        <w:spacing w:before="0" w:beforeAutospacing="0" w:after="240" w:afterAutospacing="0" w:line="360" w:lineRule="auto"/>
        <w:jc w:val="both"/>
        <w:rPr>
          <w:color w:val="000000"/>
          <w:lang w:val="fr-FR"/>
        </w:rPr>
      </w:pPr>
      <w:r w:rsidRPr="00A52499">
        <w:rPr>
          <w:color w:val="000000"/>
          <w:lang w:val="fr-FR"/>
        </w:rPr>
        <w:t>La digitalisation de la gestion des ressources humaines apporte de nombreux avantages tant pour l’organisation que pour les collaborateurs. Elle permet d’optimiser les processus RH, de renforcer la prise de décision grâce aux données, et d’améliorer l’expérience employé dans un environnement de travail en constante évolution.</w:t>
      </w:r>
    </w:p>
    <w:p w:rsidR="00E772DD" w:rsidRPr="00EC68D3" w:rsidRDefault="00E772DD" w:rsidP="004D32AC">
      <w:pPr>
        <w:pStyle w:val="NormalWeb"/>
        <w:numPr>
          <w:ilvl w:val="0"/>
          <w:numId w:val="101"/>
        </w:numPr>
        <w:spacing w:before="0" w:beforeAutospacing="0" w:after="0" w:afterAutospacing="0" w:line="360" w:lineRule="auto"/>
        <w:jc w:val="both"/>
        <w:rPr>
          <w:b/>
          <w:bCs/>
          <w:color w:val="000000"/>
          <w:lang w:val="fr-FR"/>
        </w:rPr>
      </w:pPr>
      <w:r w:rsidRPr="00EC68D3">
        <w:rPr>
          <w:b/>
          <w:bCs/>
          <w:color w:val="000000"/>
          <w:lang w:val="fr-FR"/>
        </w:rPr>
        <w:t>Efficacité accrue et gain de productivité</w:t>
      </w:r>
    </w:p>
    <w:p w:rsidR="00E772DD" w:rsidRPr="003039FA" w:rsidRDefault="00E772DD" w:rsidP="002F4523">
      <w:pPr>
        <w:pStyle w:val="NormalWeb"/>
        <w:spacing w:before="0" w:beforeAutospacing="0" w:line="360" w:lineRule="auto"/>
        <w:jc w:val="both"/>
        <w:rPr>
          <w:color w:val="000000"/>
          <w:lang w:val="fr-FR"/>
        </w:rPr>
      </w:pPr>
      <w:r w:rsidRPr="00EC68D3">
        <w:rPr>
          <w:color w:val="000000"/>
          <w:lang w:val="fr-FR"/>
        </w:rPr>
        <w:t xml:space="preserve">L’automatisation des tâches administratives telles que la gestion des salaires, des congés et des embauches réduit la charge de travail des équipes RH. En optimisant ces processus, les </w:t>
      </w:r>
      <w:r w:rsidRPr="00EC68D3">
        <w:rPr>
          <w:color w:val="000000"/>
          <w:lang w:val="fr-FR"/>
        </w:rPr>
        <w:lastRenderedPageBreak/>
        <w:t>professionnels peuvent se concentrer sur des missions stratégiques à plus forte valeur ajoutée, comme le développement des compétences et la fidélisation des talents</w:t>
      </w:r>
      <w:r w:rsidRPr="003039FA">
        <w:rPr>
          <w:color w:val="000000"/>
          <w:lang w:val="fr-FR"/>
        </w:rPr>
        <w:t>.</w:t>
      </w:r>
      <w:r>
        <w:rPr>
          <w:rStyle w:val="Appelnotedebasdep"/>
          <w:color w:val="000000"/>
          <w:lang w:val="fr-FR"/>
        </w:rPr>
        <w:footnoteReference w:id="282"/>
      </w:r>
    </w:p>
    <w:p w:rsidR="00E772DD" w:rsidRPr="00EC68D3" w:rsidRDefault="00E772DD" w:rsidP="004D32AC">
      <w:pPr>
        <w:pStyle w:val="NormalWeb"/>
        <w:numPr>
          <w:ilvl w:val="0"/>
          <w:numId w:val="101"/>
        </w:numPr>
        <w:spacing w:after="0" w:afterAutospacing="0" w:line="360" w:lineRule="auto"/>
        <w:jc w:val="both"/>
        <w:rPr>
          <w:b/>
          <w:bCs/>
          <w:color w:val="000000"/>
          <w:lang w:val="fr-FR"/>
        </w:rPr>
      </w:pPr>
      <w:r w:rsidRPr="00EC68D3">
        <w:rPr>
          <w:b/>
          <w:bCs/>
          <w:color w:val="000000"/>
          <w:lang w:val="fr-FR"/>
        </w:rPr>
        <w:t>Recrutement et gestion des talents optimisés</w:t>
      </w:r>
    </w:p>
    <w:p w:rsidR="00E772DD" w:rsidRPr="00EC68D3" w:rsidRDefault="00E772DD" w:rsidP="003B3DE2">
      <w:pPr>
        <w:pStyle w:val="NormalWeb"/>
        <w:spacing w:before="0" w:beforeAutospacing="0" w:line="360" w:lineRule="auto"/>
        <w:jc w:val="both"/>
        <w:rPr>
          <w:color w:val="000000"/>
          <w:lang w:val="fr-FR"/>
        </w:rPr>
      </w:pPr>
      <w:r w:rsidRPr="00EC68D3">
        <w:rPr>
          <w:color w:val="000000"/>
          <w:lang w:val="fr-FR"/>
        </w:rPr>
        <w:t>L’utilisation d’algorithmes et d’analyses de données permet aux entreprises de sélectionner avec plus de précision les candidats correspondant aux postes à pourvoir. Ces outils facilitent également la gestion des carrières et des plans de formation, améliorant ainsi la performance globale des employés</w:t>
      </w:r>
      <w:r w:rsidRPr="002F4523">
        <w:rPr>
          <w:color w:val="000000"/>
          <w:lang w:val="fr-FR"/>
        </w:rPr>
        <w:t>.</w:t>
      </w:r>
      <w:r w:rsidRPr="002F4523">
        <w:rPr>
          <w:rStyle w:val="Appelnotedebasdep"/>
          <w:color w:val="000000"/>
          <w:lang w:val="fr-FR"/>
        </w:rPr>
        <w:footnoteReference w:id="283"/>
      </w:r>
      <w:r w:rsidRPr="00EC68D3">
        <w:rPr>
          <w:color w:val="000000"/>
          <w:lang w:val="fr-FR"/>
        </w:rPr>
        <w:t xml:space="preserve"> </w:t>
      </w:r>
    </w:p>
    <w:p w:rsidR="00E772DD" w:rsidRPr="00EC68D3" w:rsidRDefault="00E772DD" w:rsidP="004D32AC">
      <w:pPr>
        <w:pStyle w:val="NormalWeb"/>
        <w:numPr>
          <w:ilvl w:val="0"/>
          <w:numId w:val="101"/>
        </w:numPr>
        <w:spacing w:after="0" w:afterAutospacing="0" w:line="360" w:lineRule="auto"/>
        <w:jc w:val="both"/>
        <w:rPr>
          <w:b/>
          <w:bCs/>
          <w:color w:val="000000"/>
          <w:lang w:val="fr-FR"/>
        </w:rPr>
      </w:pPr>
      <w:r w:rsidRPr="00EC68D3">
        <w:rPr>
          <w:b/>
          <w:bCs/>
          <w:color w:val="000000"/>
          <w:lang w:val="fr-FR"/>
        </w:rPr>
        <w:t>Expérience employé améliorée</w:t>
      </w:r>
    </w:p>
    <w:p w:rsidR="00E772DD" w:rsidRPr="00EC68D3" w:rsidRDefault="00E772DD" w:rsidP="003B3DE2">
      <w:pPr>
        <w:pStyle w:val="NormalWeb"/>
        <w:spacing w:before="0" w:beforeAutospacing="0" w:line="360" w:lineRule="auto"/>
        <w:jc w:val="both"/>
        <w:rPr>
          <w:b/>
          <w:bCs/>
          <w:color w:val="000000"/>
          <w:lang w:val="fr-FR"/>
        </w:rPr>
      </w:pPr>
      <w:r w:rsidRPr="00EC68D3">
        <w:rPr>
          <w:color w:val="000000"/>
          <w:lang w:val="fr-FR"/>
        </w:rPr>
        <w:t>Les plateformes numériques donnent aux salariés un accès simplifié à leurs données RH et favorisent une plus grande autonomie. Les outils de feedback et d’évaluation continue renforcent l’engagement et la satisfaction des employés en leur offrant une meilleure visibilité sur leur évolution professionnelle</w:t>
      </w:r>
      <w:r w:rsidRPr="002F4523">
        <w:rPr>
          <w:color w:val="000000"/>
          <w:lang w:val="fr-FR"/>
        </w:rPr>
        <w:t>.</w:t>
      </w:r>
      <w:r>
        <w:rPr>
          <w:rStyle w:val="Appelnotedebasdep"/>
          <w:color w:val="000000"/>
          <w:lang w:val="fr-FR"/>
        </w:rPr>
        <w:footnoteReference w:id="284"/>
      </w:r>
      <w:r w:rsidRPr="00EC68D3">
        <w:rPr>
          <w:b/>
          <w:bCs/>
          <w:color w:val="000000"/>
          <w:lang w:val="fr-FR"/>
        </w:rPr>
        <w:t xml:space="preserve"> </w:t>
      </w:r>
    </w:p>
    <w:p w:rsidR="00E772DD" w:rsidRPr="00EC68D3" w:rsidRDefault="00E772DD" w:rsidP="004D32AC">
      <w:pPr>
        <w:pStyle w:val="NormalWeb"/>
        <w:numPr>
          <w:ilvl w:val="0"/>
          <w:numId w:val="101"/>
        </w:numPr>
        <w:spacing w:before="0" w:beforeAutospacing="0" w:after="0" w:afterAutospacing="0" w:line="360" w:lineRule="auto"/>
        <w:jc w:val="both"/>
        <w:rPr>
          <w:b/>
          <w:bCs/>
          <w:color w:val="000000"/>
          <w:lang w:val="fr-FR"/>
        </w:rPr>
      </w:pPr>
      <w:r w:rsidRPr="00EC68D3">
        <w:rPr>
          <w:b/>
          <w:bCs/>
          <w:color w:val="000000"/>
          <w:lang w:val="fr-FR"/>
        </w:rPr>
        <w:t>Aide à la prise de décision grâce aux données</w:t>
      </w:r>
    </w:p>
    <w:p w:rsidR="00E772DD" w:rsidRDefault="00E772DD" w:rsidP="00195B24">
      <w:pPr>
        <w:pStyle w:val="NormalWeb"/>
        <w:spacing w:before="0" w:beforeAutospacing="0" w:line="360" w:lineRule="auto"/>
        <w:jc w:val="both"/>
        <w:rPr>
          <w:color w:val="000000"/>
          <w:lang w:val="fr-FR"/>
        </w:rPr>
      </w:pPr>
      <w:r w:rsidRPr="00EC68D3">
        <w:rPr>
          <w:color w:val="000000"/>
          <w:lang w:val="fr-FR"/>
        </w:rPr>
        <w:t>L’analytique RH permet aux entreprises d’exploiter des informations précises pour anticiper les départs, évaluer l’efficacité des politiques de gestion des talents et améliorer le bien-être au travail</w:t>
      </w:r>
      <w:r w:rsidRPr="002F4523">
        <w:rPr>
          <w:color w:val="000000"/>
          <w:lang w:val="fr-FR"/>
        </w:rPr>
        <w:t>.</w:t>
      </w:r>
      <w:r w:rsidRPr="002F4523">
        <w:rPr>
          <w:rStyle w:val="Appelnotedebasdep"/>
          <w:color w:val="000000"/>
          <w:lang w:val="fr-FR"/>
        </w:rPr>
        <w:footnoteReference w:id="285"/>
      </w:r>
    </w:p>
    <w:p w:rsidR="00E772DD" w:rsidRPr="00D9038E" w:rsidRDefault="00E772DD" w:rsidP="004D32AC">
      <w:pPr>
        <w:pStyle w:val="Titre3"/>
        <w:numPr>
          <w:ilvl w:val="0"/>
          <w:numId w:val="184"/>
        </w:numPr>
        <w:spacing w:after="0" w:afterAutospacing="0" w:line="360" w:lineRule="auto"/>
        <w:rPr>
          <w:sz w:val="24"/>
          <w:szCs w:val="24"/>
          <w:lang w:val="fr-FR"/>
        </w:rPr>
      </w:pPr>
      <w:bookmarkStart w:id="1529" w:name="_Toc199714446"/>
      <w:bookmarkStart w:id="1530" w:name="_Toc200486724"/>
      <w:bookmarkStart w:id="1531" w:name="_Toc200635500"/>
      <w:bookmarkStart w:id="1532" w:name="_Toc200635888"/>
      <w:bookmarkStart w:id="1533" w:name="_Toc200636277"/>
      <w:bookmarkStart w:id="1534" w:name="_Toc200756014"/>
      <w:r w:rsidRPr="00D9038E">
        <w:rPr>
          <w:sz w:val="24"/>
          <w:szCs w:val="24"/>
          <w:lang w:val="fr-FR"/>
        </w:rPr>
        <w:t>Les indicateurs de réussite de la digitalisation de la GRH</w:t>
      </w:r>
      <w:bookmarkEnd w:id="1529"/>
      <w:bookmarkEnd w:id="1530"/>
      <w:bookmarkEnd w:id="1531"/>
      <w:bookmarkEnd w:id="1532"/>
      <w:bookmarkEnd w:id="1533"/>
      <w:bookmarkEnd w:id="1534"/>
    </w:p>
    <w:p w:rsidR="00E772DD" w:rsidRPr="00F708F2" w:rsidRDefault="00E772DD" w:rsidP="00D9038E">
      <w:pPr>
        <w:pStyle w:val="NormalWeb"/>
        <w:spacing w:before="0" w:beforeAutospacing="0" w:after="0" w:afterAutospacing="0" w:line="360" w:lineRule="auto"/>
        <w:jc w:val="both"/>
        <w:rPr>
          <w:color w:val="000000"/>
          <w:lang w:val="fr-FR"/>
        </w:rPr>
      </w:pPr>
      <w:r w:rsidRPr="00F708F2">
        <w:rPr>
          <w:color w:val="000000"/>
          <w:lang w:val="fr-FR"/>
        </w:rPr>
        <w:t>Pour évaluer l’efficacité de la digitalisation des ressources humaines, il est essentiel de s’appuyer sur des indicateurs de performance pertinents. Ces indicateurs permettent de mesurer l’impact réel des outils numériques sur les processus RH, la satisfaction des employés et la performance globale de la fonction RH.</w:t>
      </w:r>
    </w:p>
    <w:p w:rsidR="00E772DD" w:rsidRPr="00D9038E" w:rsidRDefault="003B5837" w:rsidP="004D32AC">
      <w:pPr>
        <w:pStyle w:val="Titre3"/>
        <w:numPr>
          <w:ilvl w:val="1"/>
          <w:numId w:val="184"/>
        </w:numPr>
        <w:spacing w:after="0" w:afterAutospacing="0" w:line="360" w:lineRule="auto"/>
        <w:rPr>
          <w:sz w:val="24"/>
          <w:szCs w:val="24"/>
          <w:lang w:val="fr-FR"/>
        </w:rPr>
      </w:pPr>
      <w:bookmarkStart w:id="1535" w:name="_Toc199714447"/>
      <w:r>
        <w:rPr>
          <w:sz w:val="24"/>
          <w:szCs w:val="24"/>
          <w:lang w:val="fr-FR"/>
        </w:rPr>
        <w:t xml:space="preserve"> </w:t>
      </w:r>
      <w:bookmarkStart w:id="1536" w:name="_Toc200486725"/>
      <w:bookmarkStart w:id="1537" w:name="_Toc200635501"/>
      <w:bookmarkStart w:id="1538" w:name="_Toc200635889"/>
      <w:bookmarkStart w:id="1539" w:name="_Toc200636278"/>
      <w:bookmarkStart w:id="1540" w:name="_Toc200756015"/>
      <w:r w:rsidR="00E772DD" w:rsidRPr="00D9038E">
        <w:rPr>
          <w:sz w:val="24"/>
          <w:szCs w:val="24"/>
          <w:lang w:val="fr-FR"/>
        </w:rPr>
        <w:t>Adoption et utilisation des outils numériques</w:t>
      </w:r>
      <w:bookmarkEnd w:id="1535"/>
      <w:bookmarkEnd w:id="1536"/>
      <w:bookmarkEnd w:id="1537"/>
      <w:bookmarkEnd w:id="1538"/>
      <w:bookmarkEnd w:id="1539"/>
      <w:bookmarkEnd w:id="1540"/>
      <w:r w:rsidR="00E772DD" w:rsidRPr="00D9038E">
        <w:rPr>
          <w:sz w:val="24"/>
          <w:szCs w:val="24"/>
          <w:lang w:val="fr-FR"/>
        </w:rPr>
        <w:t> </w:t>
      </w:r>
    </w:p>
    <w:p w:rsidR="00E772DD" w:rsidRPr="00EC68D3" w:rsidRDefault="00E772DD" w:rsidP="00006439">
      <w:pPr>
        <w:pStyle w:val="NormalWeb"/>
        <w:spacing w:before="0" w:beforeAutospacing="0" w:line="360" w:lineRule="auto"/>
        <w:jc w:val="both"/>
        <w:rPr>
          <w:color w:val="000000"/>
          <w:lang w:val="fr-FR"/>
        </w:rPr>
      </w:pPr>
      <w:r w:rsidRPr="00EC68D3">
        <w:rPr>
          <w:color w:val="000000"/>
          <w:lang w:val="fr-FR"/>
        </w:rPr>
        <w:t xml:space="preserve">Le premier indicateur clé de succès repose sur le taux d’adoption des solutions numériques par les employés et les responsables RH. Il est essentiel d’analyser la fréquence d’utilisation des </w:t>
      </w:r>
      <w:r w:rsidRPr="00EC68D3">
        <w:rPr>
          <w:color w:val="000000"/>
          <w:lang w:val="fr-FR"/>
        </w:rPr>
        <w:lastRenderedPageBreak/>
        <w:t>plateformes RH, comme les SIRH et les applications de gestion des talents. Une adoption massive et régulière indique une intégration réussie des outils au sein de l’entreprise.</w:t>
      </w:r>
      <w:r>
        <w:rPr>
          <w:rStyle w:val="Appelnotedebasdep"/>
          <w:color w:val="000000"/>
          <w:lang w:val="fr-FR"/>
        </w:rPr>
        <w:footnoteReference w:id="286"/>
      </w:r>
    </w:p>
    <w:p w:rsidR="00E772DD" w:rsidRPr="00D9038E" w:rsidRDefault="003B5837" w:rsidP="004D32AC">
      <w:pPr>
        <w:pStyle w:val="Titre3"/>
        <w:numPr>
          <w:ilvl w:val="1"/>
          <w:numId w:val="184"/>
        </w:numPr>
        <w:spacing w:after="0" w:afterAutospacing="0" w:line="360" w:lineRule="auto"/>
        <w:rPr>
          <w:sz w:val="24"/>
          <w:szCs w:val="24"/>
          <w:lang w:val="fr-FR"/>
        </w:rPr>
      </w:pPr>
      <w:bookmarkStart w:id="1541" w:name="_Toc199714448"/>
      <w:r>
        <w:rPr>
          <w:sz w:val="24"/>
          <w:szCs w:val="24"/>
          <w:lang w:val="fr-FR"/>
        </w:rPr>
        <w:t xml:space="preserve"> </w:t>
      </w:r>
      <w:bookmarkStart w:id="1542" w:name="_Toc200486726"/>
      <w:bookmarkStart w:id="1543" w:name="_Toc200635502"/>
      <w:bookmarkStart w:id="1544" w:name="_Toc200635890"/>
      <w:bookmarkStart w:id="1545" w:name="_Toc200636279"/>
      <w:bookmarkStart w:id="1546" w:name="_Toc200756016"/>
      <w:r w:rsidR="00E772DD" w:rsidRPr="00D9038E">
        <w:rPr>
          <w:sz w:val="24"/>
          <w:szCs w:val="24"/>
          <w:lang w:val="fr-FR"/>
        </w:rPr>
        <w:t>Automatisation des processus et gain de temps</w:t>
      </w:r>
      <w:bookmarkEnd w:id="1541"/>
      <w:bookmarkEnd w:id="1542"/>
      <w:bookmarkEnd w:id="1543"/>
      <w:bookmarkEnd w:id="1544"/>
      <w:bookmarkEnd w:id="1545"/>
      <w:bookmarkEnd w:id="1546"/>
      <w:r w:rsidR="00E772DD" w:rsidRPr="00D9038E">
        <w:rPr>
          <w:sz w:val="24"/>
          <w:szCs w:val="24"/>
          <w:lang w:val="fr-FR"/>
        </w:rPr>
        <w:t> </w:t>
      </w:r>
    </w:p>
    <w:p w:rsidR="00E772DD" w:rsidRPr="00EC68D3" w:rsidRDefault="00E772DD" w:rsidP="00006439">
      <w:pPr>
        <w:pStyle w:val="NormalWeb"/>
        <w:spacing w:before="0" w:beforeAutospacing="0" w:line="360" w:lineRule="auto"/>
        <w:jc w:val="both"/>
        <w:rPr>
          <w:color w:val="000000"/>
          <w:lang w:val="fr-FR"/>
        </w:rPr>
      </w:pPr>
      <w:r w:rsidRPr="00EC68D3">
        <w:rPr>
          <w:color w:val="000000"/>
          <w:lang w:val="fr-FR"/>
        </w:rPr>
        <w:t>Un autre critère de réussite est l’amélioration de l’efficacité opérationnelle grâce à l’automatisation des tâches administratives. Il est possible de mesurer la réduction du temps consacré aux processus tels que la gestion de la paie, des congés ou du recrutement. Une diminution significative du temps de traitement indique que les outils numériques contribuent réellement à optimiser le travail des équipes RH.</w:t>
      </w:r>
      <w:r>
        <w:rPr>
          <w:rStyle w:val="Appelnotedebasdep"/>
          <w:color w:val="000000"/>
          <w:lang w:val="fr-FR"/>
        </w:rPr>
        <w:footnoteReference w:id="287"/>
      </w:r>
    </w:p>
    <w:p w:rsidR="00E772DD" w:rsidRPr="00D9038E" w:rsidRDefault="00D9038E"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547" w:name="_Toc199714449"/>
      <w:bookmarkStart w:id="1548" w:name="_Toc200486727"/>
      <w:bookmarkStart w:id="1549" w:name="_Toc200635503"/>
      <w:bookmarkStart w:id="1550" w:name="_Toc200635891"/>
      <w:bookmarkStart w:id="1551" w:name="_Toc200636280"/>
      <w:bookmarkStart w:id="1552" w:name="_Toc200756017"/>
      <w:r w:rsidR="00E772DD" w:rsidRPr="00D9038E">
        <w:rPr>
          <w:sz w:val="24"/>
          <w:szCs w:val="24"/>
          <w:lang w:val="fr-FR"/>
        </w:rPr>
        <w:t>Amélioration de l’expérience collaborateur</w:t>
      </w:r>
      <w:bookmarkEnd w:id="1547"/>
      <w:bookmarkEnd w:id="1548"/>
      <w:bookmarkEnd w:id="1549"/>
      <w:bookmarkEnd w:id="1550"/>
      <w:bookmarkEnd w:id="1551"/>
      <w:bookmarkEnd w:id="1552"/>
      <w:r w:rsidR="00E772DD" w:rsidRPr="00D9038E">
        <w:rPr>
          <w:sz w:val="24"/>
          <w:szCs w:val="24"/>
          <w:lang w:val="fr-FR"/>
        </w:rPr>
        <w:t> </w:t>
      </w:r>
    </w:p>
    <w:p w:rsidR="00E772DD" w:rsidRPr="00EC68D3" w:rsidRDefault="00E772DD" w:rsidP="00006439">
      <w:pPr>
        <w:pStyle w:val="NormalWeb"/>
        <w:spacing w:before="0" w:beforeAutospacing="0" w:line="360" w:lineRule="auto"/>
        <w:jc w:val="both"/>
        <w:rPr>
          <w:color w:val="000000"/>
          <w:lang w:val="fr-FR"/>
        </w:rPr>
      </w:pPr>
      <w:r w:rsidRPr="00EC68D3">
        <w:rPr>
          <w:color w:val="000000"/>
          <w:lang w:val="fr-FR"/>
        </w:rPr>
        <w:t>L’impact de la digitalisation sur l’expérience employé est un indicateur fondamental. Il est possible de l’évaluer à travers des enquêtes de satisfaction, le taux d’engagement et le feedback des collaborateurs. Un environnement RH digitalisé doit simplifier l’accès aux informations, favoriser la communication interne et améliorer l’expérience utilisateur sur les plateformes RH.</w:t>
      </w:r>
      <w:r>
        <w:rPr>
          <w:rStyle w:val="Appelnotedebasdep"/>
          <w:color w:val="000000"/>
          <w:lang w:val="fr-FR"/>
        </w:rPr>
        <w:footnoteReference w:id="288"/>
      </w:r>
    </w:p>
    <w:p w:rsidR="00E772DD" w:rsidRPr="00D9038E" w:rsidRDefault="003B5837" w:rsidP="004D32AC">
      <w:pPr>
        <w:pStyle w:val="Titre3"/>
        <w:numPr>
          <w:ilvl w:val="1"/>
          <w:numId w:val="184"/>
        </w:numPr>
        <w:spacing w:after="0" w:afterAutospacing="0" w:line="360" w:lineRule="auto"/>
        <w:rPr>
          <w:sz w:val="24"/>
          <w:szCs w:val="24"/>
          <w:lang w:val="fr-FR"/>
        </w:rPr>
      </w:pPr>
      <w:bookmarkStart w:id="1553" w:name="_Toc199714450"/>
      <w:r>
        <w:rPr>
          <w:sz w:val="24"/>
          <w:szCs w:val="24"/>
          <w:lang w:val="fr-FR"/>
        </w:rPr>
        <w:t xml:space="preserve"> </w:t>
      </w:r>
      <w:bookmarkStart w:id="1554" w:name="_Toc200486728"/>
      <w:bookmarkStart w:id="1555" w:name="_Toc200635504"/>
      <w:bookmarkStart w:id="1556" w:name="_Toc200635892"/>
      <w:bookmarkStart w:id="1557" w:name="_Toc200636281"/>
      <w:bookmarkStart w:id="1558" w:name="_Toc200756018"/>
      <w:r w:rsidR="00E772DD" w:rsidRPr="00D9038E">
        <w:rPr>
          <w:sz w:val="24"/>
          <w:szCs w:val="24"/>
          <w:lang w:val="fr-FR"/>
        </w:rPr>
        <w:t>Précision et fiabilité des données RH</w:t>
      </w:r>
      <w:bookmarkEnd w:id="1553"/>
      <w:bookmarkEnd w:id="1554"/>
      <w:bookmarkEnd w:id="1555"/>
      <w:bookmarkEnd w:id="1556"/>
      <w:bookmarkEnd w:id="1557"/>
      <w:bookmarkEnd w:id="1558"/>
      <w:r w:rsidR="00E772DD" w:rsidRPr="00D9038E">
        <w:rPr>
          <w:sz w:val="24"/>
          <w:szCs w:val="24"/>
          <w:lang w:val="fr-FR"/>
        </w:rPr>
        <w:t> </w:t>
      </w:r>
    </w:p>
    <w:p w:rsidR="00E772DD" w:rsidRPr="00EC68D3" w:rsidRDefault="00E772DD" w:rsidP="00626FDA">
      <w:pPr>
        <w:pStyle w:val="NormalWeb"/>
        <w:spacing w:before="0" w:beforeAutospacing="0" w:line="360" w:lineRule="auto"/>
        <w:jc w:val="both"/>
        <w:rPr>
          <w:color w:val="000000"/>
          <w:lang w:val="fr-FR"/>
        </w:rPr>
      </w:pPr>
      <w:r w:rsidRPr="00EC68D3">
        <w:rPr>
          <w:color w:val="000000"/>
          <w:lang w:val="fr-FR"/>
        </w:rPr>
        <w:t>La transformation numérique des RH doit permettre une meilleure collecte et gestion des données. La réduction des erreurs administratives et la fiabilité des analyses RH sont des indicateurs de performance essentiels. L’usage d’outils analytiques avancés aide à prendre des décisions plus stratégiques basées sur des données précises.</w:t>
      </w:r>
      <w:r>
        <w:rPr>
          <w:rStyle w:val="Appelnotedebasdep"/>
          <w:color w:val="000000"/>
          <w:lang w:val="fr-FR"/>
        </w:rPr>
        <w:footnoteReference w:id="289"/>
      </w:r>
    </w:p>
    <w:p w:rsidR="00E772DD" w:rsidRPr="00D9038E" w:rsidRDefault="00AF6BD8" w:rsidP="004D32AC">
      <w:pPr>
        <w:pStyle w:val="Titre3"/>
        <w:numPr>
          <w:ilvl w:val="1"/>
          <w:numId w:val="184"/>
        </w:numPr>
        <w:rPr>
          <w:sz w:val="24"/>
          <w:szCs w:val="24"/>
          <w:lang w:val="fr-FR"/>
        </w:rPr>
      </w:pPr>
      <w:r>
        <w:rPr>
          <w:sz w:val="24"/>
          <w:szCs w:val="24"/>
          <w:lang w:val="fr-FR"/>
        </w:rPr>
        <w:t xml:space="preserve"> </w:t>
      </w:r>
      <w:bookmarkStart w:id="1559" w:name="_Toc199714451"/>
      <w:bookmarkStart w:id="1560" w:name="_Toc200486729"/>
      <w:bookmarkStart w:id="1561" w:name="_Toc200635505"/>
      <w:bookmarkStart w:id="1562" w:name="_Toc200635893"/>
      <w:bookmarkStart w:id="1563" w:name="_Toc200636282"/>
      <w:bookmarkStart w:id="1564" w:name="_Toc200756019"/>
      <w:r w:rsidR="00E772DD" w:rsidRPr="00D9038E">
        <w:rPr>
          <w:sz w:val="24"/>
          <w:szCs w:val="24"/>
          <w:lang w:val="fr-FR"/>
        </w:rPr>
        <w:t>Réduction des coûts opérationnels</w:t>
      </w:r>
      <w:bookmarkEnd w:id="1559"/>
      <w:bookmarkEnd w:id="1560"/>
      <w:bookmarkEnd w:id="1561"/>
      <w:bookmarkEnd w:id="1562"/>
      <w:bookmarkEnd w:id="1563"/>
      <w:bookmarkEnd w:id="1564"/>
      <w:r w:rsidR="00E772DD" w:rsidRPr="00D9038E">
        <w:rPr>
          <w:sz w:val="24"/>
          <w:szCs w:val="24"/>
          <w:lang w:val="fr-FR"/>
        </w:rPr>
        <w:t> </w:t>
      </w:r>
    </w:p>
    <w:p w:rsidR="00E772DD" w:rsidRPr="00EC68D3" w:rsidRDefault="00E772DD" w:rsidP="00006439">
      <w:pPr>
        <w:pStyle w:val="NormalWeb"/>
        <w:spacing w:before="0" w:beforeAutospacing="0" w:line="360" w:lineRule="auto"/>
        <w:jc w:val="both"/>
        <w:rPr>
          <w:color w:val="000000"/>
          <w:lang w:val="fr-FR"/>
        </w:rPr>
      </w:pPr>
      <w:r w:rsidRPr="00EC68D3">
        <w:rPr>
          <w:color w:val="000000"/>
          <w:lang w:val="fr-FR"/>
        </w:rPr>
        <w:t xml:space="preserve">L’un des objectifs majeurs de la digitalisation RH est d’optimiser les coûts liés à la gestion du personnel. Il est donc essentiel de suivre l’évolution des dépenses RH avant et après l’adoption </w:t>
      </w:r>
      <w:r w:rsidRPr="00EC68D3">
        <w:rPr>
          <w:color w:val="000000"/>
          <w:lang w:val="fr-FR"/>
        </w:rPr>
        <w:lastRenderedPageBreak/>
        <w:t>des outils numériques. Une diminution des coûts administratifs et une meilleure allocation des ressources humaines sont des signes de succès.</w:t>
      </w:r>
      <w:r>
        <w:rPr>
          <w:rStyle w:val="Appelnotedebasdep"/>
          <w:color w:val="000000"/>
          <w:lang w:val="fr-FR"/>
        </w:rPr>
        <w:footnoteReference w:id="290"/>
      </w:r>
    </w:p>
    <w:p w:rsidR="00E772DD" w:rsidRPr="00AF6BD8" w:rsidRDefault="00AF6BD8"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565" w:name="_Toc199714452"/>
      <w:bookmarkStart w:id="1566" w:name="_Toc200486730"/>
      <w:bookmarkStart w:id="1567" w:name="_Toc200635506"/>
      <w:bookmarkStart w:id="1568" w:name="_Toc200635894"/>
      <w:bookmarkStart w:id="1569" w:name="_Toc200636283"/>
      <w:bookmarkStart w:id="1570" w:name="_Toc200756020"/>
      <w:r w:rsidR="00E772DD" w:rsidRPr="00AF6BD8">
        <w:rPr>
          <w:sz w:val="24"/>
          <w:szCs w:val="24"/>
          <w:lang w:val="fr-FR"/>
        </w:rPr>
        <w:t>Sécurité et conformité des données</w:t>
      </w:r>
      <w:bookmarkEnd w:id="1565"/>
      <w:bookmarkEnd w:id="1566"/>
      <w:bookmarkEnd w:id="1567"/>
      <w:bookmarkEnd w:id="1568"/>
      <w:bookmarkEnd w:id="1569"/>
      <w:bookmarkEnd w:id="1570"/>
      <w:r w:rsidR="00E772DD" w:rsidRPr="00AF6BD8">
        <w:rPr>
          <w:sz w:val="24"/>
          <w:szCs w:val="24"/>
          <w:lang w:val="fr-FR"/>
        </w:rPr>
        <w:t> </w:t>
      </w:r>
    </w:p>
    <w:p w:rsidR="00E772DD" w:rsidRPr="00EC68D3" w:rsidRDefault="00E772DD" w:rsidP="00DA7BB2">
      <w:pPr>
        <w:pStyle w:val="NormalWeb"/>
        <w:spacing w:before="0" w:beforeAutospacing="0" w:line="360" w:lineRule="auto"/>
        <w:jc w:val="both"/>
        <w:rPr>
          <w:color w:val="000000"/>
          <w:lang w:val="fr-FR"/>
        </w:rPr>
      </w:pPr>
      <w:r w:rsidRPr="00EC68D3">
        <w:rPr>
          <w:color w:val="000000"/>
          <w:lang w:val="fr-FR"/>
        </w:rPr>
        <w:t>Avec la digitalisation, la gestion des données RH doit répondre aux normes en vigueur, comme le RGPD en Europe. La capacité de l’entreprise à garantir la sécurité des informations personnelles des employés, ainsi que sa conformité aux réglementations, est un indicateur clé de réussite. Des audits réguliers et une absence d’incidents de cybersécurité sont des preuves d’une gestion efficace des données.</w:t>
      </w:r>
      <w:r>
        <w:rPr>
          <w:rStyle w:val="Appelnotedebasdep"/>
          <w:color w:val="000000"/>
          <w:lang w:val="fr-FR"/>
        </w:rPr>
        <w:footnoteReference w:id="291"/>
      </w:r>
    </w:p>
    <w:p w:rsidR="00E772DD" w:rsidRPr="00AF6BD8" w:rsidRDefault="00AF6BD8" w:rsidP="004D32AC">
      <w:pPr>
        <w:pStyle w:val="Titre3"/>
        <w:numPr>
          <w:ilvl w:val="1"/>
          <w:numId w:val="184"/>
        </w:numPr>
        <w:spacing w:after="0" w:afterAutospacing="0" w:line="360" w:lineRule="auto"/>
        <w:rPr>
          <w:sz w:val="24"/>
          <w:szCs w:val="24"/>
          <w:lang w:val="fr-FR"/>
        </w:rPr>
      </w:pPr>
      <w:r>
        <w:rPr>
          <w:sz w:val="24"/>
          <w:szCs w:val="24"/>
          <w:lang w:val="fr-FR"/>
        </w:rPr>
        <w:t xml:space="preserve"> </w:t>
      </w:r>
      <w:bookmarkStart w:id="1571" w:name="_Toc199714453"/>
      <w:bookmarkStart w:id="1572" w:name="_Toc200486731"/>
      <w:bookmarkStart w:id="1573" w:name="_Toc200635507"/>
      <w:bookmarkStart w:id="1574" w:name="_Toc200635895"/>
      <w:bookmarkStart w:id="1575" w:name="_Toc200636284"/>
      <w:bookmarkStart w:id="1576" w:name="_Toc200756021"/>
      <w:r w:rsidR="00E772DD" w:rsidRPr="00AF6BD8">
        <w:rPr>
          <w:sz w:val="24"/>
          <w:szCs w:val="24"/>
          <w:lang w:val="fr-FR"/>
        </w:rPr>
        <w:t>Capacité d’adaptation et amélioration continue</w:t>
      </w:r>
      <w:bookmarkEnd w:id="1571"/>
      <w:bookmarkEnd w:id="1572"/>
      <w:bookmarkEnd w:id="1573"/>
      <w:bookmarkEnd w:id="1574"/>
      <w:bookmarkEnd w:id="1575"/>
      <w:bookmarkEnd w:id="1576"/>
      <w:r w:rsidR="00E772DD" w:rsidRPr="00AF6BD8">
        <w:rPr>
          <w:sz w:val="24"/>
          <w:szCs w:val="24"/>
          <w:lang w:val="fr-FR"/>
        </w:rPr>
        <w:t> </w:t>
      </w:r>
    </w:p>
    <w:p w:rsidR="00E772DD" w:rsidRPr="00EC68D3" w:rsidRDefault="00E772DD" w:rsidP="00006439">
      <w:pPr>
        <w:pStyle w:val="NormalWeb"/>
        <w:spacing w:before="0" w:beforeAutospacing="0" w:line="360" w:lineRule="auto"/>
        <w:jc w:val="both"/>
        <w:rPr>
          <w:color w:val="000000"/>
          <w:lang w:val="fr-FR"/>
        </w:rPr>
      </w:pPr>
      <w:r w:rsidRPr="00EC68D3">
        <w:rPr>
          <w:color w:val="000000"/>
          <w:lang w:val="fr-FR"/>
        </w:rPr>
        <w:t>Enfin, un indicateur essentiel est la capacité de l’entreprise à évoluer et à ajuster ses outils RH en fonction des besoins émergents. Un suivi régulier des performances numériques RH et une mise à jour continue des solutions utilisées garantissent une transition digitale durable et efficace.</w:t>
      </w:r>
      <w:r>
        <w:rPr>
          <w:rStyle w:val="Appelnotedebasdep"/>
          <w:color w:val="000000"/>
          <w:lang w:val="fr-FR"/>
        </w:rPr>
        <w:footnoteReference w:id="292"/>
      </w:r>
    </w:p>
    <w:p w:rsidR="00E772DD" w:rsidRPr="00686EBD" w:rsidRDefault="00E772DD" w:rsidP="00EC68D3">
      <w:pPr>
        <w:pStyle w:val="NormalWeb"/>
        <w:spacing w:line="360" w:lineRule="auto"/>
        <w:jc w:val="both"/>
        <w:rPr>
          <w:color w:val="000000"/>
          <w:lang w:val="fr-FR"/>
        </w:rPr>
      </w:pPr>
      <w:r w:rsidRPr="00EC68D3">
        <w:rPr>
          <w:color w:val="000000"/>
          <w:lang w:val="fr-FR"/>
        </w:rPr>
        <w:t>La digitalisation des ressources humaines ne se limite pas à la mise en place de nouvelles technologies. Son succès repose sur des indicateurs précis, allant de l’adoption des outils numériques à l’amélioration de l’expérience collaborateur, en passant par la réduction des coûts et la conformité aux réglementations. En mesurant régulièrement ces critères, les entreprises peuvent ajuster leurs stratégies et maximiser les bénéfices de leur transformation digitale.</w:t>
      </w:r>
    </w:p>
    <w:p w:rsidR="00E772DD" w:rsidRPr="00AF6BD8" w:rsidRDefault="00E772DD" w:rsidP="004D32AC">
      <w:pPr>
        <w:pStyle w:val="Titre3"/>
        <w:numPr>
          <w:ilvl w:val="0"/>
          <w:numId w:val="184"/>
        </w:numPr>
        <w:spacing w:after="0" w:afterAutospacing="0" w:line="360" w:lineRule="auto"/>
        <w:rPr>
          <w:sz w:val="24"/>
          <w:szCs w:val="24"/>
          <w:lang w:val="fr-FR"/>
        </w:rPr>
      </w:pPr>
      <w:bookmarkStart w:id="1577" w:name="_Toc199714454"/>
      <w:bookmarkStart w:id="1578" w:name="_Toc200486732"/>
      <w:bookmarkStart w:id="1579" w:name="_Toc200635508"/>
      <w:bookmarkStart w:id="1580" w:name="_Toc200635896"/>
      <w:bookmarkStart w:id="1581" w:name="_Toc200636285"/>
      <w:bookmarkStart w:id="1582" w:name="_Toc200756022"/>
      <w:r w:rsidRPr="00AF6BD8">
        <w:rPr>
          <w:sz w:val="24"/>
          <w:szCs w:val="24"/>
          <w:lang w:val="fr-FR"/>
        </w:rPr>
        <w:t>Les enjeux de la digitalisation de la GRH</w:t>
      </w:r>
      <w:bookmarkEnd w:id="1577"/>
      <w:bookmarkEnd w:id="1578"/>
      <w:bookmarkEnd w:id="1579"/>
      <w:bookmarkEnd w:id="1580"/>
      <w:bookmarkEnd w:id="1581"/>
      <w:bookmarkEnd w:id="1582"/>
    </w:p>
    <w:p w:rsidR="00D77B02" w:rsidRPr="00B449DD" w:rsidRDefault="00E772DD" w:rsidP="00D77B02">
      <w:pPr>
        <w:pStyle w:val="NormalWeb"/>
        <w:spacing w:before="240" w:beforeAutospacing="0" w:after="240" w:afterAutospacing="0" w:line="360" w:lineRule="auto"/>
        <w:jc w:val="both"/>
        <w:rPr>
          <w:color w:val="000000"/>
          <w:lang w:val="fr-FR"/>
        </w:rPr>
      </w:pPr>
      <w:r w:rsidRPr="00B449DD">
        <w:rPr>
          <w:color w:val="000000"/>
          <w:lang w:val="fr-FR"/>
        </w:rPr>
        <w:t>L’essor du numérique transforme profondément la gestion des ressources humaines, modifiant les pratiques traditionnelles et redéfinissant les interactions entre les employés et l’entreprise. Cette transition vers un environnement digitalisé soulève plusieurs défis stratégiques et opérationnels, impliquant tant la gestion des talents que la conformité aux réglementations.</w:t>
      </w:r>
    </w:p>
    <w:p w:rsidR="00626FDA" w:rsidRDefault="00E772DD" w:rsidP="004D32AC">
      <w:pPr>
        <w:pStyle w:val="NormalWeb"/>
        <w:numPr>
          <w:ilvl w:val="0"/>
          <w:numId w:val="100"/>
        </w:numPr>
        <w:spacing w:before="0" w:beforeAutospacing="0" w:after="0" w:afterAutospacing="0" w:line="360" w:lineRule="auto"/>
        <w:jc w:val="both"/>
        <w:rPr>
          <w:b/>
          <w:bCs/>
          <w:color w:val="000000"/>
          <w:lang w:val="fr-FR"/>
        </w:rPr>
      </w:pPr>
      <w:r w:rsidRPr="00EC68D3">
        <w:rPr>
          <w:b/>
          <w:bCs/>
          <w:color w:val="000000"/>
          <w:lang w:val="fr-FR"/>
        </w:rPr>
        <w:t>Coût et complexité de mise en place</w:t>
      </w:r>
    </w:p>
    <w:p w:rsidR="00626FDA" w:rsidRDefault="00E772DD" w:rsidP="00D77B02">
      <w:pPr>
        <w:pStyle w:val="NormalWeb"/>
        <w:spacing w:before="0" w:beforeAutospacing="0" w:after="0" w:afterAutospacing="0" w:line="360" w:lineRule="auto"/>
        <w:jc w:val="both"/>
        <w:rPr>
          <w:color w:val="000000"/>
          <w:lang w:val="fr-FR"/>
        </w:rPr>
      </w:pPr>
      <w:r w:rsidRPr="00626FDA">
        <w:rPr>
          <w:color w:val="000000"/>
          <w:lang w:val="fr-FR"/>
        </w:rPr>
        <w:t xml:space="preserve">Adopter des solutions numériques représente un investissement conséquent, incluant l’achat </w:t>
      </w:r>
    </w:p>
    <w:p w:rsidR="00E772DD" w:rsidRPr="00626FDA" w:rsidRDefault="00E772DD" w:rsidP="00D77B02">
      <w:pPr>
        <w:pStyle w:val="NormalWeb"/>
        <w:spacing w:before="0" w:beforeAutospacing="0" w:after="240" w:afterAutospacing="0" w:line="360" w:lineRule="auto"/>
        <w:jc w:val="both"/>
        <w:rPr>
          <w:color w:val="000000"/>
          <w:lang w:val="fr-FR"/>
        </w:rPr>
      </w:pPr>
      <w:r w:rsidRPr="00626FDA">
        <w:rPr>
          <w:color w:val="000000"/>
          <w:lang w:val="fr-FR"/>
        </w:rPr>
        <w:lastRenderedPageBreak/>
        <w:t>de logiciels, la formation des équipes et l’adaptation des processus existants. Une mauvaise conduite du changement peut entraîner une faible adoption des outils par les employés.</w:t>
      </w:r>
      <w:r>
        <w:rPr>
          <w:rStyle w:val="Appelnotedebasdep"/>
          <w:color w:val="000000"/>
          <w:lang w:val="fr-FR"/>
        </w:rPr>
        <w:footnoteReference w:id="293"/>
      </w:r>
    </w:p>
    <w:p w:rsidR="00E772DD" w:rsidRPr="00EC68D3" w:rsidRDefault="00E772DD" w:rsidP="004D32AC">
      <w:pPr>
        <w:pStyle w:val="NormalWeb"/>
        <w:numPr>
          <w:ilvl w:val="0"/>
          <w:numId w:val="100"/>
        </w:numPr>
        <w:spacing w:before="0" w:beforeAutospacing="0" w:after="0" w:afterAutospacing="0" w:line="360" w:lineRule="auto"/>
        <w:jc w:val="both"/>
        <w:rPr>
          <w:b/>
          <w:bCs/>
          <w:color w:val="000000"/>
          <w:lang w:val="fr-FR"/>
        </w:rPr>
      </w:pPr>
      <w:r w:rsidRPr="00B449DD">
        <w:rPr>
          <w:rFonts w:ascii="Cambria" w:hAnsi="Cambria" w:cs="Apple Color Emoji"/>
          <w:b/>
          <w:bCs/>
          <w:color w:val="000000"/>
          <w:lang w:val="fr-FR"/>
        </w:rPr>
        <w:t xml:space="preserve">La </w:t>
      </w:r>
      <w:r w:rsidRPr="00EC68D3">
        <w:rPr>
          <w:b/>
          <w:bCs/>
          <w:color w:val="000000"/>
          <w:lang w:val="fr-FR"/>
        </w:rPr>
        <w:t>sécurité et confidentialité des données</w:t>
      </w:r>
    </w:p>
    <w:p w:rsidR="00E772DD" w:rsidRPr="00686EBD" w:rsidRDefault="00E772DD" w:rsidP="00D77B02">
      <w:pPr>
        <w:pStyle w:val="NormalWeb"/>
        <w:spacing w:before="0" w:beforeAutospacing="0" w:after="0" w:afterAutospacing="0" w:line="360" w:lineRule="auto"/>
        <w:jc w:val="both"/>
        <w:rPr>
          <w:color w:val="000000"/>
          <w:lang w:val="fr-FR"/>
        </w:rPr>
      </w:pPr>
      <w:r w:rsidRPr="00EC68D3">
        <w:rPr>
          <w:color w:val="000000"/>
          <w:lang w:val="fr-FR"/>
        </w:rPr>
        <w:t>Avec la digitalisation, les entreprises stockent et traitent d’importants volumes de données personnelles. Une gestion inadéquate de la cybersécurité peut exposer ces informations à des risques de fuites ou de cyberattaques, pouvant entraîner des sanctions réglementaires</w:t>
      </w:r>
      <w:r w:rsidRPr="00686EBD">
        <w:rPr>
          <w:color w:val="000000"/>
          <w:lang w:val="fr-FR"/>
        </w:rPr>
        <w:t>.</w:t>
      </w:r>
      <w:r>
        <w:rPr>
          <w:rStyle w:val="Appelnotedebasdep"/>
          <w:color w:val="000000"/>
          <w:lang w:val="fr-FR"/>
        </w:rPr>
        <w:footnoteReference w:id="294"/>
      </w:r>
    </w:p>
    <w:p w:rsidR="00E772DD" w:rsidRPr="00EC68D3" w:rsidRDefault="00E772DD" w:rsidP="004D32AC">
      <w:pPr>
        <w:pStyle w:val="NormalWeb"/>
        <w:numPr>
          <w:ilvl w:val="0"/>
          <w:numId w:val="100"/>
        </w:numPr>
        <w:spacing w:before="240" w:beforeAutospacing="0" w:after="0" w:afterAutospacing="0" w:line="360" w:lineRule="auto"/>
        <w:jc w:val="both"/>
        <w:rPr>
          <w:b/>
          <w:bCs/>
          <w:color w:val="000000"/>
          <w:lang w:val="fr-FR"/>
        </w:rPr>
      </w:pPr>
      <w:r w:rsidRPr="00EC68D3">
        <w:rPr>
          <w:b/>
          <w:bCs/>
          <w:color w:val="000000"/>
          <w:lang w:val="fr-FR"/>
        </w:rPr>
        <w:t>Disparités d’adaptation et réticences au changement</w:t>
      </w:r>
    </w:p>
    <w:p w:rsidR="00E772DD" w:rsidRPr="00686EBD" w:rsidRDefault="00E772DD" w:rsidP="00D77B02">
      <w:pPr>
        <w:pStyle w:val="NormalWeb"/>
        <w:spacing w:before="0" w:beforeAutospacing="0" w:after="0" w:afterAutospacing="0" w:line="360" w:lineRule="auto"/>
        <w:jc w:val="both"/>
        <w:rPr>
          <w:color w:val="000000"/>
          <w:lang w:val="fr-FR"/>
        </w:rPr>
      </w:pPr>
      <w:r w:rsidRPr="00EC68D3">
        <w:rPr>
          <w:color w:val="000000"/>
          <w:lang w:val="fr-FR"/>
        </w:rPr>
        <w:t>Tous les collaborateurs ne possèdent pas le même niveau de compétence numérique. Certains peuvent rencontrer des difficultés à utiliser ces nouvelles solutions, ce qui nécessite un accompagnement adapté pour assurer une transition fluide</w:t>
      </w:r>
      <w:r w:rsidRPr="00686EBD">
        <w:rPr>
          <w:color w:val="000000"/>
          <w:lang w:val="fr-FR"/>
        </w:rPr>
        <w:t>.</w:t>
      </w:r>
      <w:r>
        <w:rPr>
          <w:rStyle w:val="Appelnotedebasdep"/>
          <w:color w:val="000000"/>
          <w:lang w:val="fr-FR"/>
        </w:rPr>
        <w:footnoteReference w:id="295"/>
      </w:r>
    </w:p>
    <w:p w:rsidR="00E772DD" w:rsidRDefault="00E772DD" w:rsidP="00686EBD">
      <w:pPr>
        <w:pStyle w:val="NormalWeb"/>
        <w:spacing w:line="360" w:lineRule="auto"/>
        <w:jc w:val="both"/>
        <w:rPr>
          <w:color w:val="000000"/>
          <w:lang w:val="fr-FR"/>
        </w:rPr>
      </w:pPr>
      <w:r w:rsidRPr="00EC68D3">
        <w:rPr>
          <w:color w:val="000000"/>
          <w:lang w:val="fr-FR"/>
        </w:rPr>
        <w:t>La digitalisation de la gestion des ressources humaines transforme en profondeur le fonctionnement des entreprises en apportant des gains d’efficacité, une meilleure gestion des talents et une aide précieuse à la prise de décision. Cependant, elle implique également des défis, notamment en matière de cybersécurité, d’investissement financier et d’accompagnement au changement. Pour tirer pleinement parti de ces outils, les entreprises doivent veiller à trouver un équilibre entre innovation technologique et dimension humaine.</w:t>
      </w:r>
    </w:p>
    <w:p w:rsidR="00E772DD" w:rsidRPr="00686EBD" w:rsidRDefault="00E772DD" w:rsidP="00686EBD">
      <w:pPr>
        <w:pStyle w:val="NormalWeb"/>
        <w:spacing w:line="360" w:lineRule="auto"/>
        <w:jc w:val="both"/>
        <w:rPr>
          <w:color w:val="000000"/>
          <w:lang w:val="fr-FR"/>
        </w:rPr>
      </w:pPr>
      <w:r w:rsidRPr="00195B24">
        <w:rPr>
          <w:color w:val="000000"/>
          <w:lang w:val="fr-FR"/>
        </w:rPr>
        <w:t>La digitalisation de la gestion des ressources humaines marque une transformation profonde des pratiques traditionnelles en intégrant des technologies innovantes dans l’ensemble des processus RH. Elle redéfinit les rôles, introduit de nouveaux outils et métiers, et touche progressivement tous les domaines de la fonction RH. En comparaison avec les méthodes classiques, cette transition permet une gestion plus agile, plus stratégique et centrée sur l’expérience collaborateur. Les bénéfices observés – en termes de performance, de réactivité et de transparence – sont évalués à l’aide d’indicateurs précis qui permettent d’en mesurer l’impact réel. Toutefois, cette évolution soulève également des enjeux importants, notamment en matière d’adaptation des compétences, de conduite du changement et de protection des données. Ainsi, la digitalisation de la GRH apparaît non seulement comme une nécessité, mais</w:t>
      </w:r>
      <w:r w:rsidR="00D77B02">
        <w:rPr>
          <w:color w:val="000000"/>
          <w:lang w:val="fr-FR"/>
        </w:rPr>
        <w:t xml:space="preserve"> </w:t>
      </w:r>
      <w:r w:rsidRPr="00195B24">
        <w:rPr>
          <w:color w:val="000000"/>
          <w:lang w:val="fr-FR"/>
        </w:rPr>
        <w:lastRenderedPageBreak/>
        <w:t>aussi comme une opportunité stratégique pour les entreprises en quête d’innovation et de compétitivité.</w:t>
      </w: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8547A4" w:rsidRDefault="008547A4"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891253" w:rsidRDefault="00891253" w:rsidP="00172BCB">
      <w:pPr>
        <w:pStyle w:val="NormalWeb"/>
        <w:spacing w:line="360" w:lineRule="auto"/>
        <w:jc w:val="both"/>
        <w:rPr>
          <w:color w:val="000000"/>
          <w:lang w:val="fr-FR"/>
        </w:rPr>
      </w:pPr>
    </w:p>
    <w:p w:rsidR="00E772DD" w:rsidRDefault="00E772DD" w:rsidP="00172BCB">
      <w:pPr>
        <w:pStyle w:val="NormalWeb"/>
        <w:spacing w:line="360" w:lineRule="auto"/>
        <w:jc w:val="both"/>
        <w:rPr>
          <w:color w:val="000000"/>
          <w:lang w:val="fr-FR"/>
        </w:rPr>
      </w:pPr>
    </w:p>
    <w:p w:rsidR="00891253" w:rsidRDefault="00E772DD" w:rsidP="00891253">
      <w:pPr>
        <w:pStyle w:val="Titre3"/>
        <w:spacing w:before="0" w:beforeAutospacing="0" w:after="0" w:afterAutospacing="0" w:line="360" w:lineRule="auto"/>
        <w:rPr>
          <w:sz w:val="28"/>
          <w:szCs w:val="28"/>
          <w:lang w:val="fr-FR"/>
        </w:rPr>
      </w:pPr>
      <w:bookmarkStart w:id="1583" w:name="_Toc200486733"/>
      <w:bookmarkStart w:id="1584" w:name="_Toc200635509"/>
      <w:bookmarkStart w:id="1585" w:name="_Toc200635897"/>
      <w:bookmarkStart w:id="1586" w:name="_Toc200636286"/>
      <w:bookmarkStart w:id="1587" w:name="_Toc200756023"/>
      <w:r w:rsidRPr="00AF6BD8">
        <w:rPr>
          <w:sz w:val="28"/>
          <w:szCs w:val="28"/>
          <w:lang w:val="fr-FR"/>
        </w:rPr>
        <w:lastRenderedPageBreak/>
        <w:t>Section 3 : L</w:t>
      </w:r>
      <w:r w:rsidR="00891253">
        <w:rPr>
          <w:sz w:val="28"/>
          <w:szCs w:val="28"/>
          <w:lang w:val="fr-FR"/>
        </w:rPr>
        <w:t xml:space="preserve">a digitalisation des processus RH </w:t>
      </w:r>
      <w:r w:rsidRPr="00AF6BD8">
        <w:rPr>
          <w:sz w:val="28"/>
          <w:szCs w:val="28"/>
          <w:lang w:val="fr-FR"/>
        </w:rPr>
        <w:t xml:space="preserve">: </w:t>
      </w:r>
      <w:bookmarkEnd w:id="1583"/>
      <w:bookmarkEnd w:id="1584"/>
      <w:bookmarkEnd w:id="1585"/>
      <w:bookmarkEnd w:id="1586"/>
      <w:r w:rsidR="00891253">
        <w:rPr>
          <w:sz w:val="28"/>
          <w:szCs w:val="28"/>
          <w:lang w:val="fr-FR"/>
        </w:rPr>
        <w:t>E</w:t>
      </w:r>
      <w:r w:rsidR="00891253" w:rsidRPr="00AF6BD8">
        <w:rPr>
          <w:sz w:val="28"/>
          <w:szCs w:val="28"/>
          <w:lang w:val="fr-FR"/>
        </w:rPr>
        <w:t>-recrutement et</w:t>
      </w:r>
      <w:bookmarkEnd w:id="1587"/>
      <w:r w:rsidR="00891253" w:rsidRPr="00AF6BD8">
        <w:rPr>
          <w:sz w:val="28"/>
          <w:szCs w:val="28"/>
          <w:lang w:val="fr-FR"/>
        </w:rPr>
        <w:t xml:space="preserve"> </w:t>
      </w:r>
    </w:p>
    <w:p w:rsidR="00E772DD" w:rsidRPr="00AF6BD8" w:rsidRDefault="00891253" w:rsidP="00891253">
      <w:pPr>
        <w:pStyle w:val="Titre3"/>
        <w:spacing w:before="0" w:beforeAutospacing="0" w:line="360" w:lineRule="auto"/>
        <w:rPr>
          <w:sz w:val="28"/>
          <w:szCs w:val="28"/>
          <w:lang w:val="fr-FR"/>
        </w:rPr>
      </w:pPr>
      <w:bookmarkStart w:id="1588" w:name="_Toc200756024"/>
      <w:r>
        <w:rPr>
          <w:sz w:val="28"/>
          <w:szCs w:val="28"/>
          <w:lang w:val="fr-FR"/>
        </w:rPr>
        <w:t>E-</w:t>
      </w:r>
      <w:r w:rsidRPr="00AF6BD8">
        <w:rPr>
          <w:sz w:val="28"/>
          <w:szCs w:val="28"/>
          <w:lang w:val="fr-FR"/>
        </w:rPr>
        <w:t>formation</w:t>
      </w:r>
      <w:bookmarkEnd w:id="1588"/>
    </w:p>
    <w:p w:rsidR="00E772DD" w:rsidRPr="001C29C7" w:rsidRDefault="00E772DD" w:rsidP="001C29C7">
      <w:pPr>
        <w:spacing w:line="360" w:lineRule="auto"/>
        <w:jc w:val="both"/>
        <w:outlineLvl w:val="2"/>
        <w:rPr>
          <w:rFonts w:asciiTheme="majorBidi" w:hAnsiTheme="majorBidi" w:cstheme="majorBidi"/>
          <w:color w:val="000000"/>
          <w:lang w:val="fr-FR"/>
        </w:rPr>
      </w:pPr>
      <w:bookmarkStart w:id="1589" w:name="_Toc199714456"/>
      <w:bookmarkStart w:id="1590" w:name="_Toc200486734"/>
      <w:bookmarkStart w:id="1591" w:name="_Toc200635510"/>
      <w:bookmarkStart w:id="1592" w:name="_Toc200635898"/>
      <w:bookmarkStart w:id="1593" w:name="_Toc200636287"/>
      <w:bookmarkStart w:id="1594" w:name="_Toc200756025"/>
      <w:r w:rsidRPr="001C29C7">
        <w:rPr>
          <w:rFonts w:asciiTheme="majorBidi" w:hAnsiTheme="majorBidi" w:cstheme="majorBidi"/>
          <w:color w:val="000000"/>
          <w:lang w:val="fr-FR"/>
        </w:rPr>
        <w:t>L’essor du numérique a profondément modifié les pratiques en gestion des ressources humaines, notamment en matière de formation et de recrutement. L’e-formation offre aux employés la possibilité de développer leurs compétences via des solutions digitales interactives, garantissant une grande souplesse d’apprentissage. De son côté, l’e-recrutement optimise le processus de sélection des candidats grâce aux technologies en ligne, à l’intelligence artificielle et aux entretiens à distance, facilitant ainsi l’accès aux talents les plus qualifiés. Ces avancées constituent des leviers stratégiques pour les entreprises cherchant à s’adapter aux mutations du marché du travail et aux nouvelles exigences des professionnels.</w:t>
      </w:r>
      <w:bookmarkEnd w:id="1589"/>
      <w:bookmarkEnd w:id="1590"/>
      <w:bookmarkEnd w:id="1591"/>
      <w:bookmarkEnd w:id="1592"/>
      <w:bookmarkEnd w:id="1593"/>
      <w:bookmarkEnd w:id="1594"/>
    </w:p>
    <w:p w:rsidR="00E772DD" w:rsidRPr="00AF6BD8" w:rsidRDefault="00E772DD" w:rsidP="004D32AC">
      <w:pPr>
        <w:pStyle w:val="Titre3"/>
        <w:numPr>
          <w:ilvl w:val="1"/>
          <w:numId w:val="95"/>
        </w:numPr>
        <w:spacing w:after="0" w:afterAutospacing="0" w:line="360" w:lineRule="auto"/>
        <w:rPr>
          <w:sz w:val="24"/>
          <w:szCs w:val="24"/>
          <w:lang w:val="fr-FR"/>
        </w:rPr>
      </w:pPr>
      <w:bookmarkStart w:id="1595" w:name="_Toc199714457"/>
      <w:bookmarkStart w:id="1596" w:name="_Toc200486735"/>
      <w:bookmarkStart w:id="1597" w:name="_Toc200635511"/>
      <w:bookmarkStart w:id="1598" w:name="_Toc200635899"/>
      <w:bookmarkStart w:id="1599" w:name="_Toc200636288"/>
      <w:bookmarkStart w:id="1600" w:name="_Toc200756026"/>
      <w:r w:rsidRPr="00AF6BD8">
        <w:rPr>
          <w:sz w:val="24"/>
          <w:szCs w:val="24"/>
          <w:lang w:val="fr-FR"/>
        </w:rPr>
        <w:t>L’e-recrutement : Définition, enjeux et outils</w:t>
      </w:r>
      <w:bookmarkEnd w:id="1595"/>
      <w:bookmarkEnd w:id="1596"/>
      <w:bookmarkEnd w:id="1597"/>
      <w:bookmarkEnd w:id="1598"/>
      <w:bookmarkEnd w:id="1599"/>
      <w:bookmarkEnd w:id="1600"/>
    </w:p>
    <w:p w:rsidR="00E772DD" w:rsidRPr="00963D3F" w:rsidRDefault="00E772DD" w:rsidP="008547A4">
      <w:pPr>
        <w:spacing w:after="100" w:afterAutospacing="1" w:line="360" w:lineRule="auto"/>
        <w:jc w:val="both"/>
        <w:outlineLvl w:val="3"/>
        <w:rPr>
          <w:rFonts w:asciiTheme="majorBidi" w:hAnsiTheme="majorBidi" w:cstheme="majorBidi"/>
          <w:color w:val="000000"/>
          <w:lang w:val="fr-FR"/>
        </w:rPr>
      </w:pPr>
      <w:r w:rsidRPr="00963D3F">
        <w:rPr>
          <w:rFonts w:asciiTheme="majorBidi" w:hAnsiTheme="majorBidi" w:cstheme="majorBidi"/>
          <w:color w:val="000000"/>
          <w:lang w:val="fr-FR"/>
        </w:rPr>
        <w:t>À l’ère du numérique, le processus de recrutement connaît une transformation majeure à travers l’e-recrutement. Ce mode de recrutement en ligne offre de nouvelles opportunités pour attirer, sélectionner et intégrer les talents, tout en répondant aux exigences de rapidité, d’efficacité et d’accessibilité.</w:t>
      </w:r>
    </w:p>
    <w:p w:rsidR="00E772DD" w:rsidRPr="00AF6BD8" w:rsidRDefault="00AF6BD8" w:rsidP="004D32AC">
      <w:pPr>
        <w:pStyle w:val="Titre3"/>
        <w:numPr>
          <w:ilvl w:val="1"/>
          <w:numId w:val="97"/>
        </w:numPr>
        <w:spacing w:after="0" w:afterAutospacing="0" w:line="360" w:lineRule="auto"/>
        <w:rPr>
          <w:sz w:val="24"/>
          <w:szCs w:val="24"/>
          <w:lang w:val="fr-FR"/>
        </w:rPr>
      </w:pPr>
      <w:r>
        <w:rPr>
          <w:sz w:val="24"/>
          <w:szCs w:val="24"/>
          <w:lang w:val="fr-FR"/>
        </w:rPr>
        <w:t xml:space="preserve"> </w:t>
      </w:r>
      <w:bookmarkStart w:id="1601" w:name="_Toc199714458"/>
      <w:bookmarkStart w:id="1602" w:name="_Toc200486736"/>
      <w:bookmarkStart w:id="1603" w:name="_Toc200635512"/>
      <w:bookmarkStart w:id="1604" w:name="_Toc200635900"/>
      <w:bookmarkStart w:id="1605" w:name="_Toc200636289"/>
      <w:bookmarkStart w:id="1606" w:name="_Toc200756027"/>
      <w:r w:rsidR="00E772DD" w:rsidRPr="00AF6BD8">
        <w:rPr>
          <w:sz w:val="24"/>
          <w:szCs w:val="24"/>
          <w:lang w:val="fr-FR"/>
        </w:rPr>
        <w:t>Définition et évolution de l’e-recrutement</w:t>
      </w:r>
      <w:bookmarkEnd w:id="1601"/>
      <w:bookmarkEnd w:id="1602"/>
      <w:bookmarkEnd w:id="1603"/>
      <w:bookmarkEnd w:id="1604"/>
      <w:bookmarkEnd w:id="1605"/>
      <w:bookmarkEnd w:id="1606"/>
    </w:p>
    <w:p w:rsidR="00E772DD" w:rsidRPr="00DA7BB2" w:rsidRDefault="00E772DD" w:rsidP="00AF6BD8">
      <w:pPr>
        <w:spacing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L'e-recrutement, ou recrutement en ligne, désigne l'utilisation des technologies de l'information et de la communication (TIC), notamment Internet, pour mener à bien le processus de recrutement. Il englobe l'ensemble des outils et techniques électroniques qui contribuent aux différentes étapes du recrutement interne et externe d'une organisation.</w:t>
      </w:r>
    </w:p>
    <w:p w:rsidR="00E772DD" w:rsidRPr="00DA7BB2" w:rsidRDefault="00E772DD" w:rsidP="00005E0E">
      <w:pPr>
        <w:spacing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entreprises publient désormais leurs offres d'emploi sur leurs propres sites web, ce qui entraîne une augmentation du nombre de candidatures, qu'elles soient spontanées ou en réponse à ces annonces. Parallèlement, les plateformes généralistes dédiées à l'emploi connaissent une expansion, facilitant la mise en relation entre employeurs et candidats. Ainsi, les entreprises peuvent non seulement diffuser leurs opportunités en interne, mais aussi faire appel à ces plateformes pour identifier des profils correspondant aux compétences recherchées, venant ainsi compléter leur propre processus de recrutement (Peretti, 2013, pp. 69-70)</w:t>
      </w:r>
      <w:r w:rsidRPr="00DA7BB2">
        <w:rPr>
          <w:rStyle w:val="Appelnotedebasdep"/>
          <w:rFonts w:cstheme="majorBidi"/>
          <w:color w:val="000000"/>
          <w:lang w:val="fr-FR"/>
        </w:rPr>
        <w:footnoteReference w:id="296"/>
      </w:r>
      <w:r w:rsidRPr="00DA7BB2">
        <w:rPr>
          <w:rFonts w:asciiTheme="majorBidi" w:hAnsiTheme="majorBidi" w:cstheme="majorBidi"/>
          <w:color w:val="000000"/>
          <w:lang w:val="fr-FR"/>
        </w:rPr>
        <w:t>. </w:t>
      </w:r>
    </w:p>
    <w:p w:rsidR="00E772DD" w:rsidRPr="00DA7BB2" w:rsidRDefault="00E772DD" w:rsidP="00005E0E">
      <w:pPr>
        <w:spacing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Avant l'avènement d'Internet, le recrutement s'effectuait principalement via des supports traditionnels, tels que les annonces dans la presse écrite, et les candidatures étaient envoyées par courrier postal. Avec l'émergence du Web à la fin des années 1990, le processus de </w:t>
      </w:r>
      <w:r w:rsidRPr="00DA7BB2">
        <w:rPr>
          <w:rFonts w:asciiTheme="majorBidi" w:hAnsiTheme="majorBidi" w:cstheme="majorBidi"/>
          <w:color w:val="000000"/>
          <w:lang w:val="fr-FR"/>
        </w:rPr>
        <w:lastRenderedPageBreak/>
        <w:t>recrutement a connu une évolution notable. Des sites spécialisés ont permis aux entreprises de diffuser leurs offres d'emploi en ligne et aux candidats de postuler plus facilement</w:t>
      </w:r>
      <w:r w:rsidRPr="00DA7BB2">
        <w:rPr>
          <w:rStyle w:val="Appelnotedebasdep"/>
          <w:rFonts w:cstheme="majorBidi"/>
          <w:color w:val="000000"/>
          <w:lang w:val="fr-FR"/>
        </w:rPr>
        <w:footnoteReference w:id="297"/>
      </w:r>
      <w:r w:rsidRPr="00DA7BB2">
        <w:rPr>
          <w:rFonts w:asciiTheme="majorBidi" w:hAnsiTheme="majorBidi" w:cstheme="majorBidi"/>
          <w:color w:val="000000"/>
          <w:lang w:val="fr-FR"/>
        </w:rPr>
        <w:t>.</w:t>
      </w:r>
    </w:p>
    <w:p w:rsidR="00E772DD" w:rsidRPr="00DA7BB2" w:rsidRDefault="00E772DD" w:rsidP="00005E0E">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Aujourd'hui, l'e-recrutement ne se limite plus à la simple diffusion d'annonces en ligne. Il intègre des outils avancés tels que les réseaux sociaux professionnels, les plateformes de recrutement spécialisées et les systèmes de gestion des candidatures (ATS). Cette digitalisation du processus de recrutement offre aux entreprises une portée plus large et une efficacité accrue dans la recherche de talents</w:t>
      </w:r>
      <w:r w:rsidRPr="00DA7BB2">
        <w:rPr>
          <w:rStyle w:val="Appelnotedebasdep"/>
          <w:rFonts w:cstheme="majorBidi"/>
          <w:color w:val="000000"/>
          <w:lang w:val="fr-FR"/>
        </w:rPr>
        <w:footnoteReference w:id="298"/>
      </w:r>
      <w:r w:rsidRPr="00DA7BB2">
        <w:rPr>
          <w:rFonts w:asciiTheme="majorBidi" w:hAnsiTheme="majorBidi" w:cstheme="majorBidi"/>
          <w:color w:val="000000"/>
          <w:lang w:val="fr-FR"/>
        </w:rPr>
        <w:t>. </w:t>
      </w:r>
    </w:p>
    <w:p w:rsidR="00E772DD" w:rsidRPr="00AF6BD8" w:rsidRDefault="00AF6BD8" w:rsidP="004D32AC">
      <w:pPr>
        <w:pStyle w:val="Titre3"/>
        <w:numPr>
          <w:ilvl w:val="1"/>
          <w:numId w:val="97"/>
        </w:numPr>
        <w:spacing w:after="0" w:afterAutospacing="0" w:line="360" w:lineRule="auto"/>
        <w:rPr>
          <w:sz w:val="24"/>
          <w:szCs w:val="24"/>
          <w:lang w:val="fr-FR"/>
        </w:rPr>
      </w:pPr>
      <w:r>
        <w:rPr>
          <w:sz w:val="24"/>
          <w:szCs w:val="24"/>
          <w:lang w:val="fr-FR"/>
        </w:rPr>
        <w:t xml:space="preserve"> </w:t>
      </w:r>
      <w:bookmarkStart w:id="1607" w:name="_Toc199714459"/>
      <w:bookmarkStart w:id="1608" w:name="_Toc200486737"/>
      <w:bookmarkStart w:id="1609" w:name="_Toc200635513"/>
      <w:bookmarkStart w:id="1610" w:name="_Toc200635901"/>
      <w:bookmarkStart w:id="1611" w:name="_Toc200636290"/>
      <w:bookmarkStart w:id="1612" w:name="_Toc200756028"/>
      <w:r w:rsidR="00E772DD" w:rsidRPr="00AF6BD8">
        <w:rPr>
          <w:sz w:val="24"/>
          <w:szCs w:val="24"/>
          <w:lang w:val="fr-FR"/>
        </w:rPr>
        <w:t>Les outils de l’e-recrutement</w:t>
      </w:r>
      <w:bookmarkEnd w:id="1607"/>
      <w:bookmarkEnd w:id="1608"/>
      <w:bookmarkEnd w:id="1609"/>
      <w:bookmarkEnd w:id="1610"/>
      <w:bookmarkEnd w:id="1611"/>
      <w:bookmarkEnd w:id="1612"/>
    </w:p>
    <w:p w:rsidR="00E772DD" w:rsidRPr="00DA7BB2" w:rsidRDefault="00E772DD" w:rsidP="008547A4">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Dans le cadre de l’e-recrutement, plusieurs outils numériques ont émergé pour optimiser le processus de sélection et d’embauche des talents. Ces outils permettent d’automatiser certaines étapes clés du recrutement, d’élargir la portée des offres d’emploi et d’améliorer l’expérience candidat. La figure suivante illustre l’efficacité perçue de ces outils par les candidats, mettant en lumière les tendances et préférences en matière de recrutement digital.</w:t>
      </w:r>
    </w:p>
    <w:p w:rsidR="00E772DD" w:rsidRPr="00005E0E" w:rsidRDefault="008547A4" w:rsidP="00005E0E">
      <w:pPr>
        <w:pStyle w:val="NormalWeb"/>
        <w:spacing w:line="360" w:lineRule="auto"/>
        <w:jc w:val="center"/>
        <w:rPr>
          <w:rFonts w:asciiTheme="majorBidi" w:hAnsiTheme="majorBidi" w:cstheme="majorBidi"/>
          <w:b/>
          <w:bCs/>
          <w:color w:val="000000"/>
          <w:lang w:val="fr-FR"/>
        </w:rPr>
      </w:pPr>
      <w:r w:rsidRPr="00DA7BB2">
        <w:rPr>
          <w:rFonts w:asciiTheme="majorBidi" w:hAnsiTheme="majorBidi" w:cstheme="majorBidi"/>
          <w:noProof/>
          <w:color w:val="000000"/>
          <w:lang w:val="fr-FR"/>
          <w14:ligatures w14:val="standardContextual"/>
        </w:rPr>
        <w:drawing>
          <wp:anchor distT="0" distB="0" distL="114300" distR="114300" simplePos="0" relativeHeight="251681792" behindDoc="0" locked="0" layoutInCell="1" allowOverlap="1" wp14:anchorId="29EC2355" wp14:editId="63143823">
            <wp:simplePos x="0" y="0"/>
            <wp:positionH relativeFrom="column">
              <wp:posOffset>0</wp:posOffset>
            </wp:positionH>
            <wp:positionV relativeFrom="paragraph">
              <wp:posOffset>364490</wp:posOffset>
            </wp:positionV>
            <wp:extent cx="5725795" cy="2628900"/>
            <wp:effectExtent l="0" t="0" r="1905" b="0"/>
            <wp:wrapTopAndBottom/>
            <wp:docPr id="16129169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16972" name="Picture 1612916972"/>
                    <pic:cNvPicPr/>
                  </pic:nvPicPr>
                  <pic:blipFill rotWithShape="1">
                    <a:blip r:embed="rId91">
                      <a:extLst>
                        <a:ext uri="{28A0092B-C50C-407E-A947-70E740481C1C}">
                          <a14:useLocalDpi xmlns:a14="http://schemas.microsoft.com/office/drawing/2010/main" val="0"/>
                        </a:ext>
                      </a:extLst>
                    </a:blip>
                    <a:srcRect t="19969" b="10497"/>
                    <a:stretch/>
                  </pic:blipFill>
                  <pic:spPr bwMode="auto">
                    <a:xfrm>
                      <a:off x="0" y="0"/>
                      <a:ext cx="5725795" cy="2628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72DD" w:rsidRPr="00005E0E">
        <w:rPr>
          <w:rFonts w:asciiTheme="majorBidi" w:hAnsiTheme="majorBidi" w:cstheme="majorBidi"/>
          <w:b/>
          <w:bCs/>
          <w:color w:val="000000"/>
          <w:lang w:val="fr-FR"/>
        </w:rPr>
        <w:t>Figure</w:t>
      </w:r>
      <w:r w:rsidR="00E772DD">
        <w:rPr>
          <w:rFonts w:asciiTheme="majorBidi" w:hAnsiTheme="majorBidi" w:cstheme="majorBidi"/>
          <w:b/>
          <w:bCs/>
          <w:color w:val="000000"/>
          <w:lang w:val="fr-FR"/>
        </w:rPr>
        <w:t xml:space="preserve"> N°25</w:t>
      </w:r>
      <w:r w:rsidR="00E772DD" w:rsidRPr="00005E0E">
        <w:rPr>
          <w:rFonts w:asciiTheme="majorBidi" w:hAnsiTheme="majorBidi" w:cstheme="majorBidi"/>
          <w:b/>
          <w:bCs/>
          <w:color w:val="000000"/>
          <w:lang w:val="fr-FR"/>
        </w:rPr>
        <w:t xml:space="preserve">  : </w:t>
      </w:r>
      <w:r w:rsidR="00E772DD" w:rsidRPr="0091398F">
        <w:rPr>
          <w:rFonts w:asciiTheme="majorBidi" w:hAnsiTheme="majorBidi" w:cstheme="majorBidi"/>
          <w:color w:val="000000"/>
          <w:lang w:val="fr-FR"/>
        </w:rPr>
        <w:t>Efficacité des outils de recrutement jugée par les candidats (2017)</w:t>
      </w:r>
    </w:p>
    <w:p w:rsidR="00E772DD" w:rsidRPr="00DA7BB2" w:rsidRDefault="00E772DD" w:rsidP="00DA7BB2">
      <w:pPr>
        <w:pStyle w:val="NormalWeb"/>
        <w:spacing w:line="360" w:lineRule="auto"/>
        <w:jc w:val="both"/>
        <w:rPr>
          <w:rFonts w:asciiTheme="majorBidi" w:hAnsiTheme="majorBidi" w:cstheme="majorBidi"/>
          <w:color w:val="000000"/>
          <w:lang w:val="fr-FR"/>
        </w:rPr>
      </w:pPr>
    </w:p>
    <w:p w:rsidR="00E772DD" w:rsidRPr="00DA7BB2" w:rsidRDefault="00E772DD" w:rsidP="00005E0E">
      <w:pPr>
        <w:pStyle w:val="NormalWeb"/>
        <w:spacing w:line="360" w:lineRule="auto"/>
        <w:jc w:val="center"/>
        <w:rPr>
          <w:rFonts w:asciiTheme="majorBidi" w:hAnsiTheme="majorBidi" w:cstheme="majorBidi"/>
          <w:color w:val="000000"/>
          <w:lang w:val="fr-FR"/>
        </w:rPr>
      </w:pPr>
      <w:r w:rsidRPr="00DA7BB2">
        <w:rPr>
          <w:rFonts w:asciiTheme="majorBidi" w:hAnsiTheme="majorBidi" w:cstheme="majorBidi"/>
          <w:b/>
          <w:bCs/>
          <w:color w:val="000000"/>
          <w:lang w:val="fr-FR"/>
        </w:rPr>
        <w:t xml:space="preserve">Source : </w:t>
      </w:r>
      <w:r w:rsidRPr="00DA7BB2">
        <w:rPr>
          <w:rFonts w:asciiTheme="majorBidi" w:hAnsiTheme="majorBidi" w:cstheme="majorBidi"/>
          <w:color w:val="000000"/>
          <w:lang w:val="fr-FR"/>
        </w:rPr>
        <w:t xml:space="preserve">Leila. (2020, août 4). E-recrutement : recruter les meilleurs talents rapidement ! - </w:t>
      </w:r>
      <w:proofErr w:type="spellStart"/>
      <w:r w:rsidRPr="00DA7BB2">
        <w:rPr>
          <w:rFonts w:asciiTheme="majorBidi" w:hAnsiTheme="majorBidi" w:cstheme="majorBidi"/>
          <w:color w:val="000000"/>
          <w:lang w:val="fr-FR"/>
        </w:rPr>
        <w:t>Robopost</w:t>
      </w:r>
      <w:proofErr w:type="spellEnd"/>
      <w:r w:rsidRPr="00DA7BB2">
        <w:rPr>
          <w:rFonts w:asciiTheme="majorBidi" w:hAnsiTheme="majorBidi" w:cstheme="majorBidi"/>
          <w:color w:val="000000"/>
          <w:lang w:val="fr-FR"/>
        </w:rPr>
        <w:t xml:space="preserve">. </w:t>
      </w:r>
      <w:proofErr w:type="spellStart"/>
      <w:r w:rsidRPr="00DA7BB2">
        <w:rPr>
          <w:rFonts w:asciiTheme="majorBidi" w:hAnsiTheme="majorBidi" w:cstheme="majorBidi"/>
          <w:color w:val="000000"/>
          <w:lang w:val="fr-FR"/>
        </w:rPr>
        <w:t>Robopost</w:t>
      </w:r>
      <w:proofErr w:type="spellEnd"/>
      <w:r w:rsidRPr="00DA7BB2">
        <w:rPr>
          <w:rFonts w:asciiTheme="majorBidi" w:hAnsiTheme="majorBidi" w:cstheme="majorBidi"/>
          <w:color w:val="000000"/>
          <w:lang w:val="fr-FR"/>
        </w:rPr>
        <w:t xml:space="preserve">. </w:t>
      </w:r>
      <w:hyperlink r:id="rId92" w:history="1">
        <w:r w:rsidRPr="00DA7BB2">
          <w:rPr>
            <w:rStyle w:val="Lienhypertexte"/>
            <w:rFonts w:asciiTheme="majorBidi" w:eastAsiaTheme="majorEastAsia" w:hAnsiTheme="majorBidi"/>
            <w:lang w:val="fr-FR"/>
          </w:rPr>
          <w:t>https://www.robopost.com/e-recrutement-definition-et-tendance/</w:t>
        </w:r>
      </w:hyperlink>
    </w:p>
    <w:p w:rsidR="00E772DD" w:rsidRPr="00DA7BB2" w:rsidRDefault="00E772DD" w:rsidP="00005E0E">
      <w:pPr>
        <w:spacing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lastRenderedPageBreak/>
        <w:t>L'e-recrutement s'appuie sur une variété d'outils numériques qui optimisent et automatisent les différentes étapes du processus de recrutement. Voici une présentation des principaux outils utilisés :</w:t>
      </w:r>
    </w:p>
    <w:p w:rsidR="00E772DD" w:rsidRPr="00DA7BB2" w:rsidRDefault="00E772DD" w:rsidP="004D32AC">
      <w:pPr>
        <w:pStyle w:val="Paragraphedeliste"/>
        <w:numPr>
          <w:ilvl w:val="0"/>
          <w:numId w:val="108"/>
        </w:numPr>
        <w:spacing w:line="360" w:lineRule="auto"/>
        <w:jc w:val="both"/>
        <w:rPr>
          <w:rFonts w:asciiTheme="majorBidi" w:hAnsiTheme="majorBidi" w:cstheme="majorBidi"/>
          <w:color w:val="000000"/>
          <w:lang w:val="fr-FR"/>
        </w:rPr>
      </w:pPr>
      <w:r w:rsidRPr="00DA7BB2">
        <w:rPr>
          <w:rFonts w:asciiTheme="majorBidi" w:hAnsiTheme="majorBidi" w:cstheme="majorBidi"/>
          <w:b/>
          <w:bCs/>
          <w:color w:val="000000"/>
          <w:lang w:val="fr-FR"/>
        </w:rPr>
        <w:t xml:space="preserve">Systèmes de </w:t>
      </w:r>
      <w:r>
        <w:rPr>
          <w:rFonts w:asciiTheme="majorBidi" w:hAnsiTheme="majorBidi" w:cstheme="majorBidi"/>
          <w:b/>
          <w:bCs/>
          <w:color w:val="000000"/>
          <w:lang w:val="fr-FR"/>
        </w:rPr>
        <w:t>s</w:t>
      </w:r>
      <w:r w:rsidRPr="00DA7BB2">
        <w:rPr>
          <w:rFonts w:asciiTheme="majorBidi" w:hAnsiTheme="majorBidi" w:cstheme="majorBidi"/>
          <w:b/>
          <w:bCs/>
          <w:color w:val="000000"/>
          <w:lang w:val="fr-FR"/>
        </w:rPr>
        <w:t xml:space="preserve">uivi des </w:t>
      </w:r>
      <w:r>
        <w:rPr>
          <w:rFonts w:asciiTheme="majorBidi" w:hAnsiTheme="majorBidi" w:cstheme="majorBidi"/>
          <w:b/>
          <w:bCs/>
          <w:color w:val="000000"/>
          <w:lang w:val="fr-FR"/>
        </w:rPr>
        <w:t>c</w:t>
      </w:r>
      <w:r w:rsidRPr="00DA7BB2">
        <w:rPr>
          <w:rFonts w:asciiTheme="majorBidi" w:hAnsiTheme="majorBidi" w:cstheme="majorBidi"/>
          <w:b/>
          <w:bCs/>
          <w:color w:val="000000"/>
          <w:lang w:val="fr-FR"/>
        </w:rPr>
        <w:t>andidatures (ATS)</w:t>
      </w:r>
    </w:p>
    <w:p w:rsidR="00E772DD" w:rsidRPr="00DA7BB2" w:rsidRDefault="00E772DD" w:rsidP="008547A4">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w:t>
      </w:r>
      <w:proofErr w:type="spellStart"/>
      <w:r w:rsidRPr="00DA7BB2">
        <w:rPr>
          <w:rFonts w:asciiTheme="majorBidi" w:hAnsiTheme="majorBidi" w:cstheme="majorBidi"/>
          <w:color w:val="000000"/>
          <w:lang w:val="fr-FR"/>
        </w:rPr>
        <w:t>Applicant</w:t>
      </w:r>
      <w:proofErr w:type="spellEnd"/>
      <w:r w:rsidRPr="00DA7BB2">
        <w:rPr>
          <w:rFonts w:asciiTheme="majorBidi" w:hAnsiTheme="majorBidi" w:cstheme="majorBidi"/>
          <w:color w:val="000000"/>
          <w:lang w:val="fr-FR"/>
        </w:rPr>
        <w:t xml:space="preserve"> </w:t>
      </w:r>
      <w:proofErr w:type="spellStart"/>
      <w:r w:rsidRPr="00DA7BB2">
        <w:rPr>
          <w:rFonts w:asciiTheme="majorBidi" w:hAnsiTheme="majorBidi" w:cstheme="majorBidi"/>
          <w:color w:val="000000"/>
          <w:lang w:val="fr-FR"/>
        </w:rPr>
        <w:t>Tracking</w:t>
      </w:r>
      <w:proofErr w:type="spellEnd"/>
      <w:r w:rsidRPr="00DA7BB2">
        <w:rPr>
          <w:rFonts w:asciiTheme="majorBidi" w:hAnsiTheme="majorBidi" w:cstheme="majorBidi"/>
          <w:color w:val="000000"/>
          <w:lang w:val="fr-FR"/>
        </w:rPr>
        <w:t xml:space="preserve"> </w:t>
      </w:r>
      <w:proofErr w:type="spellStart"/>
      <w:r w:rsidRPr="00DA7BB2">
        <w:rPr>
          <w:rFonts w:asciiTheme="majorBidi" w:hAnsiTheme="majorBidi" w:cstheme="majorBidi"/>
          <w:color w:val="000000"/>
          <w:lang w:val="fr-FR"/>
        </w:rPr>
        <w:t>Systems</w:t>
      </w:r>
      <w:proofErr w:type="spellEnd"/>
      <w:r w:rsidRPr="00DA7BB2">
        <w:rPr>
          <w:rFonts w:asciiTheme="majorBidi" w:hAnsiTheme="majorBidi" w:cstheme="majorBidi"/>
          <w:color w:val="000000"/>
          <w:lang w:val="fr-FR"/>
        </w:rPr>
        <w:t xml:space="preserve"> (ATS) sont des logiciels conçus pour centraliser et gérer l'ensemble des informations relatives aux candidats. Ils permettent de suivre efficacement chaque étape du processus de recrutement, de la réception des candidatures à l'embauche finale. Ces systèmes offrent des fonctionnalités avancées, telles que le </w:t>
      </w:r>
      <w:proofErr w:type="spellStart"/>
      <w:r w:rsidRPr="00DA7BB2">
        <w:rPr>
          <w:rFonts w:asciiTheme="majorBidi" w:hAnsiTheme="majorBidi" w:cstheme="majorBidi"/>
          <w:color w:val="000000"/>
          <w:lang w:val="fr-FR"/>
        </w:rPr>
        <w:t>scoring</w:t>
      </w:r>
      <w:proofErr w:type="spellEnd"/>
      <w:r w:rsidRPr="00DA7BB2">
        <w:rPr>
          <w:rFonts w:asciiTheme="majorBidi" w:hAnsiTheme="majorBidi" w:cstheme="majorBidi"/>
          <w:color w:val="000000"/>
          <w:lang w:val="fr-FR"/>
        </w:rPr>
        <w:t xml:space="preserve"> et le </w:t>
      </w:r>
      <w:proofErr w:type="spellStart"/>
      <w:r w:rsidRPr="00DA7BB2">
        <w:rPr>
          <w:rFonts w:asciiTheme="majorBidi" w:hAnsiTheme="majorBidi" w:cstheme="majorBidi"/>
          <w:color w:val="000000"/>
          <w:lang w:val="fr-FR"/>
        </w:rPr>
        <w:t>matching</w:t>
      </w:r>
      <w:proofErr w:type="spellEnd"/>
      <w:r w:rsidRPr="00DA7BB2">
        <w:rPr>
          <w:rFonts w:asciiTheme="majorBidi" w:hAnsiTheme="majorBidi" w:cstheme="majorBidi"/>
          <w:color w:val="000000"/>
          <w:lang w:val="fr-FR"/>
        </w:rPr>
        <w:t xml:space="preserve"> des profils, souvent alimentées par l'intelligence artificielle, facilitant ainsi l'identification rapide des candidats les plus adaptés</w:t>
      </w:r>
      <w:r w:rsidRPr="00DA7BB2">
        <w:rPr>
          <w:rStyle w:val="Appelnotedebasdep"/>
          <w:rFonts w:cstheme="majorBidi"/>
          <w:color w:val="000000"/>
          <w:lang w:val="fr-FR"/>
        </w:rPr>
        <w:footnoteReference w:id="299"/>
      </w:r>
      <w:r w:rsidRPr="00DA7BB2">
        <w:rPr>
          <w:rFonts w:asciiTheme="majorBidi" w:hAnsiTheme="majorBidi" w:cstheme="majorBidi"/>
          <w:color w:val="000000"/>
          <w:lang w:val="fr-FR"/>
        </w:rPr>
        <w:t>. </w:t>
      </w:r>
    </w:p>
    <w:p w:rsidR="00E772DD" w:rsidRPr="00DA7BB2" w:rsidRDefault="00E772DD" w:rsidP="004D32AC">
      <w:pPr>
        <w:pStyle w:val="Paragraphedeliste"/>
        <w:numPr>
          <w:ilvl w:val="0"/>
          <w:numId w:val="108"/>
        </w:numPr>
        <w:spacing w:line="360" w:lineRule="auto"/>
        <w:jc w:val="both"/>
        <w:rPr>
          <w:rFonts w:asciiTheme="majorBidi" w:hAnsiTheme="majorBidi" w:cstheme="majorBidi"/>
          <w:color w:val="000000"/>
          <w:lang w:val="fr-FR"/>
        </w:rPr>
      </w:pPr>
      <w:r w:rsidRPr="00DA7BB2">
        <w:rPr>
          <w:rFonts w:asciiTheme="majorBidi" w:hAnsiTheme="majorBidi" w:cstheme="majorBidi"/>
          <w:b/>
          <w:bCs/>
          <w:color w:val="000000"/>
          <w:lang w:val="fr-FR"/>
        </w:rPr>
        <w:t xml:space="preserve">Sites d'annonces d'emploi (Job </w:t>
      </w:r>
      <w:proofErr w:type="spellStart"/>
      <w:r w:rsidRPr="00DA7BB2">
        <w:rPr>
          <w:rFonts w:asciiTheme="majorBidi" w:hAnsiTheme="majorBidi" w:cstheme="majorBidi"/>
          <w:b/>
          <w:bCs/>
          <w:color w:val="000000"/>
          <w:lang w:val="fr-FR"/>
        </w:rPr>
        <w:t>Boards</w:t>
      </w:r>
      <w:proofErr w:type="spellEnd"/>
      <w:r w:rsidRPr="00DA7BB2">
        <w:rPr>
          <w:rFonts w:asciiTheme="majorBidi" w:hAnsiTheme="majorBidi" w:cstheme="majorBidi"/>
          <w:b/>
          <w:bCs/>
          <w:color w:val="000000"/>
          <w:lang w:val="fr-FR"/>
        </w:rPr>
        <w:t>)</w:t>
      </w:r>
    </w:p>
    <w:p w:rsidR="00E772DD" w:rsidRPr="00DA7BB2" w:rsidRDefault="00E772DD" w:rsidP="00005E0E">
      <w:pPr>
        <w:spacing w:after="24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Les job </w:t>
      </w:r>
      <w:proofErr w:type="spellStart"/>
      <w:r w:rsidRPr="00DA7BB2">
        <w:rPr>
          <w:rFonts w:asciiTheme="majorBidi" w:hAnsiTheme="majorBidi" w:cstheme="majorBidi"/>
          <w:color w:val="000000"/>
          <w:lang w:val="fr-FR"/>
        </w:rPr>
        <w:t>boards</w:t>
      </w:r>
      <w:proofErr w:type="spellEnd"/>
      <w:r w:rsidRPr="00DA7BB2">
        <w:rPr>
          <w:rFonts w:asciiTheme="majorBidi" w:hAnsiTheme="majorBidi" w:cstheme="majorBidi"/>
          <w:color w:val="000000"/>
          <w:lang w:val="fr-FR"/>
        </w:rPr>
        <w:t> sont des plateformes en ligne où les entreprises publient leurs offres d'emploi et où les candidats peuvent postuler. Des sites tels qu'Indeed et LinkedIn sont largement utilisés pour diffuser des annonces et rechercher des profils spécifiques. Ces plateformes offrent une visibilité accrue aux offres et facilitent la mise en relation entre recruteurs et candidats</w:t>
      </w:r>
      <w:r w:rsidRPr="00DA7BB2">
        <w:rPr>
          <w:rStyle w:val="Appelnotedebasdep"/>
          <w:rFonts w:cstheme="majorBidi"/>
          <w:color w:val="000000"/>
          <w:lang w:val="fr-FR"/>
        </w:rPr>
        <w:footnoteReference w:id="300"/>
      </w:r>
      <w:r w:rsidRPr="00DA7BB2">
        <w:rPr>
          <w:rFonts w:asciiTheme="majorBidi" w:hAnsiTheme="majorBidi" w:cstheme="majorBidi"/>
          <w:color w:val="000000"/>
          <w:lang w:val="fr-FR"/>
        </w:rPr>
        <w:t>. </w:t>
      </w:r>
    </w:p>
    <w:p w:rsidR="00E772DD" w:rsidRPr="00DA7BB2" w:rsidRDefault="00E772DD" w:rsidP="004D32AC">
      <w:pPr>
        <w:pStyle w:val="Paragraphedeliste"/>
        <w:numPr>
          <w:ilvl w:val="0"/>
          <w:numId w:val="108"/>
        </w:numPr>
        <w:spacing w:before="100" w:beforeAutospacing="1" w:line="360" w:lineRule="auto"/>
        <w:jc w:val="both"/>
        <w:rPr>
          <w:rFonts w:asciiTheme="majorBidi" w:hAnsiTheme="majorBidi" w:cstheme="majorBidi"/>
          <w:color w:val="000000"/>
          <w:lang w:val="fr-FR"/>
        </w:rPr>
      </w:pPr>
      <w:r w:rsidRPr="00DA7BB2">
        <w:rPr>
          <w:rFonts w:asciiTheme="majorBidi" w:hAnsiTheme="majorBidi" w:cstheme="majorBidi"/>
          <w:b/>
          <w:bCs/>
          <w:color w:val="000000"/>
          <w:lang w:val="fr-FR"/>
        </w:rPr>
        <w:t>Réseaux sociaux professionnels</w:t>
      </w:r>
    </w:p>
    <w:p w:rsidR="00E772DD" w:rsidRPr="00DA7BB2" w:rsidRDefault="00E772DD" w:rsidP="00005E0E">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Les réseaux sociaux, notamment LinkedIn, jouent un rôle majeur dans l'e-recrutement. Ils permettent aux recruteurs de rechercher des candidats potentiels, de publier des offres d'emploi et de promouvoir la marque employeur. Ces plateformes facilitent également le networking et le </w:t>
      </w:r>
      <w:proofErr w:type="spellStart"/>
      <w:r w:rsidRPr="00DA7BB2">
        <w:rPr>
          <w:rFonts w:asciiTheme="majorBidi" w:hAnsiTheme="majorBidi" w:cstheme="majorBidi"/>
          <w:color w:val="000000"/>
          <w:lang w:val="fr-FR"/>
        </w:rPr>
        <w:t>sourcing</w:t>
      </w:r>
      <w:proofErr w:type="spellEnd"/>
      <w:r w:rsidRPr="00DA7BB2">
        <w:rPr>
          <w:rFonts w:asciiTheme="majorBidi" w:hAnsiTheme="majorBidi" w:cstheme="majorBidi"/>
          <w:color w:val="000000"/>
          <w:lang w:val="fr-FR"/>
        </w:rPr>
        <w:t xml:space="preserve"> de talents passifs</w:t>
      </w:r>
      <w:r w:rsidR="00F60EBD">
        <w:rPr>
          <w:rFonts w:asciiTheme="majorBidi" w:hAnsiTheme="majorBidi" w:cstheme="majorBidi"/>
          <w:color w:val="000000"/>
          <w:lang w:val="fr-FR"/>
        </w:rPr>
        <w:t>.</w:t>
      </w:r>
      <w:r w:rsidRPr="00DA7BB2">
        <w:rPr>
          <w:rStyle w:val="Appelnotedebasdep"/>
          <w:rFonts w:cstheme="majorBidi"/>
          <w:color w:val="000000"/>
          <w:lang w:val="fr-FR"/>
        </w:rPr>
        <w:footnoteReference w:id="301"/>
      </w:r>
      <w:r w:rsidRPr="00DA7BB2">
        <w:rPr>
          <w:rFonts w:asciiTheme="majorBidi" w:hAnsiTheme="majorBidi" w:cstheme="majorBidi"/>
          <w:color w:val="000000"/>
          <w:lang w:val="fr-FR"/>
        </w:rPr>
        <w:t> </w:t>
      </w:r>
    </w:p>
    <w:p w:rsidR="00E772DD" w:rsidRPr="008547A4" w:rsidRDefault="00E772DD" w:rsidP="004D32AC">
      <w:pPr>
        <w:pStyle w:val="Titre3"/>
        <w:keepNext/>
        <w:keepLines/>
        <w:numPr>
          <w:ilvl w:val="0"/>
          <w:numId w:val="108"/>
        </w:numPr>
        <w:tabs>
          <w:tab w:val="num" w:pos="644"/>
        </w:tabs>
        <w:spacing w:before="40" w:beforeAutospacing="0" w:after="0" w:afterAutospacing="0" w:line="360" w:lineRule="auto"/>
        <w:ind w:left="644"/>
        <w:jc w:val="both"/>
        <w:rPr>
          <w:rFonts w:asciiTheme="majorBidi" w:hAnsiTheme="majorBidi"/>
          <w:b w:val="0"/>
          <w:bCs w:val="0"/>
          <w:color w:val="000000"/>
          <w:sz w:val="24"/>
          <w:szCs w:val="24"/>
          <w:lang w:val="fr-FR"/>
        </w:rPr>
      </w:pPr>
      <w:bookmarkStart w:id="1613" w:name="_Toc199714460"/>
      <w:bookmarkStart w:id="1614" w:name="_Toc200486738"/>
      <w:bookmarkStart w:id="1615" w:name="_Toc200635514"/>
      <w:bookmarkStart w:id="1616" w:name="_Toc200635902"/>
      <w:bookmarkStart w:id="1617" w:name="_Toc200636291"/>
      <w:bookmarkStart w:id="1618" w:name="_Toc200756029"/>
      <w:r w:rsidRPr="008547A4">
        <w:rPr>
          <w:rStyle w:val="lev"/>
          <w:rFonts w:asciiTheme="majorBidi" w:hAnsiTheme="majorBidi"/>
          <w:b/>
          <w:bCs/>
          <w:color w:val="000000"/>
          <w:sz w:val="24"/>
          <w:szCs w:val="24"/>
          <w:lang w:val="fr-FR"/>
        </w:rPr>
        <w:t>L’intelligence artificielle et le Big Data dans le recrutement</w:t>
      </w:r>
      <w:bookmarkEnd w:id="1613"/>
      <w:bookmarkEnd w:id="1614"/>
      <w:bookmarkEnd w:id="1615"/>
      <w:bookmarkEnd w:id="1616"/>
      <w:bookmarkEnd w:id="1617"/>
      <w:bookmarkEnd w:id="1618"/>
    </w:p>
    <w:p w:rsidR="00E772DD" w:rsidRPr="00DA7BB2" w:rsidRDefault="00E772DD" w:rsidP="00005E0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w:t>
      </w:r>
      <w:r w:rsidRPr="00DA7BB2">
        <w:rPr>
          <w:rStyle w:val="lev"/>
          <w:rFonts w:asciiTheme="majorBidi" w:hAnsiTheme="majorBidi" w:cstheme="majorBidi"/>
          <w:b w:val="0"/>
          <w:bCs w:val="0"/>
          <w:color w:val="000000"/>
          <w:lang w:val="fr-FR"/>
        </w:rPr>
        <w:t>intelligence artificielle (IA)</w:t>
      </w:r>
      <w:r w:rsidRPr="00DA7BB2">
        <w:rPr>
          <w:rStyle w:val="apple-converted-space"/>
          <w:rFonts w:asciiTheme="majorBidi" w:hAnsiTheme="majorBidi" w:cstheme="majorBidi"/>
          <w:b/>
          <w:bCs/>
          <w:color w:val="000000"/>
          <w:lang w:val="fr-FR"/>
        </w:rPr>
        <w:t> </w:t>
      </w:r>
      <w:r w:rsidRPr="00DA7BB2">
        <w:rPr>
          <w:rFonts w:asciiTheme="majorBidi" w:hAnsiTheme="majorBidi" w:cstheme="majorBidi"/>
          <w:color w:val="000000"/>
          <w:lang w:val="fr-FR"/>
        </w:rPr>
        <w:t>et le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Big Data</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sont de plus en plus intégrés dans les processus de recrutement. Ces technologies permettent d'automatiser le tri des CV, d'identifier les meilleurs profils grâce à l'analyse prédictive et d’améliorer la correspondance entre les compétences des </w:t>
      </w:r>
      <w:r w:rsidRPr="00DA7BB2">
        <w:rPr>
          <w:rFonts w:asciiTheme="majorBidi" w:hAnsiTheme="majorBidi" w:cstheme="majorBidi"/>
          <w:color w:val="000000"/>
          <w:lang w:val="fr-FR"/>
        </w:rPr>
        <w:lastRenderedPageBreak/>
        <w:t>candidats et les exigences des postes. Des outils comme</w:t>
      </w:r>
      <w:r w:rsidRPr="00DA7BB2">
        <w:rPr>
          <w:rStyle w:val="apple-converted-space"/>
          <w:rFonts w:asciiTheme="majorBidi" w:hAnsiTheme="majorBidi" w:cstheme="majorBidi"/>
          <w:color w:val="000000"/>
          <w:lang w:val="fr-FR"/>
        </w:rPr>
        <w:t> </w:t>
      </w:r>
      <w:proofErr w:type="spellStart"/>
      <w:r w:rsidRPr="00DA7BB2">
        <w:rPr>
          <w:rStyle w:val="lev"/>
          <w:rFonts w:asciiTheme="majorBidi" w:hAnsiTheme="majorBidi" w:cstheme="majorBidi"/>
          <w:b w:val="0"/>
          <w:bCs w:val="0"/>
          <w:color w:val="000000"/>
          <w:lang w:val="fr-FR"/>
        </w:rPr>
        <w:t>HireVue</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et</w:t>
      </w:r>
      <w:r w:rsidRPr="00DA7BB2">
        <w:rPr>
          <w:rStyle w:val="apple-converted-space"/>
          <w:rFonts w:asciiTheme="majorBidi" w:hAnsiTheme="majorBidi" w:cstheme="majorBidi"/>
          <w:color w:val="000000"/>
          <w:lang w:val="fr-FR"/>
        </w:rPr>
        <w:t> </w:t>
      </w:r>
      <w:proofErr w:type="spellStart"/>
      <w:r w:rsidRPr="00DA7BB2">
        <w:rPr>
          <w:rStyle w:val="lev"/>
          <w:rFonts w:asciiTheme="majorBidi" w:hAnsiTheme="majorBidi" w:cstheme="majorBidi"/>
          <w:b w:val="0"/>
          <w:bCs w:val="0"/>
          <w:color w:val="000000"/>
          <w:lang w:val="fr-FR"/>
        </w:rPr>
        <w:t>Pymetrics</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utilisent l'IA pour évaluer les candidats à travers des entretiens vidéo analysés par des algorithmes.</w:t>
      </w:r>
      <w:r w:rsidR="008547A4">
        <w:rPr>
          <w:rStyle w:val="Appelnotedebasdep"/>
          <w:rFonts w:cstheme="majorBidi"/>
          <w:color w:val="000000"/>
          <w:lang w:val="fr-FR"/>
        </w:rPr>
        <w:footnoteReference w:id="302"/>
      </w:r>
    </w:p>
    <w:p w:rsidR="00E772DD" w:rsidRPr="008547A4" w:rsidRDefault="00E772DD" w:rsidP="004D32AC">
      <w:pPr>
        <w:pStyle w:val="Titre3"/>
        <w:keepNext/>
        <w:keepLines/>
        <w:numPr>
          <w:ilvl w:val="0"/>
          <w:numId w:val="108"/>
        </w:numPr>
        <w:tabs>
          <w:tab w:val="num" w:pos="644"/>
        </w:tabs>
        <w:spacing w:before="40" w:beforeAutospacing="0" w:after="0" w:afterAutospacing="0" w:line="360" w:lineRule="auto"/>
        <w:ind w:left="644"/>
        <w:jc w:val="both"/>
        <w:rPr>
          <w:rFonts w:asciiTheme="majorBidi" w:hAnsiTheme="majorBidi"/>
          <w:b w:val="0"/>
          <w:bCs w:val="0"/>
          <w:color w:val="000000"/>
          <w:sz w:val="24"/>
          <w:szCs w:val="24"/>
          <w:lang w:val="fr-FR"/>
        </w:rPr>
      </w:pPr>
      <w:bookmarkStart w:id="1619" w:name="_Toc199714461"/>
      <w:bookmarkStart w:id="1620" w:name="_Toc200486739"/>
      <w:bookmarkStart w:id="1621" w:name="_Toc200635515"/>
      <w:bookmarkStart w:id="1622" w:name="_Toc200635903"/>
      <w:bookmarkStart w:id="1623" w:name="_Toc200636292"/>
      <w:bookmarkStart w:id="1624" w:name="_Toc200756030"/>
      <w:r w:rsidRPr="008547A4">
        <w:rPr>
          <w:rStyle w:val="lev"/>
          <w:rFonts w:asciiTheme="majorBidi" w:hAnsiTheme="majorBidi"/>
          <w:b/>
          <w:bCs/>
          <w:color w:val="000000"/>
          <w:sz w:val="24"/>
          <w:szCs w:val="24"/>
          <w:lang w:val="fr-FR"/>
        </w:rPr>
        <w:t xml:space="preserve">Les </w:t>
      </w:r>
      <w:proofErr w:type="spellStart"/>
      <w:r w:rsidRPr="008547A4">
        <w:rPr>
          <w:rStyle w:val="lev"/>
          <w:rFonts w:asciiTheme="majorBidi" w:hAnsiTheme="majorBidi"/>
          <w:b/>
          <w:bCs/>
          <w:color w:val="000000"/>
          <w:sz w:val="24"/>
          <w:szCs w:val="24"/>
          <w:lang w:val="fr-FR"/>
        </w:rPr>
        <w:t>chatbots</w:t>
      </w:r>
      <w:proofErr w:type="spellEnd"/>
      <w:r w:rsidRPr="008547A4">
        <w:rPr>
          <w:rStyle w:val="lev"/>
          <w:rFonts w:asciiTheme="majorBidi" w:hAnsiTheme="majorBidi"/>
          <w:b/>
          <w:bCs/>
          <w:color w:val="000000"/>
          <w:sz w:val="24"/>
          <w:szCs w:val="24"/>
          <w:lang w:val="fr-FR"/>
        </w:rPr>
        <w:t xml:space="preserve"> et assistants virtuels</w:t>
      </w:r>
      <w:bookmarkEnd w:id="1619"/>
      <w:bookmarkEnd w:id="1620"/>
      <w:bookmarkEnd w:id="1621"/>
      <w:bookmarkEnd w:id="1622"/>
      <w:bookmarkEnd w:id="1623"/>
      <w:bookmarkEnd w:id="1624"/>
    </w:p>
    <w:p w:rsidR="00E772DD" w:rsidRPr="00DA7BB2" w:rsidRDefault="00E772DD" w:rsidP="008547A4">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w:t>
      </w:r>
      <w:r w:rsidRPr="00DA7BB2">
        <w:rPr>
          <w:rStyle w:val="apple-converted-space"/>
          <w:rFonts w:asciiTheme="majorBidi" w:hAnsiTheme="majorBidi" w:cstheme="majorBidi"/>
          <w:color w:val="000000"/>
          <w:lang w:val="fr-FR"/>
        </w:rPr>
        <w:t> </w:t>
      </w:r>
      <w:proofErr w:type="spellStart"/>
      <w:r w:rsidRPr="00DA7BB2">
        <w:rPr>
          <w:rStyle w:val="lev"/>
          <w:rFonts w:asciiTheme="majorBidi" w:hAnsiTheme="majorBidi" w:cstheme="majorBidi"/>
          <w:b w:val="0"/>
          <w:bCs w:val="0"/>
          <w:color w:val="000000"/>
          <w:lang w:val="fr-FR"/>
        </w:rPr>
        <w:t>chatbots</w:t>
      </w:r>
      <w:proofErr w:type="spellEnd"/>
      <w:r w:rsidRPr="00DA7BB2">
        <w:rPr>
          <w:rStyle w:val="lev"/>
          <w:rFonts w:asciiTheme="majorBidi" w:hAnsiTheme="majorBidi" w:cstheme="majorBidi"/>
          <w:b w:val="0"/>
          <w:bCs w:val="0"/>
          <w:color w:val="000000"/>
          <w:lang w:val="fr-FR"/>
        </w:rPr>
        <w:t xml:space="preserve"> de recrutement</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sont des agents conversationnels programmés pour interagir avec les candidats en temps réel sur les sites carrières ou via les réseaux sociaux. Ils répondent aux questions fréquentes, guident les candidats dans leur candidature et effectuent une première préqualification des profils. Des outils comme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Mya</w:t>
      </w:r>
      <w:r w:rsidRPr="00DA7BB2">
        <w:rPr>
          <w:rStyle w:val="apple-converted-space"/>
          <w:rFonts w:asciiTheme="majorBidi" w:hAnsiTheme="majorBidi" w:cstheme="majorBidi"/>
          <w:b/>
          <w:bCs/>
          <w:color w:val="000000"/>
          <w:lang w:val="fr-FR"/>
        </w:rPr>
        <w:t> </w:t>
      </w:r>
      <w:r w:rsidRPr="00DA7BB2">
        <w:rPr>
          <w:rFonts w:asciiTheme="majorBidi" w:hAnsiTheme="majorBidi" w:cstheme="majorBidi"/>
          <w:color w:val="000000"/>
          <w:lang w:val="fr-FR"/>
        </w:rPr>
        <w:t>et</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Olivia</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permettent aux entreprises d'améliorer l’expérience candidat tout en réduisant le temps consacré aux tâches administratives par les recruteurs.</w:t>
      </w:r>
      <w:r w:rsidR="008547A4">
        <w:rPr>
          <w:rStyle w:val="Appelnotedebasdep"/>
          <w:rFonts w:cstheme="majorBidi"/>
          <w:color w:val="000000"/>
          <w:lang w:val="fr-FR"/>
        </w:rPr>
        <w:footnoteReference w:id="303"/>
      </w:r>
    </w:p>
    <w:p w:rsidR="00E772DD" w:rsidRPr="008547A4" w:rsidRDefault="00E772DD" w:rsidP="004D32AC">
      <w:pPr>
        <w:pStyle w:val="Titre3"/>
        <w:keepNext/>
        <w:keepLines/>
        <w:numPr>
          <w:ilvl w:val="0"/>
          <w:numId w:val="108"/>
        </w:numPr>
        <w:tabs>
          <w:tab w:val="num" w:pos="644"/>
        </w:tabs>
        <w:spacing w:before="40" w:beforeAutospacing="0" w:after="0" w:afterAutospacing="0" w:line="360" w:lineRule="auto"/>
        <w:ind w:left="644"/>
        <w:jc w:val="both"/>
        <w:rPr>
          <w:rFonts w:asciiTheme="majorBidi" w:hAnsiTheme="majorBidi"/>
          <w:b w:val="0"/>
          <w:bCs w:val="0"/>
          <w:color w:val="000000"/>
          <w:sz w:val="24"/>
          <w:szCs w:val="24"/>
          <w:lang w:val="fr-FR"/>
        </w:rPr>
      </w:pPr>
      <w:bookmarkStart w:id="1625" w:name="_Toc199714462"/>
      <w:bookmarkStart w:id="1626" w:name="_Toc200486740"/>
      <w:bookmarkStart w:id="1627" w:name="_Toc200635516"/>
      <w:bookmarkStart w:id="1628" w:name="_Toc200635904"/>
      <w:bookmarkStart w:id="1629" w:name="_Toc200636293"/>
      <w:bookmarkStart w:id="1630" w:name="_Toc200756031"/>
      <w:r w:rsidRPr="008547A4">
        <w:rPr>
          <w:rStyle w:val="lev"/>
          <w:rFonts w:asciiTheme="majorBidi" w:hAnsiTheme="majorBidi"/>
          <w:b/>
          <w:bCs/>
          <w:color w:val="000000"/>
          <w:sz w:val="24"/>
          <w:szCs w:val="24"/>
          <w:lang w:val="fr-FR"/>
        </w:rPr>
        <w:t>Les plateformes de recrutement en freelance</w:t>
      </w:r>
      <w:bookmarkEnd w:id="1625"/>
      <w:bookmarkEnd w:id="1626"/>
      <w:bookmarkEnd w:id="1627"/>
      <w:bookmarkEnd w:id="1628"/>
      <w:bookmarkEnd w:id="1629"/>
      <w:bookmarkEnd w:id="1630"/>
    </w:p>
    <w:p w:rsidR="00E772DD" w:rsidRPr="00DA7BB2" w:rsidRDefault="00E772DD" w:rsidP="008547A4">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L’essor du travail indépendant a conduit au développement de plateformes spécialisées dans le recrutement de freelances, comme</w:t>
      </w:r>
      <w:r w:rsidRPr="00DA7BB2">
        <w:rPr>
          <w:rStyle w:val="apple-converted-space"/>
          <w:rFonts w:asciiTheme="majorBidi" w:hAnsiTheme="majorBidi" w:cstheme="majorBidi"/>
          <w:color w:val="000000"/>
          <w:lang w:val="fr-FR"/>
        </w:rPr>
        <w:t> </w:t>
      </w:r>
      <w:proofErr w:type="spellStart"/>
      <w:r w:rsidRPr="00DA7BB2">
        <w:rPr>
          <w:rStyle w:val="lev"/>
          <w:rFonts w:asciiTheme="majorBidi" w:hAnsiTheme="majorBidi" w:cstheme="majorBidi"/>
          <w:b w:val="0"/>
          <w:bCs w:val="0"/>
          <w:color w:val="000000"/>
          <w:lang w:val="fr-FR"/>
        </w:rPr>
        <w:t>Upwork</w:t>
      </w:r>
      <w:proofErr w:type="spellEnd"/>
      <w:r w:rsidRPr="00DA7BB2">
        <w:rPr>
          <w:rFonts w:asciiTheme="majorBidi" w:hAnsiTheme="majorBidi" w:cstheme="majorBidi"/>
          <w:b/>
          <w:bCs/>
          <w:color w:val="000000"/>
          <w:lang w:val="fr-FR"/>
        </w:rPr>
        <w:t>,</w:t>
      </w:r>
      <w:r w:rsidRPr="00DA7BB2">
        <w:rPr>
          <w:rStyle w:val="apple-converted-space"/>
          <w:rFonts w:asciiTheme="majorBidi" w:hAnsiTheme="majorBidi" w:cstheme="majorBidi"/>
          <w:b/>
          <w:bCs/>
          <w:color w:val="000000"/>
          <w:lang w:val="fr-FR"/>
        </w:rPr>
        <w:t> </w:t>
      </w:r>
      <w:r w:rsidRPr="00DA7BB2">
        <w:rPr>
          <w:rStyle w:val="lev"/>
          <w:rFonts w:asciiTheme="majorBidi" w:hAnsiTheme="majorBidi" w:cstheme="majorBidi"/>
          <w:b w:val="0"/>
          <w:bCs w:val="0"/>
          <w:color w:val="000000"/>
          <w:lang w:val="fr-FR"/>
        </w:rPr>
        <w:t>Malt</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ou</w:t>
      </w:r>
      <w:r w:rsidRPr="00DA7BB2">
        <w:rPr>
          <w:rStyle w:val="apple-converted-space"/>
          <w:rFonts w:asciiTheme="majorBidi" w:hAnsiTheme="majorBidi" w:cstheme="majorBidi"/>
          <w:color w:val="000000"/>
          <w:lang w:val="fr-FR"/>
        </w:rPr>
        <w:t> </w:t>
      </w:r>
      <w:proofErr w:type="spellStart"/>
      <w:r w:rsidRPr="00DA7BB2">
        <w:rPr>
          <w:rStyle w:val="lev"/>
          <w:rFonts w:asciiTheme="majorBidi" w:hAnsiTheme="majorBidi" w:cstheme="majorBidi"/>
          <w:b w:val="0"/>
          <w:bCs w:val="0"/>
          <w:color w:val="000000"/>
          <w:lang w:val="fr-FR"/>
        </w:rPr>
        <w:t>Toptal</w:t>
      </w:r>
      <w:proofErr w:type="spellEnd"/>
      <w:r w:rsidRPr="00DA7BB2">
        <w:rPr>
          <w:rFonts w:asciiTheme="majorBidi" w:hAnsiTheme="majorBidi" w:cstheme="majorBidi"/>
          <w:color w:val="000000"/>
          <w:lang w:val="fr-FR"/>
        </w:rPr>
        <w:t>. Ces sites permettent aux entreprises de trouver des experts pour des missions spécifiques et d'interagir directement avec eux sans passer par des processus de recrutement classiques</w:t>
      </w:r>
      <w:r w:rsidR="008547A4">
        <w:rPr>
          <w:rFonts w:asciiTheme="majorBidi" w:hAnsiTheme="majorBidi" w:cstheme="majorBidi"/>
          <w:color w:val="000000"/>
          <w:lang w:val="fr-FR"/>
        </w:rPr>
        <w:t>.</w:t>
      </w:r>
      <w:r w:rsidRPr="00DA7BB2">
        <w:rPr>
          <w:rStyle w:val="Appelnotedebasdep"/>
          <w:rFonts w:cstheme="majorBidi"/>
          <w:color w:val="000000"/>
          <w:lang w:val="fr-FR"/>
        </w:rPr>
        <w:footnoteReference w:id="304"/>
      </w:r>
    </w:p>
    <w:p w:rsidR="00E772DD" w:rsidRPr="008547A4" w:rsidRDefault="00E772DD" w:rsidP="004D32AC">
      <w:pPr>
        <w:pStyle w:val="Titre3"/>
        <w:keepNext/>
        <w:keepLines/>
        <w:numPr>
          <w:ilvl w:val="0"/>
          <w:numId w:val="108"/>
        </w:numPr>
        <w:tabs>
          <w:tab w:val="num" w:pos="644"/>
        </w:tabs>
        <w:spacing w:before="40" w:beforeAutospacing="0" w:after="0" w:afterAutospacing="0" w:line="360" w:lineRule="auto"/>
        <w:ind w:left="644"/>
        <w:jc w:val="both"/>
        <w:rPr>
          <w:rFonts w:asciiTheme="majorBidi" w:hAnsiTheme="majorBidi"/>
          <w:b w:val="0"/>
          <w:bCs w:val="0"/>
          <w:color w:val="000000"/>
          <w:sz w:val="24"/>
          <w:szCs w:val="24"/>
          <w:lang w:val="fr-FR"/>
        </w:rPr>
      </w:pPr>
      <w:bookmarkStart w:id="1631" w:name="_Toc199714463"/>
      <w:bookmarkStart w:id="1632" w:name="_Toc200486741"/>
      <w:bookmarkStart w:id="1633" w:name="_Toc200635517"/>
      <w:bookmarkStart w:id="1634" w:name="_Toc200635905"/>
      <w:bookmarkStart w:id="1635" w:name="_Toc200636294"/>
      <w:bookmarkStart w:id="1636" w:name="_Toc200756032"/>
      <w:r w:rsidRPr="008547A4">
        <w:rPr>
          <w:rStyle w:val="lev"/>
          <w:rFonts w:asciiTheme="majorBidi" w:hAnsiTheme="majorBidi"/>
          <w:b/>
          <w:bCs/>
          <w:color w:val="000000"/>
          <w:sz w:val="24"/>
          <w:szCs w:val="24"/>
          <w:lang w:val="fr-FR"/>
        </w:rPr>
        <w:t>Les solutions ERP dédiées aux RH</w:t>
      </w:r>
      <w:bookmarkEnd w:id="1631"/>
      <w:bookmarkEnd w:id="1632"/>
      <w:bookmarkEnd w:id="1633"/>
      <w:bookmarkEnd w:id="1634"/>
      <w:bookmarkEnd w:id="1635"/>
      <w:bookmarkEnd w:id="1636"/>
    </w:p>
    <w:p w:rsidR="00E772DD" w:rsidRPr="00DA7BB2" w:rsidRDefault="00E772DD" w:rsidP="008547A4">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Enterprise Resource Planning (ERP)</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intègrent souvent des modules dédiés au recrutement, facilitant ainsi la gestion des candidatures au sein de l’organisation. Des solutions comme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SAP</w:t>
      </w:r>
      <w:r w:rsidRPr="00DA7BB2">
        <w:rPr>
          <w:rStyle w:val="lev"/>
          <w:rFonts w:asciiTheme="majorBidi" w:hAnsiTheme="majorBidi" w:cstheme="majorBidi"/>
          <w:color w:val="000000"/>
          <w:lang w:val="fr-FR"/>
        </w:rPr>
        <w:t xml:space="preserve"> </w:t>
      </w:r>
      <w:proofErr w:type="spellStart"/>
      <w:r w:rsidRPr="00DA7BB2">
        <w:rPr>
          <w:rStyle w:val="lev"/>
          <w:rFonts w:asciiTheme="majorBidi" w:hAnsiTheme="majorBidi" w:cstheme="majorBidi"/>
          <w:b w:val="0"/>
          <w:bCs w:val="0"/>
          <w:color w:val="000000"/>
          <w:lang w:val="fr-FR"/>
        </w:rPr>
        <w:t>SuccessFactors</w:t>
      </w:r>
      <w:proofErr w:type="spellEnd"/>
      <w:r w:rsidRPr="00DA7BB2">
        <w:rPr>
          <w:rFonts w:asciiTheme="majorBidi" w:hAnsiTheme="majorBidi" w:cstheme="majorBidi"/>
          <w:b/>
          <w:bCs/>
          <w:color w:val="000000"/>
          <w:lang w:val="fr-FR"/>
        </w:rPr>
        <w:t>,</w:t>
      </w:r>
      <w:r w:rsidRPr="00DA7BB2">
        <w:rPr>
          <w:rStyle w:val="apple-converted-space"/>
          <w:rFonts w:asciiTheme="majorBidi" w:hAnsiTheme="majorBidi" w:cstheme="majorBidi"/>
          <w:b/>
          <w:bCs/>
          <w:color w:val="000000"/>
          <w:lang w:val="fr-FR"/>
        </w:rPr>
        <w:t> </w:t>
      </w:r>
      <w:proofErr w:type="spellStart"/>
      <w:r w:rsidRPr="00DA7BB2">
        <w:rPr>
          <w:rStyle w:val="lev"/>
          <w:rFonts w:asciiTheme="majorBidi" w:hAnsiTheme="majorBidi" w:cstheme="majorBidi"/>
          <w:b w:val="0"/>
          <w:bCs w:val="0"/>
          <w:color w:val="000000"/>
          <w:lang w:val="fr-FR"/>
        </w:rPr>
        <w:t>Workday</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ou</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Odoo</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permettent une gestion optimisée des talents en centralisant toutes les données RH</w:t>
      </w:r>
      <w:r w:rsidR="008547A4">
        <w:rPr>
          <w:rFonts w:asciiTheme="majorBidi" w:hAnsiTheme="majorBidi" w:cstheme="majorBidi"/>
          <w:color w:val="000000"/>
          <w:lang w:val="fr-FR"/>
        </w:rPr>
        <w:t xml:space="preserve">. </w:t>
      </w:r>
      <w:r w:rsidRPr="00DA7BB2">
        <w:rPr>
          <w:rFonts w:asciiTheme="majorBidi" w:hAnsiTheme="majorBidi" w:cstheme="majorBidi"/>
          <w:color w:val="000000"/>
          <w:lang w:val="fr-FR"/>
        </w:rPr>
        <w:t>L'intégration de ces outils dans le processus de recrutement permet aux entreprises d'améliorer leur efficacité, d'élargir leur portée et d'optimiser l'expérience candidat.</w:t>
      </w:r>
      <w:r w:rsidR="008547A4">
        <w:rPr>
          <w:rStyle w:val="Appelnotedebasdep"/>
          <w:rFonts w:cstheme="majorBidi"/>
          <w:color w:val="000000"/>
          <w:lang w:val="fr-FR"/>
        </w:rPr>
        <w:footnoteReference w:id="305"/>
      </w:r>
    </w:p>
    <w:p w:rsidR="00E772DD" w:rsidRPr="00005E0E" w:rsidRDefault="00E772DD" w:rsidP="004D32AC">
      <w:pPr>
        <w:pStyle w:val="Titre4"/>
        <w:numPr>
          <w:ilvl w:val="0"/>
          <w:numId w:val="108"/>
        </w:numPr>
        <w:tabs>
          <w:tab w:val="num" w:pos="644"/>
        </w:tabs>
        <w:spacing w:line="360" w:lineRule="auto"/>
        <w:ind w:left="644"/>
        <w:jc w:val="both"/>
        <w:rPr>
          <w:rFonts w:asciiTheme="majorBidi" w:hAnsiTheme="majorBidi"/>
          <w:i w:val="0"/>
          <w:iCs w:val="0"/>
          <w:color w:val="000000"/>
          <w:lang w:val="fr-FR"/>
        </w:rPr>
      </w:pPr>
      <w:r w:rsidRPr="00005E0E">
        <w:rPr>
          <w:rStyle w:val="lev"/>
          <w:rFonts w:asciiTheme="majorBidi" w:hAnsiTheme="majorBidi"/>
          <w:i w:val="0"/>
          <w:iCs w:val="0"/>
          <w:color w:val="000000"/>
          <w:lang w:val="fr-FR"/>
        </w:rPr>
        <w:t>L’entretien en visioconférence</w:t>
      </w:r>
    </w:p>
    <w:p w:rsidR="00E772DD" w:rsidRPr="00DA7BB2" w:rsidRDefault="00E772DD" w:rsidP="00005E0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plateformes comme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 xml:space="preserve">Zoom, Microsoft Teams, Skype ou Google </w:t>
      </w:r>
      <w:proofErr w:type="spellStart"/>
      <w:r w:rsidRPr="00DA7BB2">
        <w:rPr>
          <w:rStyle w:val="lev"/>
          <w:rFonts w:asciiTheme="majorBidi" w:hAnsiTheme="majorBidi" w:cstheme="majorBidi"/>
          <w:b w:val="0"/>
          <w:bCs w:val="0"/>
          <w:color w:val="000000"/>
          <w:lang w:val="fr-FR"/>
        </w:rPr>
        <w:t>Meet</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sont largement utilisées pour mener des entretiens en temps réel. Ces outils offrent diverses fonctionnalités, comme l’enregistrement des sessions pour une évaluation ultérieure, le partage d’écran pour </w:t>
      </w:r>
      <w:r w:rsidRPr="00DA7BB2">
        <w:rPr>
          <w:rFonts w:asciiTheme="majorBidi" w:hAnsiTheme="majorBidi" w:cstheme="majorBidi"/>
          <w:color w:val="000000"/>
          <w:lang w:val="fr-FR"/>
        </w:rPr>
        <w:lastRenderedPageBreak/>
        <w:t>tester des compétences techniques, ou encore la programmation automatique des rendez-vous</w:t>
      </w:r>
      <w:r w:rsidR="008547A4">
        <w:rPr>
          <w:rFonts w:asciiTheme="majorBidi" w:hAnsiTheme="majorBidi" w:cstheme="majorBidi"/>
          <w:color w:val="000000"/>
          <w:lang w:val="fr-FR"/>
        </w:rPr>
        <w:t>.</w:t>
      </w:r>
      <w:r w:rsidRPr="00DA7BB2">
        <w:rPr>
          <w:rStyle w:val="Appelnotedebasdep"/>
          <w:rFonts w:cstheme="majorBidi"/>
          <w:color w:val="000000"/>
          <w:lang w:val="fr-FR"/>
        </w:rPr>
        <w:footnoteReference w:id="306"/>
      </w:r>
    </w:p>
    <w:p w:rsidR="00E772DD" w:rsidRPr="0091398F" w:rsidRDefault="00E772DD" w:rsidP="00A12CEC">
      <w:pPr>
        <w:pStyle w:val="NormalWeb"/>
        <w:spacing w:line="360" w:lineRule="auto"/>
        <w:jc w:val="center"/>
        <w:rPr>
          <w:rFonts w:asciiTheme="majorBidi" w:hAnsiTheme="majorBidi" w:cstheme="majorBidi"/>
          <w:color w:val="000000"/>
          <w:lang w:val="fr-FR"/>
        </w:rPr>
      </w:pPr>
      <w:r w:rsidRPr="00A12CEC">
        <w:rPr>
          <w:rFonts w:asciiTheme="majorBidi" w:hAnsiTheme="majorBidi" w:cstheme="majorBidi"/>
          <w:b/>
          <w:bCs/>
          <w:noProof/>
          <w:color w:val="000000"/>
          <w:lang w:val="fr-FR"/>
          <w14:ligatures w14:val="standardContextual"/>
        </w:rPr>
        <w:drawing>
          <wp:anchor distT="0" distB="0" distL="114300" distR="114300" simplePos="0" relativeHeight="251679744" behindDoc="0" locked="0" layoutInCell="1" allowOverlap="1" wp14:anchorId="19BA82C4" wp14:editId="233749D5">
            <wp:simplePos x="0" y="0"/>
            <wp:positionH relativeFrom="column">
              <wp:posOffset>963930</wp:posOffset>
            </wp:positionH>
            <wp:positionV relativeFrom="paragraph">
              <wp:posOffset>368935</wp:posOffset>
            </wp:positionV>
            <wp:extent cx="3702685" cy="2225040"/>
            <wp:effectExtent l="0" t="0" r="5715" b="0"/>
            <wp:wrapTopAndBottom/>
            <wp:docPr id="1284773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73194" name="Picture 1284773194"/>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702685" cy="2225040"/>
                    </a:xfrm>
                    <a:prstGeom prst="rect">
                      <a:avLst/>
                    </a:prstGeom>
                  </pic:spPr>
                </pic:pic>
              </a:graphicData>
            </a:graphic>
            <wp14:sizeRelH relativeFrom="page">
              <wp14:pctWidth>0</wp14:pctWidth>
            </wp14:sizeRelH>
            <wp14:sizeRelV relativeFrom="page">
              <wp14:pctHeight>0</wp14:pctHeight>
            </wp14:sizeRelV>
          </wp:anchor>
        </w:drawing>
      </w:r>
      <w:r w:rsidRPr="00A12CEC">
        <w:rPr>
          <w:rFonts w:asciiTheme="majorBidi" w:hAnsiTheme="majorBidi" w:cstheme="majorBidi"/>
          <w:b/>
          <w:bCs/>
          <w:color w:val="000000"/>
          <w:lang w:val="fr-FR"/>
        </w:rPr>
        <w:t xml:space="preserve">Figure </w:t>
      </w:r>
      <w:r>
        <w:rPr>
          <w:rFonts w:asciiTheme="majorBidi" w:hAnsiTheme="majorBidi" w:cstheme="majorBidi"/>
          <w:b/>
          <w:bCs/>
          <w:color w:val="000000"/>
          <w:lang w:val="fr-FR"/>
        </w:rPr>
        <w:t xml:space="preserve">N°26 </w:t>
      </w:r>
      <w:r w:rsidRPr="00A12CEC">
        <w:rPr>
          <w:rFonts w:asciiTheme="majorBidi" w:hAnsiTheme="majorBidi" w:cstheme="majorBidi"/>
          <w:b/>
          <w:bCs/>
          <w:color w:val="000000"/>
          <w:lang w:val="fr-FR"/>
        </w:rPr>
        <w:t xml:space="preserve">: </w:t>
      </w:r>
      <w:r w:rsidRPr="0091398F">
        <w:rPr>
          <w:rFonts w:asciiTheme="majorBidi" w:hAnsiTheme="majorBidi" w:cstheme="majorBidi"/>
          <w:color w:val="000000"/>
          <w:lang w:val="fr-FR"/>
        </w:rPr>
        <w:t>Exemple d’entretien à distance</w:t>
      </w:r>
    </w:p>
    <w:p w:rsidR="00E772DD" w:rsidRPr="00DA7BB2" w:rsidRDefault="00E772DD" w:rsidP="00DA7BB2">
      <w:pPr>
        <w:pStyle w:val="NormalWeb"/>
        <w:spacing w:line="360" w:lineRule="auto"/>
        <w:jc w:val="both"/>
        <w:rPr>
          <w:rFonts w:asciiTheme="majorBidi" w:hAnsiTheme="majorBidi" w:cstheme="majorBidi"/>
          <w:color w:val="000000"/>
          <w:lang w:val="fr-FR"/>
        </w:rPr>
      </w:pPr>
    </w:p>
    <w:p w:rsidR="00E772DD" w:rsidRPr="005B2A02" w:rsidRDefault="00E772DD" w:rsidP="00A12CEC">
      <w:pPr>
        <w:pStyle w:val="NormalWeb"/>
        <w:spacing w:line="360" w:lineRule="auto"/>
        <w:jc w:val="center"/>
        <w:rPr>
          <w:rFonts w:asciiTheme="majorBidi" w:hAnsiTheme="majorBidi" w:cstheme="majorBidi"/>
          <w:color w:val="000000"/>
          <w:lang w:val="en-US"/>
        </w:rPr>
      </w:pPr>
      <w:r w:rsidRPr="00DA7BB2">
        <w:rPr>
          <w:rFonts w:asciiTheme="majorBidi" w:hAnsiTheme="majorBidi" w:cstheme="majorBidi"/>
          <w:b/>
          <w:bCs/>
          <w:color w:val="000000"/>
          <w:lang w:val="fr-FR"/>
        </w:rPr>
        <w:t>Source :</w:t>
      </w:r>
      <w:r w:rsidRPr="00DA7BB2">
        <w:rPr>
          <w:rFonts w:asciiTheme="majorBidi" w:hAnsiTheme="majorBidi" w:cstheme="majorBidi"/>
          <w:lang w:val="fr-FR"/>
        </w:rPr>
        <w:t xml:space="preserve"> </w:t>
      </w:r>
      <w:r w:rsidRPr="00DA7BB2">
        <w:rPr>
          <w:rFonts w:asciiTheme="majorBidi" w:hAnsiTheme="majorBidi" w:cstheme="majorBidi"/>
          <w:color w:val="000000"/>
          <w:lang w:val="fr-FR"/>
        </w:rPr>
        <w:t xml:space="preserve">Goudou, G. (2022, 23 décembre). Recrutement : les erreurs à éviter lors des entretiens à distance. </w:t>
      </w:r>
      <w:r w:rsidRPr="005B2A02">
        <w:rPr>
          <w:rFonts w:asciiTheme="majorBidi" w:hAnsiTheme="majorBidi" w:cstheme="majorBidi"/>
          <w:color w:val="000000"/>
          <w:lang w:val="en-US"/>
        </w:rPr>
        <w:t xml:space="preserve">Business Cool. </w:t>
      </w:r>
      <w:hyperlink r:id="rId94" w:history="1">
        <w:r w:rsidRPr="005B2A02">
          <w:rPr>
            <w:rStyle w:val="Lienhypertexte"/>
            <w:rFonts w:asciiTheme="majorBidi" w:eastAsiaTheme="majorEastAsia" w:hAnsiTheme="majorBidi"/>
            <w:lang w:val="en-US"/>
          </w:rPr>
          <w:t>https://business-cool.com/vie-pro/recrutement/erreur-eviter-entretiens-a-distance/</w:t>
        </w:r>
      </w:hyperlink>
    </w:p>
    <w:p w:rsidR="00E772DD" w:rsidRPr="00DA7BB2" w:rsidRDefault="00E772DD" w:rsidP="00DA7BB2">
      <w:pPr>
        <w:spacing w:before="100" w:beforeAutospacing="1"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L'intégration de ces outils dans le processus de recrutement permet aux entreprises d'améliorer leur efficacité, d'élargir leur portée et d'optimiser l'expérience candidat.</w:t>
      </w:r>
    </w:p>
    <w:p w:rsidR="00E772DD" w:rsidRPr="00AF6BD8" w:rsidRDefault="00AF6BD8" w:rsidP="004D32AC">
      <w:pPr>
        <w:pStyle w:val="Titre3"/>
        <w:numPr>
          <w:ilvl w:val="1"/>
          <w:numId w:val="97"/>
        </w:numPr>
        <w:spacing w:after="0" w:afterAutospacing="0" w:line="360" w:lineRule="auto"/>
        <w:rPr>
          <w:sz w:val="24"/>
          <w:szCs w:val="24"/>
          <w:lang w:val="fr-FR"/>
        </w:rPr>
      </w:pPr>
      <w:r>
        <w:rPr>
          <w:sz w:val="24"/>
          <w:szCs w:val="24"/>
          <w:lang w:val="fr-FR"/>
        </w:rPr>
        <w:t xml:space="preserve"> </w:t>
      </w:r>
      <w:bookmarkStart w:id="1637" w:name="_Toc199714464"/>
      <w:bookmarkStart w:id="1638" w:name="_Toc200486742"/>
      <w:bookmarkStart w:id="1639" w:name="_Toc200635518"/>
      <w:bookmarkStart w:id="1640" w:name="_Toc200635906"/>
      <w:bookmarkStart w:id="1641" w:name="_Toc200636295"/>
      <w:bookmarkStart w:id="1642" w:name="_Toc200756033"/>
      <w:r w:rsidR="00E772DD" w:rsidRPr="00AF6BD8">
        <w:rPr>
          <w:sz w:val="24"/>
          <w:szCs w:val="24"/>
          <w:lang w:val="fr-FR"/>
        </w:rPr>
        <w:t>Le processus de l’e-recrutement</w:t>
      </w:r>
      <w:bookmarkEnd w:id="1637"/>
      <w:bookmarkEnd w:id="1638"/>
      <w:bookmarkEnd w:id="1639"/>
      <w:bookmarkEnd w:id="1640"/>
      <w:bookmarkEnd w:id="1641"/>
      <w:bookmarkEnd w:id="1642"/>
    </w:p>
    <w:p w:rsidR="00E772DD" w:rsidRPr="00DA7BB2" w:rsidRDefault="00E772DD" w:rsidP="00005E0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L’e-recrutement désigne l’ensemble des pratiques de recrutement utilisant les technologies numériques pour identifier, attirer, évaluer et sélectionner les candidats. Grâce aux outils digitaux, ce processus devient plus rapide, plus efficace et plus accessible à un large vivier de talents.</w:t>
      </w:r>
    </w:p>
    <w:p w:rsidR="00E772DD" w:rsidRDefault="00E772DD" w:rsidP="00DA7BB2">
      <w:pPr>
        <w:pStyle w:val="NormalWeb"/>
        <w:spacing w:line="360" w:lineRule="auto"/>
        <w:jc w:val="both"/>
        <w:rPr>
          <w:rFonts w:asciiTheme="majorBidi" w:hAnsiTheme="majorBidi" w:cstheme="majorBidi"/>
          <w:b/>
          <w:bCs/>
          <w:color w:val="000000"/>
          <w:lang w:val="fr-FR"/>
        </w:rPr>
      </w:pPr>
    </w:p>
    <w:p w:rsidR="00E772DD" w:rsidRDefault="00E772DD" w:rsidP="00DA7BB2">
      <w:pPr>
        <w:pStyle w:val="NormalWeb"/>
        <w:spacing w:line="360" w:lineRule="auto"/>
        <w:jc w:val="both"/>
        <w:rPr>
          <w:rFonts w:asciiTheme="majorBidi" w:hAnsiTheme="majorBidi" w:cstheme="majorBidi"/>
          <w:b/>
          <w:bCs/>
          <w:color w:val="000000"/>
          <w:lang w:val="fr-FR"/>
        </w:rPr>
      </w:pPr>
    </w:p>
    <w:p w:rsidR="00E772DD" w:rsidRDefault="00E772DD" w:rsidP="00DA7BB2">
      <w:pPr>
        <w:pStyle w:val="NormalWeb"/>
        <w:spacing w:line="360" w:lineRule="auto"/>
        <w:jc w:val="both"/>
        <w:rPr>
          <w:rFonts w:asciiTheme="majorBidi" w:hAnsiTheme="majorBidi" w:cstheme="majorBidi"/>
          <w:b/>
          <w:bCs/>
          <w:color w:val="000000"/>
          <w:lang w:val="fr-FR"/>
        </w:rPr>
      </w:pPr>
    </w:p>
    <w:p w:rsidR="00E772DD" w:rsidRPr="00DA7BB2" w:rsidRDefault="00E772DD" w:rsidP="0091398F">
      <w:pPr>
        <w:pStyle w:val="NormalWeb"/>
        <w:spacing w:line="360" w:lineRule="auto"/>
        <w:jc w:val="center"/>
        <w:rPr>
          <w:rFonts w:asciiTheme="majorBidi" w:hAnsiTheme="majorBidi" w:cstheme="majorBidi"/>
          <w:color w:val="000000"/>
          <w:lang w:val="fr-FR"/>
        </w:rPr>
      </w:pPr>
      <w:r w:rsidRPr="00DA7BB2">
        <w:rPr>
          <w:rFonts w:asciiTheme="majorBidi" w:hAnsiTheme="majorBidi" w:cstheme="majorBidi"/>
          <w:b/>
          <w:bCs/>
          <w:color w:val="000000"/>
          <w:lang w:val="fr-FR"/>
        </w:rPr>
        <w:lastRenderedPageBreak/>
        <w:t>Figure</w:t>
      </w:r>
      <w:r>
        <w:rPr>
          <w:rFonts w:asciiTheme="majorBidi" w:hAnsiTheme="majorBidi" w:cstheme="majorBidi"/>
          <w:b/>
          <w:bCs/>
          <w:color w:val="000000"/>
          <w:lang w:val="fr-FR"/>
        </w:rPr>
        <w:t xml:space="preserve"> N°27 </w:t>
      </w:r>
      <w:r w:rsidRPr="00DA7BB2">
        <w:rPr>
          <w:rFonts w:asciiTheme="majorBidi" w:hAnsiTheme="majorBidi" w:cstheme="majorBidi"/>
          <w:b/>
          <w:bCs/>
          <w:color w:val="000000"/>
          <w:lang w:val="fr-FR"/>
        </w:rPr>
        <w:t>:</w:t>
      </w:r>
      <w:r w:rsidRPr="00DA7BB2">
        <w:rPr>
          <w:rFonts w:asciiTheme="majorBidi" w:hAnsiTheme="majorBidi" w:cstheme="majorBidi"/>
          <w:color w:val="000000"/>
          <w:lang w:val="fr-FR"/>
        </w:rPr>
        <w:t xml:space="preserve"> </w:t>
      </w:r>
      <w:r w:rsidRPr="0091398F">
        <w:rPr>
          <w:rFonts w:asciiTheme="majorBidi" w:hAnsiTheme="majorBidi" w:cstheme="majorBidi"/>
          <w:color w:val="000000"/>
          <w:lang w:val="fr-FR"/>
        </w:rPr>
        <w:t>Engager, attirer et convertir sont les maîtres mots du recruteur moderne</w:t>
      </w:r>
    </w:p>
    <w:p w:rsidR="00E772DD" w:rsidRPr="00DA7BB2" w:rsidRDefault="00E772DD" w:rsidP="00DA7BB2">
      <w:pPr>
        <w:pStyle w:val="NormalWeb"/>
        <w:spacing w:line="360" w:lineRule="auto"/>
        <w:jc w:val="both"/>
        <w:rPr>
          <w:rFonts w:asciiTheme="majorBidi" w:hAnsiTheme="majorBidi" w:cstheme="majorBidi"/>
          <w:color w:val="000000"/>
          <w:lang w:val="fr-FR"/>
        </w:rPr>
      </w:pPr>
      <w:r w:rsidRPr="00DA7BB2">
        <w:rPr>
          <w:rFonts w:asciiTheme="majorBidi" w:hAnsiTheme="majorBidi" w:cstheme="majorBidi"/>
          <w:noProof/>
          <w:color w:val="000000"/>
          <w:lang w:val="fr-FR"/>
          <w14:ligatures w14:val="standardContextual"/>
        </w:rPr>
        <w:drawing>
          <wp:anchor distT="0" distB="0" distL="114300" distR="114300" simplePos="0" relativeHeight="251680768" behindDoc="0" locked="0" layoutInCell="1" allowOverlap="1" wp14:anchorId="1B1845CD" wp14:editId="0D3A7FA6">
            <wp:simplePos x="0" y="0"/>
            <wp:positionH relativeFrom="column">
              <wp:posOffset>387828</wp:posOffset>
            </wp:positionH>
            <wp:positionV relativeFrom="paragraph">
              <wp:posOffset>85377</wp:posOffset>
            </wp:positionV>
            <wp:extent cx="4846955" cy="4168140"/>
            <wp:effectExtent l="0" t="0" r="4445" b="0"/>
            <wp:wrapTopAndBottom/>
            <wp:docPr id="2120001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001383" name="Picture 2120001383"/>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846955" cy="4168140"/>
                    </a:xfrm>
                    <a:prstGeom prst="rect">
                      <a:avLst/>
                    </a:prstGeom>
                  </pic:spPr>
                </pic:pic>
              </a:graphicData>
            </a:graphic>
            <wp14:sizeRelH relativeFrom="page">
              <wp14:pctWidth>0</wp14:pctWidth>
            </wp14:sizeRelH>
            <wp14:sizeRelV relativeFrom="page">
              <wp14:pctHeight>0</wp14:pctHeight>
            </wp14:sizeRelV>
          </wp:anchor>
        </w:drawing>
      </w:r>
    </w:p>
    <w:p w:rsidR="00E772DD" w:rsidRPr="005B2A02" w:rsidRDefault="00E772DD" w:rsidP="0091398F">
      <w:pPr>
        <w:pStyle w:val="NormalWeb"/>
        <w:spacing w:line="360" w:lineRule="auto"/>
        <w:jc w:val="center"/>
        <w:rPr>
          <w:rFonts w:asciiTheme="majorBidi" w:hAnsiTheme="majorBidi" w:cstheme="majorBidi"/>
          <w:color w:val="000000"/>
        </w:rPr>
      </w:pPr>
      <w:r w:rsidRPr="00DA7BB2">
        <w:rPr>
          <w:rFonts w:asciiTheme="majorBidi" w:hAnsiTheme="majorBidi" w:cstheme="majorBidi"/>
          <w:b/>
          <w:bCs/>
          <w:color w:val="000000"/>
          <w:lang w:val="fr-FR"/>
        </w:rPr>
        <w:t xml:space="preserve">Source : </w:t>
      </w:r>
      <w:r w:rsidRPr="00DA7BB2">
        <w:rPr>
          <w:rFonts w:asciiTheme="majorBidi" w:hAnsiTheme="majorBidi" w:cstheme="majorBidi"/>
          <w:color w:val="000000"/>
          <w:lang w:val="fr-FR"/>
        </w:rPr>
        <w:t xml:space="preserve">Vigneron, G. (s. d.). E-recrutement, recrutement 2.0, recrutement 3.0 : quelles différences ?  </w:t>
      </w:r>
      <w:hyperlink r:id="rId96" w:history="1">
        <w:r w:rsidRPr="005B2A02">
          <w:rPr>
            <w:rStyle w:val="Lienhypertexte"/>
            <w:rFonts w:asciiTheme="majorBidi" w:eastAsiaTheme="majorEastAsia" w:hAnsiTheme="majorBidi"/>
          </w:rPr>
          <w:t>https://inbound.lasuperagence.com/blog/e-recrutement-recrutement-2.0-recrutement-3.0-inbound-recruiting</w:t>
        </w:r>
      </w:hyperlink>
    </w:p>
    <w:p w:rsidR="00E772DD" w:rsidRPr="00AF6BD8" w:rsidRDefault="00E772DD" w:rsidP="004D32AC">
      <w:pPr>
        <w:pStyle w:val="Titre3"/>
        <w:numPr>
          <w:ilvl w:val="2"/>
          <w:numId w:val="97"/>
        </w:numPr>
        <w:spacing w:after="0" w:afterAutospacing="0" w:line="360" w:lineRule="auto"/>
        <w:rPr>
          <w:sz w:val="24"/>
          <w:szCs w:val="24"/>
          <w:lang w:val="fr-FR"/>
        </w:rPr>
      </w:pPr>
      <w:bookmarkStart w:id="1643" w:name="_Toc199714465"/>
      <w:bookmarkStart w:id="1644" w:name="_Toc200486743"/>
      <w:bookmarkStart w:id="1645" w:name="_Toc200635519"/>
      <w:bookmarkStart w:id="1646" w:name="_Toc200635907"/>
      <w:bookmarkStart w:id="1647" w:name="_Toc200636296"/>
      <w:bookmarkStart w:id="1648" w:name="_Toc200756034"/>
      <w:r w:rsidRPr="00AF6BD8">
        <w:rPr>
          <w:sz w:val="24"/>
          <w:szCs w:val="24"/>
          <w:lang w:val="fr-FR"/>
        </w:rPr>
        <w:t>Identification des besoins et rédaction de l’offre d’emploi</w:t>
      </w:r>
      <w:bookmarkEnd w:id="1643"/>
      <w:bookmarkEnd w:id="1644"/>
      <w:bookmarkEnd w:id="1645"/>
      <w:bookmarkEnd w:id="1646"/>
      <w:bookmarkEnd w:id="1647"/>
      <w:bookmarkEnd w:id="1648"/>
    </w:p>
    <w:p w:rsidR="00E772DD" w:rsidRPr="00DA7BB2" w:rsidRDefault="00E772DD" w:rsidP="008547A4">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Avant de publier une offre d’emploi, les recruteurs doivent définir précisément les</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compétences recherchées, les missions et le profil du candidat idéal</w:t>
      </w:r>
      <w:r w:rsidRPr="00DA7BB2">
        <w:rPr>
          <w:rFonts w:asciiTheme="majorBidi" w:hAnsiTheme="majorBidi" w:cstheme="majorBidi"/>
          <w:color w:val="000000"/>
          <w:lang w:val="fr-FR"/>
        </w:rPr>
        <w:t>. Cette étape inclut :</w:t>
      </w:r>
    </w:p>
    <w:p w:rsidR="00E772DD" w:rsidRPr="00DA7BB2" w:rsidRDefault="00E772DD" w:rsidP="004D32AC">
      <w:pPr>
        <w:numPr>
          <w:ilvl w:val="0"/>
          <w:numId w:val="120"/>
        </w:numPr>
        <w:spacing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Analyse des besoins en recrutement</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Les entreprises utilisent des outils comme les ERP et les logiciels de gestion des talents pour anticiper les besoins en effectifs</w:t>
      </w:r>
      <w:r w:rsidR="008547A4">
        <w:rPr>
          <w:rFonts w:asciiTheme="majorBidi" w:hAnsiTheme="majorBidi" w:cstheme="majorBidi"/>
          <w:color w:val="000000"/>
          <w:lang w:val="fr-FR"/>
        </w:rPr>
        <w:t xml:space="preserve">. </w:t>
      </w:r>
      <w:r w:rsidRPr="00DA7BB2">
        <w:rPr>
          <w:rStyle w:val="Appelnotedebasdep"/>
          <w:rFonts w:cstheme="majorBidi"/>
          <w:color w:val="000000"/>
          <w:lang w:val="fr-FR"/>
        </w:rPr>
        <w:footnoteReference w:id="307"/>
      </w:r>
    </w:p>
    <w:p w:rsidR="00E772DD" w:rsidRPr="00DA7BB2" w:rsidRDefault="00E772DD" w:rsidP="004D32AC">
      <w:pPr>
        <w:numPr>
          <w:ilvl w:val="0"/>
          <w:numId w:val="120"/>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lastRenderedPageBreak/>
        <w:t>Rédaction de l’offre d’emploi optimisée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L’optimisation des annonces repose sur des techniques de</w:t>
      </w:r>
      <w:r w:rsidRPr="00DA7BB2">
        <w:rPr>
          <w:rStyle w:val="apple-converted-space"/>
          <w:rFonts w:asciiTheme="majorBidi" w:hAnsiTheme="majorBidi" w:cstheme="majorBidi"/>
          <w:color w:val="000000"/>
          <w:lang w:val="fr-FR"/>
        </w:rPr>
        <w:t> </w:t>
      </w:r>
      <w:proofErr w:type="spellStart"/>
      <w:r w:rsidRPr="008547A4">
        <w:rPr>
          <w:rStyle w:val="lev"/>
          <w:rFonts w:asciiTheme="majorBidi" w:hAnsiTheme="majorBidi" w:cstheme="majorBidi"/>
          <w:b w:val="0"/>
          <w:bCs w:val="0"/>
          <w:color w:val="000000"/>
          <w:lang w:val="fr-FR"/>
        </w:rPr>
        <w:t>Search</w:t>
      </w:r>
      <w:proofErr w:type="spellEnd"/>
      <w:r w:rsidRPr="008547A4">
        <w:rPr>
          <w:rStyle w:val="lev"/>
          <w:rFonts w:asciiTheme="majorBidi" w:hAnsiTheme="majorBidi" w:cstheme="majorBidi"/>
          <w:b w:val="0"/>
          <w:bCs w:val="0"/>
          <w:color w:val="000000"/>
          <w:lang w:val="fr-FR"/>
        </w:rPr>
        <w:t xml:space="preserve"> Engine </w:t>
      </w:r>
      <w:proofErr w:type="spellStart"/>
      <w:r w:rsidRPr="008547A4">
        <w:rPr>
          <w:rStyle w:val="lev"/>
          <w:rFonts w:asciiTheme="majorBidi" w:hAnsiTheme="majorBidi" w:cstheme="majorBidi"/>
          <w:b w:val="0"/>
          <w:bCs w:val="0"/>
          <w:color w:val="000000"/>
          <w:lang w:val="fr-FR"/>
        </w:rPr>
        <w:t>Optimi</w:t>
      </w:r>
      <w:r w:rsidR="008547A4">
        <w:rPr>
          <w:rStyle w:val="lev"/>
          <w:rFonts w:asciiTheme="majorBidi" w:hAnsiTheme="majorBidi" w:cstheme="majorBidi"/>
          <w:b w:val="0"/>
          <w:bCs w:val="0"/>
          <w:color w:val="000000"/>
          <w:lang w:val="fr-FR"/>
        </w:rPr>
        <w:t>z</w:t>
      </w:r>
      <w:r w:rsidRPr="008547A4">
        <w:rPr>
          <w:rStyle w:val="lev"/>
          <w:rFonts w:asciiTheme="majorBidi" w:hAnsiTheme="majorBidi" w:cstheme="majorBidi"/>
          <w:b w:val="0"/>
          <w:bCs w:val="0"/>
          <w:color w:val="000000"/>
          <w:lang w:val="fr-FR"/>
        </w:rPr>
        <w:t>ation</w:t>
      </w:r>
      <w:proofErr w:type="spellEnd"/>
      <w:r w:rsidRPr="008547A4">
        <w:rPr>
          <w:rStyle w:val="lev"/>
          <w:rFonts w:asciiTheme="majorBidi" w:hAnsiTheme="majorBidi" w:cstheme="majorBidi"/>
          <w:b w:val="0"/>
          <w:bCs w:val="0"/>
          <w:color w:val="000000"/>
          <w:lang w:val="fr-FR"/>
        </w:rPr>
        <w:t xml:space="preserve"> (SEO)</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pour améliorer leur visibilité sur les plateformes d’emploi</w:t>
      </w:r>
      <w:r w:rsidR="008547A4">
        <w:rPr>
          <w:rFonts w:asciiTheme="majorBidi" w:hAnsiTheme="majorBidi" w:cstheme="majorBidi"/>
          <w:color w:val="000000"/>
          <w:lang w:val="fr-FR"/>
        </w:rPr>
        <w:t>.</w:t>
      </w:r>
      <w:r w:rsidRPr="00DA7BB2">
        <w:rPr>
          <w:rStyle w:val="Appelnotedebasdep"/>
          <w:rFonts w:cstheme="majorBidi"/>
          <w:color w:val="000000"/>
          <w:lang w:val="fr-FR"/>
        </w:rPr>
        <w:footnoteReference w:id="308"/>
      </w:r>
    </w:p>
    <w:p w:rsidR="00E772DD" w:rsidRPr="00AF6BD8" w:rsidRDefault="00E772DD" w:rsidP="004D32AC">
      <w:pPr>
        <w:pStyle w:val="Titre3"/>
        <w:numPr>
          <w:ilvl w:val="2"/>
          <w:numId w:val="97"/>
        </w:numPr>
        <w:spacing w:after="0" w:afterAutospacing="0" w:line="360" w:lineRule="auto"/>
        <w:rPr>
          <w:sz w:val="24"/>
          <w:szCs w:val="24"/>
          <w:lang w:val="fr-FR"/>
        </w:rPr>
      </w:pPr>
      <w:bookmarkStart w:id="1649" w:name="_Toc199714466"/>
      <w:bookmarkStart w:id="1650" w:name="_Toc200486744"/>
      <w:bookmarkStart w:id="1651" w:name="_Toc200635520"/>
      <w:bookmarkStart w:id="1652" w:name="_Toc200635908"/>
      <w:bookmarkStart w:id="1653" w:name="_Toc200636297"/>
      <w:bookmarkStart w:id="1654" w:name="_Toc200756035"/>
      <w:r w:rsidRPr="00AF6BD8">
        <w:rPr>
          <w:sz w:val="24"/>
          <w:szCs w:val="24"/>
          <w:lang w:val="fr-FR"/>
        </w:rPr>
        <w:t>Diffusion de l’offre d’emploi sur les plateformes numériques</w:t>
      </w:r>
      <w:bookmarkEnd w:id="1649"/>
      <w:bookmarkEnd w:id="1650"/>
      <w:bookmarkEnd w:id="1651"/>
      <w:bookmarkEnd w:id="1652"/>
      <w:bookmarkEnd w:id="1653"/>
      <w:bookmarkEnd w:id="1654"/>
    </w:p>
    <w:p w:rsidR="00E772DD" w:rsidRPr="00DA7BB2" w:rsidRDefault="00E772DD" w:rsidP="00B93BD5">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offres sont diffusées sur plusieurs canaux digitaux afin d’atteindre un large public :</w:t>
      </w:r>
    </w:p>
    <w:p w:rsidR="00E772DD" w:rsidRPr="00DA7BB2" w:rsidRDefault="00E772DD" w:rsidP="004D32AC">
      <w:pPr>
        <w:numPr>
          <w:ilvl w:val="0"/>
          <w:numId w:val="121"/>
        </w:numPr>
        <w:spacing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Sites d’emploi généralistes et spécialisés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 LinkedIn, Indeed, </w:t>
      </w:r>
      <w:proofErr w:type="spellStart"/>
      <w:r w:rsidRPr="00DA7BB2">
        <w:rPr>
          <w:rFonts w:asciiTheme="majorBidi" w:hAnsiTheme="majorBidi" w:cstheme="majorBidi"/>
          <w:color w:val="000000"/>
          <w:lang w:val="fr-FR"/>
        </w:rPr>
        <w:t>Glassdoor</w:t>
      </w:r>
      <w:proofErr w:type="spellEnd"/>
      <w:r w:rsidRPr="00DA7BB2">
        <w:rPr>
          <w:rFonts w:asciiTheme="majorBidi" w:hAnsiTheme="majorBidi" w:cstheme="majorBidi"/>
          <w:color w:val="000000"/>
          <w:lang w:val="fr-FR"/>
        </w:rPr>
        <w:t>, Monster.</w:t>
      </w:r>
    </w:p>
    <w:p w:rsidR="00E772DD" w:rsidRPr="00DA7BB2" w:rsidRDefault="00E772DD" w:rsidP="004D32AC">
      <w:pPr>
        <w:numPr>
          <w:ilvl w:val="0"/>
          <w:numId w:val="121"/>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Réseaux sociaux professionnels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LinkedIn, Viadeo, Twitter.</w:t>
      </w:r>
    </w:p>
    <w:p w:rsidR="00E772DD" w:rsidRPr="00DA7BB2" w:rsidRDefault="00E772DD" w:rsidP="004D32AC">
      <w:pPr>
        <w:numPr>
          <w:ilvl w:val="0"/>
          <w:numId w:val="121"/>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Site carrière de l’entreprise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Optimisé pour attirer des candidats passifs et actifs.</w:t>
      </w:r>
    </w:p>
    <w:p w:rsidR="00E772DD" w:rsidRPr="00DA7BB2" w:rsidRDefault="00E772DD" w:rsidP="004D32AC">
      <w:pPr>
        <w:numPr>
          <w:ilvl w:val="0"/>
          <w:numId w:val="121"/>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Cooptation digitale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Programmes où les employés recommandent des candidats via des plateformes internes</w:t>
      </w:r>
      <w:r w:rsidR="008547A4">
        <w:rPr>
          <w:rFonts w:asciiTheme="majorBidi" w:hAnsiTheme="majorBidi" w:cstheme="majorBidi"/>
          <w:color w:val="000000"/>
          <w:lang w:val="fr-FR"/>
        </w:rPr>
        <w:t>.</w:t>
      </w:r>
      <w:r w:rsidRPr="00DA7BB2">
        <w:rPr>
          <w:rStyle w:val="Appelnotedebasdep"/>
          <w:rFonts w:cstheme="majorBidi"/>
          <w:color w:val="000000"/>
          <w:lang w:val="fr-FR"/>
        </w:rPr>
        <w:footnoteReference w:id="309"/>
      </w:r>
    </w:p>
    <w:p w:rsidR="00E772DD" w:rsidRPr="00AF6BD8" w:rsidRDefault="00E772DD" w:rsidP="004D32AC">
      <w:pPr>
        <w:pStyle w:val="Titre3"/>
        <w:numPr>
          <w:ilvl w:val="2"/>
          <w:numId w:val="97"/>
        </w:numPr>
        <w:spacing w:after="0" w:afterAutospacing="0" w:line="360" w:lineRule="auto"/>
        <w:rPr>
          <w:sz w:val="24"/>
          <w:szCs w:val="24"/>
          <w:lang w:val="fr-FR"/>
        </w:rPr>
      </w:pPr>
      <w:bookmarkStart w:id="1655" w:name="_Toc199714467"/>
      <w:bookmarkStart w:id="1656" w:name="_Toc200486745"/>
      <w:bookmarkStart w:id="1657" w:name="_Toc200635521"/>
      <w:bookmarkStart w:id="1658" w:name="_Toc200635909"/>
      <w:bookmarkStart w:id="1659" w:name="_Toc200636298"/>
      <w:bookmarkStart w:id="1660" w:name="_Toc200756036"/>
      <w:r w:rsidRPr="00AF6BD8">
        <w:rPr>
          <w:sz w:val="24"/>
          <w:szCs w:val="24"/>
          <w:lang w:val="fr-FR"/>
        </w:rPr>
        <w:t>Présélection des candidatures et tri automatisé</w:t>
      </w:r>
      <w:bookmarkEnd w:id="1655"/>
      <w:bookmarkEnd w:id="1656"/>
      <w:bookmarkEnd w:id="1657"/>
      <w:bookmarkEnd w:id="1658"/>
      <w:bookmarkEnd w:id="1659"/>
      <w:bookmarkEnd w:id="1660"/>
    </w:p>
    <w:p w:rsidR="00E772DD" w:rsidRPr="00DA7BB2" w:rsidRDefault="00E772DD" w:rsidP="001C29C7">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Grâce aux</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 xml:space="preserve">systèmes de gestion des candidatures (ATS – </w:t>
      </w:r>
      <w:proofErr w:type="spellStart"/>
      <w:r w:rsidRPr="00DA7BB2">
        <w:rPr>
          <w:rStyle w:val="lev"/>
          <w:rFonts w:asciiTheme="majorBidi" w:hAnsiTheme="majorBidi" w:cstheme="majorBidi"/>
          <w:b w:val="0"/>
          <w:bCs w:val="0"/>
          <w:color w:val="000000"/>
          <w:lang w:val="fr-FR"/>
        </w:rPr>
        <w:t>Applicant</w:t>
      </w:r>
      <w:proofErr w:type="spellEnd"/>
      <w:r w:rsidRPr="00DA7BB2">
        <w:rPr>
          <w:rStyle w:val="lev"/>
          <w:rFonts w:asciiTheme="majorBidi" w:hAnsiTheme="majorBidi" w:cstheme="majorBidi"/>
          <w:b w:val="0"/>
          <w:bCs w:val="0"/>
          <w:color w:val="000000"/>
          <w:lang w:val="fr-FR"/>
        </w:rPr>
        <w:t xml:space="preserve"> </w:t>
      </w:r>
      <w:proofErr w:type="spellStart"/>
      <w:r w:rsidRPr="00DA7BB2">
        <w:rPr>
          <w:rStyle w:val="lev"/>
          <w:rFonts w:asciiTheme="majorBidi" w:hAnsiTheme="majorBidi" w:cstheme="majorBidi"/>
          <w:b w:val="0"/>
          <w:bCs w:val="0"/>
          <w:color w:val="000000"/>
          <w:lang w:val="fr-FR"/>
        </w:rPr>
        <w:t>Tracking</w:t>
      </w:r>
      <w:proofErr w:type="spellEnd"/>
      <w:r w:rsidRPr="00DA7BB2">
        <w:rPr>
          <w:rStyle w:val="lev"/>
          <w:rFonts w:asciiTheme="majorBidi" w:hAnsiTheme="majorBidi" w:cstheme="majorBidi"/>
          <w:b w:val="0"/>
          <w:bCs w:val="0"/>
          <w:color w:val="000000"/>
          <w:lang w:val="fr-FR"/>
        </w:rPr>
        <w:t xml:space="preserve"> System)</w:t>
      </w:r>
      <w:r w:rsidRPr="00DA7BB2">
        <w:rPr>
          <w:rFonts w:asciiTheme="majorBidi" w:hAnsiTheme="majorBidi" w:cstheme="majorBidi"/>
          <w:color w:val="000000"/>
          <w:lang w:val="fr-FR"/>
        </w:rPr>
        <w:t>, les recruteurs peuvent filtrer les CV en fonction des critères prédéfinis :</w:t>
      </w:r>
    </w:p>
    <w:p w:rsidR="00E772DD" w:rsidRPr="00DA7BB2" w:rsidRDefault="00E772DD" w:rsidP="004D32AC">
      <w:pPr>
        <w:numPr>
          <w:ilvl w:val="0"/>
          <w:numId w:val="122"/>
        </w:numPr>
        <w:spacing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 xml:space="preserve">Mots-clés et </w:t>
      </w:r>
      <w:proofErr w:type="spellStart"/>
      <w:r w:rsidRPr="00DA7BB2">
        <w:rPr>
          <w:rStyle w:val="lev"/>
          <w:rFonts w:asciiTheme="majorBidi" w:hAnsiTheme="majorBidi" w:cstheme="majorBidi"/>
          <w:color w:val="000000"/>
          <w:lang w:val="fr-FR"/>
        </w:rPr>
        <w:t>matching</w:t>
      </w:r>
      <w:proofErr w:type="spellEnd"/>
      <w:r w:rsidRPr="00DA7BB2">
        <w:rPr>
          <w:rStyle w:val="lev"/>
          <w:rFonts w:asciiTheme="majorBidi" w:hAnsiTheme="majorBidi" w:cstheme="majorBidi"/>
          <w:color w:val="000000"/>
          <w:lang w:val="fr-FR"/>
        </w:rPr>
        <w:t xml:space="preserve"> automatique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Les ATS analysent les CV et les classent selon leur pertinence.</w:t>
      </w:r>
    </w:p>
    <w:p w:rsidR="00E772DD" w:rsidRPr="00DA7BB2" w:rsidRDefault="00E772DD" w:rsidP="004D32AC">
      <w:pPr>
        <w:numPr>
          <w:ilvl w:val="0"/>
          <w:numId w:val="122"/>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Tests de présélection en ligne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Évaluations des compétences techniques et comportementales</w:t>
      </w:r>
      <w:r w:rsidR="00A27C55">
        <w:rPr>
          <w:rFonts w:asciiTheme="majorBidi" w:hAnsiTheme="majorBidi" w:cstheme="majorBidi"/>
          <w:color w:val="000000"/>
          <w:lang w:val="fr-FR"/>
        </w:rPr>
        <w:t>.</w:t>
      </w:r>
    </w:p>
    <w:p w:rsidR="00E772DD" w:rsidRPr="00DA7BB2" w:rsidRDefault="00E772DD" w:rsidP="004D32AC">
      <w:pPr>
        <w:numPr>
          <w:ilvl w:val="0"/>
          <w:numId w:val="122"/>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Entretiens vidéo différés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 Utilisation d’outils comme </w:t>
      </w:r>
      <w:proofErr w:type="spellStart"/>
      <w:r w:rsidRPr="00DA7BB2">
        <w:rPr>
          <w:rFonts w:asciiTheme="majorBidi" w:hAnsiTheme="majorBidi" w:cstheme="majorBidi"/>
          <w:color w:val="000000"/>
          <w:lang w:val="fr-FR"/>
        </w:rPr>
        <w:t>HireVue</w:t>
      </w:r>
      <w:proofErr w:type="spellEnd"/>
      <w:r w:rsidRPr="00DA7BB2">
        <w:rPr>
          <w:rFonts w:asciiTheme="majorBidi" w:hAnsiTheme="majorBidi" w:cstheme="majorBidi"/>
          <w:color w:val="000000"/>
          <w:lang w:val="fr-FR"/>
        </w:rPr>
        <w:t xml:space="preserve"> et Spark </w:t>
      </w:r>
      <w:proofErr w:type="spellStart"/>
      <w:r w:rsidRPr="00DA7BB2">
        <w:rPr>
          <w:rFonts w:asciiTheme="majorBidi" w:hAnsiTheme="majorBidi" w:cstheme="majorBidi"/>
          <w:color w:val="000000"/>
          <w:lang w:val="fr-FR"/>
        </w:rPr>
        <w:t>Hire</w:t>
      </w:r>
      <w:proofErr w:type="spellEnd"/>
      <w:r w:rsidRPr="00DA7BB2">
        <w:rPr>
          <w:rFonts w:asciiTheme="majorBidi" w:hAnsiTheme="majorBidi" w:cstheme="majorBidi"/>
          <w:color w:val="000000"/>
          <w:lang w:val="fr-FR"/>
        </w:rPr>
        <w:t xml:space="preserve"> pour enregistrer les réponses des candidats à des questions standardisées.</w:t>
      </w:r>
      <w:r w:rsidR="00A27C55">
        <w:rPr>
          <w:rStyle w:val="Appelnotedebasdep"/>
          <w:rFonts w:cstheme="majorBidi"/>
          <w:color w:val="000000"/>
          <w:lang w:val="fr-FR"/>
        </w:rPr>
        <w:footnoteReference w:id="310"/>
      </w:r>
    </w:p>
    <w:p w:rsidR="00E772DD" w:rsidRPr="00AF6BD8" w:rsidRDefault="00E772DD" w:rsidP="004D32AC">
      <w:pPr>
        <w:pStyle w:val="Titre3"/>
        <w:numPr>
          <w:ilvl w:val="2"/>
          <w:numId w:val="97"/>
        </w:numPr>
        <w:spacing w:after="0" w:afterAutospacing="0" w:line="360" w:lineRule="auto"/>
        <w:rPr>
          <w:sz w:val="24"/>
          <w:szCs w:val="24"/>
          <w:lang w:val="fr-FR"/>
        </w:rPr>
      </w:pPr>
      <w:bookmarkStart w:id="1661" w:name="_Toc199714468"/>
      <w:bookmarkStart w:id="1662" w:name="_Toc200486746"/>
      <w:bookmarkStart w:id="1663" w:name="_Toc200635522"/>
      <w:bookmarkStart w:id="1664" w:name="_Toc200635910"/>
      <w:bookmarkStart w:id="1665" w:name="_Toc200636299"/>
      <w:bookmarkStart w:id="1666" w:name="_Toc200756037"/>
      <w:r w:rsidRPr="00AF6BD8">
        <w:rPr>
          <w:sz w:val="24"/>
          <w:szCs w:val="24"/>
          <w:lang w:val="fr-FR"/>
        </w:rPr>
        <w:t>Sélection et évaluation approfondie des candidats</w:t>
      </w:r>
      <w:bookmarkEnd w:id="1661"/>
      <w:bookmarkEnd w:id="1662"/>
      <w:bookmarkEnd w:id="1663"/>
      <w:bookmarkEnd w:id="1664"/>
      <w:bookmarkEnd w:id="1665"/>
      <w:bookmarkEnd w:id="1666"/>
    </w:p>
    <w:p w:rsidR="00E772DD" w:rsidRPr="00DA7BB2" w:rsidRDefault="00E772DD" w:rsidP="00A27C55">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Une fois les candidats présélectionnés, plusieurs outils numériques permettent d’évaluer leurs compétences :</w:t>
      </w:r>
    </w:p>
    <w:p w:rsidR="00E772DD" w:rsidRPr="00DA7BB2" w:rsidRDefault="00E772DD" w:rsidP="004D32AC">
      <w:pPr>
        <w:numPr>
          <w:ilvl w:val="0"/>
          <w:numId w:val="123"/>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Entretiens en visioconférence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 Réalisés via Zoom, Microsoft Teams ou Google </w:t>
      </w:r>
      <w:proofErr w:type="spellStart"/>
      <w:r w:rsidRPr="00DA7BB2">
        <w:rPr>
          <w:rFonts w:asciiTheme="majorBidi" w:hAnsiTheme="majorBidi" w:cstheme="majorBidi"/>
          <w:color w:val="000000"/>
          <w:lang w:val="fr-FR"/>
        </w:rPr>
        <w:t>Meet</w:t>
      </w:r>
      <w:proofErr w:type="spellEnd"/>
      <w:r w:rsidRPr="00DA7BB2">
        <w:rPr>
          <w:rFonts w:asciiTheme="majorBidi" w:hAnsiTheme="majorBidi" w:cstheme="majorBidi"/>
          <w:color w:val="000000"/>
          <w:lang w:val="fr-FR"/>
        </w:rPr>
        <w:t>.</w:t>
      </w:r>
    </w:p>
    <w:p w:rsidR="00E772DD" w:rsidRPr="00DA7BB2" w:rsidRDefault="00E772DD" w:rsidP="004D32AC">
      <w:pPr>
        <w:numPr>
          <w:ilvl w:val="0"/>
          <w:numId w:val="123"/>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Évaluations en ligne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 Tests psychométriques et mises en situation professionnelles simulées via des plateformes comme </w:t>
      </w:r>
      <w:proofErr w:type="spellStart"/>
      <w:r w:rsidRPr="00DA7BB2">
        <w:rPr>
          <w:rFonts w:asciiTheme="majorBidi" w:hAnsiTheme="majorBidi" w:cstheme="majorBidi"/>
          <w:color w:val="000000"/>
          <w:lang w:val="fr-FR"/>
        </w:rPr>
        <w:t>Codility</w:t>
      </w:r>
      <w:proofErr w:type="spellEnd"/>
      <w:r w:rsidRPr="00DA7BB2">
        <w:rPr>
          <w:rFonts w:asciiTheme="majorBidi" w:hAnsiTheme="majorBidi" w:cstheme="majorBidi"/>
          <w:color w:val="000000"/>
          <w:lang w:val="fr-FR"/>
        </w:rPr>
        <w:t xml:space="preserve"> (pour les développeurs) ou SHL (pour les soft </w:t>
      </w:r>
      <w:proofErr w:type="spellStart"/>
      <w:r w:rsidRPr="00DA7BB2">
        <w:rPr>
          <w:rFonts w:asciiTheme="majorBidi" w:hAnsiTheme="majorBidi" w:cstheme="majorBidi"/>
          <w:color w:val="000000"/>
          <w:lang w:val="fr-FR"/>
        </w:rPr>
        <w:t>skills</w:t>
      </w:r>
      <w:proofErr w:type="spellEnd"/>
      <w:r w:rsidRPr="00DA7BB2">
        <w:rPr>
          <w:rFonts w:asciiTheme="majorBidi" w:hAnsiTheme="majorBidi" w:cstheme="majorBidi"/>
          <w:color w:val="000000"/>
          <w:lang w:val="fr-FR"/>
        </w:rPr>
        <w:t>).</w:t>
      </w:r>
    </w:p>
    <w:p w:rsidR="00E772DD" w:rsidRPr="00DA7BB2" w:rsidRDefault="00E772DD" w:rsidP="004D32AC">
      <w:pPr>
        <w:numPr>
          <w:ilvl w:val="0"/>
          <w:numId w:val="123"/>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lastRenderedPageBreak/>
        <w:t>Analyse de la e-réputation</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Vérification des profils LinkedIn et des traces numériques des candidats</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11"/>
      </w:r>
    </w:p>
    <w:p w:rsidR="00E772DD" w:rsidRPr="00AF6BD8" w:rsidRDefault="00E772DD" w:rsidP="004D32AC">
      <w:pPr>
        <w:pStyle w:val="Titre3"/>
        <w:numPr>
          <w:ilvl w:val="2"/>
          <w:numId w:val="97"/>
        </w:numPr>
        <w:spacing w:after="0" w:afterAutospacing="0" w:line="360" w:lineRule="auto"/>
        <w:rPr>
          <w:sz w:val="24"/>
          <w:szCs w:val="24"/>
          <w:lang w:val="fr-FR"/>
        </w:rPr>
      </w:pPr>
      <w:bookmarkStart w:id="1667" w:name="_Toc199714469"/>
      <w:bookmarkStart w:id="1668" w:name="_Toc200486747"/>
      <w:bookmarkStart w:id="1669" w:name="_Toc200635523"/>
      <w:bookmarkStart w:id="1670" w:name="_Toc200635911"/>
      <w:bookmarkStart w:id="1671" w:name="_Toc200636300"/>
      <w:bookmarkStart w:id="1672" w:name="_Toc200756038"/>
      <w:r w:rsidRPr="00AF6BD8">
        <w:rPr>
          <w:sz w:val="24"/>
          <w:szCs w:val="24"/>
          <w:lang w:val="fr-FR"/>
        </w:rPr>
        <w:t xml:space="preserve">Prise de décision et </w:t>
      </w:r>
      <w:proofErr w:type="spellStart"/>
      <w:r w:rsidRPr="00AF6BD8">
        <w:rPr>
          <w:sz w:val="24"/>
          <w:szCs w:val="24"/>
          <w:lang w:val="fr-FR"/>
        </w:rPr>
        <w:t>onboarding</w:t>
      </w:r>
      <w:proofErr w:type="spellEnd"/>
      <w:r w:rsidRPr="00AF6BD8">
        <w:rPr>
          <w:sz w:val="24"/>
          <w:szCs w:val="24"/>
          <w:lang w:val="fr-FR"/>
        </w:rPr>
        <w:t xml:space="preserve"> digitalisé</w:t>
      </w:r>
      <w:bookmarkEnd w:id="1667"/>
      <w:bookmarkEnd w:id="1668"/>
      <w:bookmarkEnd w:id="1669"/>
      <w:bookmarkEnd w:id="1670"/>
      <w:bookmarkEnd w:id="1671"/>
      <w:bookmarkEnd w:id="1672"/>
    </w:p>
    <w:p w:rsidR="00E772DD" w:rsidRPr="00DA7BB2" w:rsidRDefault="00E772DD" w:rsidP="00B93BD5">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Après sélection du candidat, les entreprises intègrent des outils digitaux pour finaliser le processus de recrutement :</w:t>
      </w:r>
    </w:p>
    <w:p w:rsidR="00E772DD" w:rsidRPr="00DA7BB2" w:rsidRDefault="00E772DD" w:rsidP="004D32AC">
      <w:pPr>
        <w:numPr>
          <w:ilvl w:val="0"/>
          <w:numId w:val="124"/>
        </w:numPr>
        <w:spacing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Signature électronique du contrat</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 Utilisation de plateformes comme DocuSign ou Adobe </w:t>
      </w:r>
      <w:proofErr w:type="spellStart"/>
      <w:r w:rsidRPr="00DA7BB2">
        <w:rPr>
          <w:rFonts w:asciiTheme="majorBidi" w:hAnsiTheme="majorBidi" w:cstheme="majorBidi"/>
          <w:color w:val="000000"/>
          <w:lang w:val="fr-FR"/>
        </w:rPr>
        <w:t>Sign</w:t>
      </w:r>
      <w:proofErr w:type="spellEnd"/>
      <w:r w:rsidRPr="00DA7BB2">
        <w:rPr>
          <w:rFonts w:asciiTheme="majorBidi" w:hAnsiTheme="majorBidi" w:cstheme="majorBidi"/>
          <w:color w:val="000000"/>
          <w:lang w:val="fr-FR"/>
        </w:rPr>
        <w:t>.</w:t>
      </w:r>
    </w:p>
    <w:p w:rsidR="00E772DD" w:rsidRPr="00DA7BB2" w:rsidRDefault="00E772DD" w:rsidP="004D32AC">
      <w:pPr>
        <w:numPr>
          <w:ilvl w:val="0"/>
          <w:numId w:val="124"/>
        </w:numPr>
        <w:spacing w:before="100" w:beforeAutospacing="1" w:line="360" w:lineRule="auto"/>
        <w:jc w:val="both"/>
        <w:rPr>
          <w:rFonts w:asciiTheme="majorBidi" w:hAnsiTheme="majorBidi" w:cstheme="majorBidi"/>
          <w:color w:val="000000"/>
          <w:lang w:val="fr-FR"/>
        </w:rPr>
      </w:pPr>
      <w:proofErr w:type="spellStart"/>
      <w:r w:rsidRPr="00DA7BB2">
        <w:rPr>
          <w:rStyle w:val="lev"/>
          <w:rFonts w:asciiTheme="majorBidi" w:hAnsiTheme="majorBidi" w:cstheme="majorBidi"/>
          <w:color w:val="000000"/>
          <w:lang w:val="fr-FR"/>
        </w:rPr>
        <w:t>Onboarding</w:t>
      </w:r>
      <w:proofErr w:type="spellEnd"/>
      <w:r w:rsidRPr="00DA7BB2">
        <w:rPr>
          <w:rStyle w:val="lev"/>
          <w:rFonts w:asciiTheme="majorBidi" w:hAnsiTheme="majorBidi" w:cstheme="majorBidi"/>
          <w:color w:val="000000"/>
          <w:lang w:val="fr-FR"/>
        </w:rPr>
        <w:t xml:space="preserve"> digital</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Portails d’intégration avec vidéos de bienvenue, formations en ligne et modules interactifs pour une intégration fluide</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12"/>
      </w:r>
    </w:p>
    <w:p w:rsidR="00E772DD" w:rsidRPr="00DA7BB2" w:rsidRDefault="00E772DD" w:rsidP="00DA7BB2">
      <w:pPr>
        <w:pStyle w:val="NormalWeb"/>
        <w:spacing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L’e-recrutement optimise l’ensemble du processus de recrutement en réduisant le temps et les coûts tout en garantissant une sélection plus objective des candidats. Cependant, il doit être intégré intelligemment avec des interactions humaines pour éviter les biais liés à l’automatisation.</w:t>
      </w:r>
    </w:p>
    <w:p w:rsidR="00E772DD" w:rsidRPr="00AF6BD8" w:rsidRDefault="00AF6BD8" w:rsidP="004D32AC">
      <w:pPr>
        <w:pStyle w:val="Titre3"/>
        <w:numPr>
          <w:ilvl w:val="1"/>
          <w:numId w:val="97"/>
        </w:numPr>
        <w:spacing w:after="0" w:afterAutospacing="0" w:line="360" w:lineRule="auto"/>
        <w:rPr>
          <w:sz w:val="24"/>
          <w:szCs w:val="24"/>
          <w:lang w:val="fr-FR"/>
        </w:rPr>
      </w:pPr>
      <w:r>
        <w:rPr>
          <w:sz w:val="24"/>
          <w:szCs w:val="24"/>
          <w:lang w:val="fr-FR"/>
        </w:rPr>
        <w:t xml:space="preserve"> </w:t>
      </w:r>
      <w:bookmarkStart w:id="1673" w:name="_Toc199714470"/>
      <w:bookmarkStart w:id="1674" w:name="_Toc200486748"/>
      <w:bookmarkStart w:id="1675" w:name="_Toc200635524"/>
      <w:bookmarkStart w:id="1676" w:name="_Toc200635912"/>
      <w:bookmarkStart w:id="1677" w:name="_Toc200636301"/>
      <w:bookmarkStart w:id="1678" w:name="_Toc200756039"/>
      <w:r w:rsidR="00E772DD" w:rsidRPr="00AF6BD8">
        <w:rPr>
          <w:sz w:val="24"/>
          <w:szCs w:val="24"/>
          <w:lang w:val="fr-FR"/>
        </w:rPr>
        <w:t>Les avantages et limites de l’e-recrutement</w:t>
      </w:r>
      <w:bookmarkEnd w:id="1673"/>
      <w:bookmarkEnd w:id="1674"/>
      <w:bookmarkEnd w:id="1675"/>
      <w:bookmarkEnd w:id="1676"/>
      <w:bookmarkEnd w:id="1677"/>
      <w:bookmarkEnd w:id="1678"/>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L'e-recrutement, ou recrutement en ligne, a transformé les pratiques des ressources humaines en offrant divers avantages, mais il présente également certaines limites.</w:t>
      </w:r>
    </w:p>
    <w:p w:rsidR="00E772DD" w:rsidRPr="00DA7BB2" w:rsidRDefault="00E772DD" w:rsidP="004D32AC">
      <w:pPr>
        <w:pStyle w:val="NormalWeb"/>
        <w:numPr>
          <w:ilvl w:val="0"/>
          <w:numId w:val="105"/>
        </w:numPr>
        <w:spacing w:after="0" w:afterAutospacing="0"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Avantages de l'e-recrutement</w:t>
      </w:r>
    </w:p>
    <w:p w:rsidR="00E772DD" w:rsidRPr="00DA7BB2" w:rsidRDefault="00E772DD" w:rsidP="004D32AC">
      <w:pPr>
        <w:pStyle w:val="NormalWeb"/>
        <w:numPr>
          <w:ilvl w:val="0"/>
          <w:numId w:val="106"/>
        </w:numPr>
        <w:spacing w:before="0" w:beforeAutospacing="0"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Diffusion élargie des offres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Grâce à Internet, les offres d'emploi peuvent atteindre un public plus vaste, augmentant ainsi les chances de trouver le candidat idéal.</w:t>
      </w:r>
    </w:p>
    <w:p w:rsidR="00E772DD" w:rsidRPr="00DA7BB2" w:rsidRDefault="00E772DD" w:rsidP="004D32AC">
      <w:pPr>
        <w:pStyle w:val="NormalWeb"/>
        <w:numPr>
          <w:ilvl w:val="0"/>
          <w:numId w:val="106"/>
        </w:numPr>
        <w:spacing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Ciblage amélioré</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Les plateformes spécialisées permettent de toucher des candidats correspondant précisément aux profils recherchés, optimisant ainsi le processus de recrutement.</w:t>
      </w:r>
    </w:p>
    <w:p w:rsidR="00E772DD" w:rsidRPr="00DA7BB2" w:rsidRDefault="00E772DD" w:rsidP="004D32AC">
      <w:pPr>
        <w:pStyle w:val="NormalWeb"/>
        <w:numPr>
          <w:ilvl w:val="0"/>
          <w:numId w:val="106"/>
        </w:numPr>
        <w:spacing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Mise à jour rapide des offres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Les annonces peuvent être modifiées ou supprimées en temps réel, offrant une flexibilité accrue aux recruteurs.</w:t>
      </w:r>
    </w:p>
    <w:p w:rsidR="00E772DD" w:rsidRPr="00DA7BB2" w:rsidRDefault="00E772DD" w:rsidP="004D32AC">
      <w:pPr>
        <w:pStyle w:val="NormalWeb"/>
        <w:numPr>
          <w:ilvl w:val="0"/>
          <w:numId w:val="106"/>
        </w:numPr>
        <w:spacing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Réduction des coûts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De nombreuses plateformes de recrutement en ligne sont gratuites ou moins coûteuses que les méthodes traditionnelles, permettant ainsi des économies substantielles.</w:t>
      </w:r>
    </w:p>
    <w:p w:rsidR="00E772DD" w:rsidRPr="00DA7BB2" w:rsidRDefault="00E772DD" w:rsidP="004D32AC">
      <w:pPr>
        <w:pStyle w:val="NormalWeb"/>
        <w:numPr>
          <w:ilvl w:val="0"/>
          <w:numId w:val="106"/>
        </w:numPr>
        <w:spacing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lastRenderedPageBreak/>
        <w:t>Gain de temps et d'efficacité</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Le recrutement à distance accélère le processus de sélection en éliminant les contraintes liées aux déplacements et aux plages horaires limitées.</w:t>
      </w:r>
    </w:p>
    <w:p w:rsidR="00E772DD" w:rsidRPr="00DA7BB2" w:rsidRDefault="00E772DD" w:rsidP="004D32AC">
      <w:pPr>
        <w:pStyle w:val="NormalWeb"/>
        <w:numPr>
          <w:ilvl w:val="0"/>
          <w:numId w:val="105"/>
        </w:numPr>
        <w:spacing w:after="0" w:afterAutospacing="0"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Limites de l'e-recrutement</w:t>
      </w:r>
    </w:p>
    <w:p w:rsidR="00E772DD" w:rsidRPr="00DA7BB2" w:rsidRDefault="00E772DD" w:rsidP="004D32AC">
      <w:pPr>
        <w:pStyle w:val="NormalWeb"/>
        <w:numPr>
          <w:ilvl w:val="0"/>
          <w:numId w:val="107"/>
        </w:numPr>
        <w:spacing w:before="0" w:beforeAutospacing="0"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Surcharge d'informations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Une diffusion large des offres peut entraîner une avalanche de candidatures, rendant le tri plus complexe et chronophage.</w:t>
      </w:r>
    </w:p>
    <w:p w:rsidR="00E772DD" w:rsidRPr="00DA7BB2" w:rsidRDefault="00E772DD" w:rsidP="004D32AC">
      <w:pPr>
        <w:pStyle w:val="NormalWeb"/>
        <w:numPr>
          <w:ilvl w:val="0"/>
          <w:numId w:val="107"/>
        </w:numPr>
        <w:spacing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Candidatures moins qualifiées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La facilité de postuler en ligne peut conduire à des candidatures non pertinentes ou peu sérieuses, augmentant le risque de recevoir des profils inadéquats.</w:t>
      </w:r>
    </w:p>
    <w:p w:rsidR="00E772DD" w:rsidRPr="00DA7BB2" w:rsidRDefault="00E772DD" w:rsidP="004D32AC">
      <w:pPr>
        <w:pStyle w:val="NormalWeb"/>
        <w:numPr>
          <w:ilvl w:val="0"/>
          <w:numId w:val="107"/>
        </w:numPr>
        <w:spacing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Limites des entretiens à distance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Les entretiens virtuels peuvent ne pas offrir la même qualité d'évaluation que les rencontres en personne, limitant ainsi la perception des compétences interpersonnelles des candidats.</w:t>
      </w:r>
    </w:p>
    <w:p w:rsidR="00E772DD" w:rsidRPr="0040528E" w:rsidRDefault="00E772DD" w:rsidP="00A27C55">
      <w:pPr>
        <w:pStyle w:val="Titre3"/>
        <w:spacing w:after="0" w:afterAutospacing="0" w:line="360" w:lineRule="auto"/>
        <w:jc w:val="center"/>
        <w:rPr>
          <w:rFonts w:asciiTheme="majorBidi" w:hAnsiTheme="majorBidi"/>
          <w:b w:val="0"/>
          <w:bCs w:val="0"/>
          <w:color w:val="000000"/>
          <w:lang w:val="fr-FR"/>
        </w:rPr>
      </w:pPr>
      <w:bookmarkStart w:id="1679" w:name="_Toc199714471"/>
      <w:bookmarkStart w:id="1680" w:name="_Toc200486749"/>
      <w:bookmarkStart w:id="1681" w:name="_Toc200635525"/>
      <w:bookmarkStart w:id="1682" w:name="_Toc200635913"/>
      <w:bookmarkStart w:id="1683" w:name="_Toc200636302"/>
      <w:bookmarkStart w:id="1684" w:name="_Toc200756040"/>
      <w:r w:rsidRPr="0040528E">
        <w:rPr>
          <w:rFonts w:asciiTheme="majorBidi" w:hAnsiTheme="majorBidi"/>
          <w:color w:val="000000"/>
          <w:lang w:val="fr-FR"/>
        </w:rPr>
        <w:t xml:space="preserve">Tableau </w:t>
      </w:r>
      <w:r>
        <w:rPr>
          <w:rFonts w:asciiTheme="majorBidi" w:hAnsiTheme="majorBidi"/>
          <w:color w:val="000000"/>
          <w:lang w:val="fr-FR"/>
        </w:rPr>
        <w:t>N°11</w:t>
      </w:r>
      <w:r w:rsidRPr="0040528E">
        <w:rPr>
          <w:rFonts w:asciiTheme="majorBidi" w:hAnsiTheme="majorBidi"/>
          <w:color w:val="000000"/>
          <w:lang w:val="fr-FR"/>
        </w:rPr>
        <w:t xml:space="preserve"> : </w:t>
      </w:r>
      <w:r w:rsidRPr="0091398F">
        <w:rPr>
          <w:rStyle w:val="lev"/>
          <w:rFonts w:asciiTheme="majorBidi" w:hAnsiTheme="majorBidi"/>
          <w:color w:val="000000"/>
          <w:lang w:val="fr-FR"/>
        </w:rPr>
        <w:t>Avantages et limites des entretiens en ligne</w:t>
      </w:r>
      <w:bookmarkEnd w:id="1679"/>
      <w:bookmarkEnd w:id="1680"/>
      <w:bookmarkEnd w:id="1681"/>
      <w:bookmarkEnd w:id="1682"/>
      <w:bookmarkEnd w:id="1683"/>
      <w:bookmarkEnd w:id="1684"/>
    </w:p>
    <w:tbl>
      <w:tblPr>
        <w:tblStyle w:val="Grilledutableau"/>
        <w:tblW w:w="0" w:type="auto"/>
        <w:tblLook w:val="04A0" w:firstRow="1" w:lastRow="0" w:firstColumn="1" w:lastColumn="0" w:noHBand="0" w:noVBand="1"/>
      </w:tblPr>
      <w:tblGrid>
        <w:gridCol w:w="4788"/>
        <w:gridCol w:w="4222"/>
      </w:tblGrid>
      <w:tr w:rsidR="00E772DD" w:rsidRPr="00DA7BB2" w:rsidTr="005F10A8">
        <w:tc>
          <w:tcPr>
            <w:tcW w:w="0" w:type="auto"/>
            <w:shd w:val="clear" w:color="auto" w:fill="D8DCD1"/>
            <w:vAlign w:val="center"/>
            <w:hideMark/>
          </w:tcPr>
          <w:p w:rsidR="00E772DD" w:rsidRPr="00DA7BB2" w:rsidRDefault="00E772DD" w:rsidP="005F10A8">
            <w:pPr>
              <w:spacing w:line="360" w:lineRule="auto"/>
              <w:rPr>
                <w:rFonts w:asciiTheme="majorBidi" w:hAnsiTheme="majorBidi" w:cstheme="majorBidi"/>
                <w:b/>
                <w:bCs/>
                <w:color w:val="000000"/>
                <w:lang w:val="fr-FR"/>
              </w:rPr>
            </w:pPr>
            <w:r w:rsidRPr="00DA7BB2">
              <w:rPr>
                <w:rStyle w:val="lev"/>
                <w:rFonts w:asciiTheme="majorBidi" w:hAnsiTheme="majorBidi" w:cstheme="majorBidi"/>
                <w:color w:val="000000"/>
                <w:lang w:val="fr-FR"/>
              </w:rPr>
              <w:t>Avantages</w:t>
            </w:r>
          </w:p>
        </w:tc>
        <w:tc>
          <w:tcPr>
            <w:tcW w:w="0" w:type="auto"/>
            <w:shd w:val="clear" w:color="auto" w:fill="D8DCD1"/>
            <w:vAlign w:val="center"/>
            <w:hideMark/>
          </w:tcPr>
          <w:p w:rsidR="00E772DD" w:rsidRPr="00DA7BB2" w:rsidRDefault="00E772DD" w:rsidP="005F10A8">
            <w:pPr>
              <w:spacing w:line="360" w:lineRule="auto"/>
              <w:rPr>
                <w:rFonts w:asciiTheme="majorBidi" w:hAnsiTheme="majorBidi" w:cstheme="majorBidi"/>
                <w:b/>
                <w:bCs/>
                <w:color w:val="000000"/>
                <w:lang w:val="fr-FR"/>
              </w:rPr>
            </w:pPr>
            <w:r w:rsidRPr="00DA7BB2">
              <w:rPr>
                <w:rStyle w:val="lev"/>
                <w:rFonts w:asciiTheme="majorBidi" w:hAnsiTheme="majorBidi" w:cstheme="majorBidi"/>
                <w:color w:val="000000"/>
                <w:lang w:val="fr-FR"/>
              </w:rPr>
              <w:t>Limites</w:t>
            </w:r>
          </w:p>
        </w:tc>
      </w:tr>
      <w:tr w:rsidR="00E772DD" w:rsidRPr="00427D18" w:rsidTr="0040528E">
        <w:tc>
          <w:tcPr>
            <w:tcW w:w="0" w:type="auto"/>
            <w:vAlign w:val="center"/>
            <w:hideMark/>
          </w:tcPr>
          <w:p w:rsidR="00E772DD" w:rsidRPr="00DA7BB2" w:rsidRDefault="00E772DD" w:rsidP="005F10A8">
            <w:pPr>
              <w:spacing w:line="360" w:lineRule="auto"/>
              <w:rPr>
                <w:rFonts w:asciiTheme="majorBidi" w:hAnsiTheme="majorBidi" w:cstheme="majorBidi"/>
                <w:b/>
                <w:bCs/>
                <w:color w:val="000000"/>
                <w:lang w:val="fr-FR"/>
              </w:rPr>
            </w:pPr>
            <w:r w:rsidRPr="00DA7BB2">
              <w:rPr>
                <w:rFonts w:asciiTheme="majorBidi" w:hAnsiTheme="majorBidi" w:cstheme="majorBidi"/>
                <w:color w:val="000000"/>
                <w:lang w:val="fr-FR"/>
              </w:rPr>
              <w:t>Réduction des coûts de déplacement et gain de temps</w:t>
            </w:r>
          </w:p>
        </w:tc>
        <w:tc>
          <w:tcPr>
            <w:tcW w:w="0" w:type="auto"/>
            <w:vAlign w:val="center"/>
            <w:hideMark/>
          </w:tcPr>
          <w:p w:rsidR="00E772DD" w:rsidRPr="00DA7BB2" w:rsidRDefault="00E772DD" w:rsidP="005F10A8">
            <w:pPr>
              <w:spacing w:line="360" w:lineRule="auto"/>
              <w:rPr>
                <w:rFonts w:asciiTheme="majorBidi" w:hAnsiTheme="majorBidi" w:cstheme="majorBidi"/>
                <w:color w:val="000000"/>
                <w:lang w:val="fr-FR"/>
              </w:rPr>
            </w:pPr>
            <w:r w:rsidRPr="00DA7BB2">
              <w:rPr>
                <w:rFonts w:asciiTheme="majorBidi" w:hAnsiTheme="majorBidi" w:cstheme="majorBidi"/>
                <w:color w:val="000000"/>
                <w:lang w:val="fr-FR"/>
              </w:rPr>
              <w:t>Nécessite une bonne connexion Internet</w:t>
            </w:r>
          </w:p>
        </w:tc>
      </w:tr>
      <w:tr w:rsidR="00E772DD" w:rsidRPr="00427D18" w:rsidTr="0040528E">
        <w:tc>
          <w:tcPr>
            <w:tcW w:w="0" w:type="auto"/>
            <w:vAlign w:val="center"/>
            <w:hideMark/>
          </w:tcPr>
          <w:p w:rsidR="00E772DD" w:rsidRPr="00DA7BB2" w:rsidRDefault="00E772DD" w:rsidP="005F10A8">
            <w:pPr>
              <w:spacing w:line="360" w:lineRule="auto"/>
              <w:rPr>
                <w:rFonts w:asciiTheme="majorBidi" w:hAnsiTheme="majorBidi" w:cstheme="majorBidi"/>
                <w:b/>
                <w:bCs/>
                <w:color w:val="000000"/>
                <w:lang w:val="fr-FR"/>
              </w:rPr>
            </w:pPr>
            <w:r w:rsidRPr="00DA7BB2">
              <w:rPr>
                <w:rFonts w:asciiTheme="majorBidi" w:hAnsiTheme="majorBidi" w:cstheme="majorBidi"/>
                <w:color w:val="000000"/>
                <w:lang w:val="fr-FR"/>
              </w:rPr>
              <w:t>Flexibilité pour les candidats et recruteurs</w:t>
            </w:r>
          </w:p>
        </w:tc>
        <w:tc>
          <w:tcPr>
            <w:tcW w:w="0" w:type="auto"/>
            <w:vAlign w:val="center"/>
            <w:hideMark/>
          </w:tcPr>
          <w:p w:rsidR="00E772DD" w:rsidRPr="00DA7BB2" w:rsidRDefault="00E772DD" w:rsidP="005F10A8">
            <w:pPr>
              <w:spacing w:line="360" w:lineRule="auto"/>
              <w:rPr>
                <w:rFonts w:asciiTheme="majorBidi" w:hAnsiTheme="majorBidi" w:cstheme="majorBidi"/>
                <w:color w:val="000000"/>
                <w:lang w:val="fr-FR"/>
              </w:rPr>
            </w:pPr>
            <w:r w:rsidRPr="00DA7BB2">
              <w:rPr>
                <w:rFonts w:asciiTheme="majorBidi" w:hAnsiTheme="majorBidi" w:cstheme="majorBidi"/>
                <w:color w:val="000000"/>
                <w:lang w:val="fr-FR"/>
              </w:rPr>
              <w:t>Peut générer du stress chez certains candidats</w:t>
            </w:r>
          </w:p>
        </w:tc>
      </w:tr>
      <w:tr w:rsidR="00E772DD" w:rsidRPr="00DA7BB2" w:rsidTr="0040528E">
        <w:tc>
          <w:tcPr>
            <w:tcW w:w="0" w:type="auto"/>
            <w:vAlign w:val="center"/>
            <w:hideMark/>
          </w:tcPr>
          <w:p w:rsidR="00E772DD" w:rsidRPr="00DA7BB2" w:rsidRDefault="00E772DD" w:rsidP="005F10A8">
            <w:pPr>
              <w:spacing w:line="360" w:lineRule="auto"/>
              <w:rPr>
                <w:rFonts w:asciiTheme="majorBidi" w:hAnsiTheme="majorBidi" w:cstheme="majorBidi"/>
                <w:b/>
                <w:bCs/>
                <w:color w:val="000000"/>
                <w:lang w:val="fr-FR"/>
              </w:rPr>
            </w:pPr>
            <w:r w:rsidRPr="00DA7BB2">
              <w:rPr>
                <w:rFonts w:asciiTheme="majorBidi" w:hAnsiTheme="majorBidi" w:cstheme="majorBidi"/>
                <w:color w:val="000000"/>
                <w:lang w:val="fr-FR"/>
              </w:rPr>
              <w:t>Possibilité d’enregistrer et de revoir les entretiens</w:t>
            </w:r>
          </w:p>
        </w:tc>
        <w:tc>
          <w:tcPr>
            <w:tcW w:w="0" w:type="auto"/>
            <w:vAlign w:val="center"/>
            <w:hideMark/>
          </w:tcPr>
          <w:p w:rsidR="00E772DD" w:rsidRPr="00DA7BB2" w:rsidRDefault="00E772DD" w:rsidP="005F10A8">
            <w:pPr>
              <w:spacing w:line="360" w:lineRule="auto"/>
              <w:rPr>
                <w:rFonts w:asciiTheme="majorBidi" w:hAnsiTheme="majorBidi" w:cstheme="majorBidi"/>
                <w:color w:val="000000"/>
                <w:lang w:val="fr-FR"/>
              </w:rPr>
            </w:pPr>
            <w:r w:rsidRPr="00DA7BB2">
              <w:rPr>
                <w:rFonts w:asciiTheme="majorBidi" w:hAnsiTheme="majorBidi" w:cstheme="majorBidi"/>
                <w:color w:val="000000"/>
                <w:lang w:val="fr-FR"/>
              </w:rPr>
              <w:t>Manque d’interaction humaine directe</w:t>
            </w:r>
          </w:p>
        </w:tc>
      </w:tr>
      <w:tr w:rsidR="00E772DD" w:rsidRPr="00427D18" w:rsidTr="0040528E">
        <w:tc>
          <w:tcPr>
            <w:tcW w:w="0" w:type="auto"/>
            <w:vAlign w:val="center"/>
            <w:hideMark/>
          </w:tcPr>
          <w:p w:rsidR="00E772DD" w:rsidRPr="00DA7BB2" w:rsidRDefault="00E772DD" w:rsidP="005F10A8">
            <w:pPr>
              <w:spacing w:line="360" w:lineRule="auto"/>
              <w:rPr>
                <w:rFonts w:asciiTheme="majorBidi" w:hAnsiTheme="majorBidi" w:cstheme="majorBidi"/>
                <w:b/>
                <w:bCs/>
                <w:color w:val="000000"/>
                <w:lang w:val="fr-FR"/>
              </w:rPr>
            </w:pPr>
            <w:r w:rsidRPr="00DA7BB2">
              <w:rPr>
                <w:rFonts w:asciiTheme="majorBidi" w:hAnsiTheme="majorBidi" w:cstheme="majorBidi"/>
                <w:color w:val="000000"/>
                <w:lang w:val="fr-FR"/>
              </w:rPr>
              <w:t>Outils intégrés (tests, partages de documents) facilitant l’évaluation</w:t>
            </w:r>
          </w:p>
        </w:tc>
        <w:tc>
          <w:tcPr>
            <w:tcW w:w="0" w:type="auto"/>
            <w:vAlign w:val="center"/>
            <w:hideMark/>
          </w:tcPr>
          <w:p w:rsidR="00E772DD" w:rsidRPr="00DA7BB2" w:rsidRDefault="00E772DD" w:rsidP="005F10A8">
            <w:pPr>
              <w:spacing w:line="360" w:lineRule="auto"/>
              <w:rPr>
                <w:rFonts w:asciiTheme="majorBidi" w:hAnsiTheme="majorBidi" w:cstheme="majorBidi"/>
                <w:color w:val="000000"/>
                <w:lang w:val="fr-FR"/>
              </w:rPr>
            </w:pPr>
            <w:r w:rsidRPr="00DA7BB2">
              <w:rPr>
                <w:rFonts w:asciiTheme="majorBidi" w:hAnsiTheme="majorBidi" w:cstheme="majorBidi"/>
                <w:color w:val="000000"/>
                <w:lang w:val="fr-FR"/>
              </w:rPr>
              <w:t>Risques liés à la confidentialité et la sécurité des données</w:t>
            </w:r>
          </w:p>
        </w:tc>
      </w:tr>
    </w:tbl>
    <w:p w:rsidR="00E772DD" w:rsidRDefault="00E772DD" w:rsidP="00F85FCF">
      <w:pPr>
        <w:pStyle w:val="NormalWeb"/>
        <w:spacing w:line="360" w:lineRule="auto"/>
        <w:jc w:val="center"/>
        <w:rPr>
          <w:rFonts w:asciiTheme="majorBidi" w:hAnsiTheme="majorBidi" w:cstheme="majorBidi"/>
          <w:b/>
          <w:bCs/>
          <w:color w:val="000000"/>
          <w:lang w:val="fr-FR"/>
        </w:rPr>
      </w:pPr>
      <w:r w:rsidRPr="00DA7BB2">
        <w:rPr>
          <w:rFonts w:asciiTheme="majorBidi" w:hAnsiTheme="majorBidi" w:cstheme="majorBidi"/>
          <w:b/>
          <w:bCs/>
          <w:color w:val="000000"/>
          <w:lang w:val="fr-FR"/>
        </w:rPr>
        <w:t xml:space="preserve">Source : </w:t>
      </w:r>
      <w:r w:rsidRPr="00DA7BB2">
        <w:rPr>
          <w:rFonts w:asciiTheme="majorBidi" w:hAnsiTheme="majorBidi" w:cstheme="majorBidi"/>
          <w:color w:val="000000"/>
          <w:lang w:val="fr-FR"/>
        </w:rPr>
        <w:t xml:space="preserve">Le </w:t>
      </w:r>
      <w:proofErr w:type="spellStart"/>
      <w:r w:rsidRPr="00DA7BB2">
        <w:rPr>
          <w:rFonts w:asciiTheme="majorBidi" w:hAnsiTheme="majorBidi" w:cstheme="majorBidi"/>
          <w:color w:val="000000"/>
          <w:lang w:val="fr-FR"/>
        </w:rPr>
        <w:t>Louarn</w:t>
      </w:r>
      <w:proofErr w:type="spellEnd"/>
      <w:r w:rsidRPr="00DA7BB2">
        <w:rPr>
          <w:rFonts w:asciiTheme="majorBidi" w:hAnsiTheme="majorBidi" w:cstheme="majorBidi"/>
          <w:color w:val="000000"/>
          <w:lang w:val="fr-FR"/>
        </w:rPr>
        <w:t>, J.-Y., &amp; Wils, T. (2020). Stratégies de recrutement et transformation digitale (p. 157). Presses Universitaires de France.</w:t>
      </w:r>
    </w:p>
    <w:p w:rsidR="00E772DD" w:rsidRDefault="00E772DD" w:rsidP="00F85FCF">
      <w:pPr>
        <w:pStyle w:val="NormalWeb"/>
        <w:spacing w:line="360" w:lineRule="auto"/>
        <w:rPr>
          <w:rFonts w:asciiTheme="majorBidi" w:hAnsiTheme="majorBidi" w:cstheme="majorBidi"/>
          <w:color w:val="000000"/>
          <w:lang w:val="fr-FR"/>
        </w:rPr>
      </w:pPr>
      <w:r w:rsidRPr="00DA7BB2">
        <w:rPr>
          <w:rFonts w:asciiTheme="majorBidi" w:hAnsiTheme="majorBidi" w:cstheme="majorBidi"/>
          <w:color w:val="000000"/>
          <w:lang w:val="fr-FR"/>
        </w:rPr>
        <w:t>En somme, l'e-recrutement offre des opportunités significatives pour moderniser et optimiser le processus de recrutement, mais il est essentiel de reconnaître et de gérer ses limites pour en maximiser les bénéfices</w:t>
      </w:r>
      <w:r w:rsidRPr="00DA7BB2">
        <w:rPr>
          <w:rStyle w:val="Appelnotedebasdep"/>
          <w:rFonts w:cstheme="majorBidi"/>
          <w:color w:val="000000"/>
          <w:lang w:val="fr-FR"/>
        </w:rPr>
        <w:footnoteReference w:id="313"/>
      </w:r>
      <w:r w:rsidRPr="00DA7BB2">
        <w:rPr>
          <w:rFonts w:asciiTheme="majorBidi" w:hAnsiTheme="majorBidi" w:cstheme="majorBidi"/>
          <w:color w:val="000000"/>
          <w:lang w:val="fr-FR"/>
        </w:rPr>
        <w:t>.</w:t>
      </w:r>
    </w:p>
    <w:p w:rsidR="00A27C55" w:rsidRPr="00F85FCF" w:rsidRDefault="00A27C55" w:rsidP="00F85FCF">
      <w:pPr>
        <w:pStyle w:val="NormalWeb"/>
        <w:spacing w:line="360" w:lineRule="auto"/>
        <w:rPr>
          <w:rFonts w:asciiTheme="majorBidi" w:hAnsiTheme="majorBidi" w:cstheme="majorBidi"/>
          <w:b/>
          <w:bCs/>
          <w:color w:val="000000"/>
          <w:lang w:val="fr-FR"/>
        </w:rPr>
      </w:pPr>
    </w:p>
    <w:p w:rsidR="00E772DD" w:rsidRPr="00AF6BD8" w:rsidRDefault="00E772DD" w:rsidP="004D32AC">
      <w:pPr>
        <w:pStyle w:val="Titre3"/>
        <w:numPr>
          <w:ilvl w:val="1"/>
          <w:numId w:val="95"/>
        </w:numPr>
        <w:spacing w:after="0" w:afterAutospacing="0" w:line="360" w:lineRule="auto"/>
        <w:rPr>
          <w:sz w:val="24"/>
          <w:szCs w:val="24"/>
          <w:lang w:val="fr-FR"/>
        </w:rPr>
      </w:pPr>
      <w:bookmarkStart w:id="1685" w:name="_Toc199714472"/>
      <w:bookmarkStart w:id="1686" w:name="_Toc200486750"/>
      <w:bookmarkStart w:id="1687" w:name="_Toc200635526"/>
      <w:bookmarkStart w:id="1688" w:name="_Toc200635914"/>
      <w:bookmarkStart w:id="1689" w:name="_Toc200636303"/>
      <w:bookmarkStart w:id="1690" w:name="_Toc200756041"/>
      <w:r w:rsidRPr="00AF6BD8">
        <w:rPr>
          <w:sz w:val="24"/>
          <w:szCs w:val="24"/>
          <w:lang w:val="fr-FR"/>
        </w:rPr>
        <w:lastRenderedPageBreak/>
        <w:t>L’</w:t>
      </w:r>
      <w:r w:rsidR="00A27C55" w:rsidRPr="00AF6BD8">
        <w:rPr>
          <w:sz w:val="24"/>
          <w:szCs w:val="24"/>
          <w:lang w:val="fr-FR"/>
        </w:rPr>
        <w:t>e</w:t>
      </w:r>
      <w:r w:rsidRPr="00AF6BD8">
        <w:rPr>
          <w:sz w:val="24"/>
          <w:szCs w:val="24"/>
          <w:lang w:val="fr-FR"/>
        </w:rPr>
        <w:t>-formation : Définition, enjeux et outils</w:t>
      </w:r>
      <w:bookmarkEnd w:id="1685"/>
      <w:bookmarkEnd w:id="1686"/>
      <w:bookmarkEnd w:id="1687"/>
      <w:bookmarkEnd w:id="1688"/>
      <w:bookmarkEnd w:id="1689"/>
      <w:bookmarkEnd w:id="1690"/>
    </w:p>
    <w:p w:rsidR="00E772DD" w:rsidRPr="00963D3F" w:rsidRDefault="00E772DD" w:rsidP="00A27C55">
      <w:pPr>
        <w:spacing w:after="100" w:afterAutospacing="1" w:line="360" w:lineRule="auto"/>
        <w:jc w:val="both"/>
        <w:outlineLvl w:val="3"/>
        <w:rPr>
          <w:rFonts w:asciiTheme="majorBidi" w:hAnsiTheme="majorBidi" w:cstheme="majorBidi"/>
          <w:color w:val="000000"/>
          <w:lang w:val="fr-FR"/>
        </w:rPr>
      </w:pPr>
      <w:r w:rsidRPr="00963D3F">
        <w:rPr>
          <w:rFonts w:asciiTheme="majorBidi" w:hAnsiTheme="majorBidi" w:cstheme="majorBidi"/>
          <w:color w:val="000000"/>
          <w:lang w:val="fr-FR"/>
        </w:rPr>
        <w:t>Face aux évolutions rapides des compétences et aux besoins croissants de flexibilité, l’e-formation s’impose comme une alternative stratégique à la formation traditionnelle. Elle permet de développer les compétences des collaborateurs grâce à des outils numériques innovants, tout en répondant aux enjeux d’adaptabilité, d’accessibilité et d’efficacité pédagogique.</w:t>
      </w:r>
    </w:p>
    <w:p w:rsidR="00E772DD" w:rsidRPr="00DB602C" w:rsidRDefault="00DB602C" w:rsidP="004D32AC">
      <w:pPr>
        <w:pStyle w:val="Titre3"/>
        <w:numPr>
          <w:ilvl w:val="1"/>
          <w:numId w:val="187"/>
        </w:numPr>
        <w:spacing w:after="0" w:afterAutospacing="0" w:line="360" w:lineRule="auto"/>
        <w:rPr>
          <w:sz w:val="24"/>
          <w:szCs w:val="24"/>
          <w:lang w:val="fr-FR"/>
        </w:rPr>
      </w:pPr>
      <w:r>
        <w:rPr>
          <w:sz w:val="24"/>
          <w:szCs w:val="24"/>
          <w:lang w:val="fr-FR"/>
        </w:rPr>
        <w:t xml:space="preserve"> </w:t>
      </w:r>
      <w:bookmarkStart w:id="1691" w:name="_Toc199714473"/>
      <w:bookmarkStart w:id="1692" w:name="_Toc200486751"/>
      <w:bookmarkStart w:id="1693" w:name="_Toc200635527"/>
      <w:bookmarkStart w:id="1694" w:name="_Toc200635915"/>
      <w:bookmarkStart w:id="1695" w:name="_Toc200636304"/>
      <w:bookmarkStart w:id="1696" w:name="_Toc200756042"/>
      <w:r w:rsidR="00E772DD" w:rsidRPr="00DB602C">
        <w:rPr>
          <w:sz w:val="24"/>
          <w:szCs w:val="24"/>
          <w:lang w:val="fr-FR"/>
        </w:rPr>
        <w:t>Définition et évolution de l’e-formation</w:t>
      </w:r>
      <w:bookmarkEnd w:id="1691"/>
      <w:bookmarkEnd w:id="1692"/>
      <w:bookmarkEnd w:id="1693"/>
      <w:bookmarkEnd w:id="1694"/>
      <w:bookmarkEnd w:id="1695"/>
      <w:bookmarkEnd w:id="1696"/>
    </w:p>
    <w:p w:rsidR="00E772DD" w:rsidRPr="00DA7BB2" w:rsidRDefault="00E772DD" w:rsidP="0040528E">
      <w:pPr>
        <w:spacing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(ou formation en ligne) désigne l’ensemble des dispositifs d’apprentissage utilisant des outils numériques et Internet pour dispenser des contenus pédagogiques à distance. Selon </w:t>
      </w:r>
      <w:proofErr w:type="spellStart"/>
      <w:r w:rsidRPr="00DA7BB2">
        <w:rPr>
          <w:rFonts w:asciiTheme="majorBidi" w:hAnsiTheme="majorBidi" w:cstheme="majorBidi"/>
          <w:color w:val="000000"/>
          <w:lang w:val="fr-FR"/>
        </w:rPr>
        <w:t>Tchameni</w:t>
      </w:r>
      <w:proofErr w:type="spellEnd"/>
      <w:r w:rsidRPr="00DA7BB2">
        <w:rPr>
          <w:rFonts w:asciiTheme="majorBidi" w:hAnsiTheme="majorBidi" w:cstheme="majorBidi"/>
          <w:color w:val="000000"/>
          <w:lang w:val="fr-FR"/>
        </w:rPr>
        <w:t xml:space="preserve"> </w:t>
      </w:r>
      <w:proofErr w:type="spellStart"/>
      <w:r w:rsidRPr="00DA7BB2">
        <w:rPr>
          <w:rFonts w:asciiTheme="majorBidi" w:hAnsiTheme="majorBidi" w:cstheme="majorBidi"/>
          <w:color w:val="000000"/>
          <w:lang w:val="fr-FR"/>
        </w:rPr>
        <w:t>Ngamo</w:t>
      </w:r>
      <w:proofErr w:type="spellEnd"/>
      <w:r w:rsidRPr="00DA7BB2">
        <w:rPr>
          <w:rStyle w:val="Appelnotedebasdep"/>
          <w:rFonts w:cstheme="majorBidi"/>
          <w:color w:val="000000"/>
          <w:lang w:val="fr-FR"/>
        </w:rPr>
        <w:footnoteReference w:id="314"/>
      </w:r>
      <w:r w:rsidRPr="00DA7BB2">
        <w:rPr>
          <w:rFonts w:asciiTheme="majorBidi" w:hAnsiTheme="majorBidi" w:cstheme="majorBidi"/>
          <w:color w:val="000000"/>
          <w:lang w:val="fr-FR"/>
        </w:rPr>
        <w:t>, l’e-formation repose sur plusieurs modalités, notamment :</w:t>
      </w:r>
    </w:p>
    <w:p w:rsidR="00E772DD" w:rsidRPr="00DA7BB2" w:rsidRDefault="00E772DD" w:rsidP="004D32AC">
      <w:pPr>
        <w:numPr>
          <w:ilvl w:val="0"/>
          <w:numId w:val="102"/>
        </w:numPr>
        <w:spacing w:line="360" w:lineRule="auto"/>
        <w:jc w:val="both"/>
        <w:rPr>
          <w:rFonts w:asciiTheme="majorBidi" w:hAnsiTheme="majorBidi" w:cstheme="majorBidi"/>
          <w:color w:val="000000"/>
          <w:lang w:val="fr-FR"/>
        </w:rPr>
      </w:pPr>
      <w:r w:rsidRPr="00DA7BB2">
        <w:rPr>
          <w:rFonts w:asciiTheme="majorBidi" w:hAnsiTheme="majorBidi" w:cstheme="majorBidi"/>
          <w:b/>
          <w:bCs/>
          <w:color w:val="000000"/>
          <w:lang w:val="fr-FR"/>
        </w:rPr>
        <w:t>Le e-learning</w:t>
      </w:r>
      <w:r w:rsidRPr="00DA7BB2">
        <w:rPr>
          <w:rFonts w:asciiTheme="majorBidi" w:hAnsiTheme="majorBidi" w:cstheme="majorBidi"/>
          <w:color w:val="000000"/>
          <w:lang w:val="fr-FR"/>
        </w:rPr>
        <w:t> : cours et modules accessibles en ligne, souvent sous forme de vidéos, quiz interactifs et documents numériques.</w:t>
      </w:r>
    </w:p>
    <w:p w:rsidR="00E772DD" w:rsidRPr="00DA7BB2" w:rsidRDefault="00E772DD" w:rsidP="004D32AC">
      <w:pPr>
        <w:numPr>
          <w:ilvl w:val="0"/>
          <w:numId w:val="102"/>
        </w:numPr>
        <w:spacing w:before="100" w:beforeAutospacing="1" w:after="100" w:afterAutospacing="1" w:line="360" w:lineRule="auto"/>
        <w:jc w:val="both"/>
        <w:rPr>
          <w:rFonts w:asciiTheme="majorBidi" w:hAnsiTheme="majorBidi" w:cstheme="majorBidi"/>
          <w:color w:val="000000"/>
          <w:lang w:val="fr-FR"/>
        </w:rPr>
      </w:pPr>
      <w:r w:rsidRPr="00DA7BB2">
        <w:rPr>
          <w:rFonts w:asciiTheme="majorBidi" w:hAnsiTheme="majorBidi" w:cstheme="majorBidi"/>
          <w:b/>
          <w:bCs/>
          <w:color w:val="000000"/>
          <w:lang w:val="fr-FR"/>
        </w:rPr>
        <w:t xml:space="preserve">Le mobile </w:t>
      </w:r>
      <w:proofErr w:type="spellStart"/>
      <w:r w:rsidRPr="00DA7BB2">
        <w:rPr>
          <w:rFonts w:asciiTheme="majorBidi" w:hAnsiTheme="majorBidi" w:cstheme="majorBidi"/>
          <w:b/>
          <w:bCs/>
          <w:color w:val="000000"/>
          <w:lang w:val="fr-FR"/>
        </w:rPr>
        <w:t>learning</w:t>
      </w:r>
      <w:proofErr w:type="spellEnd"/>
      <w:r w:rsidRPr="00DA7BB2">
        <w:rPr>
          <w:rFonts w:asciiTheme="majorBidi" w:hAnsiTheme="majorBidi" w:cstheme="majorBidi"/>
          <w:color w:val="000000"/>
          <w:lang w:val="fr-FR"/>
        </w:rPr>
        <w:t> : apprentissage via des applications mobiles et plateformes adaptées aux smartphones et tablettes.</w:t>
      </w:r>
    </w:p>
    <w:p w:rsidR="00E772DD" w:rsidRPr="00DA7BB2" w:rsidRDefault="00E772DD" w:rsidP="004D32AC">
      <w:pPr>
        <w:numPr>
          <w:ilvl w:val="0"/>
          <w:numId w:val="102"/>
        </w:numPr>
        <w:spacing w:before="100" w:beforeAutospacing="1" w:after="100" w:afterAutospacing="1" w:line="360" w:lineRule="auto"/>
        <w:jc w:val="both"/>
        <w:rPr>
          <w:rFonts w:asciiTheme="majorBidi" w:hAnsiTheme="majorBidi" w:cstheme="majorBidi"/>
          <w:color w:val="000000"/>
          <w:lang w:val="fr-FR"/>
        </w:rPr>
      </w:pPr>
      <w:r w:rsidRPr="00DA7BB2">
        <w:rPr>
          <w:rFonts w:asciiTheme="majorBidi" w:hAnsiTheme="majorBidi" w:cstheme="majorBidi"/>
          <w:b/>
          <w:bCs/>
          <w:color w:val="000000"/>
          <w:lang w:val="fr-FR"/>
        </w:rPr>
        <w:t xml:space="preserve">Les </w:t>
      </w:r>
      <w:proofErr w:type="spellStart"/>
      <w:r w:rsidRPr="00DA7BB2">
        <w:rPr>
          <w:rFonts w:asciiTheme="majorBidi" w:hAnsiTheme="majorBidi" w:cstheme="majorBidi"/>
          <w:b/>
          <w:bCs/>
          <w:color w:val="000000"/>
          <w:lang w:val="fr-FR"/>
        </w:rPr>
        <w:t>MOOCs</w:t>
      </w:r>
      <w:proofErr w:type="spellEnd"/>
      <w:r w:rsidRPr="00DA7BB2">
        <w:rPr>
          <w:rFonts w:asciiTheme="majorBidi" w:hAnsiTheme="majorBidi" w:cstheme="majorBidi"/>
          <w:b/>
          <w:bCs/>
          <w:color w:val="000000"/>
          <w:lang w:val="fr-FR"/>
        </w:rPr>
        <w:t xml:space="preserve"> (Massive Open Online Courses)</w:t>
      </w:r>
      <w:r w:rsidRPr="00DA7BB2">
        <w:rPr>
          <w:rFonts w:asciiTheme="majorBidi" w:hAnsiTheme="majorBidi" w:cstheme="majorBidi"/>
          <w:color w:val="000000"/>
          <w:lang w:val="fr-FR"/>
        </w:rPr>
        <w:t> : formations en ligne ouvertes et accessibles à un large public.</w:t>
      </w:r>
    </w:p>
    <w:p w:rsidR="00E772DD" w:rsidRPr="00DA7BB2" w:rsidRDefault="00E772DD" w:rsidP="004D32AC">
      <w:pPr>
        <w:numPr>
          <w:ilvl w:val="0"/>
          <w:numId w:val="102"/>
        </w:numPr>
        <w:spacing w:before="100" w:beforeAutospacing="1" w:line="360" w:lineRule="auto"/>
        <w:jc w:val="both"/>
        <w:rPr>
          <w:rFonts w:asciiTheme="majorBidi" w:hAnsiTheme="majorBidi" w:cstheme="majorBidi"/>
          <w:color w:val="000000"/>
          <w:lang w:val="fr-FR"/>
        </w:rPr>
      </w:pPr>
      <w:r w:rsidRPr="00DA7BB2">
        <w:rPr>
          <w:rFonts w:asciiTheme="majorBidi" w:hAnsiTheme="majorBidi" w:cstheme="majorBidi"/>
          <w:b/>
          <w:bCs/>
          <w:color w:val="000000"/>
          <w:lang w:val="fr-FR"/>
        </w:rPr>
        <w:t xml:space="preserve">Le </w:t>
      </w:r>
      <w:proofErr w:type="spellStart"/>
      <w:r w:rsidRPr="00DA7BB2">
        <w:rPr>
          <w:rFonts w:asciiTheme="majorBidi" w:hAnsiTheme="majorBidi" w:cstheme="majorBidi"/>
          <w:b/>
          <w:bCs/>
          <w:color w:val="000000"/>
          <w:lang w:val="fr-FR"/>
        </w:rPr>
        <w:t>blended</w:t>
      </w:r>
      <w:proofErr w:type="spellEnd"/>
      <w:r w:rsidRPr="00DA7BB2">
        <w:rPr>
          <w:rFonts w:asciiTheme="majorBidi" w:hAnsiTheme="majorBidi" w:cstheme="majorBidi"/>
          <w:b/>
          <w:bCs/>
          <w:color w:val="000000"/>
          <w:lang w:val="fr-FR"/>
        </w:rPr>
        <w:t xml:space="preserve"> </w:t>
      </w:r>
      <w:proofErr w:type="spellStart"/>
      <w:r w:rsidRPr="00DA7BB2">
        <w:rPr>
          <w:rFonts w:asciiTheme="majorBidi" w:hAnsiTheme="majorBidi" w:cstheme="majorBidi"/>
          <w:b/>
          <w:bCs/>
          <w:color w:val="000000"/>
          <w:lang w:val="fr-FR"/>
        </w:rPr>
        <w:t>learning</w:t>
      </w:r>
      <w:proofErr w:type="spellEnd"/>
      <w:r w:rsidRPr="00DA7BB2">
        <w:rPr>
          <w:rFonts w:asciiTheme="majorBidi" w:hAnsiTheme="majorBidi" w:cstheme="majorBidi"/>
          <w:color w:val="000000"/>
          <w:lang w:val="fr-FR"/>
        </w:rPr>
        <w:t> : une approche mixte combinant formation en ligne et formation en présentiel.</w:t>
      </w:r>
    </w:p>
    <w:p w:rsidR="00E772DD" w:rsidRPr="00DA7BB2" w:rsidRDefault="00E772DD" w:rsidP="0040528E">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se distingue par sa flexibilité, son accessibilité et la diversité des formats pédagogiques qu’elle propose aux apprenants</w:t>
      </w:r>
      <w:r w:rsidR="00F60EBD">
        <w:rPr>
          <w:rFonts w:asciiTheme="majorBidi" w:hAnsiTheme="majorBidi" w:cstheme="majorBidi"/>
          <w:color w:val="000000"/>
          <w:lang w:val="fr-FR"/>
        </w:rPr>
        <w:t>.</w:t>
      </w:r>
      <w:r w:rsidRPr="00DA7BB2">
        <w:rPr>
          <w:rStyle w:val="Appelnotedebasdep"/>
          <w:rFonts w:cstheme="majorBidi"/>
          <w:color w:val="000000"/>
          <w:lang w:val="fr-FR"/>
        </w:rPr>
        <w:footnoteReference w:id="315"/>
      </w:r>
    </w:p>
    <w:p w:rsidR="00E772DD" w:rsidRDefault="00E772DD" w:rsidP="0084231F">
      <w:pPr>
        <w:spacing w:before="100" w:beforeAutospacing="1"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a évolué en plusieurs étapes, parallèlement aux progrès technologiques et aux transformations des méthodes d’apprentissage en entreprise et en milieu académique.</w:t>
      </w:r>
    </w:p>
    <w:p w:rsidR="00A27C55" w:rsidRDefault="00A27C55" w:rsidP="0084231F">
      <w:pPr>
        <w:spacing w:before="100" w:beforeAutospacing="1" w:after="100" w:afterAutospacing="1" w:line="360" w:lineRule="auto"/>
        <w:jc w:val="both"/>
        <w:rPr>
          <w:rFonts w:asciiTheme="majorBidi" w:hAnsiTheme="majorBidi" w:cstheme="majorBidi"/>
          <w:color w:val="000000"/>
          <w:lang w:val="fr-FR"/>
        </w:rPr>
      </w:pPr>
    </w:p>
    <w:p w:rsidR="00A27C55" w:rsidRDefault="00A27C55" w:rsidP="0084231F">
      <w:pPr>
        <w:spacing w:before="100" w:beforeAutospacing="1" w:after="100" w:afterAutospacing="1" w:line="360" w:lineRule="auto"/>
        <w:jc w:val="both"/>
        <w:rPr>
          <w:rFonts w:asciiTheme="majorBidi" w:hAnsiTheme="majorBidi" w:cstheme="majorBidi"/>
          <w:color w:val="000000"/>
          <w:lang w:val="fr-FR"/>
        </w:rPr>
      </w:pPr>
    </w:p>
    <w:p w:rsidR="00A27C55" w:rsidRDefault="00A27C55" w:rsidP="0084231F">
      <w:pPr>
        <w:spacing w:before="100" w:beforeAutospacing="1" w:after="100" w:afterAutospacing="1" w:line="360" w:lineRule="auto"/>
        <w:jc w:val="both"/>
        <w:rPr>
          <w:rFonts w:asciiTheme="majorBidi" w:hAnsiTheme="majorBidi" w:cstheme="majorBidi"/>
          <w:color w:val="000000"/>
          <w:lang w:val="fr-FR"/>
        </w:rPr>
      </w:pPr>
    </w:p>
    <w:p w:rsidR="00A27C55" w:rsidRPr="00DA7BB2" w:rsidRDefault="00A27C55" w:rsidP="0084231F">
      <w:pPr>
        <w:spacing w:before="100" w:beforeAutospacing="1" w:after="100" w:afterAutospacing="1" w:line="360" w:lineRule="auto"/>
        <w:jc w:val="both"/>
        <w:rPr>
          <w:rFonts w:asciiTheme="majorBidi" w:hAnsiTheme="majorBidi" w:cstheme="majorBidi"/>
          <w:color w:val="000000"/>
          <w:lang w:val="fr-FR"/>
        </w:rPr>
      </w:pPr>
    </w:p>
    <w:p w:rsidR="00E772DD" w:rsidRPr="00DA7BB2" w:rsidRDefault="00E772DD" w:rsidP="0040528E">
      <w:pPr>
        <w:spacing w:before="100" w:beforeAutospacing="1" w:after="100" w:afterAutospacing="1" w:line="360" w:lineRule="auto"/>
        <w:jc w:val="center"/>
        <w:rPr>
          <w:rFonts w:asciiTheme="majorBidi" w:hAnsiTheme="majorBidi" w:cstheme="majorBidi"/>
          <w:color w:val="000000"/>
          <w:lang w:val="fr-FR"/>
        </w:rPr>
      </w:pPr>
      <w:r w:rsidRPr="00DA7BB2">
        <w:rPr>
          <w:rFonts w:asciiTheme="majorBidi" w:hAnsiTheme="majorBidi" w:cstheme="majorBidi"/>
          <w:b/>
          <w:bCs/>
          <w:color w:val="000000"/>
          <w:lang w:val="fr-FR"/>
        </w:rPr>
        <w:lastRenderedPageBreak/>
        <w:t xml:space="preserve">Figure </w:t>
      </w:r>
      <w:r>
        <w:rPr>
          <w:rFonts w:asciiTheme="majorBidi" w:hAnsiTheme="majorBidi" w:cstheme="majorBidi"/>
          <w:b/>
          <w:bCs/>
          <w:color w:val="000000"/>
          <w:lang w:val="fr-FR"/>
        </w:rPr>
        <w:t>N°28</w:t>
      </w:r>
      <w:r w:rsidRPr="00DA7BB2">
        <w:rPr>
          <w:rFonts w:asciiTheme="majorBidi" w:hAnsiTheme="majorBidi" w:cstheme="majorBidi"/>
          <w:b/>
          <w:bCs/>
          <w:color w:val="000000"/>
          <w:lang w:val="fr-FR"/>
        </w:rPr>
        <w:t> :</w:t>
      </w:r>
      <w:r w:rsidRPr="00DA7BB2">
        <w:rPr>
          <w:rFonts w:asciiTheme="majorBidi" w:hAnsiTheme="majorBidi" w:cstheme="majorBidi"/>
          <w:color w:val="000000"/>
          <w:lang w:val="fr-FR"/>
        </w:rPr>
        <w:t xml:space="preserve"> </w:t>
      </w:r>
      <w:r w:rsidRPr="0091398F">
        <w:rPr>
          <w:rFonts w:asciiTheme="majorBidi" w:hAnsiTheme="majorBidi" w:cstheme="majorBidi"/>
          <w:color w:val="000000"/>
          <w:lang w:val="fr-FR"/>
        </w:rPr>
        <w:t>L’évolution de l’e-formation</w:t>
      </w:r>
    </w:p>
    <w:p w:rsidR="00E772DD" w:rsidRPr="00DA7BB2" w:rsidRDefault="00E772DD" w:rsidP="00DA7BB2">
      <w:pPr>
        <w:spacing w:before="100" w:beforeAutospacing="1" w:after="100" w:afterAutospacing="1" w:line="360" w:lineRule="auto"/>
        <w:jc w:val="both"/>
        <w:rPr>
          <w:rFonts w:asciiTheme="majorBidi" w:hAnsiTheme="majorBidi" w:cstheme="majorBidi"/>
          <w:color w:val="000000"/>
          <w:lang w:val="fr-FR"/>
        </w:rPr>
      </w:pPr>
      <w:r w:rsidRPr="00DA7BB2">
        <w:rPr>
          <w:rFonts w:asciiTheme="majorBidi" w:hAnsiTheme="majorBidi" w:cstheme="majorBidi"/>
          <w:noProof/>
          <w:color w:val="000000"/>
          <w:lang w:val="fr-FR"/>
          <w14:ligatures w14:val="standardContextual"/>
        </w:rPr>
        <w:drawing>
          <wp:inline distT="0" distB="0" distL="0" distR="0" wp14:anchorId="183FC34C" wp14:editId="6133F2BB">
            <wp:extent cx="5688385" cy="3200400"/>
            <wp:effectExtent l="63500" t="38100" r="26670" b="76200"/>
            <wp:docPr id="142002897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rsidR="00E772DD" w:rsidRPr="0040528E" w:rsidRDefault="00E772DD" w:rsidP="0040528E">
      <w:pPr>
        <w:spacing w:before="100" w:beforeAutospacing="1" w:after="100" w:afterAutospacing="1" w:line="360" w:lineRule="auto"/>
        <w:jc w:val="center"/>
        <w:rPr>
          <w:rFonts w:asciiTheme="majorBidi" w:hAnsiTheme="majorBidi" w:cstheme="majorBidi"/>
          <w:color w:val="000000"/>
          <w:lang w:val="fr-FR"/>
        </w:rPr>
      </w:pPr>
      <w:r w:rsidRPr="0091398F">
        <w:rPr>
          <w:rFonts w:asciiTheme="majorBidi" w:hAnsiTheme="majorBidi" w:cstheme="majorBidi"/>
          <w:b/>
          <w:bCs/>
          <w:color w:val="000000"/>
          <w:lang w:val="fr-FR"/>
        </w:rPr>
        <w:t>Source :</w:t>
      </w:r>
      <w:r w:rsidRPr="0040528E">
        <w:rPr>
          <w:rFonts w:asciiTheme="majorBidi" w:hAnsiTheme="majorBidi" w:cstheme="majorBidi"/>
          <w:color w:val="000000"/>
          <w:lang w:val="fr-FR"/>
        </w:rPr>
        <w:t xml:space="preserve"> Adapté de FAO. (2011).</w:t>
      </w:r>
      <w:r w:rsidRPr="00F60EBD">
        <w:rPr>
          <w:rStyle w:val="apple-converted-space"/>
          <w:rFonts w:asciiTheme="majorBidi" w:hAnsiTheme="majorBidi" w:cstheme="majorBidi"/>
          <w:color w:val="000000"/>
          <w:lang w:val="fr-FR"/>
        </w:rPr>
        <w:t> </w:t>
      </w:r>
      <w:r w:rsidRPr="00F60EBD">
        <w:rPr>
          <w:rStyle w:val="Accentuation"/>
          <w:rFonts w:asciiTheme="majorBidi" w:hAnsiTheme="majorBidi" w:cstheme="majorBidi"/>
          <w:i w:val="0"/>
          <w:iCs w:val="0"/>
          <w:color w:val="000000"/>
          <w:lang w:val="fr-FR"/>
        </w:rPr>
        <w:t>Méthodes et bonnes pratiques pour le développement de formations e-learning</w:t>
      </w:r>
      <w:r w:rsidRPr="0040528E">
        <w:rPr>
          <w:rFonts w:asciiTheme="majorBidi" w:hAnsiTheme="majorBidi" w:cstheme="majorBidi"/>
          <w:i/>
          <w:iCs/>
          <w:color w:val="000000"/>
          <w:lang w:val="fr-FR"/>
        </w:rPr>
        <w:t xml:space="preserve">. </w:t>
      </w:r>
      <w:r w:rsidRPr="0040528E">
        <w:rPr>
          <w:rFonts w:asciiTheme="majorBidi" w:hAnsiTheme="majorBidi" w:cstheme="majorBidi"/>
          <w:color w:val="000000"/>
          <w:lang w:val="fr-FR"/>
        </w:rPr>
        <w:t>Organisation des Nations Unies pour l'alimentation et l'agriculture. Disponible sur</w:t>
      </w:r>
      <w:r w:rsidRPr="0040528E">
        <w:rPr>
          <w:rStyle w:val="apple-converted-space"/>
          <w:rFonts w:asciiTheme="majorBidi" w:hAnsiTheme="majorBidi" w:cstheme="majorBidi"/>
          <w:color w:val="000000"/>
          <w:lang w:val="fr-FR"/>
        </w:rPr>
        <w:t> </w:t>
      </w:r>
      <w:hyperlink r:id="rId102" w:tgtFrame="_new" w:history="1">
        <w:r w:rsidRPr="0040528E">
          <w:rPr>
            <w:rStyle w:val="Lienhypertexte"/>
            <w:rFonts w:asciiTheme="majorBidi" w:eastAsiaTheme="majorEastAsia" w:hAnsiTheme="majorBidi"/>
            <w:lang w:val="fr-FR"/>
          </w:rPr>
          <w:t>https://www.fao.org/3/i2516f/i2516f.pdf</w:t>
        </w:r>
      </w:hyperlink>
    </w:p>
    <w:p w:rsidR="00E772DD" w:rsidRPr="00DA7BB2" w:rsidRDefault="00E772DD" w:rsidP="004D32AC">
      <w:pPr>
        <w:pStyle w:val="Paragraphedeliste"/>
        <w:numPr>
          <w:ilvl w:val="0"/>
          <w:numId w:val="109"/>
        </w:numPr>
        <w:spacing w:before="100" w:beforeAutospacing="1" w:line="360" w:lineRule="auto"/>
        <w:jc w:val="both"/>
        <w:outlineLvl w:val="4"/>
        <w:rPr>
          <w:rFonts w:asciiTheme="majorBidi" w:hAnsiTheme="majorBidi" w:cstheme="majorBidi"/>
          <w:b/>
          <w:bCs/>
          <w:color w:val="000000"/>
          <w:lang w:val="fr-FR"/>
        </w:rPr>
      </w:pPr>
      <w:r w:rsidRPr="00DA7BB2">
        <w:rPr>
          <w:rFonts w:asciiTheme="majorBidi" w:hAnsiTheme="majorBidi" w:cstheme="majorBidi"/>
          <w:b/>
          <w:bCs/>
          <w:color w:val="000000"/>
          <w:lang w:val="fr-FR"/>
        </w:rPr>
        <w:t>Premières formes d’apprentissage à distance </w:t>
      </w:r>
    </w:p>
    <w:p w:rsidR="00E772DD" w:rsidRPr="00DA7BB2" w:rsidRDefault="00E772DD" w:rsidP="0040528E">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Les premières formes d’apprentissage à distance remontent au XIXe siècle, avec l'enseignement par correspondance. Cependant, l’informatique et les réseaux ont progressivement introduit des formes plus avancées d’e-formation dès les années 1960, notamment avec les premiers systèmes de gestion de l’apprentissage (Learning Management </w:t>
      </w:r>
      <w:proofErr w:type="spellStart"/>
      <w:r w:rsidRPr="00DA7BB2">
        <w:rPr>
          <w:rFonts w:asciiTheme="majorBidi" w:hAnsiTheme="majorBidi" w:cstheme="majorBidi"/>
          <w:color w:val="000000"/>
          <w:lang w:val="fr-FR"/>
        </w:rPr>
        <w:t>Systems</w:t>
      </w:r>
      <w:proofErr w:type="spellEnd"/>
      <w:r w:rsidRPr="00DA7BB2">
        <w:rPr>
          <w:rFonts w:asciiTheme="majorBidi" w:hAnsiTheme="majorBidi" w:cstheme="majorBidi"/>
          <w:color w:val="000000"/>
          <w:lang w:val="fr-FR"/>
        </w:rPr>
        <w:t xml:space="preserve"> - LMS)</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16"/>
      </w:r>
    </w:p>
    <w:p w:rsidR="00E772DD" w:rsidRPr="00DA7BB2" w:rsidRDefault="00E772DD" w:rsidP="004D32AC">
      <w:pPr>
        <w:pStyle w:val="Paragraphedeliste"/>
        <w:numPr>
          <w:ilvl w:val="0"/>
          <w:numId w:val="109"/>
        </w:numPr>
        <w:spacing w:before="100" w:beforeAutospacing="1" w:line="360" w:lineRule="auto"/>
        <w:jc w:val="both"/>
        <w:outlineLvl w:val="4"/>
        <w:rPr>
          <w:rFonts w:asciiTheme="majorBidi" w:hAnsiTheme="majorBidi" w:cstheme="majorBidi"/>
          <w:b/>
          <w:bCs/>
          <w:color w:val="000000"/>
          <w:lang w:val="fr-FR"/>
        </w:rPr>
      </w:pPr>
      <w:r w:rsidRPr="00DA7BB2">
        <w:rPr>
          <w:rFonts w:asciiTheme="majorBidi" w:hAnsiTheme="majorBidi" w:cstheme="majorBidi"/>
          <w:b/>
          <w:bCs/>
          <w:color w:val="000000"/>
          <w:lang w:val="fr-FR"/>
        </w:rPr>
        <w:t>L’essor du e-learning dans les années 1990 </w:t>
      </w:r>
    </w:p>
    <w:p w:rsidR="00E772DD" w:rsidRPr="00DA7BB2" w:rsidRDefault="00E772DD" w:rsidP="0040528E">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Avec la démocratisation d’Internet dans les années 1990, l’e-learning s’est fortement développé. Des plateformes comme </w:t>
      </w:r>
      <w:proofErr w:type="spellStart"/>
      <w:r w:rsidRPr="00DA7BB2">
        <w:rPr>
          <w:rFonts w:asciiTheme="majorBidi" w:hAnsiTheme="majorBidi" w:cstheme="majorBidi"/>
          <w:color w:val="000000"/>
          <w:lang w:val="fr-FR"/>
        </w:rPr>
        <w:t>Blackboard</w:t>
      </w:r>
      <w:proofErr w:type="spellEnd"/>
      <w:r w:rsidRPr="00DA7BB2">
        <w:rPr>
          <w:rFonts w:asciiTheme="majorBidi" w:hAnsiTheme="majorBidi" w:cstheme="majorBidi"/>
          <w:color w:val="000000"/>
          <w:lang w:val="fr-FR"/>
        </w:rPr>
        <w:t xml:space="preserve"> et Moodle sont apparues, permettant aux institutions académiques et aux entreprises de structurer des cours et d’assurer un suivi pédagogique des apprenants à distance</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17"/>
      </w:r>
    </w:p>
    <w:p w:rsidR="00E772DD" w:rsidRPr="00DA7BB2" w:rsidRDefault="00E772DD" w:rsidP="004D32AC">
      <w:pPr>
        <w:pStyle w:val="Paragraphedeliste"/>
        <w:numPr>
          <w:ilvl w:val="0"/>
          <w:numId w:val="109"/>
        </w:numPr>
        <w:spacing w:before="100" w:beforeAutospacing="1" w:line="360" w:lineRule="auto"/>
        <w:outlineLvl w:val="4"/>
        <w:rPr>
          <w:rFonts w:asciiTheme="majorBidi" w:hAnsiTheme="majorBidi" w:cstheme="majorBidi"/>
          <w:b/>
          <w:bCs/>
          <w:color w:val="000000"/>
          <w:lang w:val="fr-FR"/>
        </w:rPr>
      </w:pPr>
      <w:r w:rsidRPr="00DA7BB2">
        <w:rPr>
          <w:rFonts w:asciiTheme="majorBidi" w:hAnsiTheme="majorBidi" w:cstheme="majorBidi"/>
          <w:b/>
          <w:bCs/>
          <w:color w:val="000000"/>
          <w:lang w:val="fr-FR"/>
        </w:rPr>
        <w:lastRenderedPageBreak/>
        <w:t xml:space="preserve">L’émergence des </w:t>
      </w:r>
      <w:proofErr w:type="spellStart"/>
      <w:r w:rsidRPr="00DA7BB2">
        <w:rPr>
          <w:rFonts w:asciiTheme="majorBidi" w:hAnsiTheme="majorBidi" w:cstheme="majorBidi"/>
          <w:b/>
          <w:bCs/>
          <w:color w:val="000000"/>
          <w:lang w:val="fr-FR"/>
        </w:rPr>
        <w:t>MOOCs</w:t>
      </w:r>
      <w:proofErr w:type="spellEnd"/>
      <w:r w:rsidRPr="00DA7BB2">
        <w:rPr>
          <w:rFonts w:asciiTheme="majorBidi" w:hAnsiTheme="majorBidi" w:cstheme="majorBidi"/>
          <w:b/>
          <w:bCs/>
          <w:color w:val="000000"/>
          <w:lang w:val="fr-FR"/>
        </w:rPr>
        <w:t xml:space="preserve"> et du mobile </w:t>
      </w:r>
      <w:proofErr w:type="spellStart"/>
      <w:r w:rsidRPr="00DA7BB2">
        <w:rPr>
          <w:rFonts w:asciiTheme="majorBidi" w:hAnsiTheme="majorBidi" w:cstheme="majorBidi"/>
          <w:b/>
          <w:bCs/>
          <w:color w:val="000000"/>
          <w:lang w:val="fr-FR"/>
        </w:rPr>
        <w:t>learning</w:t>
      </w:r>
      <w:proofErr w:type="spellEnd"/>
      <w:r w:rsidRPr="00DA7BB2">
        <w:rPr>
          <w:rFonts w:asciiTheme="majorBidi" w:hAnsiTheme="majorBidi" w:cstheme="majorBidi"/>
          <w:b/>
          <w:bCs/>
          <w:color w:val="000000"/>
          <w:lang w:val="fr-FR"/>
        </w:rPr>
        <w:t xml:space="preserve"> (années 2000-2010) </w:t>
      </w:r>
    </w:p>
    <w:p w:rsidR="00E772DD" w:rsidRDefault="00E772DD" w:rsidP="005D7BDE">
      <w:pPr>
        <w:spacing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Dans les années 2000, les </w:t>
      </w:r>
      <w:proofErr w:type="spellStart"/>
      <w:r w:rsidRPr="00DA7BB2">
        <w:rPr>
          <w:rFonts w:asciiTheme="majorBidi" w:hAnsiTheme="majorBidi" w:cstheme="majorBidi"/>
          <w:color w:val="000000"/>
          <w:lang w:val="fr-FR"/>
        </w:rPr>
        <w:t>MOOCs</w:t>
      </w:r>
      <w:proofErr w:type="spellEnd"/>
      <w:r w:rsidRPr="00DA7BB2">
        <w:rPr>
          <w:rFonts w:asciiTheme="majorBidi" w:hAnsiTheme="majorBidi" w:cstheme="majorBidi"/>
          <w:color w:val="000000"/>
          <w:lang w:val="fr-FR"/>
        </w:rPr>
        <w:t xml:space="preserve"> ont révolutionné l’apprentissage en ligne en offrant des formations gratuites et ouvertes à un large public, via des plateformes comme Coursera, </w:t>
      </w:r>
      <w:proofErr w:type="spellStart"/>
      <w:r w:rsidRPr="00DA7BB2">
        <w:rPr>
          <w:rFonts w:asciiTheme="majorBidi" w:hAnsiTheme="majorBidi" w:cstheme="majorBidi"/>
          <w:color w:val="000000"/>
          <w:lang w:val="fr-FR"/>
        </w:rPr>
        <w:t>edX</w:t>
      </w:r>
      <w:proofErr w:type="spellEnd"/>
      <w:r w:rsidRPr="00DA7BB2">
        <w:rPr>
          <w:rFonts w:asciiTheme="majorBidi" w:hAnsiTheme="majorBidi" w:cstheme="majorBidi"/>
          <w:color w:val="000000"/>
          <w:lang w:val="fr-FR"/>
        </w:rPr>
        <w:t xml:space="preserve"> et</w:t>
      </w:r>
      <w:r>
        <w:rPr>
          <w:rFonts w:asciiTheme="majorBidi" w:hAnsiTheme="majorBidi" w:cstheme="majorBidi"/>
          <w:color w:val="000000"/>
          <w:lang w:val="fr-FR"/>
        </w:rPr>
        <w:t xml:space="preserve"> </w:t>
      </w:r>
      <w:proofErr w:type="spellStart"/>
      <w:r w:rsidRPr="00DA7BB2">
        <w:rPr>
          <w:rFonts w:asciiTheme="majorBidi" w:hAnsiTheme="majorBidi" w:cstheme="majorBidi"/>
          <w:color w:val="000000"/>
          <w:lang w:val="fr-FR"/>
        </w:rPr>
        <w:t>Udemy</w:t>
      </w:r>
      <w:proofErr w:type="spellEnd"/>
      <w:r w:rsidR="00A27C55">
        <w:rPr>
          <w:rFonts w:asciiTheme="majorBidi" w:hAnsiTheme="majorBidi" w:cstheme="majorBidi"/>
          <w:color w:val="000000"/>
          <w:lang w:val="fr-FR"/>
        </w:rPr>
        <w:t>.</w:t>
      </w:r>
      <w:r>
        <w:rPr>
          <w:rStyle w:val="Appelnotedebasdep"/>
          <w:rFonts w:cstheme="majorBidi"/>
          <w:color w:val="000000"/>
          <w:lang w:val="fr-FR"/>
        </w:rPr>
        <w:footnoteReference w:id="318"/>
      </w:r>
      <w:r w:rsidRPr="00DA7BB2">
        <w:rPr>
          <w:rFonts w:asciiTheme="majorBidi" w:hAnsiTheme="majorBidi" w:cstheme="majorBidi"/>
          <w:color w:val="000000"/>
          <w:lang w:val="fr-FR"/>
        </w:rPr>
        <w:t xml:space="preserve"> </w:t>
      </w:r>
    </w:p>
    <w:p w:rsidR="00E772DD" w:rsidRPr="00DA7BB2" w:rsidRDefault="00E772DD" w:rsidP="005D7BDE">
      <w:pPr>
        <w:spacing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Parallèlement, l’essor des smartphones a donné naissance au mobile </w:t>
      </w:r>
      <w:proofErr w:type="spellStart"/>
      <w:r w:rsidRPr="00DA7BB2">
        <w:rPr>
          <w:rFonts w:asciiTheme="majorBidi" w:hAnsiTheme="majorBidi" w:cstheme="majorBidi"/>
          <w:color w:val="000000"/>
          <w:lang w:val="fr-FR"/>
        </w:rPr>
        <w:t>learning</w:t>
      </w:r>
      <w:proofErr w:type="spellEnd"/>
      <w:r w:rsidRPr="00DA7BB2">
        <w:rPr>
          <w:rFonts w:asciiTheme="majorBidi" w:hAnsiTheme="majorBidi" w:cstheme="majorBidi"/>
          <w:color w:val="000000"/>
          <w:lang w:val="fr-FR"/>
        </w:rPr>
        <w:t>, favorisant l’apprentissage nomade et personnalisé.</w:t>
      </w:r>
    </w:p>
    <w:p w:rsidR="00E772DD" w:rsidRPr="00DA7BB2" w:rsidRDefault="00E772DD" w:rsidP="004D32AC">
      <w:pPr>
        <w:pStyle w:val="Paragraphedeliste"/>
        <w:numPr>
          <w:ilvl w:val="0"/>
          <w:numId w:val="109"/>
        </w:numPr>
        <w:spacing w:before="100" w:beforeAutospacing="1" w:line="360" w:lineRule="auto"/>
        <w:jc w:val="both"/>
        <w:outlineLvl w:val="4"/>
        <w:rPr>
          <w:rFonts w:asciiTheme="majorBidi" w:hAnsiTheme="majorBidi" w:cstheme="majorBidi"/>
          <w:b/>
          <w:bCs/>
          <w:color w:val="000000"/>
          <w:lang w:val="fr-FR"/>
        </w:rPr>
      </w:pPr>
      <w:r w:rsidRPr="00DA7BB2">
        <w:rPr>
          <w:rFonts w:asciiTheme="majorBidi" w:hAnsiTheme="majorBidi" w:cstheme="majorBidi"/>
          <w:b/>
          <w:bCs/>
          <w:color w:val="000000"/>
          <w:lang w:val="fr-FR"/>
        </w:rPr>
        <w:t>L’ère de l’intelligence artificielle et de la formation immersive (2015 - aujourd’hui) </w:t>
      </w:r>
    </w:p>
    <w:p w:rsidR="00E772DD" w:rsidRPr="00DA7BB2" w:rsidRDefault="00E772DD" w:rsidP="002D6057">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Depuis les années 2015, les technologies émergentes comme l’intelligence artificielle (IA), la réalité virtuelle (VR) et la réalité augmentée (AR) ont transformé l’e-formation en la rendant plus interactive et adaptative. Des plateformes comme 360Learning et </w:t>
      </w:r>
      <w:proofErr w:type="spellStart"/>
      <w:r w:rsidRPr="00DA7BB2">
        <w:rPr>
          <w:rFonts w:asciiTheme="majorBidi" w:hAnsiTheme="majorBidi" w:cstheme="majorBidi"/>
          <w:color w:val="000000"/>
          <w:lang w:val="fr-FR"/>
        </w:rPr>
        <w:t>Docebo</w:t>
      </w:r>
      <w:proofErr w:type="spellEnd"/>
      <w:r w:rsidRPr="00DA7BB2">
        <w:rPr>
          <w:rFonts w:asciiTheme="majorBidi" w:hAnsiTheme="majorBidi" w:cstheme="majorBidi"/>
          <w:color w:val="000000"/>
          <w:lang w:val="fr-FR"/>
        </w:rPr>
        <w:t> intègrent désormais des algorithmes d’apprentissage automatique pour personnaliser les parcours d’apprentissage</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19"/>
      </w:r>
    </w:p>
    <w:p w:rsidR="00E772DD" w:rsidRPr="00DA7BB2" w:rsidRDefault="00E772DD" w:rsidP="00DA7BB2">
      <w:pPr>
        <w:spacing w:before="100" w:beforeAutospacing="1"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a évolué depuis les premières formes d’apprentissage à distance jusqu’aux technologies immersives et intelligentes d’aujourd’hui. Elle représente désormais une alternative incontournable aux méthodes d’apprentissage traditionnelles, en entreprise comme dans l’éducation.</w:t>
      </w:r>
    </w:p>
    <w:p w:rsidR="00E772DD" w:rsidRPr="00DB602C" w:rsidRDefault="00DB602C" w:rsidP="004D32AC">
      <w:pPr>
        <w:pStyle w:val="Titre3"/>
        <w:numPr>
          <w:ilvl w:val="1"/>
          <w:numId w:val="187"/>
        </w:numPr>
        <w:spacing w:after="0" w:afterAutospacing="0" w:line="360" w:lineRule="auto"/>
        <w:rPr>
          <w:sz w:val="24"/>
          <w:szCs w:val="24"/>
          <w:lang w:val="fr-FR"/>
        </w:rPr>
      </w:pPr>
      <w:r>
        <w:rPr>
          <w:sz w:val="24"/>
          <w:szCs w:val="24"/>
          <w:lang w:val="fr-FR"/>
        </w:rPr>
        <w:t xml:space="preserve"> </w:t>
      </w:r>
      <w:bookmarkStart w:id="1697" w:name="_Toc199714474"/>
      <w:bookmarkStart w:id="1698" w:name="_Toc200486752"/>
      <w:bookmarkStart w:id="1699" w:name="_Toc200635528"/>
      <w:bookmarkStart w:id="1700" w:name="_Toc200635916"/>
      <w:bookmarkStart w:id="1701" w:name="_Toc200636305"/>
      <w:bookmarkStart w:id="1702" w:name="_Toc200756043"/>
      <w:r w:rsidR="00E772DD" w:rsidRPr="00DB602C">
        <w:rPr>
          <w:sz w:val="24"/>
          <w:szCs w:val="24"/>
          <w:lang w:val="fr-FR"/>
        </w:rPr>
        <w:t>Les outils de l’e-formation</w:t>
      </w:r>
      <w:bookmarkEnd w:id="1697"/>
      <w:bookmarkEnd w:id="1698"/>
      <w:bookmarkEnd w:id="1699"/>
      <w:bookmarkEnd w:id="1700"/>
      <w:bookmarkEnd w:id="1701"/>
      <w:bookmarkEnd w:id="1702"/>
    </w:p>
    <w:p w:rsidR="00E772DD" w:rsidRPr="00DA7BB2" w:rsidRDefault="00E772DD" w:rsidP="002D6057">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repose sur un ensemble d’outils numériques permettant de digitaliser le processus d’apprentissage et de formation professionnelle. Ces outils varient en fonction des objectifs pédagogiques et du niveau d’interaction requis entre formateurs et apprenants.</w:t>
      </w:r>
    </w:p>
    <w:p w:rsidR="00E772DD" w:rsidRPr="00A12CEC" w:rsidRDefault="00E772DD" w:rsidP="004D32AC">
      <w:pPr>
        <w:pStyle w:val="Titre4"/>
        <w:numPr>
          <w:ilvl w:val="0"/>
          <w:numId w:val="115"/>
        </w:numPr>
        <w:tabs>
          <w:tab w:val="num" w:pos="360"/>
        </w:tabs>
        <w:spacing w:line="360" w:lineRule="auto"/>
        <w:ind w:left="360"/>
        <w:jc w:val="both"/>
        <w:rPr>
          <w:rFonts w:asciiTheme="majorBidi" w:hAnsiTheme="majorBidi"/>
          <w:i w:val="0"/>
          <w:iCs w:val="0"/>
          <w:color w:val="000000"/>
          <w:lang w:val="fr-FR"/>
        </w:rPr>
      </w:pPr>
      <w:r w:rsidRPr="00A12CEC">
        <w:rPr>
          <w:rStyle w:val="lev"/>
          <w:rFonts w:asciiTheme="majorBidi" w:hAnsiTheme="majorBidi"/>
          <w:i w:val="0"/>
          <w:iCs w:val="0"/>
          <w:color w:val="000000"/>
          <w:lang w:val="fr-FR"/>
        </w:rPr>
        <w:t>Les plateformes de formation en ligne (LMS – Learning Management System)</w:t>
      </w:r>
    </w:p>
    <w:p w:rsidR="00A27C55"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plateformes LMS sont des solutions logicielles permettant de centraliser, gérer et dispenser des formations en ligne. Elles offrent des fonctionnalités telles que le suivi des progrès, l’évaluation des compétences et la gestion des contenus pédagogiques</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20"/>
      </w:r>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 Parmi les LMS les plus couramment utilisés, on retrouve Moodle, </w:t>
      </w:r>
      <w:proofErr w:type="spellStart"/>
      <w:r w:rsidRPr="00DA7BB2">
        <w:rPr>
          <w:rFonts w:asciiTheme="majorBidi" w:hAnsiTheme="majorBidi" w:cstheme="majorBidi"/>
          <w:color w:val="000000"/>
          <w:lang w:val="fr-FR"/>
        </w:rPr>
        <w:t>Blackboard</w:t>
      </w:r>
      <w:proofErr w:type="spellEnd"/>
      <w:r w:rsidRPr="00DA7BB2">
        <w:rPr>
          <w:rFonts w:asciiTheme="majorBidi" w:hAnsiTheme="majorBidi" w:cstheme="majorBidi"/>
          <w:color w:val="000000"/>
          <w:lang w:val="fr-FR"/>
        </w:rPr>
        <w:t xml:space="preserve"> et SAP </w:t>
      </w:r>
      <w:proofErr w:type="spellStart"/>
      <w:r w:rsidRPr="00DA7BB2">
        <w:rPr>
          <w:rFonts w:asciiTheme="majorBidi" w:hAnsiTheme="majorBidi" w:cstheme="majorBidi"/>
          <w:color w:val="000000"/>
          <w:lang w:val="fr-FR"/>
        </w:rPr>
        <w:t>SuccessFactors</w:t>
      </w:r>
      <w:proofErr w:type="spellEnd"/>
      <w:r w:rsidRPr="00DA7BB2">
        <w:rPr>
          <w:rFonts w:asciiTheme="majorBidi" w:hAnsiTheme="majorBidi" w:cstheme="majorBidi"/>
          <w:color w:val="000000"/>
          <w:lang w:val="fr-FR"/>
        </w:rPr>
        <w:t>.</w:t>
      </w:r>
    </w:p>
    <w:p w:rsidR="00E772DD" w:rsidRPr="00A12CEC" w:rsidRDefault="00E772DD" w:rsidP="004D32AC">
      <w:pPr>
        <w:pStyle w:val="Titre4"/>
        <w:numPr>
          <w:ilvl w:val="0"/>
          <w:numId w:val="115"/>
        </w:numPr>
        <w:tabs>
          <w:tab w:val="num" w:pos="360"/>
        </w:tabs>
        <w:spacing w:before="0" w:line="360" w:lineRule="auto"/>
        <w:ind w:left="360"/>
        <w:jc w:val="both"/>
        <w:rPr>
          <w:rFonts w:asciiTheme="majorBidi" w:hAnsiTheme="majorBidi"/>
          <w:i w:val="0"/>
          <w:iCs w:val="0"/>
          <w:color w:val="000000"/>
          <w:lang w:val="fr-FR"/>
        </w:rPr>
      </w:pPr>
      <w:r w:rsidRPr="00A12CEC">
        <w:rPr>
          <w:rStyle w:val="lev"/>
          <w:rFonts w:asciiTheme="majorBidi" w:hAnsiTheme="majorBidi"/>
          <w:i w:val="0"/>
          <w:iCs w:val="0"/>
          <w:color w:val="000000"/>
          <w:lang w:val="fr-FR"/>
        </w:rPr>
        <w:lastRenderedPageBreak/>
        <w:t>Les classes virtuelles et webinaires</w:t>
      </w:r>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Les classes virtuelles et les webinaires favorisent l’apprentissage synchrone en connectant en temps réel les apprenants et les formateurs via des outils comme Zoom, Microsoft Teams ou Adobe </w:t>
      </w:r>
      <w:proofErr w:type="spellStart"/>
      <w:r w:rsidRPr="00DA7BB2">
        <w:rPr>
          <w:rFonts w:asciiTheme="majorBidi" w:hAnsiTheme="majorBidi" w:cstheme="majorBidi"/>
          <w:color w:val="000000"/>
          <w:lang w:val="fr-FR"/>
        </w:rPr>
        <w:t>Connect</w:t>
      </w:r>
      <w:proofErr w:type="spellEnd"/>
      <w:r w:rsidRPr="00DA7BB2">
        <w:rPr>
          <w:rFonts w:asciiTheme="majorBidi" w:hAnsiTheme="majorBidi" w:cstheme="majorBidi"/>
          <w:color w:val="000000"/>
          <w:lang w:val="fr-FR"/>
        </w:rPr>
        <w:t>. Ce format interactif permet d’améliorer l’engagement et d’instaurer un échange dynamique entre les participants. Toutefois, il présente des limites, notamment en termes de connexion internet et de participation active des apprenants.</w:t>
      </w:r>
      <w:r w:rsidR="00A27C55">
        <w:rPr>
          <w:rStyle w:val="Appelnotedebasdep"/>
          <w:rFonts w:cstheme="majorBidi"/>
          <w:color w:val="000000"/>
          <w:lang w:val="fr-FR"/>
        </w:rPr>
        <w:footnoteReference w:id="321"/>
      </w:r>
    </w:p>
    <w:p w:rsidR="00E772DD" w:rsidRPr="00A12CEC" w:rsidRDefault="00E772DD" w:rsidP="004D32AC">
      <w:pPr>
        <w:pStyle w:val="Titre4"/>
        <w:numPr>
          <w:ilvl w:val="0"/>
          <w:numId w:val="115"/>
        </w:numPr>
        <w:tabs>
          <w:tab w:val="num" w:pos="360"/>
        </w:tabs>
        <w:spacing w:line="360" w:lineRule="auto"/>
        <w:ind w:left="360"/>
        <w:jc w:val="both"/>
        <w:rPr>
          <w:rFonts w:asciiTheme="majorBidi" w:hAnsiTheme="majorBidi"/>
          <w:i w:val="0"/>
          <w:iCs w:val="0"/>
          <w:color w:val="000000"/>
          <w:lang w:val="fr-FR"/>
        </w:rPr>
      </w:pPr>
      <w:r w:rsidRPr="00A12CEC">
        <w:rPr>
          <w:rStyle w:val="lev"/>
          <w:rFonts w:asciiTheme="majorBidi" w:hAnsiTheme="majorBidi"/>
          <w:i w:val="0"/>
          <w:iCs w:val="0"/>
          <w:color w:val="000000"/>
          <w:lang w:val="fr-FR"/>
        </w:rPr>
        <w:t>Les modules d’apprentissage interactifs (e-learning asynchrone)</w:t>
      </w:r>
    </w:p>
    <w:p w:rsidR="00E772DD" w:rsidRPr="00DA7BB2" w:rsidRDefault="00E772DD" w:rsidP="0040528E">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L’apprentissage asynchrone repose sur des contenus préenregistrés tels que des vidéos éducatives, des quiz interactifs et des simulations. Ces modules permettent aux apprenants de progresser à leur rythme et de revoir les notions autant de fois que nécessaire</w:t>
      </w:r>
      <w:r w:rsidR="00A27C55">
        <w:rPr>
          <w:rFonts w:asciiTheme="majorBidi" w:hAnsiTheme="majorBidi" w:cstheme="majorBidi"/>
          <w:color w:val="000000"/>
          <w:lang w:val="fr-FR"/>
        </w:rPr>
        <w:t>.</w:t>
      </w:r>
      <w:r w:rsidRPr="00DA7BB2">
        <w:rPr>
          <w:rFonts w:asciiTheme="majorBidi" w:hAnsiTheme="majorBidi" w:cstheme="majorBidi"/>
          <w:color w:val="000000"/>
          <w:lang w:val="fr-FR"/>
        </w:rPr>
        <w:t xml:space="preserve"> Cependant, ce modèle peut parfois engendrer un sentiment d’isolement chez les apprenants et limiter les interactions directes.</w:t>
      </w:r>
      <w:r w:rsidR="00A27C55">
        <w:rPr>
          <w:rStyle w:val="Appelnotedebasdep"/>
          <w:rFonts w:cstheme="majorBidi"/>
          <w:color w:val="000000"/>
          <w:lang w:val="fr-FR"/>
        </w:rPr>
        <w:footnoteReference w:id="322"/>
      </w:r>
    </w:p>
    <w:p w:rsidR="00E772DD" w:rsidRPr="00A12CEC" w:rsidRDefault="00E772DD" w:rsidP="004D32AC">
      <w:pPr>
        <w:pStyle w:val="Titre4"/>
        <w:numPr>
          <w:ilvl w:val="0"/>
          <w:numId w:val="115"/>
        </w:numPr>
        <w:tabs>
          <w:tab w:val="num" w:pos="360"/>
        </w:tabs>
        <w:spacing w:line="360" w:lineRule="auto"/>
        <w:ind w:left="360"/>
        <w:jc w:val="both"/>
        <w:rPr>
          <w:rFonts w:asciiTheme="majorBidi" w:hAnsiTheme="majorBidi"/>
          <w:i w:val="0"/>
          <w:iCs w:val="0"/>
          <w:color w:val="000000"/>
          <w:lang w:val="fr-FR"/>
        </w:rPr>
      </w:pPr>
      <w:r w:rsidRPr="00A12CEC">
        <w:rPr>
          <w:rStyle w:val="lev"/>
          <w:rFonts w:asciiTheme="majorBidi" w:hAnsiTheme="majorBidi"/>
          <w:i w:val="0"/>
          <w:iCs w:val="0"/>
          <w:color w:val="000000"/>
          <w:lang w:val="fr-FR"/>
        </w:rPr>
        <w:t xml:space="preserve">Les applications mobiles et </w:t>
      </w:r>
      <w:proofErr w:type="spellStart"/>
      <w:r w:rsidRPr="00A12CEC">
        <w:rPr>
          <w:rStyle w:val="lev"/>
          <w:rFonts w:asciiTheme="majorBidi" w:hAnsiTheme="majorBidi"/>
          <w:i w:val="0"/>
          <w:iCs w:val="0"/>
          <w:color w:val="000000"/>
          <w:lang w:val="fr-FR"/>
        </w:rPr>
        <w:t>microlearning</w:t>
      </w:r>
      <w:proofErr w:type="spellEnd"/>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 xml:space="preserve">L’essor des technologies mobiles a permis le développement d’applications de formation favorisant le </w:t>
      </w:r>
      <w:proofErr w:type="spellStart"/>
      <w:r w:rsidRPr="00DA7BB2">
        <w:rPr>
          <w:rFonts w:asciiTheme="majorBidi" w:hAnsiTheme="majorBidi" w:cstheme="majorBidi"/>
          <w:color w:val="000000"/>
          <w:lang w:val="fr-FR"/>
        </w:rPr>
        <w:t>microlearning</w:t>
      </w:r>
      <w:proofErr w:type="spellEnd"/>
      <w:r w:rsidRPr="00DA7BB2">
        <w:rPr>
          <w:rFonts w:asciiTheme="majorBidi" w:hAnsiTheme="majorBidi" w:cstheme="majorBidi"/>
          <w:color w:val="000000"/>
          <w:lang w:val="fr-FR"/>
        </w:rPr>
        <w:t>, une approche basée sur des contenus courts et ciblés. Ces outils sont particulièrement adaptés à la formation continue en entreprise, car ils permettent une flexibilité d’apprentissage et une meilleure rétention des informations</w:t>
      </w:r>
      <w:r w:rsidR="00A27C55">
        <w:rPr>
          <w:rFonts w:asciiTheme="majorBidi" w:hAnsiTheme="majorBidi" w:cstheme="majorBidi"/>
          <w:color w:val="000000"/>
          <w:lang w:val="fr-FR"/>
        </w:rPr>
        <w:t xml:space="preserve">. </w:t>
      </w:r>
      <w:r w:rsidRPr="00DA7BB2">
        <w:rPr>
          <w:rFonts w:asciiTheme="majorBidi" w:hAnsiTheme="majorBidi" w:cstheme="majorBidi"/>
          <w:color w:val="000000"/>
          <w:lang w:val="fr-FR"/>
        </w:rPr>
        <w:t xml:space="preserve">Des plateformes comme Coursera, </w:t>
      </w:r>
      <w:proofErr w:type="spellStart"/>
      <w:r w:rsidRPr="00DA7BB2">
        <w:rPr>
          <w:rFonts w:asciiTheme="majorBidi" w:hAnsiTheme="majorBidi" w:cstheme="majorBidi"/>
          <w:color w:val="000000"/>
          <w:lang w:val="fr-FR"/>
        </w:rPr>
        <w:t>Udemy</w:t>
      </w:r>
      <w:proofErr w:type="spellEnd"/>
      <w:r w:rsidRPr="00DA7BB2">
        <w:rPr>
          <w:rFonts w:asciiTheme="majorBidi" w:hAnsiTheme="majorBidi" w:cstheme="majorBidi"/>
          <w:color w:val="000000"/>
          <w:lang w:val="fr-FR"/>
        </w:rPr>
        <w:t xml:space="preserve"> ou LinkedIn Learning illustrent cette tendance.</w:t>
      </w:r>
      <w:r w:rsidR="00A27C55">
        <w:rPr>
          <w:rStyle w:val="Appelnotedebasdep"/>
          <w:rFonts w:cstheme="majorBidi"/>
          <w:color w:val="000000"/>
          <w:lang w:val="fr-FR"/>
        </w:rPr>
        <w:footnoteReference w:id="323"/>
      </w:r>
    </w:p>
    <w:p w:rsidR="00E772DD" w:rsidRPr="00A12CEC" w:rsidRDefault="00E772DD" w:rsidP="004D32AC">
      <w:pPr>
        <w:pStyle w:val="Titre4"/>
        <w:numPr>
          <w:ilvl w:val="0"/>
          <w:numId w:val="115"/>
        </w:numPr>
        <w:tabs>
          <w:tab w:val="num" w:pos="360"/>
        </w:tabs>
        <w:spacing w:line="360" w:lineRule="auto"/>
        <w:ind w:left="360"/>
        <w:jc w:val="both"/>
        <w:rPr>
          <w:rFonts w:asciiTheme="majorBidi" w:hAnsiTheme="majorBidi"/>
          <w:i w:val="0"/>
          <w:iCs w:val="0"/>
          <w:color w:val="000000"/>
          <w:lang w:val="fr-FR"/>
        </w:rPr>
      </w:pPr>
      <w:r w:rsidRPr="00A12CEC">
        <w:rPr>
          <w:rStyle w:val="lev"/>
          <w:rFonts w:asciiTheme="majorBidi" w:hAnsiTheme="majorBidi"/>
          <w:i w:val="0"/>
          <w:iCs w:val="0"/>
          <w:color w:val="000000"/>
          <w:lang w:val="fr-FR"/>
        </w:rPr>
        <w:t>Les simulateurs et la réalité virtuelle (VR)</w:t>
      </w:r>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technologies immersives, telles que la réalité virtuelle et augmentée, offrent des simulations réalistes permettant aux apprenants de s’entraîner dans des environnements sécurisés. Elles sont particulièrement utilisées dans les secteurs nécessitant des formations pratiques, comme l’aéronautique, la santé et l’industrie</w:t>
      </w:r>
      <w:r w:rsidR="00A27C55">
        <w:rPr>
          <w:rFonts w:asciiTheme="majorBidi" w:hAnsiTheme="majorBidi" w:cstheme="majorBidi"/>
          <w:color w:val="000000"/>
          <w:lang w:val="fr-FR"/>
        </w:rPr>
        <w:t xml:space="preserve">. </w:t>
      </w:r>
      <w:r w:rsidRPr="00DA7BB2">
        <w:rPr>
          <w:rStyle w:val="Appelnotedebasdep"/>
          <w:rFonts w:cstheme="majorBidi"/>
          <w:color w:val="000000"/>
          <w:lang w:val="fr-FR"/>
        </w:rPr>
        <w:footnoteReference w:id="324"/>
      </w:r>
    </w:p>
    <w:p w:rsidR="00E772DD" w:rsidRPr="00A12CEC" w:rsidRDefault="00E772DD" w:rsidP="004D32AC">
      <w:pPr>
        <w:pStyle w:val="Titre4"/>
        <w:numPr>
          <w:ilvl w:val="0"/>
          <w:numId w:val="115"/>
        </w:numPr>
        <w:tabs>
          <w:tab w:val="num" w:pos="360"/>
        </w:tabs>
        <w:spacing w:line="360" w:lineRule="auto"/>
        <w:ind w:left="360"/>
        <w:jc w:val="both"/>
        <w:rPr>
          <w:rFonts w:asciiTheme="majorBidi" w:hAnsiTheme="majorBidi"/>
          <w:i w:val="0"/>
          <w:iCs w:val="0"/>
          <w:color w:val="000000"/>
          <w:lang w:val="fr-FR"/>
        </w:rPr>
      </w:pPr>
      <w:r w:rsidRPr="00A12CEC">
        <w:rPr>
          <w:rStyle w:val="lev"/>
          <w:rFonts w:asciiTheme="majorBidi" w:hAnsiTheme="majorBidi"/>
          <w:i w:val="0"/>
          <w:iCs w:val="0"/>
          <w:color w:val="000000"/>
          <w:lang w:val="fr-FR"/>
        </w:rPr>
        <w:t>L’ERP comme support de formation intégré</w:t>
      </w:r>
    </w:p>
    <w:p w:rsidR="00E772DD" w:rsidRPr="00DA7BB2" w:rsidRDefault="00E772DD" w:rsidP="0040528E">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ERP modernes intègrent des modules de</w:t>
      </w:r>
      <w:r w:rsidRPr="00DA7BB2">
        <w:rPr>
          <w:rStyle w:val="apple-converted-space"/>
          <w:rFonts w:asciiTheme="majorBidi" w:hAnsiTheme="majorBidi" w:cstheme="majorBidi"/>
          <w:color w:val="000000"/>
          <w:lang w:val="fr-FR"/>
        </w:rPr>
        <w:t> </w:t>
      </w:r>
      <w:r w:rsidRPr="00A27C55">
        <w:rPr>
          <w:rStyle w:val="lev"/>
          <w:rFonts w:asciiTheme="majorBidi" w:hAnsiTheme="majorBidi" w:cstheme="majorBidi"/>
          <w:b w:val="0"/>
          <w:bCs w:val="0"/>
          <w:color w:val="000000"/>
          <w:lang w:val="fr-FR"/>
        </w:rPr>
        <w:t>gestion de la formation</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permettant aux entreprises de suivre l’évolution des compétences des employés, de planifier des sessions de formation et d’analyser les performances post-formation.</w:t>
      </w:r>
    </w:p>
    <w:p w:rsidR="00E772DD" w:rsidRPr="00DA7BB2" w:rsidRDefault="00E772DD" w:rsidP="0040528E">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lastRenderedPageBreak/>
        <w:t>L’e-formation repose sur une variété d’outils numériques qui facilitent l’apprentissage à distance et en mode hybride. Ces outils permettent non seulement la diffusion des contenus pédagogiques, mais aussi l’interaction entre les apprenants et les formateurs</w:t>
      </w:r>
      <w:r>
        <w:rPr>
          <w:rFonts w:asciiTheme="majorBidi" w:hAnsiTheme="majorBidi" w:cstheme="majorBidi"/>
          <w:color w:val="000000"/>
          <w:lang w:val="fr-FR"/>
        </w:rPr>
        <w:t>.</w:t>
      </w:r>
      <w:r>
        <w:rPr>
          <w:rStyle w:val="Appelnotedebasdep"/>
          <w:rFonts w:cstheme="majorBidi"/>
          <w:color w:val="000000"/>
          <w:lang w:val="fr-FR"/>
        </w:rPr>
        <w:footnoteReference w:id="325"/>
      </w:r>
      <w:r w:rsidRPr="00DA7BB2">
        <w:rPr>
          <w:rFonts w:asciiTheme="majorBidi" w:hAnsiTheme="majorBidi" w:cstheme="majorBidi"/>
          <w:color w:val="000000"/>
          <w:lang w:val="fr-FR"/>
        </w:rPr>
        <w:t xml:space="preserve"> </w:t>
      </w:r>
    </w:p>
    <w:p w:rsidR="00E772DD" w:rsidRPr="00A12CEC" w:rsidRDefault="00E772DD" w:rsidP="004D32AC">
      <w:pPr>
        <w:pStyle w:val="Titre2"/>
        <w:keepNext w:val="0"/>
        <w:keepLines w:val="0"/>
        <w:numPr>
          <w:ilvl w:val="0"/>
          <w:numId w:val="115"/>
        </w:numPr>
        <w:tabs>
          <w:tab w:val="num" w:pos="360"/>
        </w:tabs>
        <w:spacing w:before="100" w:beforeAutospacing="1" w:line="360" w:lineRule="auto"/>
        <w:ind w:left="360"/>
        <w:jc w:val="both"/>
        <w:rPr>
          <w:rFonts w:asciiTheme="majorBidi" w:hAnsiTheme="majorBidi"/>
          <w:b/>
          <w:bCs/>
          <w:color w:val="000000"/>
          <w:sz w:val="24"/>
          <w:szCs w:val="24"/>
          <w:lang w:val="fr-FR"/>
        </w:rPr>
      </w:pPr>
      <w:bookmarkStart w:id="1703" w:name="_Toc199714475"/>
      <w:bookmarkStart w:id="1704" w:name="_Toc200486753"/>
      <w:bookmarkStart w:id="1705" w:name="_Toc200635529"/>
      <w:bookmarkStart w:id="1706" w:name="_Toc200635917"/>
      <w:bookmarkStart w:id="1707" w:name="_Toc200636306"/>
      <w:bookmarkStart w:id="1708" w:name="_Toc200756044"/>
      <w:r w:rsidRPr="00A12CEC">
        <w:rPr>
          <w:rStyle w:val="lev"/>
          <w:rFonts w:asciiTheme="majorBidi" w:hAnsiTheme="majorBidi"/>
          <w:color w:val="000000"/>
          <w:sz w:val="24"/>
          <w:szCs w:val="24"/>
          <w:lang w:val="fr-FR"/>
        </w:rPr>
        <w:t xml:space="preserve">Les </w:t>
      </w:r>
      <w:proofErr w:type="spellStart"/>
      <w:r w:rsidRPr="00A12CEC">
        <w:rPr>
          <w:rStyle w:val="lev"/>
          <w:rFonts w:asciiTheme="majorBidi" w:hAnsiTheme="majorBidi"/>
          <w:color w:val="000000"/>
          <w:sz w:val="24"/>
          <w:szCs w:val="24"/>
          <w:lang w:val="fr-FR"/>
        </w:rPr>
        <w:t>MOOCs</w:t>
      </w:r>
      <w:proofErr w:type="spellEnd"/>
      <w:r w:rsidRPr="00A12CEC">
        <w:rPr>
          <w:rStyle w:val="lev"/>
          <w:rFonts w:asciiTheme="majorBidi" w:hAnsiTheme="majorBidi"/>
          <w:color w:val="000000"/>
          <w:sz w:val="24"/>
          <w:szCs w:val="24"/>
          <w:lang w:val="fr-FR"/>
        </w:rPr>
        <w:t xml:space="preserve"> (Massive Open Online Courses)</w:t>
      </w:r>
      <w:bookmarkEnd w:id="1703"/>
      <w:bookmarkEnd w:id="1704"/>
      <w:bookmarkEnd w:id="1705"/>
      <w:bookmarkEnd w:id="1706"/>
      <w:bookmarkEnd w:id="1707"/>
      <w:bookmarkEnd w:id="1708"/>
    </w:p>
    <w:p w:rsidR="00E772DD" w:rsidRPr="00DA7BB2" w:rsidRDefault="00E772DD" w:rsidP="005D7BDE">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w:t>
      </w:r>
      <w:r w:rsidRPr="00DA7BB2">
        <w:rPr>
          <w:rStyle w:val="apple-converted-space"/>
          <w:rFonts w:asciiTheme="majorBidi" w:hAnsiTheme="majorBidi" w:cstheme="majorBidi"/>
          <w:color w:val="000000"/>
          <w:lang w:val="fr-FR"/>
        </w:rPr>
        <w:t> </w:t>
      </w:r>
      <w:proofErr w:type="spellStart"/>
      <w:r w:rsidRPr="00DA7BB2">
        <w:rPr>
          <w:rStyle w:val="lev"/>
          <w:rFonts w:asciiTheme="majorBidi" w:hAnsiTheme="majorBidi" w:cstheme="majorBidi"/>
          <w:b w:val="0"/>
          <w:bCs w:val="0"/>
          <w:color w:val="000000"/>
          <w:lang w:val="fr-FR"/>
        </w:rPr>
        <w:t>MOOCs</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sont des formations en ligne ouvertes à tous, souvent proposées par des universités ou des plateformes spécialisées. Elles permettent aux apprenants de se former sur une diversité de sujets, gratuitement ou moyennant un coût modéré</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26"/>
      </w:r>
    </w:p>
    <w:p w:rsidR="00E772DD" w:rsidRPr="0040528E" w:rsidRDefault="00E772DD" w:rsidP="0040528E">
      <w:pPr>
        <w:pStyle w:val="NormalWeb"/>
        <w:spacing w:line="360" w:lineRule="auto"/>
        <w:jc w:val="center"/>
        <w:rPr>
          <w:rFonts w:asciiTheme="majorBidi" w:hAnsiTheme="majorBidi" w:cstheme="majorBidi"/>
          <w:b/>
          <w:bCs/>
          <w:color w:val="000000"/>
          <w:lang w:val="fr-FR"/>
        </w:rPr>
      </w:pPr>
      <w:r w:rsidRPr="00DA7BB2">
        <w:rPr>
          <w:rFonts w:asciiTheme="majorBidi" w:hAnsiTheme="majorBidi" w:cstheme="majorBidi"/>
          <w:noProof/>
          <w:lang w:val="fr-FR"/>
          <w14:ligatures w14:val="standardContextual"/>
        </w:rPr>
        <w:drawing>
          <wp:anchor distT="0" distB="0" distL="114300" distR="114300" simplePos="0" relativeHeight="251682816" behindDoc="0" locked="0" layoutInCell="1" allowOverlap="1" wp14:anchorId="20F3CBA6" wp14:editId="43D85F5E">
            <wp:simplePos x="0" y="0"/>
            <wp:positionH relativeFrom="column">
              <wp:posOffset>0</wp:posOffset>
            </wp:positionH>
            <wp:positionV relativeFrom="paragraph">
              <wp:posOffset>645316</wp:posOffset>
            </wp:positionV>
            <wp:extent cx="5727700" cy="3580130"/>
            <wp:effectExtent l="0" t="0" r="0" b="1270"/>
            <wp:wrapTopAndBottom/>
            <wp:docPr id="17371060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06031" name="Picture 173710603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27700" cy="3580130"/>
                    </a:xfrm>
                    <a:prstGeom prst="rect">
                      <a:avLst/>
                    </a:prstGeom>
                  </pic:spPr>
                </pic:pic>
              </a:graphicData>
            </a:graphic>
            <wp14:sizeRelH relativeFrom="page">
              <wp14:pctWidth>0</wp14:pctWidth>
            </wp14:sizeRelH>
            <wp14:sizeRelV relativeFrom="page">
              <wp14:pctHeight>0</wp14:pctHeight>
            </wp14:sizeRelV>
          </wp:anchor>
        </w:drawing>
      </w:r>
      <w:r w:rsidRPr="00DA7BB2">
        <w:rPr>
          <w:rFonts w:asciiTheme="majorBidi" w:hAnsiTheme="majorBidi" w:cstheme="majorBidi"/>
          <w:b/>
          <w:bCs/>
          <w:color w:val="000000"/>
          <w:lang w:val="fr-FR"/>
        </w:rPr>
        <w:t>F</w:t>
      </w:r>
      <w:r w:rsidRPr="0040528E">
        <w:rPr>
          <w:rFonts w:asciiTheme="majorBidi" w:hAnsiTheme="majorBidi" w:cstheme="majorBidi"/>
          <w:b/>
          <w:bCs/>
          <w:color w:val="000000"/>
          <w:lang w:val="fr-FR"/>
        </w:rPr>
        <w:t xml:space="preserve">igure </w:t>
      </w:r>
      <w:r>
        <w:rPr>
          <w:rFonts w:asciiTheme="majorBidi" w:hAnsiTheme="majorBidi" w:cstheme="majorBidi"/>
          <w:b/>
          <w:bCs/>
          <w:color w:val="000000"/>
          <w:lang w:val="fr-FR"/>
        </w:rPr>
        <w:t>N°29</w:t>
      </w:r>
      <w:r w:rsidRPr="0040528E">
        <w:rPr>
          <w:rFonts w:asciiTheme="majorBidi" w:hAnsiTheme="majorBidi" w:cstheme="majorBidi"/>
          <w:b/>
          <w:bCs/>
          <w:color w:val="000000"/>
          <w:lang w:val="fr-FR"/>
        </w:rPr>
        <w:t xml:space="preserve"> : </w:t>
      </w:r>
      <w:r w:rsidRPr="0091398F">
        <w:rPr>
          <w:rFonts w:asciiTheme="majorBidi" w:hAnsiTheme="majorBidi" w:cstheme="majorBidi"/>
          <w:color w:val="000000"/>
          <w:lang w:val="fr-FR"/>
        </w:rPr>
        <w:t>Interface du site MOOC.org, un exemple de plateforme d’apprentissage</w:t>
      </w:r>
      <w:r w:rsidRPr="0040528E">
        <w:rPr>
          <w:rFonts w:asciiTheme="majorBidi" w:hAnsiTheme="majorBidi" w:cstheme="majorBidi"/>
          <w:b/>
          <w:bCs/>
          <w:color w:val="000000"/>
          <w:lang w:val="fr-FR"/>
        </w:rPr>
        <w:t xml:space="preserve"> </w:t>
      </w:r>
      <w:r w:rsidRPr="0091398F">
        <w:rPr>
          <w:rFonts w:asciiTheme="majorBidi" w:hAnsiTheme="majorBidi" w:cstheme="majorBidi"/>
          <w:color w:val="000000"/>
          <w:lang w:val="fr-FR"/>
        </w:rPr>
        <w:t>en</w:t>
      </w:r>
      <w:r w:rsidRPr="0040528E">
        <w:rPr>
          <w:rFonts w:asciiTheme="majorBidi" w:hAnsiTheme="majorBidi" w:cstheme="majorBidi"/>
          <w:b/>
          <w:bCs/>
          <w:color w:val="000000"/>
          <w:lang w:val="fr-FR"/>
        </w:rPr>
        <w:t xml:space="preserve"> </w:t>
      </w:r>
      <w:r w:rsidRPr="0091398F">
        <w:rPr>
          <w:rFonts w:asciiTheme="majorBidi" w:hAnsiTheme="majorBidi" w:cstheme="majorBidi"/>
          <w:color w:val="000000"/>
          <w:lang w:val="fr-FR"/>
        </w:rPr>
        <w:t>ligne</w:t>
      </w:r>
    </w:p>
    <w:p w:rsidR="00E772DD" w:rsidRDefault="00E772DD" w:rsidP="0084231F">
      <w:pPr>
        <w:pStyle w:val="NormalWeb"/>
        <w:spacing w:line="360" w:lineRule="auto"/>
        <w:jc w:val="center"/>
        <w:rPr>
          <w:rFonts w:asciiTheme="majorBidi" w:hAnsiTheme="majorBidi" w:cstheme="majorBidi"/>
          <w:b/>
          <w:bCs/>
          <w:lang w:val="fr-FR"/>
        </w:rPr>
      </w:pPr>
    </w:p>
    <w:p w:rsidR="00E772DD" w:rsidRDefault="00E772DD" w:rsidP="00A27C55">
      <w:pPr>
        <w:pStyle w:val="NormalWeb"/>
        <w:spacing w:line="360" w:lineRule="auto"/>
        <w:jc w:val="center"/>
        <w:rPr>
          <w:rStyle w:val="Lienhypertexte"/>
          <w:rFonts w:asciiTheme="majorBidi" w:eastAsiaTheme="majorEastAsia" w:hAnsiTheme="majorBidi"/>
          <w:lang w:val="fr-FR"/>
        </w:rPr>
      </w:pPr>
      <w:r w:rsidRPr="00DA7BB2">
        <w:rPr>
          <w:rFonts w:asciiTheme="majorBidi" w:hAnsiTheme="majorBidi" w:cstheme="majorBidi"/>
          <w:b/>
          <w:bCs/>
          <w:lang w:val="fr-FR"/>
        </w:rPr>
        <w:t xml:space="preserve">Source : </w:t>
      </w:r>
      <w:r w:rsidRPr="00DA7BB2">
        <w:rPr>
          <w:rFonts w:asciiTheme="majorBidi" w:hAnsiTheme="majorBidi" w:cstheme="majorBidi"/>
          <w:lang w:val="fr-FR"/>
        </w:rPr>
        <w:t xml:space="preserve">Mooc.org. (s. d.). </w:t>
      </w:r>
      <w:r w:rsidRPr="005B2A02">
        <w:rPr>
          <w:rFonts w:asciiTheme="majorBidi" w:hAnsiTheme="majorBidi" w:cstheme="majorBidi"/>
          <w:lang w:val="en-US"/>
        </w:rPr>
        <w:t xml:space="preserve">MOOC.org | Massive Open Online courses | An EDX site. </w:t>
      </w:r>
      <w:hyperlink r:id="rId104" w:history="1">
        <w:r w:rsidRPr="00DA7BB2">
          <w:rPr>
            <w:rStyle w:val="Lienhypertexte"/>
            <w:rFonts w:asciiTheme="majorBidi" w:eastAsiaTheme="majorEastAsia" w:hAnsiTheme="majorBidi"/>
            <w:lang w:val="fr-FR"/>
          </w:rPr>
          <w:t>https://www.mooc.org/</w:t>
        </w:r>
      </w:hyperlink>
    </w:p>
    <w:p w:rsidR="00DB602C" w:rsidRDefault="00DB602C" w:rsidP="00DB602C">
      <w:pPr>
        <w:pStyle w:val="NormalWeb"/>
        <w:spacing w:line="360" w:lineRule="auto"/>
        <w:rPr>
          <w:rStyle w:val="Lienhypertexte"/>
          <w:rFonts w:asciiTheme="majorBidi" w:eastAsiaTheme="majorEastAsia" w:hAnsiTheme="majorBidi"/>
          <w:lang w:val="fr-FR"/>
        </w:rPr>
      </w:pPr>
    </w:p>
    <w:p w:rsidR="009832B3" w:rsidRPr="009832B3" w:rsidRDefault="009832B3" w:rsidP="009832B3">
      <w:pPr>
        <w:pStyle w:val="Titre2"/>
        <w:keepNext w:val="0"/>
        <w:keepLines w:val="0"/>
        <w:spacing w:before="100" w:beforeAutospacing="1" w:line="360" w:lineRule="auto"/>
        <w:jc w:val="both"/>
        <w:rPr>
          <w:rStyle w:val="lev"/>
          <w:rFonts w:asciiTheme="majorBidi" w:hAnsiTheme="majorBidi"/>
          <w:color w:val="000000"/>
          <w:sz w:val="20"/>
          <w:szCs w:val="20"/>
          <w:lang w:val="fr-FR"/>
        </w:rPr>
      </w:pPr>
      <w:bookmarkStart w:id="1709" w:name="_Toc199714476"/>
    </w:p>
    <w:p w:rsidR="00E772DD" w:rsidRDefault="00E772DD" w:rsidP="004D32AC">
      <w:pPr>
        <w:pStyle w:val="Titre2"/>
        <w:keepNext w:val="0"/>
        <w:keepLines w:val="0"/>
        <w:numPr>
          <w:ilvl w:val="0"/>
          <w:numId w:val="115"/>
        </w:numPr>
        <w:tabs>
          <w:tab w:val="num" w:pos="360"/>
        </w:tabs>
        <w:spacing w:before="100" w:beforeAutospacing="1" w:line="360" w:lineRule="auto"/>
        <w:ind w:left="360"/>
        <w:jc w:val="both"/>
        <w:rPr>
          <w:rStyle w:val="lev"/>
          <w:rFonts w:asciiTheme="majorBidi" w:hAnsiTheme="majorBidi"/>
          <w:color w:val="000000"/>
          <w:sz w:val="20"/>
          <w:szCs w:val="20"/>
          <w:lang w:val="fr-FR"/>
        </w:rPr>
      </w:pPr>
      <w:bookmarkStart w:id="1710" w:name="_Toc200486754"/>
      <w:bookmarkStart w:id="1711" w:name="_Toc200635530"/>
      <w:bookmarkStart w:id="1712" w:name="_Toc200635918"/>
      <w:bookmarkStart w:id="1713" w:name="_Toc200636307"/>
      <w:bookmarkStart w:id="1714" w:name="_Toc200756045"/>
      <w:r w:rsidRPr="005D7BDE">
        <w:rPr>
          <w:rStyle w:val="lev"/>
          <w:rFonts w:asciiTheme="majorBidi" w:hAnsiTheme="majorBidi"/>
          <w:color w:val="000000"/>
          <w:sz w:val="24"/>
          <w:szCs w:val="24"/>
          <w:lang w:val="fr-FR"/>
        </w:rPr>
        <w:lastRenderedPageBreak/>
        <w:t>Les outils de création de contenu pédagogique</w:t>
      </w:r>
      <w:bookmarkEnd w:id="1709"/>
      <w:bookmarkEnd w:id="1710"/>
      <w:bookmarkEnd w:id="1711"/>
      <w:bookmarkEnd w:id="1712"/>
      <w:bookmarkEnd w:id="1713"/>
      <w:bookmarkEnd w:id="1714"/>
      <w:r>
        <w:rPr>
          <w:rStyle w:val="lev"/>
          <w:rFonts w:asciiTheme="majorBidi" w:hAnsiTheme="majorBidi"/>
          <w:color w:val="000000"/>
          <w:sz w:val="24"/>
          <w:szCs w:val="24"/>
          <w:lang w:val="fr-FR"/>
        </w:rPr>
        <w:t xml:space="preserve"> </w:t>
      </w:r>
    </w:p>
    <w:p w:rsidR="00A27C55" w:rsidRDefault="00E772DD" w:rsidP="005D7BDE">
      <w:pPr>
        <w:pStyle w:val="Titre2"/>
        <w:spacing w:before="0" w:line="360" w:lineRule="auto"/>
        <w:jc w:val="both"/>
        <w:rPr>
          <w:rFonts w:asciiTheme="majorBidi" w:hAnsiTheme="majorBidi"/>
          <w:color w:val="000000"/>
          <w:sz w:val="24"/>
          <w:szCs w:val="24"/>
          <w:lang w:val="fr-FR"/>
        </w:rPr>
      </w:pPr>
      <w:bookmarkStart w:id="1715" w:name="_Toc199714477"/>
      <w:bookmarkStart w:id="1716" w:name="_Toc200486755"/>
      <w:bookmarkStart w:id="1717" w:name="_Toc200635531"/>
      <w:bookmarkStart w:id="1718" w:name="_Toc200635919"/>
      <w:bookmarkStart w:id="1719" w:name="_Toc200636308"/>
      <w:bookmarkStart w:id="1720" w:name="_Toc200756046"/>
      <w:r w:rsidRPr="005D7BDE">
        <w:rPr>
          <w:rFonts w:asciiTheme="majorBidi" w:hAnsiTheme="majorBidi"/>
          <w:color w:val="000000"/>
          <w:sz w:val="24"/>
          <w:szCs w:val="24"/>
          <w:lang w:val="fr-FR"/>
        </w:rPr>
        <w:t>Les formateurs et enseignants ont besoin de concevoir des supports adaptés à l’apprentissage</w:t>
      </w:r>
      <w:bookmarkEnd w:id="1715"/>
      <w:bookmarkEnd w:id="1716"/>
      <w:bookmarkEnd w:id="1717"/>
      <w:bookmarkEnd w:id="1718"/>
      <w:bookmarkEnd w:id="1719"/>
      <w:bookmarkEnd w:id="1720"/>
      <w:r w:rsidRPr="005D7BDE">
        <w:rPr>
          <w:rFonts w:asciiTheme="majorBidi" w:hAnsiTheme="majorBidi"/>
          <w:color w:val="000000"/>
          <w:sz w:val="24"/>
          <w:szCs w:val="24"/>
          <w:lang w:val="fr-FR"/>
        </w:rPr>
        <w:t xml:space="preserve"> </w:t>
      </w:r>
    </w:p>
    <w:p w:rsidR="00E772DD" w:rsidRPr="005D7BDE" w:rsidRDefault="00E772DD" w:rsidP="005D7BDE">
      <w:pPr>
        <w:pStyle w:val="Titre2"/>
        <w:spacing w:before="0" w:line="360" w:lineRule="auto"/>
        <w:jc w:val="both"/>
        <w:rPr>
          <w:rFonts w:asciiTheme="majorBidi" w:hAnsiTheme="majorBidi"/>
          <w:b/>
          <w:bCs/>
          <w:color w:val="000000"/>
          <w:sz w:val="20"/>
          <w:szCs w:val="20"/>
          <w:lang w:val="fr-FR"/>
        </w:rPr>
      </w:pPr>
      <w:bookmarkStart w:id="1721" w:name="_Toc199714478"/>
      <w:bookmarkStart w:id="1722" w:name="_Toc200486756"/>
      <w:bookmarkStart w:id="1723" w:name="_Toc200635532"/>
      <w:bookmarkStart w:id="1724" w:name="_Toc200635920"/>
      <w:bookmarkStart w:id="1725" w:name="_Toc200636309"/>
      <w:bookmarkStart w:id="1726" w:name="_Toc200756047"/>
      <w:r w:rsidRPr="005D7BDE">
        <w:rPr>
          <w:rFonts w:asciiTheme="majorBidi" w:hAnsiTheme="majorBidi"/>
          <w:color w:val="000000"/>
          <w:sz w:val="24"/>
          <w:szCs w:val="24"/>
          <w:lang w:val="fr-FR"/>
        </w:rPr>
        <w:t>numérique. Pour cela, plusieurs logiciels facilitent la création de contenus interactifs et engageants</w:t>
      </w:r>
      <w:r w:rsidRPr="005D7BDE">
        <w:rPr>
          <w:rStyle w:val="Appelnotedebasdep"/>
          <w:color w:val="000000"/>
          <w:sz w:val="24"/>
          <w:szCs w:val="24"/>
          <w:lang w:val="fr-FR"/>
        </w:rPr>
        <w:footnoteReference w:id="327"/>
      </w:r>
      <w:r w:rsidRPr="005D7BDE">
        <w:rPr>
          <w:rFonts w:asciiTheme="majorBidi" w:hAnsiTheme="majorBidi"/>
          <w:color w:val="000000"/>
          <w:sz w:val="24"/>
          <w:szCs w:val="24"/>
          <w:lang w:val="fr-FR"/>
        </w:rPr>
        <w:t xml:space="preserve"> :</w:t>
      </w:r>
      <w:bookmarkEnd w:id="1721"/>
      <w:bookmarkEnd w:id="1722"/>
      <w:bookmarkEnd w:id="1723"/>
      <w:bookmarkEnd w:id="1724"/>
      <w:bookmarkEnd w:id="1725"/>
      <w:bookmarkEnd w:id="1726"/>
    </w:p>
    <w:p w:rsidR="00E772DD" w:rsidRPr="00DA7BB2" w:rsidRDefault="00E772DD" w:rsidP="004D32AC">
      <w:pPr>
        <w:numPr>
          <w:ilvl w:val="0"/>
          <w:numId w:val="117"/>
        </w:numPr>
        <w:spacing w:after="100" w:afterAutospacing="1" w:line="360" w:lineRule="auto"/>
        <w:jc w:val="both"/>
        <w:rPr>
          <w:rFonts w:asciiTheme="majorBidi" w:hAnsiTheme="majorBidi" w:cstheme="majorBidi"/>
          <w:color w:val="000000"/>
          <w:lang w:val="fr-FR"/>
        </w:rPr>
      </w:pPr>
      <w:proofErr w:type="spellStart"/>
      <w:r w:rsidRPr="00DA7BB2">
        <w:rPr>
          <w:rStyle w:val="lev"/>
          <w:rFonts w:asciiTheme="majorBidi" w:hAnsiTheme="majorBidi" w:cstheme="majorBidi"/>
          <w:color w:val="000000"/>
          <w:lang w:val="fr-FR"/>
        </w:rPr>
        <w:t>Articulate</w:t>
      </w:r>
      <w:proofErr w:type="spellEnd"/>
      <w:r w:rsidRPr="00DA7BB2">
        <w:rPr>
          <w:rStyle w:val="lev"/>
          <w:rFonts w:asciiTheme="majorBidi" w:hAnsiTheme="majorBidi" w:cstheme="majorBidi"/>
          <w:color w:val="000000"/>
          <w:lang w:val="fr-FR"/>
        </w:rPr>
        <w:t xml:space="preserve"> 360</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Outil professionnel de création de modules e-learning.</w:t>
      </w:r>
    </w:p>
    <w:p w:rsidR="00E772DD" w:rsidRPr="00DA7BB2" w:rsidRDefault="00E772DD" w:rsidP="004D32AC">
      <w:pPr>
        <w:numPr>
          <w:ilvl w:val="0"/>
          <w:numId w:val="117"/>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 xml:space="preserve">Adobe </w:t>
      </w:r>
      <w:proofErr w:type="spellStart"/>
      <w:r w:rsidRPr="00DA7BB2">
        <w:rPr>
          <w:rStyle w:val="lev"/>
          <w:rFonts w:asciiTheme="majorBidi" w:hAnsiTheme="majorBidi" w:cstheme="majorBidi"/>
          <w:color w:val="000000"/>
          <w:lang w:val="fr-FR"/>
        </w:rPr>
        <w:t>Captivate</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Permet de créer des vidéos interactives et des simulations.</w:t>
      </w:r>
    </w:p>
    <w:p w:rsidR="00E772DD" w:rsidRPr="00DA7BB2" w:rsidRDefault="00E772DD" w:rsidP="004D32AC">
      <w:pPr>
        <w:numPr>
          <w:ilvl w:val="0"/>
          <w:numId w:val="117"/>
        </w:numPr>
        <w:spacing w:before="100" w:beforeAutospacing="1" w:after="100" w:afterAutospacing="1" w:line="360" w:lineRule="auto"/>
        <w:jc w:val="both"/>
        <w:rPr>
          <w:rFonts w:asciiTheme="majorBidi" w:hAnsiTheme="majorBidi" w:cstheme="majorBidi"/>
          <w:color w:val="000000"/>
          <w:lang w:val="fr-FR"/>
        </w:rPr>
      </w:pPr>
      <w:proofErr w:type="spellStart"/>
      <w:r w:rsidRPr="00DA7BB2">
        <w:rPr>
          <w:rStyle w:val="lev"/>
          <w:rFonts w:asciiTheme="majorBidi" w:hAnsiTheme="majorBidi" w:cstheme="majorBidi"/>
          <w:color w:val="000000"/>
          <w:lang w:val="fr-FR"/>
        </w:rPr>
        <w:t>Genially</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Solution pour concevoir des présentations et des infographies interactives.</w:t>
      </w:r>
    </w:p>
    <w:p w:rsidR="00E772DD" w:rsidRPr="00DA7BB2" w:rsidRDefault="00E772DD" w:rsidP="004D32AC">
      <w:pPr>
        <w:numPr>
          <w:ilvl w:val="0"/>
          <w:numId w:val="117"/>
        </w:numPr>
        <w:spacing w:before="100" w:beforeAutospacing="1" w:after="100" w:afterAutospacing="1" w:line="360" w:lineRule="auto"/>
        <w:jc w:val="both"/>
        <w:rPr>
          <w:rFonts w:asciiTheme="majorBidi" w:hAnsiTheme="majorBidi" w:cstheme="majorBidi"/>
          <w:color w:val="000000"/>
          <w:lang w:val="fr-FR"/>
        </w:rPr>
      </w:pPr>
      <w:proofErr w:type="spellStart"/>
      <w:r w:rsidRPr="00DA7BB2">
        <w:rPr>
          <w:rStyle w:val="lev"/>
          <w:rFonts w:asciiTheme="majorBidi" w:hAnsiTheme="majorBidi" w:cstheme="majorBidi"/>
          <w:color w:val="000000"/>
          <w:lang w:val="fr-FR"/>
        </w:rPr>
        <w:t>Canva</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Utile pour la création de supports visuels attractifs.</w:t>
      </w:r>
    </w:p>
    <w:p w:rsidR="00E772DD" w:rsidRPr="005D7BDE" w:rsidRDefault="00E772DD" w:rsidP="004D32AC">
      <w:pPr>
        <w:pStyle w:val="Titre2"/>
        <w:keepNext w:val="0"/>
        <w:keepLines w:val="0"/>
        <w:numPr>
          <w:ilvl w:val="0"/>
          <w:numId w:val="116"/>
        </w:numPr>
        <w:tabs>
          <w:tab w:val="num" w:pos="360"/>
        </w:tabs>
        <w:spacing w:before="100" w:beforeAutospacing="1" w:line="360" w:lineRule="auto"/>
        <w:ind w:left="360"/>
        <w:jc w:val="both"/>
        <w:rPr>
          <w:rFonts w:asciiTheme="majorBidi" w:hAnsiTheme="majorBidi"/>
          <w:b/>
          <w:bCs/>
          <w:color w:val="000000"/>
          <w:sz w:val="24"/>
          <w:szCs w:val="24"/>
          <w:lang w:val="fr-FR"/>
        </w:rPr>
      </w:pPr>
      <w:bookmarkStart w:id="1727" w:name="_Toc199714479"/>
      <w:bookmarkStart w:id="1728" w:name="_Toc200486757"/>
      <w:bookmarkStart w:id="1729" w:name="_Toc200635533"/>
      <w:bookmarkStart w:id="1730" w:name="_Toc200635921"/>
      <w:bookmarkStart w:id="1731" w:name="_Toc200636310"/>
      <w:bookmarkStart w:id="1732" w:name="_Toc200756048"/>
      <w:r w:rsidRPr="005D7BDE">
        <w:rPr>
          <w:rStyle w:val="lev"/>
          <w:rFonts w:asciiTheme="majorBidi" w:hAnsiTheme="majorBidi"/>
          <w:color w:val="000000"/>
          <w:sz w:val="24"/>
          <w:szCs w:val="24"/>
          <w:lang w:val="fr-FR"/>
        </w:rPr>
        <w:t xml:space="preserve">Les outils de </w:t>
      </w:r>
      <w:proofErr w:type="spellStart"/>
      <w:r w:rsidRPr="005D7BDE">
        <w:rPr>
          <w:rStyle w:val="lev"/>
          <w:rFonts w:asciiTheme="majorBidi" w:hAnsiTheme="majorBidi"/>
          <w:color w:val="000000"/>
          <w:sz w:val="24"/>
          <w:szCs w:val="24"/>
          <w:lang w:val="fr-FR"/>
        </w:rPr>
        <w:t>microlearning</w:t>
      </w:r>
      <w:proofErr w:type="spellEnd"/>
      <w:r w:rsidRPr="005D7BDE">
        <w:rPr>
          <w:rStyle w:val="lev"/>
          <w:rFonts w:asciiTheme="majorBidi" w:hAnsiTheme="majorBidi"/>
          <w:color w:val="000000"/>
          <w:sz w:val="24"/>
          <w:szCs w:val="24"/>
          <w:lang w:val="fr-FR"/>
        </w:rPr>
        <w:t xml:space="preserve"> et de mobile </w:t>
      </w:r>
      <w:proofErr w:type="spellStart"/>
      <w:r w:rsidRPr="005D7BDE">
        <w:rPr>
          <w:rStyle w:val="lev"/>
          <w:rFonts w:asciiTheme="majorBidi" w:hAnsiTheme="majorBidi"/>
          <w:color w:val="000000"/>
          <w:sz w:val="24"/>
          <w:szCs w:val="24"/>
          <w:lang w:val="fr-FR"/>
        </w:rPr>
        <w:t>learning</w:t>
      </w:r>
      <w:bookmarkEnd w:id="1727"/>
      <w:bookmarkEnd w:id="1728"/>
      <w:bookmarkEnd w:id="1729"/>
      <w:bookmarkEnd w:id="1730"/>
      <w:bookmarkEnd w:id="1731"/>
      <w:bookmarkEnd w:id="1732"/>
      <w:proofErr w:type="spellEnd"/>
    </w:p>
    <w:p w:rsidR="00E772DD" w:rsidRPr="00DA7BB2" w:rsidRDefault="00E772DD" w:rsidP="0040528E">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w:t>
      </w:r>
      <w:r w:rsidRPr="00DA7BB2">
        <w:rPr>
          <w:rStyle w:val="apple-converted-space"/>
          <w:rFonts w:asciiTheme="majorBidi" w:hAnsiTheme="majorBidi" w:cstheme="majorBidi"/>
          <w:color w:val="000000"/>
          <w:lang w:val="fr-FR"/>
        </w:rPr>
        <w:t> </w:t>
      </w:r>
      <w:proofErr w:type="spellStart"/>
      <w:r w:rsidRPr="00DA7BB2">
        <w:rPr>
          <w:rStyle w:val="lev"/>
          <w:rFonts w:asciiTheme="majorBidi" w:hAnsiTheme="majorBidi" w:cstheme="majorBidi"/>
          <w:b w:val="0"/>
          <w:bCs w:val="0"/>
          <w:color w:val="000000"/>
          <w:lang w:val="fr-FR"/>
        </w:rPr>
        <w:t>microlearning</w:t>
      </w:r>
      <w:proofErr w:type="spellEnd"/>
      <w:r w:rsidRPr="00DA7BB2">
        <w:rPr>
          <w:rStyle w:val="lev"/>
          <w:lang w:val="fr-FR"/>
        </w:rPr>
        <w:t> </w:t>
      </w:r>
      <w:r w:rsidRPr="00DA7BB2">
        <w:rPr>
          <w:rFonts w:asciiTheme="majorBidi" w:hAnsiTheme="majorBidi" w:cstheme="majorBidi"/>
          <w:color w:val="000000"/>
          <w:lang w:val="fr-FR"/>
        </w:rPr>
        <w:t>consiste à proposer des contenus courts et ciblés, souvent accessibles sur mobile, pour favoriser un apprentissage rapide et efficace</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28"/>
      </w:r>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 xml:space="preserve">mobile </w:t>
      </w:r>
      <w:proofErr w:type="spellStart"/>
      <w:r w:rsidRPr="00DA7BB2">
        <w:rPr>
          <w:rStyle w:val="lev"/>
          <w:rFonts w:asciiTheme="majorBidi" w:hAnsiTheme="majorBidi" w:cstheme="majorBidi"/>
          <w:b w:val="0"/>
          <w:bCs w:val="0"/>
          <w:color w:val="000000"/>
          <w:lang w:val="fr-FR"/>
        </w:rPr>
        <w:t>learning</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permet d’accéder aux formations via smartphone ou tablette, favorisant une approche plus flexible et individualisée de l’apprentissage.</w:t>
      </w:r>
    </w:p>
    <w:p w:rsidR="00E772DD" w:rsidRPr="005D7BDE" w:rsidRDefault="00E772DD" w:rsidP="004D32AC">
      <w:pPr>
        <w:pStyle w:val="Titre2"/>
        <w:keepNext w:val="0"/>
        <w:keepLines w:val="0"/>
        <w:numPr>
          <w:ilvl w:val="0"/>
          <w:numId w:val="109"/>
        </w:numPr>
        <w:tabs>
          <w:tab w:val="num" w:pos="720"/>
        </w:tabs>
        <w:spacing w:before="100" w:beforeAutospacing="1" w:line="360" w:lineRule="auto"/>
        <w:ind w:left="720"/>
        <w:jc w:val="both"/>
        <w:rPr>
          <w:rFonts w:asciiTheme="majorBidi" w:hAnsiTheme="majorBidi"/>
          <w:b/>
          <w:bCs/>
          <w:color w:val="000000"/>
          <w:sz w:val="24"/>
          <w:szCs w:val="24"/>
          <w:lang w:val="fr-FR"/>
        </w:rPr>
      </w:pPr>
      <w:bookmarkStart w:id="1733" w:name="_Toc199714480"/>
      <w:bookmarkStart w:id="1734" w:name="_Toc200486758"/>
      <w:bookmarkStart w:id="1735" w:name="_Toc200635534"/>
      <w:bookmarkStart w:id="1736" w:name="_Toc200635922"/>
      <w:bookmarkStart w:id="1737" w:name="_Toc200636311"/>
      <w:bookmarkStart w:id="1738" w:name="_Toc200756049"/>
      <w:r w:rsidRPr="005D7BDE">
        <w:rPr>
          <w:rStyle w:val="lev"/>
          <w:rFonts w:asciiTheme="majorBidi" w:hAnsiTheme="majorBidi"/>
          <w:color w:val="000000"/>
          <w:sz w:val="24"/>
          <w:szCs w:val="24"/>
          <w:lang w:val="fr-FR"/>
        </w:rPr>
        <w:t>Les outils d’évaluation et de suivi des apprenants</w:t>
      </w:r>
      <w:bookmarkEnd w:id="1733"/>
      <w:bookmarkEnd w:id="1734"/>
      <w:bookmarkEnd w:id="1735"/>
      <w:bookmarkEnd w:id="1736"/>
      <w:bookmarkEnd w:id="1737"/>
      <w:bookmarkEnd w:id="1738"/>
    </w:p>
    <w:p w:rsidR="00E772DD" w:rsidRPr="00DA7BB2" w:rsidRDefault="00E772DD" w:rsidP="0040528E">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évaluations sont essentielles pour mesurer l’efficacité d’une formation. Différents outils permettent d’automatiser cette tâche</w:t>
      </w:r>
      <w:r w:rsidRPr="00DA7BB2">
        <w:rPr>
          <w:rStyle w:val="Appelnotedebasdep"/>
          <w:rFonts w:cstheme="majorBidi"/>
          <w:color w:val="000000"/>
          <w:lang w:val="fr-FR"/>
        </w:rPr>
        <w:footnoteReference w:id="329"/>
      </w:r>
      <w:r w:rsidRPr="00DA7BB2">
        <w:rPr>
          <w:rFonts w:asciiTheme="majorBidi" w:hAnsiTheme="majorBidi" w:cstheme="majorBidi"/>
          <w:color w:val="000000"/>
          <w:lang w:val="fr-FR"/>
        </w:rPr>
        <w:t xml:space="preserve"> :</w:t>
      </w:r>
    </w:p>
    <w:p w:rsidR="00E772DD" w:rsidRPr="00DA7BB2" w:rsidRDefault="00E772DD" w:rsidP="004D32AC">
      <w:pPr>
        <w:numPr>
          <w:ilvl w:val="0"/>
          <w:numId w:val="104"/>
        </w:numPr>
        <w:spacing w:after="100" w:afterAutospacing="1" w:line="360" w:lineRule="auto"/>
        <w:jc w:val="both"/>
        <w:rPr>
          <w:rFonts w:asciiTheme="majorBidi" w:hAnsiTheme="majorBidi" w:cstheme="majorBidi"/>
          <w:color w:val="000000"/>
          <w:lang w:val="fr-FR"/>
        </w:rPr>
      </w:pPr>
      <w:proofErr w:type="spellStart"/>
      <w:r w:rsidRPr="00DA7BB2">
        <w:rPr>
          <w:rStyle w:val="lev"/>
          <w:rFonts w:asciiTheme="majorBidi" w:hAnsiTheme="majorBidi" w:cstheme="majorBidi"/>
          <w:color w:val="000000"/>
          <w:lang w:val="fr-FR"/>
        </w:rPr>
        <w:t>Kahoot</w:t>
      </w:r>
      <w:proofErr w:type="spellEnd"/>
      <w:r w:rsidRPr="00DA7BB2">
        <w:rPr>
          <w:rStyle w:val="lev"/>
          <w:rFonts w:asciiTheme="majorBidi" w:hAnsiTheme="majorBidi" w:cstheme="majorBidi"/>
          <w:color w:val="000000"/>
          <w:lang w:val="fr-FR"/>
        </w:rPr>
        <w:t>!</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Outil interactif pour créer des quiz ludiques et engageants.</w:t>
      </w:r>
    </w:p>
    <w:p w:rsidR="00E772DD" w:rsidRPr="00DA7BB2" w:rsidRDefault="00E772DD" w:rsidP="004D32AC">
      <w:pPr>
        <w:numPr>
          <w:ilvl w:val="0"/>
          <w:numId w:val="104"/>
        </w:numPr>
        <w:spacing w:before="100" w:beforeAutospacing="1" w:after="100" w:afterAutospacing="1" w:line="360" w:lineRule="auto"/>
        <w:jc w:val="both"/>
        <w:rPr>
          <w:rFonts w:asciiTheme="majorBidi" w:hAnsiTheme="majorBidi" w:cstheme="majorBidi"/>
          <w:color w:val="000000"/>
          <w:lang w:val="fr-FR"/>
        </w:rPr>
      </w:pPr>
      <w:proofErr w:type="spellStart"/>
      <w:r w:rsidRPr="00DA7BB2">
        <w:rPr>
          <w:rStyle w:val="lev"/>
          <w:rFonts w:asciiTheme="majorBidi" w:hAnsiTheme="majorBidi" w:cstheme="majorBidi"/>
          <w:color w:val="000000"/>
          <w:lang w:val="fr-FR"/>
        </w:rPr>
        <w:t>Quizlet</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Permet aux apprenants de mémoriser des notions à l’aide de cartes interactives.</w:t>
      </w:r>
    </w:p>
    <w:p w:rsidR="00E772DD" w:rsidRPr="00DA7BB2" w:rsidRDefault="00E772DD" w:rsidP="004D32AC">
      <w:pPr>
        <w:numPr>
          <w:ilvl w:val="0"/>
          <w:numId w:val="104"/>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Google Forms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Utilisé pour concevoir des tests et collecter les résultats.</w:t>
      </w:r>
    </w:p>
    <w:p w:rsidR="00E772DD" w:rsidRPr="00DA7BB2" w:rsidRDefault="00E772DD" w:rsidP="004D32AC">
      <w:pPr>
        <w:numPr>
          <w:ilvl w:val="0"/>
          <w:numId w:val="104"/>
        </w:numPr>
        <w:spacing w:line="360" w:lineRule="auto"/>
        <w:jc w:val="both"/>
        <w:rPr>
          <w:rFonts w:asciiTheme="majorBidi" w:hAnsiTheme="majorBidi" w:cstheme="majorBidi"/>
          <w:color w:val="000000"/>
          <w:lang w:val="fr-FR"/>
        </w:rPr>
      </w:pPr>
      <w:proofErr w:type="spellStart"/>
      <w:r w:rsidRPr="00DA7BB2">
        <w:rPr>
          <w:rStyle w:val="lev"/>
          <w:rFonts w:asciiTheme="majorBidi" w:hAnsiTheme="majorBidi" w:cstheme="majorBidi"/>
          <w:color w:val="000000"/>
          <w:lang w:val="fr-FR"/>
        </w:rPr>
        <w:t>ProctorU</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Solution de surveillance en ligne pour les examens à distance.</w:t>
      </w:r>
    </w:p>
    <w:p w:rsidR="00E772DD" w:rsidRDefault="00E772DD" w:rsidP="0084231F">
      <w:pPr>
        <w:pStyle w:val="NormalWeb"/>
        <w:spacing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outils de l’e-formation sont variés et en constante évolution, permettant une personnalisation accrue de l’apprentissage. Du</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 xml:space="preserve">LMS aux plateformes de </w:t>
      </w:r>
      <w:proofErr w:type="spellStart"/>
      <w:r w:rsidRPr="00DA7BB2">
        <w:rPr>
          <w:rStyle w:val="lev"/>
          <w:rFonts w:asciiTheme="majorBidi" w:hAnsiTheme="majorBidi" w:cstheme="majorBidi"/>
          <w:b w:val="0"/>
          <w:bCs w:val="0"/>
          <w:color w:val="000000"/>
          <w:lang w:val="fr-FR"/>
        </w:rPr>
        <w:t>MOOCs</w:t>
      </w:r>
      <w:proofErr w:type="spellEnd"/>
      <w:r w:rsidRPr="00DA7BB2">
        <w:rPr>
          <w:rStyle w:val="lev"/>
          <w:rFonts w:asciiTheme="majorBidi" w:hAnsiTheme="majorBidi" w:cstheme="majorBidi"/>
          <w:b w:val="0"/>
          <w:bCs w:val="0"/>
          <w:color w:val="000000"/>
          <w:lang w:val="fr-FR"/>
        </w:rPr>
        <w:t>, en passant par les outils de création de contenus, de visioconférence et de réalité virtuelle</w:t>
      </w:r>
      <w:r w:rsidRPr="00DA7BB2">
        <w:rPr>
          <w:rFonts w:asciiTheme="majorBidi" w:hAnsiTheme="majorBidi" w:cstheme="majorBidi"/>
          <w:color w:val="000000"/>
          <w:lang w:val="fr-FR"/>
        </w:rPr>
        <w:t>, chaque solution répond à des besoins spécifiques. Pour optimiser les résultats, les organisations doivent choisir une combinaison adaptée à leurs objectifs pédagogiques et aux profils des apprenants.</w:t>
      </w:r>
    </w:p>
    <w:p w:rsidR="009832B3" w:rsidRPr="00DA7BB2" w:rsidRDefault="009832B3" w:rsidP="0084231F">
      <w:pPr>
        <w:pStyle w:val="NormalWeb"/>
        <w:spacing w:after="240" w:afterAutospacing="0" w:line="360" w:lineRule="auto"/>
        <w:jc w:val="both"/>
        <w:rPr>
          <w:rFonts w:asciiTheme="majorBidi" w:hAnsiTheme="majorBidi" w:cstheme="majorBidi"/>
          <w:color w:val="000000"/>
          <w:lang w:val="fr-FR"/>
        </w:rPr>
      </w:pPr>
    </w:p>
    <w:p w:rsidR="00E772DD" w:rsidRPr="00DB602C" w:rsidRDefault="00DB602C" w:rsidP="004D32AC">
      <w:pPr>
        <w:pStyle w:val="Titre3"/>
        <w:numPr>
          <w:ilvl w:val="1"/>
          <w:numId w:val="187"/>
        </w:numPr>
        <w:spacing w:after="0" w:afterAutospacing="0" w:line="360" w:lineRule="auto"/>
        <w:rPr>
          <w:sz w:val="24"/>
          <w:szCs w:val="24"/>
          <w:lang w:val="fr-FR"/>
        </w:rPr>
      </w:pPr>
      <w:r>
        <w:rPr>
          <w:sz w:val="24"/>
          <w:szCs w:val="24"/>
          <w:lang w:val="fr-FR"/>
        </w:rPr>
        <w:lastRenderedPageBreak/>
        <w:t xml:space="preserve"> </w:t>
      </w:r>
      <w:bookmarkStart w:id="1739" w:name="_Toc199714481"/>
      <w:bookmarkStart w:id="1740" w:name="_Toc200486759"/>
      <w:bookmarkStart w:id="1741" w:name="_Toc200635535"/>
      <w:bookmarkStart w:id="1742" w:name="_Toc200635923"/>
      <w:bookmarkStart w:id="1743" w:name="_Toc200636312"/>
      <w:bookmarkStart w:id="1744" w:name="_Toc200756050"/>
      <w:r w:rsidR="00E772DD" w:rsidRPr="00DB602C">
        <w:rPr>
          <w:sz w:val="24"/>
          <w:szCs w:val="24"/>
          <w:lang w:val="fr-FR"/>
        </w:rPr>
        <w:t>Les avantages et les défis de l’e-formation</w:t>
      </w:r>
      <w:bookmarkEnd w:id="1739"/>
      <w:bookmarkEnd w:id="1740"/>
      <w:bookmarkEnd w:id="1741"/>
      <w:bookmarkEnd w:id="1742"/>
      <w:bookmarkEnd w:id="1743"/>
      <w:bookmarkEnd w:id="1744"/>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a révolutionné les méthodes d’apprentissage en entreprise et en éducation, en apportant une plus grande flexibilité et accessibilité. Cependant, son efficacité repose sur la capacité des organisations à surmonter certains défis technologiques et pédagogiques.</w:t>
      </w:r>
    </w:p>
    <w:p w:rsidR="00E772DD" w:rsidRDefault="00E772DD" w:rsidP="004D32AC">
      <w:pPr>
        <w:pStyle w:val="Titre2"/>
        <w:keepNext w:val="0"/>
        <w:keepLines w:val="0"/>
        <w:numPr>
          <w:ilvl w:val="0"/>
          <w:numId w:val="110"/>
        </w:numPr>
        <w:spacing w:before="0" w:line="360" w:lineRule="auto"/>
        <w:jc w:val="both"/>
        <w:rPr>
          <w:rStyle w:val="lev"/>
          <w:rFonts w:asciiTheme="majorBidi" w:hAnsiTheme="majorBidi"/>
          <w:b w:val="0"/>
          <w:bCs w:val="0"/>
          <w:color w:val="000000"/>
          <w:sz w:val="24"/>
          <w:szCs w:val="24"/>
          <w:lang w:val="fr-FR"/>
        </w:rPr>
      </w:pPr>
      <w:bookmarkStart w:id="1745" w:name="_Toc199714482"/>
      <w:bookmarkStart w:id="1746" w:name="_Toc200486760"/>
      <w:bookmarkStart w:id="1747" w:name="_Toc200635536"/>
      <w:bookmarkStart w:id="1748" w:name="_Toc200635924"/>
      <w:bookmarkStart w:id="1749" w:name="_Toc200636313"/>
      <w:bookmarkStart w:id="1750" w:name="_Toc200756051"/>
      <w:r w:rsidRPr="005D7BDE">
        <w:rPr>
          <w:rStyle w:val="lev"/>
          <w:rFonts w:asciiTheme="majorBidi" w:hAnsiTheme="majorBidi"/>
          <w:color w:val="000000"/>
          <w:sz w:val="24"/>
          <w:szCs w:val="24"/>
          <w:lang w:val="fr-FR"/>
        </w:rPr>
        <w:t>Les avantages de l’e-formation</w:t>
      </w:r>
      <w:bookmarkEnd w:id="1745"/>
      <w:bookmarkEnd w:id="1746"/>
      <w:bookmarkEnd w:id="1747"/>
      <w:bookmarkEnd w:id="1748"/>
      <w:bookmarkEnd w:id="1749"/>
      <w:bookmarkEnd w:id="1750"/>
    </w:p>
    <w:p w:rsidR="00E772DD" w:rsidRPr="00A27C55" w:rsidRDefault="00E772DD" w:rsidP="00A27C55">
      <w:pPr>
        <w:pStyle w:val="Titre2"/>
        <w:spacing w:after="240" w:line="360" w:lineRule="auto"/>
        <w:jc w:val="both"/>
        <w:rPr>
          <w:rStyle w:val="lev"/>
          <w:rFonts w:ascii="Times New Roman" w:hAnsi="Times New Roman" w:cs="Times New Roman"/>
          <w:b w:val="0"/>
          <w:bCs w:val="0"/>
          <w:color w:val="000000"/>
          <w:sz w:val="24"/>
          <w:szCs w:val="24"/>
          <w:lang w:val="fr-FR"/>
        </w:rPr>
      </w:pPr>
      <w:bookmarkStart w:id="1751" w:name="_Toc199714483"/>
      <w:bookmarkStart w:id="1752" w:name="_Toc200486761"/>
      <w:bookmarkStart w:id="1753" w:name="_Toc200635537"/>
      <w:bookmarkStart w:id="1754" w:name="_Toc200635925"/>
      <w:bookmarkStart w:id="1755" w:name="_Toc200636314"/>
      <w:bookmarkStart w:id="1756" w:name="_Toc200756052"/>
      <w:r w:rsidRPr="00A27C55">
        <w:rPr>
          <w:rStyle w:val="lev"/>
          <w:rFonts w:ascii="Times New Roman" w:hAnsi="Times New Roman" w:cs="Times New Roman"/>
          <w:b w:val="0"/>
          <w:bCs w:val="0"/>
          <w:color w:val="000000"/>
          <w:sz w:val="24"/>
          <w:szCs w:val="24"/>
          <w:lang w:val="fr-FR"/>
        </w:rPr>
        <w:t>L’e-formation présente de nombreux avantages qui contribuent à améliorer l’efficacité, la flexibilité et l’accessibilité des programmes de développement des compétences au sein des organisations.</w:t>
      </w:r>
      <w:bookmarkEnd w:id="1751"/>
      <w:bookmarkEnd w:id="1752"/>
      <w:bookmarkEnd w:id="1753"/>
      <w:bookmarkEnd w:id="1754"/>
      <w:bookmarkEnd w:id="1755"/>
      <w:bookmarkEnd w:id="1756"/>
    </w:p>
    <w:p w:rsidR="00E772DD" w:rsidRPr="00A27C55" w:rsidRDefault="00E772DD" w:rsidP="004D32AC">
      <w:pPr>
        <w:pStyle w:val="Titre3"/>
        <w:keepNext/>
        <w:keepLines/>
        <w:numPr>
          <w:ilvl w:val="0"/>
          <w:numId w:val="130"/>
        </w:numPr>
        <w:spacing w:before="0" w:beforeAutospacing="0" w:after="0" w:afterAutospacing="0" w:line="360" w:lineRule="auto"/>
        <w:jc w:val="both"/>
        <w:rPr>
          <w:b w:val="0"/>
          <w:bCs w:val="0"/>
          <w:color w:val="000000"/>
          <w:sz w:val="24"/>
          <w:szCs w:val="24"/>
          <w:lang w:val="fr-FR"/>
        </w:rPr>
      </w:pPr>
      <w:bookmarkStart w:id="1757" w:name="_Toc199714484"/>
      <w:bookmarkStart w:id="1758" w:name="_Toc200486762"/>
      <w:bookmarkStart w:id="1759" w:name="_Toc200635538"/>
      <w:bookmarkStart w:id="1760" w:name="_Toc200635926"/>
      <w:bookmarkStart w:id="1761" w:name="_Toc200636315"/>
      <w:bookmarkStart w:id="1762" w:name="_Toc200756053"/>
      <w:r w:rsidRPr="00A27C55">
        <w:rPr>
          <w:rStyle w:val="lev"/>
          <w:b/>
          <w:bCs/>
          <w:color w:val="000000"/>
          <w:sz w:val="24"/>
          <w:szCs w:val="24"/>
          <w:lang w:val="fr-FR"/>
        </w:rPr>
        <w:t>Accessibilité et flexibilité</w:t>
      </w:r>
      <w:bookmarkEnd w:id="1757"/>
      <w:bookmarkEnd w:id="1758"/>
      <w:bookmarkEnd w:id="1759"/>
      <w:bookmarkEnd w:id="1760"/>
      <w:bookmarkEnd w:id="1761"/>
      <w:bookmarkEnd w:id="1762"/>
      <w:r w:rsidRPr="00A27C55">
        <w:rPr>
          <w:rStyle w:val="lev"/>
          <w:b/>
          <w:bCs/>
          <w:color w:val="000000"/>
          <w:sz w:val="24"/>
          <w:szCs w:val="24"/>
          <w:lang w:val="fr-FR"/>
        </w:rPr>
        <w:t> </w:t>
      </w:r>
    </w:p>
    <w:p w:rsidR="00E772DD" w:rsidRPr="00A27C55" w:rsidRDefault="00E772DD" w:rsidP="0040528E">
      <w:pPr>
        <w:pStyle w:val="NormalWeb"/>
        <w:spacing w:before="0" w:beforeAutospacing="0" w:line="360" w:lineRule="auto"/>
        <w:jc w:val="both"/>
        <w:rPr>
          <w:b/>
          <w:bCs/>
          <w:color w:val="000000"/>
          <w:lang w:val="fr-FR"/>
        </w:rPr>
      </w:pPr>
      <w:r w:rsidRPr="00A27C55">
        <w:rPr>
          <w:color w:val="000000"/>
          <w:lang w:val="fr-FR"/>
        </w:rPr>
        <w:t>L’e-formation permet aux apprenants de suivre des cours</w:t>
      </w:r>
      <w:r w:rsidRPr="00A27C55">
        <w:rPr>
          <w:rStyle w:val="apple-converted-space"/>
          <w:color w:val="000000"/>
          <w:lang w:val="fr-FR"/>
        </w:rPr>
        <w:t> </w:t>
      </w:r>
      <w:r w:rsidRPr="00A27C55">
        <w:rPr>
          <w:rStyle w:val="lev"/>
          <w:b w:val="0"/>
          <w:bCs w:val="0"/>
          <w:color w:val="000000"/>
          <w:lang w:val="fr-FR"/>
        </w:rPr>
        <w:t>à leur propre rythme et depuis</w:t>
      </w:r>
      <w:r w:rsidRPr="00A27C55">
        <w:rPr>
          <w:rStyle w:val="lev"/>
          <w:color w:val="000000"/>
          <w:lang w:val="fr-FR"/>
        </w:rPr>
        <w:t xml:space="preserve"> </w:t>
      </w:r>
      <w:r w:rsidRPr="00A27C55">
        <w:rPr>
          <w:rStyle w:val="lev"/>
          <w:b w:val="0"/>
          <w:bCs w:val="0"/>
          <w:color w:val="000000"/>
          <w:lang w:val="fr-FR"/>
        </w:rPr>
        <w:t>n’importe quel endroit</w:t>
      </w:r>
      <w:r w:rsidRPr="00A27C55">
        <w:rPr>
          <w:color w:val="000000"/>
          <w:lang w:val="fr-FR"/>
        </w:rPr>
        <w:t>, ce qui est particulièrement bénéfique pour les professionnels et les étudiants ayant des contraintes de temps. Grâce aux plateformes d’apprentissage en ligne, le savoir est plus accessible que jamais, notamment via les</w:t>
      </w:r>
      <w:r w:rsidRPr="00A27C55">
        <w:rPr>
          <w:rStyle w:val="apple-converted-space"/>
          <w:color w:val="000000"/>
          <w:lang w:val="fr-FR"/>
        </w:rPr>
        <w:t> </w:t>
      </w:r>
      <w:proofErr w:type="spellStart"/>
      <w:r w:rsidRPr="00A27C55">
        <w:rPr>
          <w:rStyle w:val="lev"/>
          <w:b w:val="0"/>
          <w:bCs w:val="0"/>
          <w:color w:val="000000"/>
          <w:lang w:val="fr-FR"/>
        </w:rPr>
        <w:t>MOOCs</w:t>
      </w:r>
      <w:proofErr w:type="spellEnd"/>
      <w:r w:rsidRPr="00A27C55">
        <w:rPr>
          <w:rStyle w:val="lev"/>
          <w:b w:val="0"/>
          <w:bCs w:val="0"/>
          <w:color w:val="000000"/>
          <w:lang w:val="fr-FR"/>
        </w:rPr>
        <w:t>, les webinaires et les cours à la demande</w:t>
      </w:r>
      <w:r w:rsidRPr="00A27C55">
        <w:rPr>
          <w:color w:val="000000"/>
          <w:lang w:val="fr-FR"/>
        </w:rPr>
        <w:t>.</w:t>
      </w:r>
      <w:r w:rsidR="00A27C55" w:rsidRPr="00A27C55">
        <w:rPr>
          <w:rStyle w:val="Appelnotedebasdep"/>
          <w:color w:val="000000"/>
          <w:lang w:val="fr-FR"/>
        </w:rPr>
        <w:footnoteReference w:id="330"/>
      </w:r>
    </w:p>
    <w:p w:rsidR="00E772DD" w:rsidRPr="00A27C55" w:rsidRDefault="00E772DD" w:rsidP="004D32AC">
      <w:pPr>
        <w:pStyle w:val="Titre3"/>
        <w:keepNext/>
        <w:keepLines/>
        <w:numPr>
          <w:ilvl w:val="0"/>
          <w:numId w:val="112"/>
        </w:numPr>
        <w:spacing w:before="40" w:beforeAutospacing="0" w:after="0" w:afterAutospacing="0" w:line="360" w:lineRule="auto"/>
        <w:ind w:left="720"/>
        <w:jc w:val="both"/>
        <w:rPr>
          <w:b w:val="0"/>
          <w:bCs w:val="0"/>
          <w:color w:val="000000"/>
          <w:sz w:val="24"/>
          <w:szCs w:val="24"/>
          <w:lang w:val="fr-FR"/>
        </w:rPr>
      </w:pPr>
      <w:bookmarkStart w:id="1763" w:name="_Toc199714485"/>
      <w:bookmarkStart w:id="1764" w:name="_Toc200486763"/>
      <w:bookmarkStart w:id="1765" w:name="_Toc200635539"/>
      <w:bookmarkStart w:id="1766" w:name="_Toc200635927"/>
      <w:bookmarkStart w:id="1767" w:name="_Toc200636316"/>
      <w:bookmarkStart w:id="1768" w:name="_Toc200756054"/>
      <w:r w:rsidRPr="00A27C55">
        <w:rPr>
          <w:rStyle w:val="lev"/>
          <w:b/>
          <w:bCs/>
          <w:color w:val="000000"/>
          <w:sz w:val="24"/>
          <w:szCs w:val="24"/>
          <w:lang w:val="fr-FR"/>
        </w:rPr>
        <w:t>Réduction des coûts</w:t>
      </w:r>
      <w:bookmarkEnd w:id="1763"/>
      <w:bookmarkEnd w:id="1764"/>
      <w:bookmarkEnd w:id="1765"/>
      <w:bookmarkEnd w:id="1766"/>
      <w:bookmarkEnd w:id="1767"/>
      <w:bookmarkEnd w:id="1768"/>
      <w:r w:rsidRPr="00A27C55">
        <w:rPr>
          <w:rStyle w:val="lev"/>
          <w:b/>
          <w:bCs/>
          <w:color w:val="000000"/>
          <w:sz w:val="24"/>
          <w:szCs w:val="24"/>
          <w:lang w:val="fr-FR"/>
        </w:rPr>
        <w:t> </w:t>
      </w:r>
    </w:p>
    <w:p w:rsidR="00E772DD" w:rsidRPr="00A27C55" w:rsidRDefault="00E772DD" w:rsidP="0040528E">
      <w:pPr>
        <w:pStyle w:val="NormalWeb"/>
        <w:spacing w:before="0" w:beforeAutospacing="0" w:line="360" w:lineRule="auto"/>
        <w:jc w:val="both"/>
        <w:rPr>
          <w:color w:val="000000"/>
          <w:lang w:val="fr-FR"/>
        </w:rPr>
      </w:pPr>
      <w:r w:rsidRPr="00A27C55">
        <w:rPr>
          <w:color w:val="000000"/>
          <w:lang w:val="fr-FR"/>
        </w:rPr>
        <w:t>L’un des avantages majeurs de l’e-formation est la réduction des coûts liés à la</w:t>
      </w:r>
      <w:r w:rsidRPr="00A27C55">
        <w:rPr>
          <w:rStyle w:val="apple-converted-space"/>
          <w:color w:val="000000"/>
          <w:lang w:val="fr-FR"/>
        </w:rPr>
        <w:t> </w:t>
      </w:r>
      <w:r w:rsidRPr="00A27C55">
        <w:rPr>
          <w:rStyle w:val="lev"/>
          <w:b w:val="0"/>
          <w:bCs w:val="0"/>
          <w:color w:val="000000"/>
          <w:lang w:val="fr-FR"/>
        </w:rPr>
        <w:t>logistique, aux déplacements et aux infrastructures physiques</w:t>
      </w:r>
      <w:r w:rsidRPr="00A27C55">
        <w:rPr>
          <w:color w:val="000000"/>
          <w:lang w:val="fr-FR"/>
        </w:rPr>
        <w:t>. Selon une étude de</w:t>
      </w:r>
      <w:r w:rsidRPr="00A27C55">
        <w:rPr>
          <w:rStyle w:val="apple-converted-space"/>
          <w:color w:val="000000"/>
          <w:lang w:val="fr-FR"/>
        </w:rPr>
        <w:t> </w:t>
      </w:r>
      <w:r w:rsidRPr="00A27C55">
        <w:rPr>
          <w:rStyle w:val="lev"/>
          <w:b w:val="0"/>
          <w:bCs w:val="0"/>
          <w:color w:val="000000"/>
          <w:lang w:val="fr-FR"/>
        </w:rPr>
        <w:t>Morel (2020, p. 89)</w:t>
      </w:r>
      <w:r w:rsidRPr="00A27C55">
        <w:rPr>
          <w:rStyle w:val="Appelnotedebasdep"/>
          <w:color w:val="000000"/>
          <w:lang w:val="fr-FR"/>
        </w:rPr>
        <w:footnoteReference w:id="331"/>
      </w:r>
      <w:r w:rsidRPr="00A27C55">
        <w:rPr>
          <w:color w:val="000000"/>
          <w:lang w:val="fr-FR"/>
        </w:rPr>
        <w:t>, les entreprises réduisent en moyenne</w:t>
      </w:r>
      <w:r w:rsidRPr="00A27C55">
        <w:rPr>
          <w:rStyle w:val="apple-converted-space"/>
          <w:color w:val="000000"/>
          <w:lang w:val="fr-FR"/>
        </w:rPr>
        <w:t> </w:t>
      </w:r>
      <w:r w:rsidRPr="00A27C55">
        <w:rPr>
          <w:rStyle w:val="lev"/>
          <w:b w:val="0"/>
          <w:bCs w:val="0"/>
          <w:color w:val="000000"/>
          <w:lang w:val="fr-FR"/>
        </w:rPr>
        <w:t>30 % de leurs dépenses</w:t>
      </w:r>
      <w:r w:rsidRPr="00A27C55">
        <w:rPr>
          <w:rStyle w:val="apple-converted-space"/>
          <w:color w:val="000000"/>
          <w:lang w:val="fr-FR"/>
        </w:rPr>
        <w:t> </w:t>
      </w:r>
      <w:r w:rsidRPr="00A27C55">
        <w:rPr>
          <w:color w:val="000000"/>
          <w:lang w:val="fr-FR"/>
        </w:rPr>
        <w:t>en formation en adoptant des solutions numériques plutôt que des formations en présentiel.</w:t>
      </w:r>
    </w:p>
    <w:p w:rsidR="00E772DD" w:rsidRPr="00A27C55" w:rsidRDefault="00E772DD" w:rsidP="004D32AC">
      <w:pPr>
        <w:pStyle w:val="Titre3"/>
        <w:keepNext/>
        <w:keepLines/>
        <w:numPr>
          <w:ilvl w:val="0"/>
          <w:numId w:val="112"/>
        </w:numPr>
        <w:spacing w:before="40" w:beforeAutospacing="0" w:after="0" w:afterAutospacing="0" w:line="360" w:lineRule="auto"/>
        <w:ind w:left="720"/>
        <w:jc w:val="both"/>
        <w:rPr>
          <w:b w:val="0"/>
          <w:bCs w:val="0"/>
          <w:color w:val="000000"/>
          <w:sz w:val="24"/>
          <w:szCs w:val="24"/>
          <w:lang w:val="fr-FR"/>
        </w:rPr>
      </w:pPr>
      <w:bookmarkStart w:id="1769" w:name="_Toc199714486"/>
      <w:bookmarkStart w:id="1770" w:name="_Toc200486764"/>
      <w:bookmarkStart w:id="1771" w:name="_Toc200635540"/>
      <w:bookmarkStart w:id="1772" w:name="_Toc200635928"/>
      <w:bookmarkStart w:id="1773" w:name="_Toc200636317"/>
      <w:bookmarkStart w:id="1774" w:name="_Toc200756055"/>
      <w:r w:rsidRPr="00A27C55">
        <w:rPr>
          <w:rStyle w:val="lev"/>
          <w:b/>
          <w:bCs/>
          <w:color w:val="000000"/>
          <w:sz w:val="24"/>
          <w:szCs w:val="24"/>
          <w:lang w:val="fr-FR"/>
        </w:rPr>
        <w:t>Adaptabilité et personnalisation</w:t>
      </w:r>
      <w:bookmarkEnd w:id="1769"/>
      <w:bookmarkEnd w:id="1770"/>
      <w:bookmarkEnd w:id="1771"/>
      <w:bookmarkEnd w:id="1772"/>
      <w:bookmarkEnd w:id="1773"/>
      <w:bookmarkEnd w:id="1774"/>
    </w:p>
    <w:p w:rsidR="00E772DD" w:rsidRPr="00A27C55" w:rsidRDefault="00E772DD" w:rsidP="0040528E">
      <w:pPr>
        <w:pStyle w:val="NormalWeb"/>
        <w:spacing w:before="0" w:beforeAutospacing="0" w:line="360" w:lineRule="auto"/>
        <w:jc w:val="both"/>
        <w:rPr>
          <w:color w:val="000000"/>
          <w:lang w:val="fr-FR"/>
        </w:rPr>
      </w:pPr>
      <w:r w:rsidRPr="00A27C55">
        <w:rPr>
          <w:color w:val="000000"/>
          <w:lang w:val="fr-FR"/>
        </w:rPr>
        <w:t>Les</w:t>
      </w:r>
      <w:r w:rsidRPr="00A27C55">
        <w:rPr>
          <w:rStyle w:val="apple-converted-space"/>
          <w:color w:val="000000"/>
          <w:lang w:val="fr-FR"/>
        </w:rPr>
        <w:t> </w:t>
      </w:r>
      <w:r w:rsidRPr="00A27C55">
        <w:rPr>
          <w:rStyle w:val="lev"/>
          <w:b w:val="0"/>
          <w:bCs w:val="0"/>
          <w:color w:val="000000"/>
          <w:lang w:val="fr-FR"/>
        </w:rPr>
        <w:t>systèmes de gestion de l’apprentissage (LMS)</w:t>
      </w:r>
      <w:r w:rsidRPr="00A27C55">
        <w:rPr>
          <w:rStyle w:val="apple-converted-space"/>
          <w:color w:val="000000"/>
          <w:lang w:val="fr-FR"/>
        </w:rPr>
        <w:t> </w:t>
      </w:r>
      <w:r w:rsidRPr="00A27C55">
        <w:rPr>
          <w:color w:val="000000"/>
          <w:lang w:val="fr-FR"/>
        </w:rPr>
        <w:t xml:space="preserve">permettent d’adapter les formations aux besoins spécifiques de chaque apprenant. Avec l’intégration de </w:t>
      </w:r>
      <w:r w:rsidRPr="00A27C55">
        <w:rPr>
          <w:b/>
          <w:bCs/>
          <w:color w:val="000000"/>
          <w:lang w:val="fr-FR"/>
        </w:rPr>
        <w:t>l’</w:t>
      </w:r>
      <w:r w:rsidRPr="00A27C55">
        <w:rPr>
          <w:rStyle w:val="lev"/>
          <w:b w:val="0"/>
          <w:bCs w:val="0"/>
          <w:color w:val="000000"/>
          <w:lang w:val="fr-FR"/>
        </w:rPr>
        <w:t>intelligence artificielle</w:t>
      </w:r>
      <w:r w:rsidRPr="00A27C55">
        <w:rPr>
          <w:color w:val="000000"/>
          <w:lang w:val="fr-FR"/>
        </w:rPr>
        <w:t>, il est désormais possible de proposer des parcours d’apprentissage personnalisés basés sur les performances et les préférences des utilisateurs</w:t>
      </w:r>
      <w:r w:rsidR="00A27C55">
        <w:rPr>
          <w:color w:val="000000"/>
          <w:lang w:val="fr-FR"/>
        </w:rPr>
        <w:t>.</w:t>
      </w:r>
      <w:r w:rsidRPr="00A27C55">
        <w:rPr>
          <w:rStyle w:val="Appelnotedebasdep"/>
          <w:color w:val="000000"/>
          <w:lang w:val="fr-FR"/>
        </w:rPr>
        <w:footnoteReference w:id="332"/>
      </w:r>
    </w:p>
    <w:p w:rsidR="00E772DD" w:rsidRPr="00A27C55" w:rsidRDefault="00E772DD" w:rsidP="004D32AC">
      <w:pPr>
        <w:pStyle w:val="Titre3"/>
        <w:keepNext/>
        <w:keepLines/>
        <w:numPr>
          <w:ilvl w:val="0"/>
          <w:numId w:val="112"/>
        </w:numPr>
        <w:spacing w:before="40" w:beforeAutospacing="0" w:after="0" w:afterAutospacing="0" w:line="360" w:lineRule="auto"/>
        <w:ind w:left="720"/>
        <w:jc w:val="both"/>
        <w:rPr>
          <w:b w:val="0"/>
          <w:bCs w:val="0"/>
          <w:color w:val="000000"/>
          <w:sz w:val="24"/>
          <w:szCs w:val="24"/>
          <w:lang w:val="fr-FR"/>
        </w:rPr>
      </w:pPr>
      <w:bookmarkStart w:id="1775" w:name="_Toc199714487"/>
      <w:bookmarkStart w:id="1776" w:name="_Toc200486765"/>
      <w:bookmarkStart w:id="1777" w:name="_Toc200635541"/>
      <w:bookmarkStart w:id="1778" w:name="_Toc200635929"/>
      <w:bookmarkStart w:id="1779" w:name="_Toc200636318"/>
      <w:bookmarkStart w:id="1780" w:name="_Toc200756056"/>
      <w:r w:rsidRPr="00A27C55">
        <w:rPr>
          <w:rStyle w:val="lev"/>
          <w:b/>
          <w:bCs/>
          <w:color w:val="000000"/>
          <w:sz w:val="24"/>
          <w:szCs w:val="24"/>
          <w:lang w:val="fr-FR"/>
        </w:rPr>
        <w:t>Diversité des formats d’apprentissage</w:t>
      </w:r>
      <w:bookmarkEnd w:id="1775"/>
      <w:bookmarkEnd w:id="1776"/>
      <w:bookmarkEnd w:id="1777"/>
      <w:bookmarkEnd w:id="1778"/>
      <w:bookmarkEnd w:id="1779"/>
      <w:bookmarkEnd w:id="1780"/>
    </w:p>
    <w:p w:rsidR="00E772DD" w:rsidRPr="00A27C55" w:rsidRDefault="00E772DD" w:rsidP="0040528E">
      <w:pPr>
        <w:pStyle w:val="NormalWeb"/>
        <w:spacing w:before="0" w:beforeAutospacing="0" w:after="0" w:afterAutospacing="0" w:line="360" w:lineRule="auto"/>
        <w:jc w:val="both"/>
        <w:rPr>
          <w:color w:val="000000"/>
          <w:lang w:val="fr-FR"/>
        </w:rPr>
      </w:pPr>
      <w:r w:rsidRPr="00A27C55">
        <w:rPr>
          <w:color w:val="000000"/>
          <w:lang w:val="fr-FR"/>
        </w:rPr>
        <w:t>L’e-formation repose sur une</w:t>
      </w:r>
      <w:r w:rsidRPr="00A27C55">
        <w:rPr>
          <w:rStyle w:val="apple-converted-space"/>
          <w:color w:val="000000"/>
          <w:lang w:val="fr-FR"/>
        </w:rPr>
        <w:t> </w:t>
      </w:r>
      <w:r w:rsidRPr="00A27C55">
        <w:rPr>
          <w:rStyle w:val="lev"/>
          <w:b w:val="0"/>
          <w:bCs w:val="0"/>
          <w:color w:val="000000"/>
          <w:lang w:val="fr-FR"/>
        </w:rPr>
        <w:t>approche multimodale</w:t>
      </w:r>
      <w:r w:rsidRPr="00A27C55">
        <w:rPr>
          <w:color w:val="000000"/>
          <w:lang w:val="fr-FR"/>
        </w:rPr>
        <w:t>, qui combine plusieurs formats pédagogiques :</w:t>
      </w:r>
    </w:p>
    <w:p w:rsidR="00E772DD" w:rsidRPr="00A27C55" w:rsidRDefault="00E772DD" w:rsidP="004D32AC">
      <w:pPr>
        <w:numPr>
          <w:ilvl w:val="0"/>
          <w:numId w:val="113"/>
        </w:numPr>
        <w:spacing w:after="100" w:afterAutospacing="1" w:line="360" w:lineRule="auto"/>
        <w:jc w:val="both"/>
        <w:rPr>
          <w:b/>
          <w:bCs/>
          <w:color w:val="000000"/>
          <w:lang w:val="fr-FR"/>
        </w:rPr>
      </w:pPr>
      <w:r w:rsidRPr="00A27C55">
        <w:rPr>
          <w:rStyle w:val="lev"/>
          <w:b w:val="0"/>
          <w:bCs w:val="0"/>
          <w:color w:val="000000"/>
          <w:lang w:val="fr-FR"/>
        </w:rPr>
        <w:lastRenderedPageBreak/>
        <w:t xml:space="preserve">Vidéo </w:t>
      </w:r>
      <w:proofErr w:type="spellStart"/>
      <w:r w:rsidRPr="00A27C55">
        <w:rPr>
          <w:rStyle w:val="lev"/>
          <w:b w:val="0"/>
          <w:bCs w:val="0"/>
          <w:color w:val="000000"/>
          <w:lang w:val="fr-FR"/>
        </w:rPr>
        <w:t>learning</w:t>
      </w:r>
      <w:proofErr w:type="spellEnd"/>
      <w:r w:rsidRPr="00A27C55">
        <w:rPr>
          <w:b/>
          <w:bCs/>
          <w:color w:val="000000"/>
          <w:lang w:val="fr-FR"/>
        </w:rPr>
        <w:t>,</w:t>
      </w:r>
    </w:p>
    <w:p w:rsidR="00E772DD" w:rsidRPr="00A27C55" w:rsidRDefault="00E772DD" w:rsidP="004D32AC">
      <w:pPr>
        <w:numPr>
          <w:ilvl w:val="0"/>
          <w:numId w:val="113"/>
        </w:numPr>
        <w:spacing w:before="100" w:beforeAutospacing="1" w:after="100" w:afterAutospacing="1" w:line="360" w:lineRule="auto"/>
        <w:jc w:val="both"/>
        <w:rPr>
          <w:color w:val="000000"/>
          <w:lang w:val="fr-FR"/>
        </w:rPr>
      </w:pPr>
      <w:proofErr w:type="spellStart"/>
      <w:r w:rsidRPr="00A27C55">
        <w:rPr>
          <w:rStyle w:val="lev"/>
          <w:b w:val="0"/>
          <w:bCs w:val="0"/>
          <w:color w:val="000000"/>
          <w:lang w:val="fr-FR"/>
        </w:rPr>
        <w:t>Microlearning</w:t>
      </w:r>
      <w:proofErr w:type="spellEnd"/>
      <w:r w:rsidRPr="00A27C55">
        <w:rPr>
          <w:rStyle w:val="apple-converted-space"/>
          <w:b/>
          <w:bCs/>
          <w:color w:val="000000"/>
          <w:lang w:val="fr-FR"/>
        </w:rPr>
        <w:t> </w:t>
      </w:r>
      <w:r w:rsidRPr="00A27C55">
        <w:rPr>
          <w:color w:val="000000"/>
          <w:lang w:val="fr-FR"/>
        </w:rPr>
        <w:t>(courtes séquences d’apprentissage),</w:t>
      </w:r>
    </w:p>
    <w:p w:rsidR="00E772DD" w:rsidRPr="00A27C55" w:rsidRDefault="00E772DD" w:rsidP="004D32AC">
      <w:pPr>
        <w:numPr>
          <w:ilvl w:val="0"/>
          <w:numId w:val="113"/>
        </w:numPr>
        <w:spacing w:before="100" w:beforeAutospacing="1" w:after="100" w:afterAutospacing="1" w:line="360" w:lineRule="auto"/>
        <w:jc w:val="both"/>
        <w:rPr>
          <w:b/>
          <w:bCs/>
          <w:color w:val="000000"/>
          <w:lang w:val="fr-FR"/>
        </w:rPr>
      </w:pPr>
      <w:r w:rsidRPr="00A27C55">
        <w:rPr>
          <w:rStyle w:val="lev"/>
          <w:b w:val="0"/>
          <w:bCs w:val="0"/>
          <w:color w:val="000000"/>
          <w:lang w:val="fr-FR"/>
        </w:rPr>
        <w:t xml:space="preserve">Mobile </w:t>
      </w:r>
      <w:proofErr w:type="spellStart"/>
      <w:r w:rsidRPr="00A27C55">
        <w:rPr>
          <w:rStyle w:val="lev"/>
          <w:b w:val="0"/>
          <w:bCs w:val="0"/>
          <w:color w:val="000000"/>
          <w:lang w:val="fr-FR"/>
        </w:rPr>
        <w:t>learning</w:t>
      </w:r>
      <w:proofErr w:type="spellEnd"/>
      <w:r w:rsidRPr="00A27C55">
        <w:rPr>
          <w:b/>
          <w:bCs/>
          <w:color w:val="000000"/>
          <w:lang w:val="fr-FR"/>
        </w:rPr>
        <w:t>,</w:t>
      </w:r>
    </w:p>
    <w:p w:rsidR="00E772DD" w:rsidRPr="00A27C55" w:rsidRDefault="00E772DD" w:rsidP="004D32AC">
      <w:pPr>
        <w:numPr>
          <w:ilvl w:val="0"/>
          <w:numId w:val="113"/>
        </w:numPr>
        <w:spacing w:before="100" w:beforeAutospacing="1" w:after="100" w:afterAutospacing="1" w:line="360" w:lineRule="auto"/>
        <w:jc w:val="both"/>
        <w:rPr>
          <w:b/>
          <w:bCs/>
          <w:color w:val="000000"/>
          <w:lang w:val="fr-FR"/>
        </w:rPr>
      </w:pPr>
      <w:r w:rsidRPr="00A27C55">
        <w:rPr>
          <w:rStyle w:val="lev"/>
          <w:b w:val="0"/>
          <w:bCs w:val="0"/>
          <w:color w:val="000000"/>
          <w:lang w:val="fr-FR"/>
        </w:rPr>
        <w:t>Apprentissage immersif via la réalité virtuelle (VR) et augmentée (AR)</w:t>
      </w:r>
      <w:r w:rsidR="00A27C55" w:rsidRPr="00A27C55">
        <w:rPr>
          <w:rStyle w:val="apple-converted-space"/>
          <w:color w:val="000000"/>
          <w:lang w:val="fr-FR"/>
        </w:rPr>
        <w:t>.</w:t>
      </w:r>
      <w:r w:rsidRPr="00A27C55">
        <w:rPr>
          <w:rStyle w:val="Appelnotedebasdep"/>
          <w:color w:val="000000"/>
          <w:lang w:val="fr-FR"/>
        </w:rPr>
        <w:footnoteReference w:id="333"/>
      </w:r>
    </w:p>
    <w:p w:rsidR="00E772DD" w:rsidRPr="00A27C55" w:rsidRDefault="00E772DD" w:rsidP="004D32AC">
      <w:pPr>
        <w:pStyle w:val="Titre3"/>
        <w:keepNext/>
        <w:keepLines/>
        <w:numPr>
          <w:ilvl w:val="0"/>
          <w:numId w:val="111"/>
        </w:numPr>
        <w:spacing w:before="40" w:beforeAutospacing="0" w:after="0" w:afterAutospacing="0" w:line="360" w:lineRule="auto"/>
        <w:jc w:val="both"/>
        <w:rPr>
          <w:color w:val="000000"/>
          <w:sz w:val="24"/>
          <w:szCs w:val="24"/>
          <w:lang w:val="fr-FR"/>
        </w:rPr>
      </w:pPr>
      <w:bookmarkStart w:id="1781" w:name="_Toc199714488"/>
      <w:bookmarkStart w:id="1782" w:name="_Toc200486766"/>
      <w:bookmarkStart w:id="1783" w:name="_Toc200635542"/>
      <w:bookmarkStart w:id="1784" w:name="_Toc200635930"/>
      <w:bookmarkStart w:id="1785" w:name="_Toc200636319"/>
      <w:bookmarkStart w:id="1786" w:name="_Toc200756057"/>
      <w:r w:rsidRPr="00A27C55">
        <w:rPr>
          <w:rStyle w:val="lev"/>
          <w:color w:val="000000"/>
          <w:sz w:val="24"/>
          <w:szCs w:val="24"/>
          <w:lang w:val="fr-FR"/>
        </w:rPr>
        <w:t>Suivi et évaluation facilités</w:t>
      </w:r>
      <w:bookmarkEnd w:id="1781"/>
      <w:bookmarkEnd w:id="1782"/>
      <w:bookmarkEnd w:id="1783"/>
      <w:bookmarkEnd w:id="1784"/>
      <w:bookmarkEnd w:id="1785"/>
      <w:bookmarkEnd w:id="1786"/>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plateformes numériques permettent aux formateurs de suivre en temps réel la</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progression des apprenants</w:t>
      </w:r>
      <w:r w:rsidRPr="00DA7BB2">
        <w:rPr>
          <w:rFonts w:asciiTheme="majorBidi" w:hAnsiTheme="majorBidi" w:cstheme="majorBidi"/>
          <w:color w:val="000000"/>
          <w:lang w:val="fr-FR"/>
        </w:rPr>
        <w:t>,</w:t>
      </w:r>
      <w:r w:rsidRPr="00DA7BB2">
        <w:rPr>
          <w:rFonts w:asciiTheme="majorBidi" w:hAnsiTheme="majorBidi" w:cstheme="majorBidi"/>
          <w:b/>
          <w:bCs/>
          <w:color w:val="000000"/>
          <w:lang w:val="fr-FR"/>
        </w:rPr>
        <w:t xml:space="preserve"> </w:t>
      </w:r>
      <w:r w:rsidRPr="00DA7BB2">
        <w:rPr>
          <w:rFonts w:asciiTheme="majorBidi" w:hAnsiTheme="majorBidi" w:cstheme="majorBidi"/>
          <w:color w:val="000000"/>
          <w:lang w:val="fr-FR"/>
        </w:rPr>
        <w:t>d’évaluer leurs acquis à l’aide de</w:t>
      </w:r>
      <w:r w:rsidRPr="00DA7BB2">
        <w:rPr>
          <w:rStyle w:val="apple-converted-space"/>
          <w:rFonts w:asciiTheme="majorBidi" w:hAnsiTheme="majorBidi" w:cstheme="majorBidi"/>
          <w:b/>
          <w:bCs/>
          <w:color w:val="000000"/>
          <w:lang w:val="fr-FR"/>
        </w:rPr>
        <w:t> </w:t>
      </w:r>
      <w:r w:rsidRPr="00DA7BB2">
        <w:rPr>
          <w:rStyle w:val="lev"/>
          <w:rFonts w:asciiTheme="majorBidi" w:hAnsiTheme="majorBidi" w:cstheme="majorBidi"/>
          <w:b w:val="0"/>
          <w:bCs w:val="0"/>
          <w:color w:val="000000"/>
          <w:lang w:val="fr-FR"/>
        </w:rPr>
        <w:t>quiz, tests interactifs et examens en ligne</w:t>
      </w:r>
      <w:r w:rsidRPr="00DA7BB2">
        <w:rPr>
          <w:rFonts w:asciiTheme="majorBidi" w:hAnsiTheme="majorBidi" w:cstheme="majorBidi"/>
          <w:b/>
          <w:bCs/>
          <w:color w:val="000000"/>
          <w:lang w:val="fr-FR"/>
        </w:rPr>
        <w:t>,</w:t>
      </w:r>
      <w:r w:rsidRPr="00DA7BB2">
        <w:rPr>
          <w:rFonts w:asciiTheme="majorBidi" w:hAnsiTheme="majorBidi" w:cstheme="majorBidi"/>
          <w:color w:val="000000"/>
          <w:lang w:val="fr-FR"/>
        </w:rPr>
        <w:t xml:space="preserve"> et d’adapter les contenus en conséquence</w:t>
      </w:r>
      <w:r w:rsidR="00A27C55">
        <w:rPr>
          <w:rFonts w:asciiTheme="majorBidi" w:hAnsiTheme="majorBidi" w:cstheme="majorBidi"/>
          <w:color w:val="000000"/>
          <w:lang w:val="fr-FR"/>
        </w:rPr>
        <w:t>.</w:t>
      </w:r>
      <w:r w:rsidRPr="00DA7BB2">
        <w:rPr>
          <w:rStyle w:val="Appelnotedebasdep"/>
          <w:rFonts w:cstheme="majorBidi"/>
          <w:color w:val="000000"/>
          <w:lang w:val="fr-FR"/>
        </w:rPr>
        <w:footnoteReference w:id="334"/>
      </w:r>
    </w:p>
    <w:p w:rsidR="00E772DD" w:rsidRDefault="00E772DD" w:rsidP="004D32AC">
      <w:pPr>
        <w:pStyle w:val="Paragraphedeliste"/>
        <w:numPr>
          <w:ilvl w:val="0"/>
          <w:numId w:val="110"/>
        </w:numPr>
        <w:spacing w:line="360" w:lineRule="auto"/>
        <w:jc w:val="both"/>
        <w:rPr>
          <w:rFonts w:asciiTheme="majorBidi" w:hAnsiTheme="majorBidi" w:cstheme="majorBidi"/>
          <w:b/>
          <w:bCs/>
          <w:lang w:val="fr-FR"/>
        </w:rPr>
      </w:pPr>
      <w:r w:rsidRPr="00DA7BB2">
        <w:rPr>
          <w:rFonts w:asciiTheme="majorBidi" w:hAnsiTheme="majorBidi" w:cstheme="majorBidi"/>
          <w:b/>
          <w:bCs/>
          <w:lang w:val="fr-FR"/>
        </w:rPr>
        <w:t> Les défis de l’e-formation</w:t>
      </w:r>
    </w:p>
    <w:p w:rsidR="00E772DD" w:rsidRPr="00DB6ED6" w:rsidRDefault="00E772DD" w:rsidP="00A27C55">
      <w:pPr>
        <w:spacing w:after="240" w:line="360" w:lineRule="auto"/>
        <w:jc w:val="both"/>
        <w:rPr>
          <w:rFonts w:asciiTheme="majorBidi" w:hAnsiTheme="majorBidi" w:cstheme="majorBidi"/>
          <w:lang w:val="fr-FR"/>
        </w:rPr>
      </w:pPr>
      <w:r w:rsidRPr="00DB6ED6">
        <w:rPr>
          <w:rFonts w:asciiTheme="majorBidi" w:hAnsiTheme="majorBidi" w:cstheme="majorBidi"/>
          <w:lang w:val="fr-FR"/>
        </w:rPr>
        <w:t>Malgré ses nombreux bénéfices, l’e-formation doit relever plusieurs défis liés à l’engagement des apprenants, à la qualité des contenus et à l’intégration des technologies dans les environnements professionnels.</w:t>
      </w:r>
    </w:p>
    <w:p w:rsidR="00E772DD" w:rsidRPr="00A27C55" w:rsidRDefault="00E772DD" w:rsidP="004D32AC">
      <w:pPr>
        <w:pStyle w:val="Titre3"/>
        <w:keepNext/>
        <w:keepLines/>
        <w:numPr>
          <w:ilvl w:val="0"/>
          <w:numId w:val="114"/>
        </w:numPr>
        <w:tabs>
          <w:tab w:val="num" w:pos="360"/>
        </w:tabs>
        <w:spacing w:before="40" w:beforeAutospacing="0" w:after="0" w:afterAutospacing="0" w:line="360" w:lineRule="auto"/>
        <w:ind w:left="360"/>
        <w:jc w:val="both"/>
        <w:rPr>
          <w:rFonts w:asciiTheme="majorBidi" w:hAnsiTheme="majorBidi"/>
          <w:b w:val="0"/>
          <w:bCs w:val="0"/>
          <w:color w:val="000000"/>
          <w:sz w:val="24"/>
          <w:szCs w:val="24"/>
          <w:lang w:val="fr-FR"/>
        </w:rPr>
      </w:pPr>
      <w:bookmarkStart w:id="1787" w:name="_Toc199714489"/>
      <w:bookmarkStart w:id="1788" w:name="_Toc200486767"/>
      <w:bookmarkStart w:id="1789" w:name="_Toc200635543"/>
      <w:bookmarkStart w:id="1790" w:name="_Toc200635931"/>
      <w:bookmarkStart w:id="1791" w:name="_Toc200636320"/>
      <w:bookmarkStart w:id="1792" w:name="_Toc200756058"/>
      <w:r w:rsidRPr="00A27C55">
        <w:rPr>
          <w:rStyle w:val="lev"/>
          <w:rFonts w:asciiTheme="majorBidi" w:hAnsiTheme="majorBidi"/>
          <w:b/>
          <w:bCs/>
          <w:color w:val="000000"/>
          <w:sz w:val="24"/>
          <w:szCs w:val="24"/>
          <w:lang w:val="fr-FR"/>
        </w:rPr>
        <w:t>Manque d’interaction humaine et engagement limité</w:t>
      </w:r>
      <w:bookmarkEnd w:id="1787"/>
      <w:bookmarkEnd w:id="1788"/>
      <w:bookmarkEnd w:id="1789"/>
      <w:bookmarkEnd w:id="1790"/>
      <w:bookmarkEnd w:id="1791"/>
      <w:bookmarkEnd w:id="1792"/>
    </w:p>
    <w:p w:rsidR="00E772DD" w:rsidRPr="00DA7BB2" w:rsidRDefault="00E772DD" w:rsidP="0040528E">
      <w:pPr>
        <w:pStyle w:val="NormalWeb"/>
        <w:spacing w:before="0" w:beforeAutospacing="0" w:line="360" w:lineRule="auto"/>
        <w:jc w:val="both"/>
        <w:rPr>
          <w:rFonts w:asciiTheme="majorBidi" w:hAnsiTheme="majorBidi" w:cstheme="majorBidi"/>
          <w:b/>
          <w:bCs/>
          <w:color w:val="000000"/>
          <w:lang w:val="fr-FR"/>
        </w:rPr>
      </w:pPr>
      <w:r w:rsidRPr="00DA7BB2">
        <w:rPr>
          <w:rFonts w:asciiTheme="majorBidi" w:hAnsiTheme="majorBidi" w:cstheme="majorBidi"/>
          <w:color w:val="000000"/>
          <w:lang w:val="fr-FR"/>
        </w:rPr>
        <w:t>L’un des principaux inconvénients de l’e-formation est la</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réduction des interactions humaines</w:t>
      </w:r>
      <w:r w:rsidRPr="00DA7BB2">
        <w:rPr>
          <w:rFonts w:asciiTheme="majorBidi" w:hAnsiTheme="majorBidi" w:cstheme="majorBidi"/>
          <w:color w:val="000000"/>
          <w:lang w:val="fr-FR"/>
        </w:rPr>
        <w:t>, ce qui peut entraîner une baisse de la motivation et de l’engagement des apprenants. Une étude menée par</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Ricard</w:t>
      </w:r>
      <w:r w:rsidR="00A27C55">
        <w:rPr>
          <w:rStyle w:val="lev"/>
          <w:rFonts w:asciiTheme="majorBidi" w:hAnsiTheme="majorBidi" w:cstheme="majorBidi"/>
          <w:b w:val="0"/>
          <w:bCs w:val="0"/>
          <w:color w:val="000000"/>
          <w:lang w:val="fr-FR"/>
        </w:rPr>
        <w:t>.</w:t>
      </w:r>
      <w:r w:rsidR="00297FE5" w:rsidRPr="00DA7BB2">
        <w:rPr>
          <w:rFonts w:asciiTheme="majorBidi" w:hAnsiTheme="majorBidi" w:cstheme="majorBidi"/>
          <w:color w:val="000000"/>
          <w:lang w:val="fr-FR"/>
        </w:rPr>
        <w:t xml:space="preserve"> </w:t>
      </w:r>
      <w:r w:rsidRPr="00DA7BB2">
        <w:rPr>
          <w:rFonts w:asciiTheme="majorBidi" w:hAnsiTheme="majorBidi" w:cstheme="majorBidi"/>
          <w:color w:val="000000"/>
          <w:lang w:val="fr-FR"/>
        </w:rPr>
        <w:t>révèle que</w:t>
      </w:r>
      <w:r w:rsidRPr="00DA7BB2">
        <w:rPr>
          <w:rStyle w:val="apple-converted-space"/>
          <w:rFonts w:asciiTheme="majorBidi" w:hAnsiTheme="majorBidi" w:cstheme="majorBidi"/>
          <w:b/>
          <w:bCs/>
          <w:color w:val="000000"/>
          <w:lang w:val="fr-FR"/>
        </w:rPr>
        <w:t> </w:t>
      </w:r>
      <w:r w:rsidRPr="00DA7BB2">
        <w:rPr>
          <w:rStyle w:val="lev"/>
          <w:rFonts w:asciiTheme="majorBidi" w:hAnsiTheme="majorBidi" w:cstheme="majorBidi"/>
          <w:b w:val="0"/>
          <w:bCs w:val="0"/>
          <w:color w:val="000000"/>
          <w:lang w:val="fr-FR"/>
        </w:rPr>
        <w:t>40 % des participants à des formations en ligne abandonnent leur parcours avant la fin</w:t>
      </w:r>
      <w:r w:rsidRPr="00DA7BB2">
        <w:rPr>
          <w:rFonts w:asciiTheme="majorBidi" w:hAnsiTheme="majorBidi" w:cstheme="majorBidi"/>
          <w:b/>
          <w:bCs/>
          <w:color w:val="000000"/>
          <w:lang w:val="fr-FR"/>
        </w:rPr>
        <w:t>.</w:t>
      </w:r>
      <w:r w:rsidR="00297FE5" w:rsidRPr="00297FE5">
        <w:rPr>
          <w:rStyle w:val="Appelnotedebasdep"/>
          <w:rFonts w:cstheme="majorBidi"/>
          <w:color w:val="000000"/>
          <w:lang w:val="fr-FR"/>
        </w:rPr>
        <w:footnoteReference w:id="335"/>
      </w:r>
    </w:p>
    <w:p w:rsidR="00E772DD" w:rsidRPr="00297FE5" w:rsidRDefault="00E772DD" w:rsidP="004D32AC">
      <w:pPr>
        <w:pStyle w:val="Titre3"/>
        <w:keepNext/>
        <w:keepLines/>
        <w:numPr>
          <w:ilvl w:val="0"/>
          <w:numId w:val="114"/>
        </w:numPr>
        <w:tabs>
          <w:tab w:val="num" w:pos="360"/>
        </w:tabs>
        <w:spacing w:before="40" w:beforeAutospacing="0" w:after="0" w:afterAutospacing="0" w:line="360" w:lineRule="auto"/>
        <w:ind w:left="360"/>
        <w:jc w:val="both"/>
        <w:rPr>
          <w:rFonts w:asciiTheme="majorBidi" w:hAnsiTheme="majorBidi"/>
          <w:b w:val="0"/>
          <w:bCs w:val="0"/>
          <w:color w:val="000000"/>
          <w:sz w:val="24"/>
          <w:szCs w:val="24"/>
          <w:lang w:val="fr-FR"/>
        </w:rPr>
      </w:pPr>
      <w:bookmarkStart w:id="1793" w:name="_Toc199714490"/>
      <w:bookmarkStart w:id="1794" w:name="_Toc200486768"/>
      <w:bookmarkStart w:id="1795" w:name="_Toc200635544"/>
      <w:bookmarkStart w:id="1796" w:name="_Toc200635932"/>
      <w:bookmarkStart w:id="1797" w:name="_Toc200636321"/>
      <w:bookmarkStart w:id="1798" w:name="_Toc200756059"/>
      <w:r w:rsidRPr="00297FE5">
        <w:rPr>
          <w:rStyle w:val="lev"/>
          <w:rFonts w:asciiTheme="majorBidi" w:hAnsiTheme="majorBidi"/>
          <w:b/>
          <w:bCs/>
          <w:color w:val="000000"/>
          <w:sz w:val="24"/>
          <w:szCs w:val="24"/>
          <w:lang w:val="fr-FR"/>
        </w:rPr>
        <w:t>Nécessité d’une forte autonomie</w:t>
      </w:r>
      <w:bookmarkEnd w:id="1793"/>
      <w:bookmarkEnd w:id="1794"/>
      <w:bookmarkEnd w:id="1795"/>
      <w:bookmarkEnd w:id="1796"/>
      <w:bookmarkEnd w:id="1797"/>
      <w:bookmarkEnd w:id="1798"/>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requiert une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discipline personnelle et une bonne gestion du temps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de la part des apprenants. Tous ne possèdent pas ces compétences, ce qui peut affecter leur capacité à suivre une formation en ligne de manière efficace</w:t>
      </w:r>
      <w:r w:rsidR="00297FE5">
        <w:rPr>
          <w:rFonts w:asciiTheme="majorBidi" w:hAnsiTheme="majorBidi" w:cstheme="majorBidi"/>
          <w:color w:val="000000"/>
          <w:lang w:val="fr-FR"/>
        </w:rPr>
        <w:t>.</w:t>
      </w:r>
      <w:r w:rsidRPr="00DA7BB2">
        <w:rPr>
          <w:rStyle w:val="Appelnotedebasdep"/>
          <w:rFonts w:cstheme="majorBidi"/>
          <w:color w:val="000000"/>
          <w:lang w:val="fr-FR"/>
        </w:rPr>
        <w:footnoteReference w:id="336"/>
      </w:r>
    </w:p>
    <w:p w:rsidR="00E772DD" w:rsidRPr="00297FE5" w:rsidRDefault="00E772DD" w:rsidP="004D32AC">
      <w:pPr>
        <w:pStyle w:val="Titre3"/>
        <w:keepNext/>
        <w:keepLines/>
        <w:numPr>
          <w:ilvl w:val="0"/>
          <w:numId w:val="114"/>
        </w:numPr>
        <w:tabs>
          <w:tab w:val="num" w:pos="360"/>
        </w:tabs>
        <w:spacing w:before="40" w:beforeAutospacing="0" w:after="0" w:afterAutospacing="0" w:line="360" w:lineRule="auto"/>
        <w:ind w:left="360"/>
        <w:jc w:val="both"/>
        <w:rPr>
          <w:rFonts w:asciiTheme="majorBidi" w:hAnsiTheme="majorBidi"/>
          <w:b w:val="0"/>
          <w:bCs w:val="0"/>
          <w:color w:val="000000"/>
          <w:sz w:val="24"/>
          <w:szCs w:val="24"/>
          <w:lang w:val="fr-FR"/>
        </w:rPr>
      </w:pPr>
      <w:bookmarkStart w:id="1799" w:name="_Toc199714491"/>
      <w:bookmarkStart w:id="1800" w:name="_Toc200486769"/>
      <w:bookmarkStart w:id="1801" w:name="_Toc200635545"/>
      <w:bookmarkStart w:id="1802" w:name="_Toc200635933"/>
      <w:bookmarkStart w:id="1803" w:name="_Toc200636322"/>
      <w:bookmarkStart w:id="1804" w:name="_Toc200756060"/>
      <w:r w:rsidRPr="00297FE5">
        <w:rPr>
          <w:rStyle w:val="lev"/>
          <w:rFonts w:asciiTheme="majorBidi" w:hAnsiTheme="majorBidi"/>
          <w:b/>
          <w:bCs/>
          <w:color w:val="000000"/>
          <w:sz w:val="24"/>
          <w:szCs w:val="24"/>
          <w:lang w:val="fr-FR"/>
        </w:rPr>
        <w:t>Contraintes technologiques et fracture numérique</w:t>
      </w:r>
      <w:bookmarkEnd w:id="1799"/>
      <w:bookmarkEnd w:id="1800"/>
      <w:bookmarkEnd w:id="1801"/>
      <w:bookmarkEnd w:id="1802"/>
      <w:bookmarkEnd w:id="1803"/>
      <w:bookmarkEnd w:id="1804"/>
    </w:p>
    <w:p w:rsidR="00E772DD" w:rsidRPr="00DA7BB2" w:rsidRDefault="00E772DD" w:rsidP="0040528E">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Pour bénéficier d’une formation en ligne de qualité, plusieurs conditions doivent être réunies :</w:t>
      </w:r>
    </w:p>
    <w:p w:rsidR="00E772DD" w:rsidRPr="00DA7BB2" w:rsidRDefault="00E772DD" w:rsidP="004D32AC">
      <w:pPr>
        <w:numPr>
          <w:ilvl w:val="0"/>
          <w:numId w:val="103"/>
        </w:numPr>
        <w:spacing w:after="100" w:afterAutospacing="1" w:line="360" w:lineRule="auto"/>
        <w:jc w:val="both"/>
        <w:rPr>
          <w:rFonts w:asciiTheme="majorBidi" w:hAnsiTheme="majorBidi" w:cstheme="majorBidi"/>
          <w:b/>
          <w:bCs/>
          <w:color w:val="000000"/>
          <w:lang w:val="fr-FR"/>
        </w:rPr>
      </w:pPr>
      <w:r w:rsidRPr="00DA7BB2">
        <w:rPr>
          <w:rFonts w:asciiTheme="majorBidi" w:hAnsiTheme="majorBidi" w:cstheme="majorBidi"/>
          <w:color w:val="000000"/>
          <w:lang w:val="fr-FR"/>
        </w:rPr>
        <w:t>Une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connexion Internet stable</w:t>
      </w:r>
      <w:r w:rsidRPr="00DA7BB2">
        <w:rPr>
          <w:rFonts w:asciiTheme="majorBidi" w:hAnsiTheme="majorBidi" w:cstheme="majorBidi"/>
          <w:b/>
          <w:bCs/>
          <w:color w:val="000000"/>
          <w:lang w:val="fr-FR"/>
        </w:rPr>
        <w:t>,</w:t>
      </w:r>
    </w:p>
    <w:p w:rsidR="00E772DD" w:rsidRPr="00DA7BB2" w:rsidRDefault="00E772DD" w:rsidP="004D32AC">
      <w:pPr>
        <w:numPr>
          <w:ilvl w:val="0"/>
          <w:numId w:val="103"/>
        </w:numPr>
        <w:spacing w:before="100" w:beforeAutospacing="1"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Des équipements adaptés (</w:t>
      </w:r>
      <w:r w:rsidRPr="00DA7BB2">
        <w:rPr>
          <w:rStyle w:val="lev"/>
          <w:rFonts w:asciiTheme="majorBidi" w:hAnsiTheme="majorBidi" w:cstheme="majorBidi"/>
          <w:b w:val="0"/>
          <w:bCs w:val="0"/>
          <w:color w:val="000000"/>
          <w:lang w:val="fr-FR"/>
        </w:rPr>
        <w:t>ordinateur, tablette, smartphone</w:t>
      </w:r>
      <w:r w:rsidRPr="00DA7BB2">
        <w:rPr>
          <w:rFonts w:asciiTheme="majorBidi" w:hAnsiTheme="majorBidi" w:cstheme="majorBidi"/>
          <w:color w:val="000000"/>
          <w:lang w:val="fr-FR"/>
        </w:rPr>
        <w:t>),</w:t>
      </w:r>
    </w:p>
    <w:p w:rsidR="00E772DD" w:rsidRPr="00DA7BB2" w:rsidRDefault="00E772DD" w:rsidP="004D32AC">
      <w:pPr>
        <w:numPr>
          <w:ilvl w:val="0"/>
          <w:numId w:val="103"/>
        </w:numPr>
        <w:spacing w:before="100" w:before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Une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bonne maîtrise des outils numériques</w:t>
      </w:r>
      <w:r w:rsidRPr="00DA7BB2">
        <w:rPr>
          <w:rFonts w:asciiTheme="majorBidi" w:hAnsiTheme="majorBidi" w:cstheme="majorBidi"/>
          <w:color w:val="000000"/>
          <w:lang w:val="fr-FR"/>
        </w:rPr>
        <w:t>.</w:t>
      </w:r>
    </w:p>
    <w:p w:rsidR="00E772DD" w:rsidRPr="00DA7BB2" w:rsidRDefault="00E772DD" w:rsidP="0040528E">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lastRenderedPageBreak/>
        <w:t>Cependant, l’accès à ces ressources varie fortement en fonction des régions et des catégories socio-professionnelles, accentuant ainsi la</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fracture numérique</w:t>
      </w:r>
      <w:r w:rsidR="00297FE5">
        <w:rPr>
          <w:rStyle w:val="apple-converted-space"/>
          <w:rFonts w:asciiTheme="majorBidi" w:hAnsiTheme="majorBidi" w:cstheme="majorBidi"/>
          <w:color w:val="000000"/>
          <w:lang w:val="fr-FR"/>
        </w:rPr>
        <w:t>.</w:t>
      </w:r>
      <w:r w:rsidRPr="00DA7BB2">
        <w:rPr>
          <w:rStyle w:val="Appelnotedebasdep"/>
          <w:rFonts w:cstheme="majorBidi"/>
          <w:color w:val="000000"/>
          <w:lang w:val="fr-FR"/>
        </w:rPr>
        <w:footnoteReference w:id="337"/>
      </w:r>
    </w:p>
    <w:p w:rsidR="00E772DD" w:rsidRPr="00297FE5" w:rsidRDefault="00E772DD" w:rsidP="004D32AC">
      <w:pPr>
        <w:pStyle w:val="Titre3"/>
        <w:keepNext/>
        <w:keepLines/>
        <w:numPr>
          <w:ilvl w:val="0"/>
          <w:numId w:val="114"/>
        </w:numPr>
        <w:tabs>
          <w:tab w:val="num" w:pos="360"/>
        </w:tabs>
        <w:spacing w:before="0" w:beforeAutospacing="0" w:after="0" w:afterAutospacing="0" w:line="360" w:lineRule="auto"/>
        <w:ind w:left="360"/>
        <w:jc w:val="both"/>
        <w:rPr>
          <w:rFonts w:asciiTheme="majorBidi" w:hAnsiTheme="majorBidi"/>
          <w:b w:val="0"/>
          <w:bCs w:val="0"/>
          <w:color w:val="000000"/>
          <w:sz w:val="24"/>
          <w:szCs w:val="24"/>
          <w:lang w:val="fr-FR"/>
        </w:rPr>
      </w:pPr>
      <w:bookmarkStart w:id="1805" w:name="_Toc199714492"/>
      <w:bookmarkStart w:id="1806" w:name="_Toc200486770"/>
      <w:bookmarkStart w:id="1807" w:name="_Toc200635546"/>
      <w:bookmarkStart w:id="1808" w:name="_Toc200635934"/>
      <w:bookmarkStart w:id="1809" w:name="_Toc200636323"/>
      <w:bookmarkStart w:id="1810" w:name="_Toc200756061"/>
      <w:r w:rsidRPr="00297FE5">
        <w:rPr>
          <w:rStyle w:val="lev"/>
          <w:rFonts w:asciiTheme="majorBidi" w:hAnsiTheme="majorBidi"/>
          <w:b/>
          <w:bCs/>
          <w:color w:val="000000"/>
          <w:sz w:val="24"/>
          <w:szCs w:val="24"/>
          <w:lang w:val="fr-FR"/>
        </w:rPr>
        <w:t>Qualité et actualisation des contenus</w:t>
      </w:r>
      <w:bookmarkEnd w:id="1805"/>
      <w:bookmarkEnd w:id="1806"/>
      <w:bookmarkEnd w:id="1807"/>
      <w:bookmarkEnd w:id="1808"/>
      <w:bookmarkEnd w:id="1809"/>
      <w:bookmarkEnd w:id="1810"/>
    </w:p>
    <w:p w:rsidR="00E772DD" w:rsidRPr="00DA7BB2" w:rsidRDefault="00E772DD" w:rsidP="00F95DED">
      <w:pPr>
        <w:pStyle w:val="NormalWeb"/>
        <w:spacing w:before="0" w:before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Un autre défi de l’e-formation concerne la</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qualité des contenus pédagogiques</w:t>
      </w:r>
      <w:r w:rsidRPr="00DA7BB2">
        <w:rPr>
          <w:rFonts w:asciiTheme="majorBidi" w:hAnsiTheme="majorBidi" w:cstheme="majorBidi"/>
          <w:color w:val="000000"/>
          <w:lang w:val="fr-FR"/>
        </w:rPr>
        <w:t>. Certaines formations disponibles en ligne ne sont pas suffisamment mises à jour ou validées par des experts, ce qui peut affecter leur pertinence et leur efficacité</w:t>
      </w:r>
      <w:r w:rsidR="00297FE5">
        <w:rPr>
          <w:rFonts w:asciiTheme="majorBidi" w:hAnsiTheme="majorBidi" w:cstheme="majorBidi"/>
          <w:color w:val="000000"/>
          <w:lang w:val="fr-FR"/>
        </w:rPr>
        <w:t>.</w:t>
      </w:r>
      <w:r w:rsidRPr="00DA7BB2">
        <w:rPr>
          <w:rStyle w:val="Appelnotedebasdep"/>
          <w:rFonts w:cstheme="majorBidi"/>
          <w:color w:val="000000"/>
          <w:lang w:val="fr-FR"/>
        </w:rPr>
        <w:footnoteReference w:id="338"/>
      </w:r>
    </w:p>
    <w:p w:rsidR="00E772DD" w:rsidRPr="00297FE5" w:rsidRDefault="00E772DD" w:rsidP="004D32AC">
      <w:pPr>
        <w:pStyle w:val="Titre3"/>
        <w:keepNext/>
        <w:keepLines/>
        <w:numPr>
          <w:ilvl w:val="0"/>
          <w:numId w:val="114"/>
        </w:numPr>
        <w:tabs>
          <w:tab w:val="num" w:pos="360"/>
        </w:tabs>
        <w:spacing w:before="40" w:beforeAutospacing="0" w:after="0" w:afterAutospacing="0" w:line="360" w:lineRule="auto"/>
        <w:ind w:left="360"/>
        <w:jc w:val="both"/>
        <w:rPr>
          <w:rFonts w:asciiTheme="majorBidi" w:hAnsiTheme="majorBidi"/>
          <w:b w:val="0"/>
          <w:bCs w:val="0"/>
          <w:color w:val="000000"/>
          <w:sz w:val="24"/>
          <w:szCs w:val="24"/>
          <w:lang w:val="fr-FR"/>
        </w:rPr>
      </w:pPr>
      <w:bookmarkStart w:id="1811" w:name="_Toc199714493"/>
      <w:bookmarkStart w:id="1812" w:name="_Toc200486771"/>
      <w:bookmarkStart w:id="1813" w:name="_Toc200635547"/>
      <w:bookmarkStart w:id="1814" w:name="_Toc200635935"/>
      <w:bookmarkStart w:id="1815" w:name="_Toc200636324"/>
      <w:bookmarkStart w:id="1816" w:name="_Toc200756062"/>
      <w:r w:rsidRPr="00297FE5">
        <w:rPr>
          <w:rStyle w:val="lev"/>
          <w:rFonts w:asciiTheme="majorBidi" w:hAnsiTheme="majorBidi"/>
          <w:b/>
          <w:bCs/>
          <w:color w:val="000000"/>
          <w:sz w:val="24"/>
          <w:szCs w:val="24"/>
          <w:lang w:val="fr-FR"/>
        </w:rPr>
        <w:t>Sécurité et confidentialité des données</w:t>
      </w:r>
      <w:bookmarkEnd w:id="1811"/>
      <w:bookmarkEnd w:id="1812"/>
      <w:bookmarkEnd w:id="1813"/>
      <w:bookmarkEnd w:id="1814"/>
      <w:bookmarkEnd w:id="1815"/>
      <w:bookmarkEnd w:id="1816"/>
    </w:p>
    <w:p w:rsidR="00E772DD" w:rsidRPr="00DA7BB2" w:rsidRDefault="00E772DD" w:rsidP="00F95DED">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L’utilisation de plateformes numériques pour la formation implique le stockage et le traitement de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données personnelles</w:t>
      </w:r>
      <w:r w:rsidRPr="00DA7BB2">
        <w:rPr>
          <w:rFonts w:asciiTheme="majorBidi" w:hAnsiTheme="majorBidi" w:cstheme="majorBidi"/>
          <w:color w:val="000000"/>
          <w:lang w:val="fr-FR"/>
        </w:rPr>
        <w:t>. Il est donc crucial pour les organisations de respecter les réglementations en vigueur, comme le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RGPD</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en Europe, afin de protéger les informations des apprenants et d’éviter les cyberattaques</w:t>
      </w:r>
      <w:r w:rsidR="00297FE5">
        <w:rPr>
          <w:rFonts w:asciiTheme="majorBidi" w:hAnsiTheme="majorBidi" w:cstheme="majorBidi"/>
          <w:color w:val="000000"/>
          <w:lang w:val="fr-FR"/>
        </w:rPr>
        <w:t>.</w:t>
      </w:r>
    </w:p>
    <w:p w:rsidR="00E772DD" w:rsidRPr="00DA7BB2" w:rsidRDefault="00E772DD" w:rsidP="00F95DED">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constitue une avancée majeure dans le domaine de l’apprentissage, en offrant</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flexibilité, accessibilité et réduction des coûts</w:t>
      </w:r>
      <w:r w:rsidRPr="00DA7BB2">
        <w:rPr>
          <w:rFonts w:asciiTheme="majorBidi" w:hAnsiTheme="majorBidi" w:cstheme="majorBidi"/>
          <w:color w:val="000000"/>
          <w:lang w:val="fr-FR"/>
        </w:rPr>
        <w:t>. Toutefois, elle implique des défis liés à la</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motivation des apprenants, à la fracture numérique et à la qualité des contenus</w:t>
      </w:r>
      <w:r w:rsidRPr="00DA7BB2">
        <w:rPr>
          <w:rFonts w:asciiTheme="majorBidi" w:hAnsiTheme="majorBidi" w:cstheme="majorBidi"/>
          <w:color w:val="000000"/>
          <w:lang w:val="fr-FR"/>
        </w:rPr>
        <w:t>. Pour maximiser son efficacité, une approche hybride combinant formation en ligne et interactions humaines semble être la meilleure solution.</w:t>
      </w:r>
      <w:r w:rsidR="00297FE5">
        <w:rPr>
          <w:rStyle w:val="Appelnotedebasdep"/>
          <w:rFonts w:cstheme="majorBidi"/>
          <w:color w:val="000000"/>
          <w:lang w:val="fr-FR"/>
        </w:rPr>
        <w:footnoteReference w:id="339"/>
      </w:r>
    </w:p>
    <w:p w:rsidR="00E772DD" w:rsidRPr="00DB602C" w:rsidRDefault="00DB602C" w:rsidP="004D32AC">
      <w:pPr>
        <w:pStyle w:val="Titre3"/>
        <w:numPr>
          <w:ilvl w:val="1"/>
          <w:numId w:val="187"/>
        </w:numPr>
        <w:spacing w:after="0" w:afterAutospacing="0" w:line="360" w:lineRule="auto"/>
        <w:rPr>
          <w:sz w:val="24"/>
          <w:szCs w:val="24"/>
          <w:lang w:val="fr-FR"/>
        </w:rPr>
      </w:pPr>
      <w:r>
        <w:rPr>
          <w:sz w:val="24"/>
          <w:szCs w:val="24"/>
          <w:lang w:val="fr-FR"/>
        </w:rPr>
        <w:t xml:space="preserve"> </w:t>
      </w:r>
      <w:bookmarkStart w:id="1817" w:name="_Toc199714494"/>
      <w:bookmarkStart w:id="1818" w:name="_Toc200486772"/>
      <w:bookmarkStart w:id="1819" w:name="_Toc200635548"/>
      <w:bookmarkStart w:id="1820" w:name="_Toc200635936"/>
      <w:bookmarkStart w:id="1821" w:name="_Toc200636325"/>
      <w:bookmarkStart w:id="1822" w:name="_Toc200756063"/>
      <w:r w:rsidR="00E772DD" w:rsidRPr="00DB602C">
        <w:rPr>
          <w:sz w:val="24"/>
          <w:szCs w:val="24"/>
          <w:lang w:val="fr-FR"/>
        </w:rPr>
        <w:t>Le processus de l’e-formation</w:t>
      </w:r>
      <w:bookmarkEnd w:id="1817"/>
      <w:bookmarkEnd w:id="1818"/>
      <w:bookmarkEnd w:id="1819"/>
      <w:bookmarkEnd w:id="1820"/>
      <w:bookmarkEnd w:id="1821"/>
      <w:bookmarkEnd w:id="1822"/>
    </w:p>
    <w:p w:rsidR="00E772DD" w:rsidRPr="00DA7BB2" w:rsidRDefault="00E772DD" w:rsidP="00F95DED">
      <w:pPr>
        <w:spacing w:after="100" w:afterAutospacing="1"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désigne l’ensemble des dispositifs numériques permettant d’acquérir et de développer des compétences à distance. Elle repose sur l’utilisation des plateformes digitales, des outils interactifs et des méthodes pédagogiques adaptées à l’apprentissage en ligne. Ce processus optimise la formation continue des employés et facilite leur montée en compétence tout en réduisant les contraintes de temps et de lieu.</w:t>
      </w:r>
    </w:p>
    <w:p w:rsidR="00E772DD" w:rsidRPr="00DB602C" w:rsidRDefault="00E772DD" w:rsidP="004D32AC">
      <w:pPr>
        <w:pStyle w:val="Titre3"/>
        <w:numPr>
          <w:ilvl w:val="2"/>
          <w:numId w:val="187"/>
        </w:numPr>
        <w:spacing w:after="0" w:afterAutospacing="0" w:line="360" w:lineRule="auto"/>
        <w:rPr>
          <w:sz w:val="24"/>
          <w:szCs w:val="24"/>
          <w:lang w:val="fr-FR"/>
        </w:rPr>
      </w:pPr>
      <w:bookmarkStart w:id="1823" w:name="_Toc199714495"/>
      <w:bookmarkStart w:id="1824" w:name="_Toc200486773"/>
      <w:bookmarkStart w:id="1825" w:name="_Toc200635549"/>
      <w:bookmarkStart w:id="1826" w:name="_Toc200635937"/>
      <w:bookmarkStart w:id="1827" w:name="_Toc200636326"/>
      <w:bookmarkStart w:id="1828" w:name="_Toc200756064"/>
      <w:r w:rsidRPr="00DB602C">
        <w:rPr>
          <w:sz w:val="24"/>
          <w:szCs w:val="24"/>
          <w:lang w:val="fr-FR"/>
        </w:rPr>
        <w:t>Analyse des besoins en formation</w:t>
      </w:r>
      <w:bookmarkEnd w:id="1823"/>
      <w:bookmarkEnd w:id="1824"/>
      <w:bookmarkEnd w:id="1825"/>
      <w:bookmarkEnd w:id="1826"/>
      <w:bookmarkEnd w:id="1827"/>
      <w:bookmarkEnd w:id="1828"/>
    </w:p>
    <w:p w:rsidR="00E772DD" w:rsidRPr="00DA7BB2" w:rsidRDefault="00E772DD" w:rsidP="00F95DED">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Avant de mettre en place une e-formation, il est essentiel d’identifier les compétences à développer et les besoins spécifiques des employés. Cette phase comprend :</w:t>
      </w:r>
    </w:p>
    <w:p w:rsidR="00E772DD" w:rsidRPr="00DA7BB2" w:rsidRDefault="00E772DD" w:rsidP="004D32AC">
      <w:pPr>
        <w:numPr>
          <w:ilvl w:val="0"/>
          <w:numId w:val="125"/>
        </w:numPr>
        <w:spacing w:after="100" w:afterAutospacing="1" w:line="360" w:lineRule="auto"/>
        <w:jc w:val="both"/>
        <w:rPr>
          <w:rFonts w:asciiTheme="majorBidi" w:hAnsiTheme="majorBidi" w:cstheme="majorBidi"/>
          <w:color w:val="000000"/>
          <w:lang w:val="fr-FR"/>
        </w:rPr>
      </w:pPr>
      <w:r w:rsidRPr="00EB5D6D">
        <w:rPr>
          <w:rStyle w:val="lev"/>
          <w:rFonts w:asciiTheme="majorBidi" w:hAnsiTheme="majorBidi" w:cstheme="majorBidi"/>
          <w:b w:val="0"/>
          <w:bCs w:val="0"/>
          <w:color w:val="000000"/>
          <w:lang w:val="fr-FR"/>
        </w:rPr>
        <w:t>L’évaluation des compétences existantes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à l’aide des diagnostics internes et des évaluations des performances (Bellier, 2021, p. 102)</w:t>
      </w:r>
      <w:r w:rsidRPr="00DA7BB2">
        <w:rPr>
          <w:rStyle w:val="Appelnotedebasdep"/>
          <w:rFonts w:cstheme="majorBidi"/>
          <w:color w:val="000000"/>
          <w:lang w:val="fr-FR"/>
        </w:rPr>
        <w:footnoteReference w:id="340"/>
      </w:r>
      <w:r w:rsidRPr="00DA7BB2">
        <w:rPr>
          <w:rFonts w:asciiTheme="majorBidi" w:hAnsiTheme="majorBidi" w:cstheme="majorBidi"/>
          <w:color w:val="000000"/>
          <w:lang w:val="fr-FR"/>
        </w:rPr>
        <w:t>.</w:t>
      </w:r>
    </w:p>
    <w:p w:rsidR="00E772DD" w:rsidRPr="00DA7BB2" w:rsidRDefault="00E772DD" w:rsidP="004D32AC">
      <w:pPr>
        <w:numPr>
          <w:ilvl w:val="0"/>
          <w:numId w:val="125"/>
        </w:numPr>
        <w:spacing w:before="100" w:beforeAutospacing="1" w:after="100" w:afterAutospacing="1" w:line="360" w:lineRule="auto"/>
        <w:jc w:val="both"/>
        <w:rPr>
          <w:rFonts w:asciiTheme="majorBidi" w:hAnsiTheme="majorBidi" w:cstheme="majorBidi"/>
          <w:color w:val="000000"/>
          <w:lang w:val="fr-FR"/>
        </w:rPr>
      </w:pPr>
      <w:r w:rsidRPr="00EB5D6D">
        <w:rPr>
          <w:rStyle w:val="lev"/>
          <w:rFonts w:asciiTheme="majorBidi" w:hAnsiTheme="majorBidi" w:cstheme="majorBidi"/>
          <w:b w:val="0"/>
          <w:bCs w:val="0"/>
          <w:color w:val="000000"/>
          <w:lang w:val="fr-FR"/>
        </w:rPr>
        <w:t>L’identification des objectifs pédagogiques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alignés avec la stratégie de l’entreprise.</w:t>
      </w:r>
    </w:p>
    <w:p w:rsidR="00E772DD" w:rsidRPr="00DA7BB2" w:rsidRDefault="00E772DD" w:rsidP="004D32AC">
      <w:pPr>
        <w:numPr>
          <w:ilvl w:val="0"/>
          <w:numId w:val="125"/>
        </w:numPr>
        <w:spacing w:before="100" w:beforeAutospacing="1" w:after="100" w:afterAutospacing="1" w:line="360" w:lineRule="auto"/>
        <w:jc w:val="both"/>
        <w:rPr>
          <w:rFonts w:asciiTheme="majorBidi" w:hAnsiTheme="majorBidi" w:cstheme="majorBidi"/>
          <w:color w:val="000000"/>
          <w:lang w:val="fr-FR"/>
        </w:rPr>
      </w:pPr>
      <w:r w:rsidRPr="00EB5D6D">
        <w:rPr>
          <w:rStyle w:val="lev"/>
          <w:rFonts w:asciiTheme="majorBidi" w:hAnsiTheme="majorBidi" w:cstheme="majorBidi"/>
          <w:b w:val="0"/>
          <w:bCs w:val="0"/>
          <w:color w:val="000000"/>
          <w:lang w:val="fr-FR"/>
        </w:rPr>
        <w:lastRenderedPageBreak/>
        <w:t>L’utilisation des outils d’analyse prédictive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intégrés aux ERP pour anticiper les besoins en formation</w:t>
      </w:r>
      <w:r w:rsidR="00DB602C">
        <w:rPr>
          <w:rFonts w:asciiTheme="majorBidi" w:hAnsiTheme="majorBidi" w:cstheme="majorBidi"/>
          <w:color w:val="000000"/>
          <w:lang w:val="fr-FR"/>
        </w:rPr>
        <w:t>.</w:t>
      </w:r>
      <w:r w:rsidRPr="00DA7BB2">
        <w:rPr>
          <w:rStyle w:val="Appelnotedebasdep"/>
          <w:rFonts w:cstheme="majorBidi"/>
          <w:color w:val="000000"/>
          <w:lang w:val="fr-FR"/>
        </w:rPr>
        <w:footnoteReference w:id="341"/>
      </w:r>
    </w:p>
    <w:p w:rsidR="00E772DD" w:rsidRPr="00DB602C" w:rsidRDefault="00E772DD" w:rsidP="004D32AC">
      <w:pPr>
        <w:pStyle w:val="Titre3"/>
        <w:numPr>
          <w:ilvl w:val="2"/>
          <w:numId w:val="187"/>
        </w:numPr>
        <w:spacing w:after="0" w:afterAutospacing="0" w:line="360" w:lineRule="auto"/>
        <w:rPr>
          <w:rStyle w:val="lev"/>
          <w:rFonts w:asciiTheme="majorBidi" w:hAnsiTheme="majorBidi" w:cstheme="majorBidi"/>
          <w:b/>
          <w:bCs/>
          <w:color w:val="000000"/>
          <w:sz w:val="24"/>
          <w:szCs w:val="24"/>
          <w:lang w:val="fr-FR"/>
        </w:rPr>
      </w:pPr>
      <w:bookmarkStart w:id="1829" w:name="_Toc199714496"/>
      <w:bookmarkStart w:id="1830" w:name="_Toc200486774"/>
      <w:bookmarkStart w:id="1831" w:name="_Toc200635550"/>
      <w:bookmarkStart w:id="1832" w:name="_Toc200635938"/>
      <w:bookmarkStart w:id="1833" w:name="_Toc200636327"/>
      <w:bookmarkStart w:id="1834" w:name="_Toc200756065"/>
      <w:r w:rsidRPr="00DB602C">
        <w:rPr>
          <w:rStyle w:val="lev"/>
          <w:rFonts w:asciiTheme="majorBidi" w:hAnsiTheme="majorBidi" w:cstheme="majorBidi"/>
          <w:b/>
          <w:bCs/>
          <w:color w:val="000000"/>
          <w:sz w:val="24"/>
          <w:szCs w:val="24"/>
          <w:lang w:val="fr-FR"/>
        </w:rPr>
        <w:t>Conception et digitalisation des contenus pédagogiques</w:t>
      </w:r>
      <w:bookmarkEnd w:id="1829"/>
      <w:bookmarkEnd w:id="1830"/>
      <w:bookmarkEnd w:id="1831"/>
      <w:bookmarkEnd w:id="1832"/>
      <w:bookmarkEnd w:id="1833"/>
      <w:bookmarkEnd w:id="1834"/>
    </w:p>
    <w:p w:rsidR="00E772DD" w:rsidRPr="00DA7BB2" w:rsidRDefault="00E772DD" w:rsidP="001521FD">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Une fois les besoins définis, les formations sont conçues et adaptées aux formats numériques. Cette étape repose sur :</w:t>
      </w:r>
    </w:p>
    <w:p w:rsidR="00E772DD" w:rsidRPr="00DA7BB2" w:rsidRDefault="00E772DD" w:rsidP="004D32AC">
      <w:pPr>
        <w:numPr>
          <w:ilvl w:val="0"/>
          <w:numId w:val="126"/>
        </w:numPr>
        <w:spacing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La sélection des modalités pédagogiques adaptées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 e-learning, webinaires, </w:t>
      </w:r>
      <w:proofErr w:type="spellStart"/>
      <w:r w:rsidRPr="00DA7BB2">
        <w:rPr>
          <w:rFonts w:asciiTheme="majorBidi" w:hAnsiTheme="majorBidi" w:cstheme="majorBidi"/>
          <w:color w:val="000000"/>
          <w:lang w:val="fr-FR"/>
        </w:rPr>
        <w:t>MOOCs</w:t>
      </w:r>
      <w:proofErr w:type="spellEnd"/>
      <w:r w:rsidRPr="00DA7BB2">
        <w:rPr>
          <w:rFonts w:asciiTheme="majorBidi" w:hAnsiTheme="majorBidi" w:cstheme="majorBidi"/>
          <w:color w:val="000000"/>
          <w:lang w:val="fr-FR"/>
        </w:rPr>
        <w:t>, etc.</w:t>
      </w:r>
      <w:r w:rsidRPr="00DA7BB2">
        <w:rPr>
          <w:rStyle w:val="Appelnotedebasdep"/>
          <w:rFonts w:cstheme="majorBidi"/>
          <w:color w:val="000000"/>
          <w:lang w:val="fr-FR"/>
        </w:rPr>
        <w:footnoteReference w:id="342"/>
      </w:r>
    </w:p>
    <w:p w:rsidR="00E772DD" w:rsidRPr="00DA7BB2" w:rsidRDefault="00E772DD" w:rsidP="004D32AC">
      <w:pPr>
        <w:numPr>
          <w:ilvl w:val="0"/>
          <w:numId w:val="126"/>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La scénarisation des modules interactifs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pour un apprentissage engageant et progressif.</w:t>
      </w:r>
    </w:p>
    <w:p w:rsidR="00E772DD" w:rsidRPr="00DA7BB2" w:rsidRDefault="00E772DD" w:rsidP="004D32AC">
      <w:pPr>
        <w:numPr>
          <w:ilvl w:val="0"/>
          <w:numId w:val="126"/>
        </w:numPr>
        <w:spacing w:before="100" w:beforeAutospacing="1" w:after="100" w:afterAutospacing="1" w:line="360" w:lineRule="auto"/>
        <w:jc w:val="both"/>
        <w:rPr>
          <w:rStyle w:val="lev"/>
          <w:rFonts w:asciiTheme="majorBidi" w:hAnsiTheme="majorBidi" w:cstheme="majorBidi"/>
          <w:b w:val="0"/>
          <w:bCs w:val="0"/>
          <w:color w:val="000000"/>
          <w:lang w:val="fr-FR"/>
        </w:rPr>
      </w:pPr>
      <w:r w:rsidRPr="00DA7BB2">
        <w:rPr>
          <w:rStyle w:val="lev"/>
          <w:rFonts w:asciiTheme="majorBidi" w:hAnsiTheme="majorBidi" w:cstheme="majorBidi"/>
          <w:color w:val="000000"/>
          <w:lang w:val="fr-FR"/>
        </w:rPr>
        <w:t>L’intégration de technologies avancées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comme l’intelligence artificielle pour proposer des parcours adaptatifs selon le niveau de l’apprenant</w:t>
      </w:r>
      <w:r w:rsidR="00DB602C">
        <w:rPr>
          <w:rFonts w:asciiTheme="majorBidi" w:hAnsiTheme="majorBidi" w:cstheme="majorBidi"/>
          <w:color w:val="000000"/>
          <w:lang w:val="fr-FR"/>
        </w:rPr>
        <w:t>.</w:t>
      </w:r>
      <w:r w:rsidRPr="00DA7BB2">
        <w:rPr>
          <w:rStyle w:val="Appelnotedebasdep"/>
          <w:rFonts w:cstheme="majorBidi"/>
          <w:color w:val="000000"/>
          <w:lang w:val="fr-FR"/>
        </w:rPr>
        <w:footnoteReference w:id="343"/>
      </w:r>
    </w:p>
    <w:p w:rsidR="00E772DD" w:rsidRPr="00DB602C" w:rsidRDefault="00E772DD" w:rsidP="004D32AC">
      <w:pPr>
        <w:pStyle w:val="Titre3"/>
        <w:numPr>
          <w:ilvl w:val="2"/>
          <w:numId w:val="187"/>
        </w:numPr>
        <w:spacing w:after="0" w:afterAutospacing="0" w:line="360" w:lineRule="auto"/>
        <w:rPr>
          <w:sz w:val="24"/>
          <w:szCs w:val="24"/>
          <w:lang w:val="fr-FR"/>
        </w:rPr>
      </w:pPr>
      <w:bookmarkStart w:id="1835" w:name="_Toc199714497"/>
      <w:bookmarkStart w:id="1836" w:name="_Toc200486775"/>
      <w:bookmarkStart w:id="1837" w:name="_Toc200635551"/>
      <w:bookmarkStart w:id="1838" w:name="_Toc200635939"/>
      <w:bookmarkStart w:id="1839" w:name="_Toc200636328"/>
      <w:bookmarkStart w:id="1840" w:name="_Toc200756066"/>
      <w:r w:rsidRPr="00DB602C">
        <w:rPr>
          <w:sz w:val="24"/>
          <w:szCs w:val="24"/>
          <w:lang w:val="fr-FR"/>
        </w:rPr>
        <w:t>Mise en place des plateformes de formation et déploiement</w:t>
      </w:r>
      <w:bookmarkEnd w:id="1835"/>
      <w:bookmarkEnd w:id="1836"/>
      <w:bookmarkEnd w:id="1837"/>
      <w:bookmarkEnd w:id="1838"/>
      <w:bookmarkEnd w:id="1839"/>
      <w:bookmarkEnd w:id="1840"/>
    </w:p>
    <w:p w:rsidR="00E772DD" w:rsidRPr="00DA7BB2" w:rsidRDefault="00E772DD" w:rsidP="001521FD">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L’e-formation repose sur des</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 xml:space="preserve">Learning Management </w:t>
      </w:r>
      <w:proofErr w:type="spellStart"/>
      <w:r w:rsidRPr="00DA7BB2">
        <w:rPr>
          <w:rStyle w:val="lev"/>
          <w:rFonts w:asciiTheme="majorBidi" w:hAnsiTheme="majorBidi" w:cstheme="majorBidi"/>
          <w:b w:val="0"/>
          <w:bCs w:val="0"/>
          <w:color w:val="000000"/>
          <w:lang w:val="fr-FR"/>
        </w:rPr>
        <w:t>Systems</w:t>
      </w:r>
      <w:proofErr w:type="spellEnd"/>
      <w:r w:rsidRPr="00DA7BB2">
        <w:rPr>
          <w:rStyle w:val="lev"/>
          <w:rFonts w:asciiTheme="majorBidi" w:hAnsiTheme="majorBidi" w:cstheme="majorBidi"/>
          <w:b w:val="0"/>
          <w:bCs w:val="0"/>
          <w:color w:val="000000"/>
          <w:lang w:val="fr-FR"/>
        </w:rPr>
        <w:t xml:space="preserve"> (LMS)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qui assurent la diffusion et le suivi des formations :</w:t>
      </w:r>
    </w:p>
    <w:p w:rsidR="00E772DD" w:rsidRPr="00DA7BB2" w:rsidRDefault="00E772DD" w:rsidP="004D32AC">
      <w:pPr>
        <w:numPr>
          <w:ilvl w:val="0"/>
          <w:numId w:val="127"/>
        </w:numPr>
        <w:spacing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Choix d’un LMS adapté</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 xml:space="preserve">(Moodle, SAP </w:t>
      </w:r>
      <w:proofErr w:type="spellStart"/>
      <w:r w:rsidRPr="00DA7BB2">
        <w:rPr>
          <w:rFonts w:asciiTheme="majorBidi" w:hAnsiTheme="majorBidi" w:cstheme="majorBidi"/>
          <w:color w:val="000000"/>
          <w:lang w:val="fr-FR"/>
        </w:rPr>
        <w:t>SuccessFactors</w:t>
      </w:r>
      <w:proofErr w:type="spellEnd"/>
      <w:r w:rsidRPr="00DA7BB2">
        <w:rPr>
          <w:rFonts w:asciiTheme="majorBidi" w:hAnsiTheme="majorBidi" w:cstheme="majorBidi"/>
          <w:color w:val="000000"/>
          <w:lang w:val="fr-FR"/>
        </w:rPr>
        <w:t xml:space="preserve">, </w:t>
      </w:r>
      <w:proofErr w:type="spellStart"/>
      <w:r w:rsidRPr="00DA7BB2">
        <w:rPr>
          <w:rFonts w:asciiTheme="majorBidi" w:hAnsiTheme="majorBidi" w:cstheme="majorBidi"/>
          <w:color w:val="000000"/>
          <w:lang w:val="fr-FR"/>
        </w:rPr>
        <w:t>TalentSoft</w:t>
      </w:r>
      <w:proofErr w:type="spellEnd"/>
      <w:r w:rsidRPr="00DA7BB2">
        <w:rPr>
          <w:rFonts w:asciiTheme="majorBidi" w:hAnsiTheme="majorBidi" w:cstheme="majorBidi"/>
          <w:color w:val="000000"/>
          <w:lang w:val="fr-FR"/>
        </w:rPr>
        <w:t>) selon la taille et les besoins de l’entreprise</w:t>
      </w:r>
      <w:r w:rsidR="00DB602C">
        <w:rPr>
          <w:rFonts w:asciiTheme="majorBidi" w:hAnsiTheme="majorBidi" w:cstheme="majorBidi"/>
          <w:color w:val="000000"/>
          <w:lang w:val="fr-FR"/>
        </w:rPr>
        <w:t>.</w:t>
      </w:r>
      <w:r w:rsidRPr="00DA7BB2">
        <w:rPr>
          <w:rStyle w:val="Appelnotedebasdep"/>
          <w:rFonts w:cstheme="majorBidi"/>
          <w:color w:val="000000"/>
          <w:lang w:val="fr-FR"/>
        </w:rPr>
        <w:footnoteReference w:id="344"/>
      </w:r>
    </w:p>
    <w:p w:rsidR="00E772DD" w:rsidRPr="00DA7BB2" w:rsidRDefault="00E772DD" w:rsidP="004D32AC">
      <w:pPr>
        <w:numPr>
          <w:ilvl w:val="0"/>
          <w:numId w:val="127"/>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Mise en ligne des contenus et structuration des parcours de formation</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en fonction des profils d’apprenants.</w:t>
      </w:r>
    </w:p>
    <w:p w:rsidR="00E772DD" w:rsidRPr="001521FD" w:rsidRDefault="00E772DD" w:rsidP="004D32AC">
      <w:pPr>
        <w:numPr>
          <w:ilvl w:val="0"/>
          <w:numId w:val="127"/>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Planification des sessions synchrones et asynchrones</w:t>
      </w:r>
      <w:r w:rsidRPr="00DA7BB2">
        <w:rPr>
          <w:rFonts w:asciiTheme="majorBidi" w:hAnsiTheme="majorBidi" w:cstheme="majorBidi"/>
          <w:color w:val="000000"/>
          <w:lang w:val="fr-FR"/>
        </w:rPr>
        <w:t>, intégrant des webinaires et des classes virtuelles.</w:t>
      </w:r>
    </w:p>
    <w:p w:rsidR="00E772DD" w:rsidRPr="00DB602C" w:rsidRDefault="00E772DD" w:rsidP="004D32AC">
      <w:pPr>
        <w:pStyle w:val="Titre3"/>
        <w:numPr>
          <w:ilvl w:val="2"/>
          <w:numId w:val="187"/>
        </w:numPr>
        <w:spacing w:after="0" w:afterAutospacing="0" w:line="360" w:lineRule="auto"/>
        <w:rPr>
          <w:rStyle w:val="lev"/>
          <w:rFonts w:asciiTheme="majorBidi" w:hAnsiTheme="majorBidi" w:cstheme="majorBidi"/>
          <w:b/>
          <w:bCs/>
          <w:color w:val="000000"/>
          <w:sz w:val="24"/>
          <w:szCs w:val="24"/>
          <w:lang w:val="fr-FR"/>
        </w:rPr>
      </w:pPr>
      <w:bookmarkStart w:id="1841" w:name="_Toc199714498"/>
      <w:bookmarkStart w:id="1842" w:name="_Toc200486776"/>
      <w:bookmarkStart w:id="1843" w:name="_Toc200635552"/>
      <w:bookmarkStart w:id="1844" w:name="_Toc200635940"/>
      <w:bookmarkStart w:id="1845" w:name="_Toc200636329"/>
      <w:bookmarkStart w:id="1846" w:name="_Toc200756067"/>
      <w:r w:rsidRPr="00DB602C">
        <w:rPr>
          <w:rStyle w:val="lev"/>
          <w:rFonts w:asciiTheme="majorBidi" w:hAnsiTheme="majorBidi" w:cstheme="majorBidi"/>
          <w:b/>
          <w:bCs/>
          <w:color w:val="000000"/>
          <w:sz w:val="24"/>
          <w:szCs w:val="24"/>
          <w:lang w:val="fr-FR"/>
        </w:rPr>
        <w:t>Suivi et évaluation des compétences acquises</w:t>
      </w:r>
      <w:bookmarkEnd w:id="1841"/>
      <w:bookmarkEnd w:id="1842"/>
      <w:bookmarkEnd w:id="1843"/>
      <w:bookmarkEnd w:id="1844"/>
      <w:bookmarkEnd w:id="1845"/>
      <w:bookmarkEnd w:id="1846"/>
    </w:p>
    <w:p w:rsidR="00E772DD" w:rsidRPr="00DA7BB2" w:rsidRDefault="00E772DD" w:rsidP="001521FD">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L’efficacité de l’e-formation repose sur un suivi régulier des apprenants et une évaluation de leurs acquis :</w:t>
      </w:r>
    </w:p>
    <w:p w:rsidR="00E772DD" w:rsidRPr="00DA7BB2" w:rsidRDefault="00E772DD" w:rsidP="004D32AC">
      <w:pPr>
        <w:numPr>
          <w:ilvl w:val="0"/>
          <w:numId w:val="128"/>
        </w:numPr>
        <w:spacing w:after="100" w:afterAutospacing="1" w:line="360" w:lineRule="auto"/>
        <w:jc w:val="both"/>
        <w:rPr>
          <w:rFonts w:asciiTheme="majorBidi" w:hAnsiTheme="majorBidi" w:cstheme="majorBidi"/>
          <w:color w:val="000000"/>
          <w:lang w:val="fr-FR"/>
        </w:rPr>
      </w:pPr>
      <w:r w:rsidRPr="00EB5D6D">
        <w:rPr>
          <w:rStyle w:val="lev"/>
          <w:rFonts w:asciiTheme="majorBidi" w:hAnsiTheme="majorBidi" w:cstheme="majorBidi"/>
          <w:b w:val="0"/>
          <w:bCs w:val="0"/>
          <w:color w:val="000000"/>
          <w:lang w:val="fr-FR"/>
        </w:rPr>
        <w:t>Tests et quiz en ligne</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intégrés aux plateformes LMS pour mesurer la progression.</w:t>
      </w:r>
    </w:p>
    <w:p w:rsidR="00E772DD" w:rsidRPr="00EB5D6D" w:rsidRDefault="00E772DD" w:rsidP="004D32AC">
      <w:pPr>
        <w:numPr>
          <w:ilvl w:val="0"/>
          <w:numId w:val="128"/>
        </w:numPr>
        <w:spacing w:before="100" w:beforeAutospacing="1" w:after="100" w:afterAutospacing="1" w:line="360" w:lineRule="auto"/>
        <w:jc w:val="both"/>
        <w:rPr>
          <w:rFonts w:asciiTheme="majorBidi" w:hAnsiTheme="majorBidi" w:cstheme="majorBidi"/>
          <w:b/>
          <w:bCs/>
          <w:color w:val="000000"/>
          <w:lang w:val="fr-FR"/>
        </w:rPr>
      </w:pPr>
      <w:r w:rsidRPr="00EB5D6D">
        <w:rPr>
          <w:rStyle w:val="lev"/>
          <w:rFonts w:asciiTheme="majorBidi" w:hAnsiTheme="majorBidi" w:cstheme="majorBidi"/>
          <w:b w:val="0"/>
          <w:bCs w:val="0"/>
          <w:color w:val="000000"/>
          <w:lang w:val="fr-FR"/>
        </w:rPr>
        <w:t>Évaluations des compétences via des mises en situation virtuelles</w:t>
      </w:r>
      <w:r w:rsidR="003A1F0E" w:rsidRPr="00EB5D6D">
        <w:rPr>
          <w:rStyle w:val="apple-converted-space"/>
          <w:rFonts w:asciiTheme="majorBidi" w:hAnsiTheme="majorBidi" w:cstheme="majorBidi"/>
          <w:color w:val="000000"/>
          <w:lang w:val="fr-FR"/>
        </w:rPr>
        <w:t>.</w:t>
      </w:r>
    </w:p>
    <w:p w:rsidR="00E772DD" w:rsidRPr="00DA7BB2" w:rsidRDefault="00E772DD" w:rsidP="004D32AC">
      <w:pPr>
        <w:numPr>
          <w:ilvl w:val="0"/>
          <w:numId w:val="128"/>
        </w:numPr>
        <w:spacing w:before="100" w:beforeAutospacing="1" w:after="100" w:afterAutospacing="1" w:line="360" w:lineRule="auto"/>
        <w:jc w:val="both"/>
        <w:rPr>
          <w:rStyle w:val="lev"/>
          <w:rFonts w:asciiTheme="majorBidi" w:hAnsiTheme="majorBidi" w:cstheme="majorBidi"/>
          <w:b w:val="0"/>
          <w:bCs w:val="0"/>
          <w:color w:val="000000"/>
          <w:lang w:val="fr-FR"/>
        </w:rPr>
      </w:pPr>
      <w:r w:rsidRPr="00EB5D6D">
        <w:rPr>
          <w:rStyle w:val="lev"/>
          <w:rFonts w:asciiTheme="majorBidi" w:hAnsiTheme="majorBidi" w:cstheme="majorBidi"/>
          <w:b w:val="0"/>
          <w:bCs w:val="0"/>
          <w:color w:val="000000"/>
          <w:lang w:val="fr-FR"/>
        </w:rPr>
        <w:lastRenderedPageBreak/>
        <w:t>Certifications et badges numériques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pour attester des compétences acquises.</w:t>
      </w:r>
      <w:r w:rsidR="003A1F0E">
        <w:rPr>
          <w:rStyle w:val="Appelnotedebasdep"/>
          <w:rFonts w:cstheme="majorBidi"/>
          <w:color w:val="000000"/>
          <w:lang w:val="fr-FR"/>
        </w:rPr>
        <w:footnoteReference w:id="345"/>
      </w:r>
    </w:p>
    <w:p w:rsidR="00E772DD" w:rsidRPr="00DB602C" w:rsidRDefault="00E772DD" w:rsidP="004D32AC">
      <w:pPr>
        <w:pStyle w:val="Titre3"/>
        <w:numPr>
          <w:ilvl w:val="2"/>
          <w:numId w:val="187"/>
        </w:numPr>
        <w:spacing w:after="0" w:afterAutospacing="0" w:line="360" w:lineRule="auto"/>
        <w:rPr>
          <w:sz w:val="24"/>
          <w:szCs w:val="24"/>
          <w:lang w:val="fr-FR"/>
        </w:rPr>
      </w:pPr>
      <w:bookmarkStart w:id="1847" w:name="_Toc199714499"/>
      <w:bookmarkStart w:id="1848" w:name="_Toc200486777"/>
      <w:bookmarkStart w:id="1849" w:name="_Toc200635553"/>
      <w:bookmarkStart w:id="1850" w:name="_Toc200635941"/>
      <w:bookmarkStart w:id="1851" w:name="_Toc200636330"/>
      <w:bookmarkStart w:id="1852" w:name="_Toc200756068"/>
      <w:r w:rsidRPr="00DB602C">
        <w:rPr>
          <w:sz w:val="24"/>
          <w:szCs w:val="24"/>
          <w:lang w:val="fr-FR"/>
        </w:rPr>
        <w:t>Intégration des compétences et application en entreprise</w:t>
      </w:r>
      <w:bookmarkEnd w:id="1847"/>
      <w:bookmarkEnd w:id="1848"/>
      <w:bookmarkEnd w:id="1849"/>
      <w:bookmarkEnd w:id="1850"/>
      <w:bookmarkEnd w:id="1851"/>
      <w:bookmarkEnd w:id="1852"/>
    </w:p>
    <w:p w:rsidR="00E772DD" w:rsidRPr="00DA7BB2" w:rsidRDefault="00E772DD" w:rsidP="001521FD">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Après la formation, les nouvelles compétences doivent être mises en pratique :</w:t>
      </w:r>
    </w:p>
    <w:p w:rsidR="00E772DD" w:rsidRPr="00DA7BB2" w:rsidRDefault="00E772DD" w:rsidP="004D32AC">
      <w:pPr>
        <w:numPr>
          <w:ilvl w:val="0"/>
          <w:numId w:val="129"/>
        </w:numPr>
        <w:spacing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Missions et projets internes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pour appliquer immédiatement les acquis.</w:t>
      </w:r>
    </w:p>
    <w:p w:rsidR="00E772DD" w:rsidRPr="00DA7BB2" w:rsidRDefault="00E772DD" w:rsidP="004D32AC">
      <w:pPr>
        <w:numPr>
          <w:ilvl w:val="0"/>
          <w:numId w:val="129"/>
        </w:numPr>
        <w:spacing w:before="100" w:beforeAutospacing="1" w:after="100" w:after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Feedback et coaching</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pour accompagner les employés dans l’application de leurs nouvelles compétences</w:t>
      </w:r>
      <w:r w:rsidR="003A1F0E">
        <w:rPr>
          <w:rFonts w:asciiTheme="majorBidi" w:hAnsiTheme="majorBidi" w:cstheme="majorBidi"/>
          <w:color w:val="000000"/>
          <w:lang w:val="fr-FR"/>
        </w:rPr>
        <w:t>.</w:t>
      </w:r>
    </w:p>
    <w:p w:rsidR="00E772DD" w:rsidRPr="00DA7BB2" w:rsidRDefault="00E772DD" w:rsidP="004D32AC">
      <w:pPr>
        <w:numPr>
          <w:ilvl w:val="0"/>
          <w:numId w:val="129"/>
        </w:numPr>
        <w:spacing w:before="100" w:beforeAutospacing="1" w:line="360" w:lineRule="auto"/>
        <w:jc w:val="both"/>
        <w:rPr>
          <w:rFonts w:asciiTheme="majorBidi" w:hAnsiTheme="majorBidi" w:cstheme="majorBidi"/>
          <w:color w:val="000000"/>
          <w:lang w:val="fr-FR"/>
        </w:rPr>
      </w:pPr>
      <w:r w:rsidRPr="00DA7BB2">
        <w:rPr>
          <w:rStyle w:val="lev"/>
          <w:rFonts w:asciiTheme="majorBidi" w:hAnsiTheme="majorBidi" w:cstheme="majorBidi"/>
          <w:color w:val="000000"/>
          <w:lang w:val="fr-FR"/>
        </w:rPr>
        <w:t>Mise à jour continue des formations</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pour s’adapter aux évolutions du marché du travail.</w:t>
      </w:r>
      <w:r w:rsidR="003A1F0E">
        <w:rPr>
          <w:rStyle w:val="Appelnotedebasdep"/>
          <w:rFonts w:cstheme="majorBidi"/>
          <w:color w:val="000000"/>
          <w:lang w:val="fr-FR"/>
        </w:rPr>
        <w:footnoteReference w:id="346"/>
      </w:r>
    </w:p>
    <w:p w:rsidR="00E772DD" w:rsidRPr="00DA7BB2" w:rsidRDefault="00E772DD" w:rsidP="001521FD">
      <w:pPr>
        <w:pStyle w:val="NormalWeb"/>
        <w:spacing w:before="0" w:beforeAutospacing="0" w:line="360" w:lineRule="auto"/>
        <w:jc w:val="both"/>
        <w:rPr>
          <w:rFonts w:asciiTheme="majorBidi" w:hAnsiTheme="majorBidi" w:cstheme="majorBidi"/>
          <w:b/>
          <w:bCs/>
          <w:color w:val="000000"/>
          <w:lang w:val="fr-FR"/>
        </w:rPr>
      </w:pPr>
      <w:r w:rsidRPr="00DA7BB2">
        <w:rPr>
          <w:rFonts w:asciiTheme="majorBidi" w:hAnsiTheme="majorBidi" w:cstheme="majorBidi"/>
          <w:color w:val="000000"/>
          <w:lang w:val="fr-FR"/>
        </w:rPr>
        <w:t>L’e-formation optimise le développement des compétences en offrant</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une flexibilité et une personnalisation accrues</w:t>
      </w:r>
      <w:r w:rsidRPr="00DA7BB2">
        <w:rPr>
          <w:rFonts w:asciiTheme="majorBidi" w:hAnsiTheme="majorBidi" w:cstheme="majorBidi"/>
          <w:color w:val="000000"/>
          <w:lang w:val="fr-FR"/>
        </w:rPr>
        <w:t>. Grâce aux outils numériques, elle permet une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formation continue et accessible</w:t>
      </w:r>
      <w:r w:rsidRPr="00DA7BB2">
        <w:rPr>
          <w:rFonts w:asciiTheme="majorBidi" w:hAnsiTheme="majorBidi" w:cstheme="majorBidi"/>
          <w:color w:val="000000"/>
          <w:lang w:val="fr-FR"/>
        </w:rPr>
        <w:t>, alignée avec les évolutions technologiques et les besoins stratégiques des entreprises. Cependant, son efficacité dépend d’une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bonne conception pédagogique et d’un accompagnement adapté des apprenants</w:t>
      </w:r>
      <w:r w:rsidRPr="00DA7BB2">
        <w:rPr>
          <w:rFonts w:asciiTheme="majorBidi" w:hAnsiTheme="majorBidi" w:cstheme="majorBidi"/>
          <w:b/>
          <w:bCs/>
          <w:color w:val="000000"/>
          <w:lang w:val="fr-FR"/>
        </w:rPr>
        <w:t>.</w:t>
      </w:r>
    </w:p>
    <w:p w:rsidR="00E772DD" w:rsidRPr="00DB602C" w:rsidRDefault="00E772DD" w:rsidP="004D32AC">
      <w:pPr>
        <w:pStyle w:val="Titre3"/>
        <w:numPr>
          <w:ilvl w:val="0"/>
          <w:numId w:val="187"/>
        </w:numPr>
        <w:spacing w:after="0" w:afterAutospacing="0" w:line="360" w:lineRule="auto"/>
        <w:rPr>
          <w:sz w:val="24"/>
          <w:szCs w:val="24"/>
          <w:lang w:val="fr-FR"/>
        </w:rPr>
      </w:pPr>
      <w:bookmarkStart w:id="1853" w:name="_Toc199714500"/>
      <w:bookmarkStart w:id="1854" w:name="_Toc200486778"/>
      <w:bookmarkStart w:id="1855" w:name="_Toc200635554"/>
      <w:bookmarkStart w:id="1856" w:name="_Toc200635942"/>
      <w:bookmarkStart w:id="1857" w:name="_Toc200636331"/>
      <w:bookmarkStart w:id="1858" w:name="_Toc200756069"/>
      <w:r w:rsidRPr="00DB602C">
        <w:rPr>
          <w:sz w:val="24"/>
          <w:szCs w:val="24"/>
          <w:lang w:val="fr-FR"/>
        </w:rPr>
        <w:t xml:space="preserve">La complémentarité entre digitalisation et </w:t>
      </w:r>
      <w:r w:rsidR="00DB602C" w:rsidRPr="00DB602C">
        <w:rPr>
          <w:sz w:val="24"/>
          <w:szCs w:val="24"/>
          <w:lang w:val="fr-FR"/>
        </w:rPr>
        <w:t>l’</w:t>
      </w:r>
      <w:r w:rsidRPr="00DB602C">
        <w:rPr>
          <w:sz w:val="24"/>
          <w:szCs w:val="24"/>
          <w:lang w:val="fr-FR"/>
        </w:rPr>
        <w:t>approche hybride</w:t>
      </w:r>
      <w:bookmarkEnd w:id="1853"/>
      <w:bookmarkEnd w:id="1854"/>
      <w:bookmarkEnd w:id="1855"/>
      <w:bookmarkEnd w:id="1856"/>
      <w:bookmarkEnd w:id="1857"/>
      <w:bookmarkEnd w:id="1858"/>
    </w:p>
    <w:p w:rsidR="00E772DD" w:rsidRPr="00DA7BB2" w:rsidRDefault="00E772DD" w:rsidP="001521FD">
      <w:pPr>
        <w:spacing w:after="240" w:line="360" w:lineRule="auto"/>
        <w:jc w:val="both"/>
        <w:outlineLvl w:val="3"/>
        <w:rPr>
          <w:rFonts w:asciiTheme="majorBidi" w:hAnsiTheme="majorBidi" w:cstheme="majorBidi"/>
          <w:color w:val="000000"/>
          <w:lang w:val="fr-FR"/>
        </w:rPr>
      </w:pPr>
      <w:r w:rsidRPr="00DA7BB2">
        <w:rPr>
          <w:rFonts w:asciiTheme="majorBidi" w:hAnsiTheme="majorBidi" w:cstheme="majorBidi"/>
          <w:color w:val="000000"/>
          <w:lang w:val="fr-FR"/>
        </w:rPr>
        <w:t>Avec l’essor des technologies numériques, la formation et le recrutement ont connu une transformation majeure grâce à la digitalisation. Cependant, bien que l’e-recrutement et l’e-formation offrent de nombreux avantages, un modèle 100 % digital présente certaines limites. Face à ces contraintes, l’approche hybride, combinant outils numériques et méthodes traditionnelles, semble constituer une alternative plus équilibrée.</w:t>
      </w:r>
    </w:p>
    <w:p w:rsidR="00E772DD" w:rsidRPr="00DB602C" w:rsidRDefault="00DB602C" w:rsidP="004D32AC">
      <w:pPr>
        <w:pStyle w:val="Titre3"/>
        <w:numPr>
          <w:ilvl w:val="1"/>
          <w:numId w:val="187"/>
        </w:numPr>
        <w:rPr>
          <w:sz w:val="24"/>
          <w:szCs w:val="24"/>
          <w:lang w:val="fr-FR"/>
        </w:rPr>
      </w:pPr>
      <w:r>
        <w:rPr>
          <w:sz w:val="24"/>
          <w:szCs w:val="24"/>
          <w:lang w:val="fr-FR"/>
        </w:rPr>
        <w:t xml:space="preserve"> </w:t>
      </w:r>
      <w:bookmarkStart w:id="1859" w:name="_Toc199714501"/>
      <w:bookmarkStart w:id="1860" w:name="_Toc200486779"/>
      <w:bookmarkStart w:id="1861" w:name="_Toc200635555"/>
      <w:bookmarkStart w:id="1862" w:name="_Toc200635943"/>
      <w:bookmarkStart w:id="1863" w:name="_Toc200636332"/>
      <w:bookmarkStart w:id="1864" w:name="_Toc200756070"/>
      <w:r w:rsidR="00E772DD" w:rsidRPr="00DB602C">
        <w:rPr>
          <w:sz w:val="24"/>
          <w:szCs w:val="24"/>
          <w:lang w:val="fr-FR"/>
        </w:rPr>
        <w:t>Les limites d’un modèle 100% digital</w:t>
      </w:r>
      <w:bookmarkEnd w:id="1859"/>
      <w:bookmarkEnd w:id="1860"/>
      <w:bookmarkEnd w:id="1861"/>
      <w:bookmarkEnd w:id="1862"/>
      <w:bookmarkEnd w:id="1863"/>
      <w:bookmarkEnd w:id="1864"/>
    </w:p>
    <w:p w:rsidR="00E772DD" w:rsidRPr="00DA7BB2"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Malgré ses nombreux atouts, l’e-formation et l’e-recrutement intégralement digitalisés présentent plusieurs défis qui peuvent freiner leur efficacité et leur adoption généralisée.</w:t>
      </w:r>
    </w:p>
    <w:p w:rsidR="00E772DD" w:rsidRPr="001521FD" w:rsidRDefault="00E772DD" w:rsidP="004D32AC">
      <w:pPr>
        <w:pStyle w:val="Titre4"/>
        <w:numPr>
          <w:ilvl w:val="0"/>
          <w:numId w:val="118"/>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lastRenderedPageBreak/>
        <w:t>Le manque d’interactions humaines et d’engagement</w:t>
      </w:r>
    </w:p>
    <w:p w:rsidR="003A1F0E"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Les formations entièrement en ligne souffrent d’un</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manque d’interactivité</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entre les formateurs et les apprenants. L’absence de contact physique peut réduire l’engagement des participants et limiter les échanges spontanés, essentiels pour un apprentissage efficace</w:t>
      </w:r>
      <w:r w:rsidR="003A1F0E">
        <w:rPr>
          <w:rFonts w:asciiTheme="majorBidi" w:hAnsiTheme="majorBidi" w:cstheme="majorBidi"/>
          <w:color w:val="000000"/>
          <w:lang w:val="fr-FR"/>
        </w:rPr>
        <w:t>.</w:t>
      </w:r>
      <w:r w:rsidRPr="00DA7BB2">
        <w:rPr>
          <w:rStyle w:val="Appelnotedebasdep"/>
          <w:rFonts w:cstheme="majorBidi"/>
          <w:color w:val="000000"/>
          <w:lang w:val="fr-FR"/>
        </w:rPr>
        <w:footnoteReference w:id="347"/>
      </w:r>
    </w:p>
    <w:p w:rsidR="00E772DD" w:rsidRPr="00DA7BB2"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Dans le cadre du recrutement, les entretiens virtuels peuvent également rendre plus difficile l’évaluation des</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 xml:space="preserve">soft </w:t>
      </w:r>
      <w:proofErr w:type="spellStart"/>
      <w:r w:rsidRPr="00DA7BB2">
        <w:rPr>
          <w:rStyle w:val="lev"/>
          <w:rFonts w:asciiTheme="majorBidi" w:hAnsiTheme="majorBidi" w:cstheme="majorBidi"/>
          <w:b w:val="0"/>
          <w:bCs w:val="0"/>
          <w:color w:val="000000"/>
          <w:lang w:val="fr-FR"/>
        </w:rPr>
        <w:t>skills</w:t>
      </w:r>
      <w:proofErr w:type="spellEnd"/>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et de la communication non verbale des candidats</w:t>
      </w:r>
      <w:r w:rsidR="003A1F0E">
        <w:rPr>
          <w:rFonts w:asciiTheme="majorBidi" w:hAnsiTheme="majorBidi" w:cstheme="majorBidi"/>
          <w:color w:val="000000"/>
          <w:lang w:val="fr-FR"/>
        </w:rPr>
        <w:t>.</w:t>
      </w:r>
      <w:r w:rsidRPr="00DA7BB2">
        <w:rPr>
          <w:rStyle w:val="Appelnotedebasdep"/>
          <w:rFonts w:cstheme="majorBidi"/>
          <w:color w:val="000000"/>
          <w:lang w:val="fr-FR"/>
        </w:rPr>
        <w:footnoteReference w:id="348"/>
      </w:r>
    </w:p>
    <w:p w:rsidR="00E772DD" w:rsidRPr="001521FD" w:rsidRDefault="00E772DD" w:rsidP="004D32AC">
      <w:pPr>
        <w:pStyle w:val="Titre4"/>
        <w:numPr>
          <w:ilvl w:val="0"/>
          <w:numId w:val="118"/>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Les inégalités d’accès aux outils numériques</w:t>
      </w:r>
    </w:p>
    <w:p w:rsidR="00E772DD" w:rsidRPr="00DA7BB2"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L’adoption complète de l’e-formation suppose un</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accès universel aux outils digitaux</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et une maîtrise des technologies. Or, certaines populations, notamment les seniors ou les employés peu qualifiés, peuvent rencontrer des difficultés dans l’utilisation des plateformes numériques, ce qui creuse les inégalités d’apprentissage</w:t>
      </w:r>
      <w:r w:rsidR="003A1F0E">
        <w:rPr>
          <w:rFonts w:asciiTheme="majorBidi" w:hAnsiTheme="majorBidi" w:cstheme="majorBidi"/>
          <w:color w:val="000000"/>
          <w:lang w:val="fr-FR"/>
        </w:rPr>
        <w:t>.</w:t>
      </w:r>
      <w:r w:rsidRPr="00DA7BB2">
        <w:rPr>
          <w:rStyle w:val="Appelnotedebasdep"/>
          <w:rFonts w:cstheme="majorBidi"/>
          <w:color w:val="000000"/>
          <w:lang w:val="fr-FR"/>
        </w:rPr>
        <w:footnoteReference w:id="349"/>
      </w:r>
    </w:p>
    <w:p w:rsidR="00E772DD" w:rsidRPr="001521FD" w:rsidRDefault="00E772DD" w:rsidP="004D32AC">
      <w:pPr>
        <w:pStyle w:val="Titre4"/>
        <w:numPr>
          <w:ilvl w:val="0"/>
          <w:numId w:val="118"/>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La fatigue numérique et la surcharge cognitive</w:t>
      </w:r>
    </w:p>
    <w:p w:rsidR="00E772DD" w:rsidRPr="00DA7BB2"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Un autre inconvénient du</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tout-digital</w:t>
      </w:r>
      <w:r w:rsidRPr="00DA7BB2">
        <w:rPr>
          <w:rStyle w:val="apple-converted-space"/>
          <w:rFonts w:asciiTheme="majorBidi" w:hAnsiTheme="majorBidi" w:cstheme="majorBidi"/>
          <w:color w:val="000000"/>
          <w:lang w:val="fr-FR"/>
        </w:rPr>
        <w:t> </w:t>
      </w:r>
      <w:r w:rsidRPr="00DA7BB2">
        <w:rPr>
          <w:rFonts w:asciiTheme="majorBidi" w:hAnsiTheme="majorBidi" w:cstheme="majorBidi"/>
          <w:color w:val="000000"/>
          <w:lang w:val="fr-FR"/>
        </w:rPr>
        <w:t>est la</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fatigue numérique</w:t>
      </w:r>
      <w:r w:rsidRPr="00DA7BB2">
        <w:rPr>
          <w:rStyle w:val="lev"/>
          <w:rFonts w:asciiTheme="majorBidi" w:hAnsiTheme="majorBidi" w:cstheme="majorBidi"/>
          <w:lang w:val="fr-FR"/>
        </w:rPr>
        <w:t>,</w:t>
      </w:r>
      <w:r w:rsidRPr="00DA7BB2">
        <w:rPr>
          <w:rFonts w:asciiTheme="majorBidi" w:hAnsiTheme="majorBidi" w:cstheme="majorBidi"/>
          <w:color w:val="000000"/>
          <w:lang w:val="fr-FR"/>
        </w:rPr>
        <w:t xml:space="preserve"> qui se traduit par une diminution de la concentration et une lassitude face aux écrans. Les longues sessions de formation en ligne peuvent entraîner une</w:t>
      </w:r>
      <w:r w:rsidRPr="00DA7BB2">
        <w:rPr>
          <w:rStyle w:val="apple-converted-space"/>
          <w:rFonts w:asciiTheme="majorBidi" w:hAnsiTheme="majorBidi" w:cstheme="majorBidi"/>
          <w:color w:val="000000"/>
          <w:lang w:val="fr-FR"/>
        </w:rPr>
        <w:t> </w:t>
      </w:r>
      <w:r w:rsidRPr="00DA7BB2">
        <w:rPr>
          <w:rStyle w:val="lev"/>
          <w:rFonts w:asciiTheme="majorBidi" w:hAnsiTheme="majorBidi" w:cstheme="majorBidi"/>
          <w:b w:val="0"/>
          <w:bCs w:val="0"/>
          <w:color w:val="000000"/>
          <w:lang w:val="fr-FR"/>
        </w:rPr>
        <w:t>surcharge cognitive</w:t>
      </w:r>
      <w:r w:rsidRPr="00DA7BB2">
        <w:rPr>
          <w:rFonts w:asciiTheme="majorBidi" w:hAnsiTheme="majorBidi" w:cstheme="majorBidi"/>
          <w:color w:val="000000"/>
          <w:lang w:val="fr-FR"/>
        </w:rPr>
        <w:t>, rendant l’apprentissage moins efficace par rapport à une formation en présentiel</w:t>
      </w:r>
      <w:r w:rsidR="003A1F0E">
        <w:rPr>
          <w:rFonts w:asciiTheme="majorBidi" w:hAnsiTheme="majorBidi" w:cstheme="majorBidi"/>
          <w:color w:val="000000"/>
          <w:lang w:val="fr-FR"/>
        </w:rPr>
        <w:t>.</w:t>
      </w:r>
      <w:r w:rsidRPr="00DA7BB2">
        <w:rPr>
          <w:rStyle w:val="Appelnotedebasdep"/>
          <w:rFonts w:cstheme="majorBidi"/>
          <w:color w:val="000000"/>
          <w:lang w:val="fr-FR"/>
        </w:rPr>
        <w:footnoteReference w:id="350"/>
      </w:r>
    </w:p>
    <w:p w:rsidR="00E772DD" w:rsidRPr="001521FD" w:rsidRDefault="00E772DD" w:rsidP="004D32AC">
      <w:pPr>
        <w:pStyle w:val="Titre4"/>
        <w:numPr>
          <w:ilvl w:val="0"/>
          <w:numId w:val="118"/>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La difficulté d’évaluer l’efficacité de l’apprentissage et du recrutement</w:t>
      </w:r>
    </w:p>
    <w:p w:rsidR="00EB5D6D" w:rsidRDefault="00E772DD" w:rsidP="009832B3">
      <w:pPr>
        <w:pStyle w:val="NormalWeb"/>
        <w:spacing w:before="0" w:beforeAutospacing="0" w:after="0" w:afterAutospacing="0" w:line="360" w:lineRule="auto"/>
        <w:jc w:val="both"/>
        <w:rPr>
          <w:rFonts w:asciiTheme="majorBidi" w:hAnsiTheme="majorBidi" w:cstheme="majorBidi"/>
          <w:color w:val="000000"/>
          <w:lang w:val="fr-FR"/>
        </w:rPr>
      </w:pPr>
      <w:r w:rsidRPr="00DA7BB2">
        <w:rPr>
          <w:rFonts w:asciiTheme="majorBidi" w:hAnsiTheme="majorBidi" w:cstheme="majorBidi"/>
          <w:color w:val="000000"/>
          <w:lang w:val="fr-FR"/>
        </w:rPr>
        <w:t>Dans un modèle 100 % digital, le suivi de la progression des apprenants et l’évaluation des acquis peuvent être limités. En formation, les quiz et évaluations en ligne ne suffisent pas toujours à mesurer les compétences pratiques. De même, en recrutement, l’absence d’interactions physiques complique l’analyse du</w:t>
      </w:r>
      <w:r w:rsidRPr="00DA7BB2">
        <w:rPr>
          <w:rStyle w:val="apple-converted-space"/>
          <w:rFonts w:asciiTheme="majorBidi" w:hAnsiTheme="majorBidi" w:cstheme="majorBidi"/>
          <w:color w:val="000000"/>
          <w:lang w:val="fr-FR"/>
        </w:rPr>
        <w:t> </w:t>
      </w:r>
      <w:r w:rsidRPr="003A1F0E">
        <w:rPr>
          <w:rStyle w:val="lev"/>
          <w:rFonts w:asciiTheme="majorBidi" w:hAnsiTheme="majorBidi" w:cstheme="majorBidi"/>
          <w:b w:val="0"/>
          <w:bCs w:val="0"/>
          <w:color w:val="000000"/>
          <w:lang w:val="fr-FR"/>
        </w:rPr>
        <w:t>comportement en situation réelle</w:t>
      </w:r>
      <w:r w:rsidRPr="00DA7BB2">
        <w:rPr>
          <w:rFonts w:asciiTheme="majorBidi" w:hAnsiTheme="majorBidi" w:cstheme="majorBidi"/>
          <w:color w:val="000000"/>
          <w:lang w:val="fr-FR"/>
        </w:rPr>
        <w:t>, ce qui peut fausser la sélection des candidats</w:t>
      </w:r>
      <w:r w:rsidR="003A1F0E">
        <w:rPr>
          <w:rFonts w:asciiTheme="majorBidi" w:hAnsiTheme="majorBidi" w:cstheme="majorBidi"/>
          <w:color w:val="000000"/>
          <w:lang w:val="fr-FR"/>
        </w:rPr>
        <w:t>.</w:t>
      </w:r>
      <w:r w:rsidRPr="00DA7BB2">
        <w:rPr>
          <w:rStyle w:val="Appelnotedebasdep"/>
          <w:rFonts w:cstheme="majorBidi"/>
          <w:color w:val="000000"/>
          <w:lang w:val="fr-FR"/>
        </w:rPr>
        <w:footnoteReference w:id="351"/>
      </w:r>
    </w:p>
    <w:p w:rsidR="009832B3" w:rsidRDefault="009832B3" w:rsidP="009832B3">
      <w:pPr>
        <w:pStyle w:val="NormalWeb"/>
        <w:spacing w:before="0" w:beforeAutospacing="0" w:after="0" w:afterAutospacing="0" w:line="360" w:lineRule="auto"/>
        <w:jc w:val="both"/>
        <w:rPr>
          <w:rFonts w:asciiTheme="majorBidi" w:hAnsiTheme="majorBidi" w:cstheme="majorBidi"/>
          <w:color w:val="000000"/>
          <w:lang w:val="fr-FR"/>
        </w:rPr>
      </w:pPr>
    </w:p>
    <w:p w:rsidR="009832B3" w:rsidRDefault="009832B3" w:rsidP="009832B3">
      <w:pPr>
        <w:pStyle w:val="NormalWeb"/>
        <w:spacing w:before="0" w:beforeAutospacing="0" w:after="0" w:afterAutospacing="0" w:line="360" w:lineRule="auto"/>
        <w:jc w:val="both"/>
        <w:rPr>
          <w:rFonts w:asciiTheme="majorBidi" w:hAnsiTheme="majorBidi" w:cstheme="majorBidi"/>
          <w:color w:val="000000"/>
          <w:lang w:val="fr-FR"/>
        </w:rPr>
      </w:pPr>
    </w:p>
    <w:p w:rsidR="009832B3" w:rsidRPr="00DA7BB2" w:rsidRDefault="009832B3" w:rsidP="009832B3">
      <w:pPr>
        <w:pStyle w:val="NormalWeb"/>
        <w:spacing w:before="0" w:beforeAutospacing="0" w:after="0" w:afterAutospacing="0" w:line="360" w:lineRule="auto"/>
        <w:jc w:val="both"/>
        <w:rPr>
          <w:rFonts w:asciiTheme="majorBidi" w:hAnsiTheme="majorBidi" w:cstheme="majorBidi"/>
          <w:color w:val="000000"/>
          <w:lang w:val="fr-FR"/>
        </w:rPr>
      </w:pPr>
    </w:p>
    <w:p w:rsidR="00E772DD" w:rsidRPr="00DB602C" w:rsidRDefault="00DB602C" w:rsidP="004D32AC">
      <w:pPr>
        <w:pStyle w:val="Titre3"/>
        <w:numPr>
          <w:ilvl w:val="1"/>
          <w:numId w:val="187"/>
        </w:numPr>
        <w:rPr>
          <w:sz w:val="24"/>
          <w:szCs w:val="24"/>
          <w:lang w:val="fr-FR"/>
        </w:rPr>
      </w:pPr>
      <w:r>
        <w:rPr>
          <w:sz w:val="24"/>
          <w:szCs w:val="24"/>
          <w:lang w:val="fr-FR"/>
        </w:rPr>
        <w:lastRenderedPageBreak/>
        <w:t xml:space="preserve"> </w:t>
      </w:r>
      <w:bookmarkStart w:id="1865" w:name="_Toc199714502"/>
      <w:bookmarkStart w:id="1866" w:name="_Toc200486780"/>
      <w:bookmarkStart w:id="1867" w:name="_Toc200635556"/>
      <w:bookmarkStart w:id="1868" w:name="_Toc200635944"/>
      <w:bookmarkStart w:id="1869" w:name="_Toc200636333"/>
      <w:bookmarkStart w:id="1870" w:name="_Toc200756071"/>
      <w:r w:rsidR="00E772DD" w:rsidRPr="00DB602C">
        <w:rPr>
          <w:sz w:val="24"/>
          <w:szCs w:val="24"/>
          <w:lang w:val="fr-FR"/>
        </w:rPr>
        <w:t>L’intérêt d’un modèle hybride</w:t>
      </w:r>
      <w:bookmarkEnd w:id="1865"/>
      <w:bookmarkEnd w:id="1866"/>
      <w:bookmarkEnd w:id="1867"/>
      <w:bookmarkEnd w:id="1868"/>
      <w:bookmarkEnd w:id="1869"/>
      <w:bookmarkEnd w:id="1870"/>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Face aux limites d’une digitalisation totale, un modèle hybride, combinant</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outils numériques et méthodes traditionnelles</w:t>
      </w:r>
      <w:r w:rsidRPr="001521FD">
        <w:rPr>
          <w:rFonts w:asciiTheme="majorBidi" w:hAnsiTheme="majorBidi" w:cstheme="majorBidi"/>
          <w:color w:val="000000"/>
          <w:lang w:val="fr-FR"/>
        </w:rPr>
        <w:t>, semble être la solution la plus efficace.</w:t>
      </w:r>
    </w:p>
    <w:p w:rsidR="00E772DD" w:rsidRPr="001521FD" w:rsidRDefault="00E772DD" w:rsidP="004D32AC">
      <w:pPr>
        <w:pStyle w:val="Titre4"/>
        <w:numPr>
          <w:ilvl w:val="0"/>
          <w:numId w:val="118"/>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Une meilleure interaction et engagement des participants</w:t>
      </w:r>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L’intégration de séances en présentiel dans un parcours de formation digitalisé favorise les interactions entre les apprenants et les formateurs, renforçant ainsi l’engagement et la motivation</w:t>
      </w:r>
      <w:r w:rsidR="003A1F0E">
        <w:rPr>
          <w:rFonts w:asciiTheme="majorBidi" w:hAnsiTheme="majorBidi" w:cstheme="majorBidi"/>
          <w:color w:val="000000"/>
          <w:lang w:val="fr-FR"/>
        </w:rPr>
        <w:t xml:space="preserve">. </w:t>
      </w:r>
      <w:r w:rsidRPr="001521FD">
        <w:rPr>
          <w:rFonts w:asciiTheme="majorBidi" w:hAnsiTheme="majorBidi" w:cstheme="majorBidi"/>
          <w:color w:val="000000"/>
          <w:lang w:val="fr-FR"/>
        </w:rPr>
        <w:t xml:space="preserve">En recrutement, un premier tri digitalisé des CV et des tests en ligne </w:t>
      </w:r>
      <w:proofErr w:type="gramStart"/>
      <w:r w:rsidRPr="001521FD">
        <w:rPr>
          <w:rFonts w:asciiTheme="majorBidi" w:hAnsiTheme="majorBidi" w:cstheme="majorBidi"/>
          <w:color w:val="000000"/>
          <w:lang w:val="fr-FR"/>
        </w:rPr>
        <w:t>peuvent</w:t>
      </w:r>
      <w:proofErr w:type="gramEnd"/>
      <w:r w:rsidRPr="001521FD">
        <w:rPr>
          <w:rFonts w:asciiTheme="majorBidi" w:hAnsiTheme="majorBidi" w:cstheme="majorBidi"/>
          <w:color w:val="000000"/>
          <w:lang w:val="fr-FR"/>
        </w:rPr>
        <w:t xml:space="preserve"> être complétés par un</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entretien physique</w:t>
      </w:r>
      <w:r w:rsidRPr="001521FD">
        <w:rPr>
          <w:rStyle w:val="apple-converted-space"/>
          <w:rFonts w:asciiTheme="majorBidi" w:hAnsiTheme="majorBidi" w:cstheme="majorBidi"/>
          <w:color w:val="000000"/>
          <w:lang w:val="fr-FR"/>
        </w:rPr>
        <w:t> </w:t>
      </w:r>
      <w:r w:rsidRPr="001521FD">
        <w:rPr>
          <w:rFonts w:asciiTheme="majorBidi" w:hAnsiTheme="majorBidi" w:cstheme="majorBidi"/>
          <w:color w:val="000000"/>
          <w:lang w:val="fr-FR"/>
        </w:rPr>
        <w:t>pour affiner l’évaluation des compétences comportementales.</w:t>
      </w:r>
      <w:r w:rsidR="003A1F0E">
        <w:rPr>
          <w:rStyle w:val="Appelnotedebasdep"/>
          <w:rFonts w:cstheme="majorBidi"/>
          <w:color w:val="000000"/>
          <w:lang w:val="fr-FR"/>
        </w:rPr>
        <w:footnoteReference w:id="352"/>
      </w:r>
    </w:p>
    <w:p w:rsidR="00E772DD" w:rsidRPr="001521FD" w:rsidRDefault="00E772DD" w:rsidP="004D32AC">
      <w:pPr>
        <w:pStyle w:val="Titre4"/>
        <w:numPr>
          <w:ilvl w:val="0"/>
          <w:numId w:val="118"/>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Une accessibilité optimisée et une adaptation aux besoins des utilisateurs</w:t>
      </w:r>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Le modèle hybride permet d’adapter la formation aux</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contraintes individuelles</w:t>
      </w:r>
      <w:r w:rsidRPr="001521FD">
        <w:rPr>
          <w:rFonts w:asciiTheme="majorBidi" w:hAnsiTheme="majorBidi" w:cstheme="majorBidi"/>
          <w:color w:val="000000"/>
          <w:lang w:val="fr-FR"/>
        </w:rPr>
        <w:t>, en offrant des contenus en ligne accessibles à tout moment, tout en maintenant des sessions en présentiel pour approfondir certaines compétences pratiques</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53"/>
      </w:r>
    </w:p>
    <w:p w:rsidR="00E772DD" w:rsidRPr="001521FD" w:rsidRDefault="00E772DD" w:rsidP="004D32AC">
      <w:pPr>
        <w:pStyle w:val="Titre4"/>
        <w:numPr>
          <w:ilvl w:val="0"/>
          <w:numId w:val="118"/>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Une meilleure assimilation des connaissances et une évaluation plus fiable</w:t>
      </w:r>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L’apprentissage mixte combine les avantages du e-learning (autonomie et flexibilité) avec ceux de la formation en présentiel (pratique et interactions). Cela permet une</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meilleure rétention des connaissances</w:t>
      </w:r>
      <w:r w:rsidRPr="001521FD">
        <w:rPr>
          <w:rStyle w:val="apple-converted-space"/>
          <w:rFonts w:asciiTheme="majorBidi" w:hAnsiTheme="majorBidi" w:cstheme="majorBidi"/>
          <w:b/>
          <w:bCs/>
          <w:color w:val="000000"/>
          <w:lang w:val="fr-FR"/>
        </w:rPr>
        <w:t> </w:t>
      </w:r>
      <w:r w:rsidRPr="001521FD">
        <w:rPr>
          <w:rFonts w:asciiTheme="majorBidi" w:hAnsiTheme="majorBidi" w:cstheme="majorBidi"/>
          <w:color w:val="000000"/>
          <w:lang w:val="fr-FR"/>
        </w:rPr>
        <w:t>et une évaluation plus complète des compétences</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54"/>
      </w:r>
    </w:p>
    <w:p w:rsidR="00E772DD" w:rsidRPr="001521FD" w:rsidRDefault="00E772DD" w:rsidP="004D32AC">
      <w:pPr>
        <w:pStyle w:val="Titre4"/>
        <w:numPr>
          <w:ilvl w:val="0"/>
          <w:numId w:val="118"/>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 meilleur équilibre entre innovation et réalité du terrain</w:t>
      </w:r>
    </w:p>
    <w:p w:rsidR="00E772DD" w:rsidRPr="001521FD" w:rsidRDefault="00E772DD" w:rsidP="003A1F0E">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En entreprise, le modèle hybride permet aux employés de se former via des outils digitaux tout en bénéficiant d’un</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accompagnement humain</w:t>
      </w:r>
      <w:r w:rsidRPr="001521FD">
        <w:rPr>
          <w:rFonts w:asciiTheme="majorBidi" w:hAnsiTheme="majorBidi" w:cstheme="majorBidi"/>
          <w:color w:val="000000"/>
          <w:lang w:val="fr-FR"/>
        </w:rPr>
        <w:t xml:space="preserve">. Ce modèle facilite également une meilleure intégration des nouvelles recrues, en alternant des étapes digitalisées (tests en ligne, </w:t>
      </w:r>
      <w:proofErr w:type="spellStart"/>
      <w:r w:rsidRPr="001521FD">
        <w:rPr>
          <w:rFonts w:asciiTheme="majorBidi" w:hAnsiTheme="majorBidi" w:cstheme="majorBidi"/>
          <w:color w:val="000000"/>
          <w:lang w:val="fr-FR"/>
        </w:rPr>
        <w:t>onboarding</w:t>
      </w:r>
      <w:proofErr w:type="spellEnd"/>
      <w:r w:rsidRPr="001521FD">
        <w:rPr>
          <w:rFonts w:asciiTheme="majorBidi" w:hAnsiTheme="majorBidi" w:cstheme="majorBidi"/>
          <w:color w:val="000000"/>
          <w:lang w:val="fr-FR"/>
        </w:rPr>
        <w:t xml:space="preserve"> numérique) avec des échanges physiques qui renforcent la culture d’entreprise</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55"/>
      </w:r>
    </w:p>
    <w:p w:rsidR="00E772DD" w:rsidRPr="00DB602C" w:rsidRDefault="00E772DD" w:rsidP="004D32AC">
      <w:pPr>
        <w:pStyle w:val="Titre3"/>
        <w:numPr>
          <w:ilvl w:val="0"/>
          <w:numId w:val="187"/>
        </w:numPr>
        <w:spacing w:after="0" w:afterAutospacing="0" w:line="360" w:lineRule="auto"/>
        <w:rPr>
          <w:sz w:val="24"/>
          <w:szCs w:val="24"/>
          <w:lang w:val="fr-FR"/>
        </w:rPr>
      </w:pPr>
      <w:bookmarkStart w:id="1871" w:name="_Toc199714503"/>
      <w:bookmarkStart w:id="1872" w:name="_Toc200486781"/>
      <w:bookmarkStart w:id="1873" w:name="_Toc200635557"/>
      <w:bookmarkStart w:id="1874" w:name="_Toc200635945"/>
      <w:bookmarkStart w:id="1875" w:name="_Toc200636334"/>
      <w:bookmarkStart w:id="1876" w:name="_Toc200756072"/>
      <w:r w:rsidRPr="00DB602C">
        <w:rPr>
          <w:sz w:val="24"/>
          <w:szCs w:val="24"/>
          <w:lang w:val="fr-FR"/>
        </w:rPr>
        <w:t>Impact de l’e-recrutement et de l’e-formation sur la gestion prévisionnelle des RH</w:t>
      </w:r>
      <w:bookmarkEnd w:id="1871"/>
      <w:bookmarkEnd w:id="1872"/>
      <w:bookmarkEnd w:id="1873"/>
      <w:bookmarkEnd w:id="1874"/>
      <w:bookmarkEnd w:id="1875"/>
      <w:bookmarkEnd w:id="1876"/>
    </w:p>
    <w:p w:rsidR="003A1F0E" w:rsidRPr="00DA7BB2" w:rsidRDefault="00E772DD" w:rsidP="00DB602C">
      <w:pPr>
        <w:pStyle w:val="NormalWeb"/>
        <w:spacing w:before="0" w:beforeAutospacing="0" w:after="240" w:afterAutospacing="0" w:line="360" w:lineRule="auto"/>
        <w:jc w:val="both"/>
        <w:rPr>
          <w:color w:val="000000"/>
          <w:lang w:val="fr-FR"/>
        </w:rPr>
      </w:pPr>
      <w:r w:rsidRPr="00DA7BB2">
        <w:rPr>
          <w:color w:val="000000"/>
          <w:lang w:val="fr-FR"/>
        </w:rPr>
        <w:t xml:space="preserve">L’e-recrutement et l’e-formation s’appuient sur divers outils numériques qui facilitent la gestion des talents et l’optimisation des compétences en entreprise. Ces outils, bien que distincts dans leur finalité, partagent certaines fonctionnalités communes et contribuent </w:t>
      </w:r>
      <w:r w:rsidRPr="00DA7BB2">
        <w:rPr>
          <w:color w:val="000000"/>
          <w:lang w:val="fr-FR"/>
        </w:rPr>
        <w:lastRenderedPageBreak/>
        <w:t>directement à la gestion prévisionnelle des ressources humaines. Le tableau suivant propose une comparaison des principaux outils utilisés dans ces deux processus, en mettant en avant leurs spécificités, leurs avantages et leurs limites.</w:t>
      </w:r>
    </w:p>
    <w:p w:rsidR="00E772DD" w:rsidRPr="00CD5649" w:rsidRDefault="00E772DD" w:rsidP="005D7BDE">
      <w:pPr>
        <w:pStyle w:val="Titre4"/>
        <w:spacing w:after="240"/>
        <w:jc w:val="center"/>
        <w:rPr>
          <w:rFonts w:asciiTheme="majorBidi" w:hAnsiTheme="majorBidi"/>
          <w:i w:val="0"/>
          <w:iCs w:val="0"/>
          <w:color w:val="000000"/>
          <w:lang w:val="fr-FR"/>
        </w:rPr>
      </w:pPr>
      <w:r w:rsidRPr="00CD5649">
        <w:rPr>
          <w:rStyle w:val="lev"/>
          <w:rFonts w:asciiTheme="majorBidi" w:hAnsiTheme="majorBidi"/>
          <w:i w:val="0"/>
          <w:iCs w:val="0"/>
          <w:color w:val="000000"/>
          <w:lang w:val="fr-FR"/>
        </w:rPr>
        <w:t>Tableau</w:t>
      </w:r>
      <w:r>
        <w:rPr>
          <w:rStyle w:val="lev"/>
          <w:rFonts w:asciiTheme="majorBidi" w:hAnsiTheme="majorBidi"/>
          <w:i w:val="0"/>
          <w:iCs w:val="0"/>
          <w:color w:val="000000"/>
          <w:lang w:val="fr-FR"/>
        </w:rPr>
        <w:t xml:space="preserve"> N°12</w:t>
      </w:r>
      <w:r w:rsidRPr="00CD5649">
        <w:rPr>
          <w:rStyle w:val="lev"/>
          <w:rFonts w:asciiTheme="majorBidi" w:hAnsiTheme="majorBidi"/>
          <w:i w:val="0"/>
          <w:iCs w:val="0"/>
          <w:color w:val="000000"/>
          <w:lang w:val="fr-FR"/>
        </w:rPr>
        <w:t xml:space="preserve">  : </w:t>
      </w:r>
      <w:r w:rsidRPr="0091398F">
        <w:rPr>
          <w:rStyle w:val="lev"/>
          <w:rFonts w:asciiTheme="majorBidi" w:hAnsiTheme="majorBidi"/>
          <w:b w:val="0"/>
          <w:bCs w:val="0"/>
          <w:i w:val="0"/>
          <w:iCs w:val="0"/>
          <w:color w:val="000000"/>
          <w:lang w:val="fr-FR"/>
        </w:rPr>
        <w:t>Comparaison des outils de l’e-recrutement et de l’e-formation</w:t>
      </w:r>
    </w:p>
    <w:tbl>
      <w:tblPr>
        <w:tblStyle w:val="Grilledutableau"/>
        <w:tblW w:w="0" w:type="auto"/>
        <w:tblLook w:val="04A0" w:firstRow="1" w:lastRow="0" w:firstColumn="1" w:lastColumn="0" w:noHBand="0" w:noVBand="1"/>
      </w:tblPr>
      <w:tblGrid>
        <w:gridCol w:w="1785"/>
        <w:gridCol w:w="1754"/>
        <w:gridCol w:w="1860"/>
        <w:gridCol w:w="1840"/>
        <w:gridCol w:w="1771"/>
      </w:tblGrid>
      <w:tr w:rsidR="00E772DD" w:rsidRPr="00DA7BB2" w:rsidTr="00224D6D">
        <w:tc>
          <w:tcPr>
            <w:tcW w:w="0" w:type="auto"/>
            <w:shd w:val="clear" w:color="auto" w:fill="D8DCD1"/>
            <w:vAlign w:val="center"/>
            <w:hideMark/>
          </w:tcPr>
          <w:p w:rsidR="00E772DD" w:rsidRPr="00193253" w:rsidRDefault="00E772DD" w:rsidP="00224D6D">
            <w:pPr>
              <w:spacing w:line="276" w:lineRule="auto"/>
              <w:rPr>
                <w:b/>
                <w:bCs/>
                <w:color w:val="000000"/>
                <w:lang w:val="fr-FR"/>
              </w:rPr>
            </w:pPr>
            <w:r w:rsidRPr="00193253">
              <w:rPr>
                <w:b/>
                <w:bCs/>
                <w:color w:val="000000"/>
                <w:lang w:val="fr-FR"/>
              </w:rPr>
              <w:t>Outils numériques</w:t>
            </w:r>
          </w:p>
        </w:tc>
        <w:tc>
          <w:tcPr>
            <w:tcW w:w="1754" w:type="dxa"/>
            <w:shd w:val="clear" w:color="auto" w:fill="D8DCD1"/>
            <w:vAlign w:val="center"/>
            <w:hideMark/>
          </w:tcPr>
          <w:p w:rsidR="00224D6D" w:rsidRDefault="00E772DD" w:rsidP="00224D6D">
            <w:pPr>
              <w:spacing w:line="276" w:lineRule="auto"/>
              <w:rPr>
                <w:b/>
                <w:bCs/>
                <w:color w:val="000000"/>
                <w:lang w:val="fr-FR"/>
              </w:rPr>
            </w:pPr>
            <w:r w:rsidRPr="00193253">
              <w:rPr>
                <w:b/>
                <w:bCs/>
                <w:color w:val="000000"/>
                <w:lang w:val="fr-FR"/>
              </w:rPr>
              <w:t>Utilisation en</w:t>
            </w:r>
            <w:r w:rsidR="00224D6D">
              <w:rPr>
                <w:b/>
                <w:bCs/>
                <w:color w:val="000000"/>
                <w:lang w:val="fr-FR"/>
              </w:rPr>
              <w:t xml:space="preserve"> </w:t>
            </w:r>
          </w:p>
          <w:p w:rsidR="00E772DD" w:rsidRPr="00193253" w:rsidRDefault="00224D6D" w:rsidP="00224D6D">
            <w:pPr>
              <w:spacing w:line="276" w:lineRule="auto"/>
              <w:rPr>
                <w:b/>
                <w:bCs/>
                <w:color w:val="000000"/>
                <w:lang w:val="fr-FR"/>
              </w:rPr>
            </w:pPr>
            <w:r>
              <w:rPr>
                <w:b/>
                <w:bCs/>
                <w:color w:val="000000"/>
                <w:lang w:val="fr-FR"/>
              </w:rPr>
              <w:t>e-</w:t>
            </w:r>
            <w:r w:rsidR="00E772DD" w:rsidRPr="00193253">
              <w:rPr>
                <w:b/>
                <w:bCs/>
                <w:color w:val="000000"/>
                <w:lang w:val="fr-FR"/>
              </w:rPr>
              <w:t>recrutement</w:t>
            </w:r>
          </w:p>
        </w:tc>
        <w:tc>
          <w:tcPr>
            <w:tcW w:w="1860" w:type="dxa"/>
            <w:shd w:val="clear" w:color="auto" w:fill="D8DCD1"/>
            <w:vAlign w:val="center"/>
            <w:hideMark/>
          </w:tcPr>
          <w:p w:rsidR="005F10A8" w:rsidRDefault="00E772DD" w:rsidP="00224D6D">
            <w:pPr>
              <w:spacing w:line="276" w:lineRule="auto"/>
              <w:rPr>
                <w:b/>
                <w:bCs/>
                <w:color w:val="000000"/>
                <w:lang w:val="fr-FR"/>
              </w:rPr>
            </w:pPr>
            <w:r w:rsidRPr="00193253">
              <w:rPr>
                <w:b/>
                <w:bCs/>
                <w:color w:val="000000"/>
                <w:lang w:val="fr-FR"/>
              </w:rPr>
              <w:t xml:space="preserve">Utilisation en </w:t>
            </w:r>
          </w:p>
          <w:p w:rsidR="00E772DD" w:rsidRPr="00193253" w:rsidRDefault="00E772DD" w:rsidP="00224D6D">
            <w:pPr>
              <w:spacing w:line="276" w:lineRule="auto"/>
              <w:rPr>
                <w:b/>
                <w:bCs/>
                <w:color w:val="000000"/>
                <w:lang w:val="fr-FR"/>
              </w:rPr>
            </w:pPr>
            <w:r w:rsidRPr="00193253">
              <w:rPr>
                <w:b/>
                <w:bCs/>
                <w:color w:val="000000"/>
                <w:lang w:val="fr-FR"/>
              </w:rPr>
              <w:t>e</w:t>
            </w:r>
            <w:r w:rsidR="005F10A8">
              <w:rPr>
                <w:b/>
                <w:bCs/>
                <w:color w:val="000000"/>
                <w:lang w:val="fr-FR"/>
              </w:rPr>
              <w:t>-</w:t>
            </w:r>
            <w:r w:rsidRPr="00193253">
              <w:rPr>
                <w:b/>
                <w:bCs/>
                <w:color w:val="000000"/>
                <w:lang w:val="fr-FR"/>
              </w:rPr>
              <w:t>formation</w:t>
            </w:r>
          </w:p>
        </w:tc>
        <w:tc>
          <w:tcPr>
            <w:tcW w:w="0" w:type="auto"/>
            <w:shd w:val="clear" w:color="auto" w:fill="D8DCD1"/>
            <w:vAlign w:val="center"/>
            <w:hideMark/>
          </w:tcPr>
          <w:p w:rsidR="00E772DD" w:rsidRPr="00193253" w:rsidRDefault="00E772DD" w:rsidP="00224D6D">
            <w:pPr>
              <w:spacing w:line="276" w:lineRule="auto"/>
              <w:rPr>
                <w:b/>
                <w:bCs/>
                <w:color w:val="000000"/>
                <w:lang w:val="fr-FR"/>
              </w:rPr>
            </w:pPr>
            <w:r w:rsidRPr="00193253">
              <w:rPr>
                <w:b/>
                <w:bCs/>
                <w:color w:val="000000"/>
                <w:lang w:val="fr-FR"/>
              </w:rPr>
              <w:t>Avantages</w:t>
            </w:r>
          </w:p>
        </w:tc>
        <w:tc>
          <w:tcPr>
            <w:tcW w:w="0" w:type="auto"/>
            <w:shd w:val="clear" w:color="auto" w:fill="D8DCD1"/>
            <w:vAlign w:val="center"/>
            <w:hideMark/>
          </w:tcPr>
          <w:p w:rsidR="00E772DD" w:rsidRPr="00193253" w:rsidRDefault="00E772DD" w:rsidP="00224D6D">
            <w:pPr>
              <w:spacing w:line="276" w:lineRule="auto"/>
              <w:rPr>
                <w:b/>
                <w:bCs/>
                <w:color w:val="000000"/>
                <w:lang w:val="fr-FR"/>
              </w:rPr>
            </w:pPr>
            <w:r w:rsidRPr="00193253">
              <w:rPr>
                <w:b/>
                <w:bCs/>
                <w:color w:val="000000"/>
                <w:lang w:val="fr-FR"/>
              </w:rPr>
              <w:t>Limites</w:t>
            </w:r>
          </w:p>
        </w:tc>
      </w:tr>
      <w:tr w:rsidR="00E772DD" w:rsidRPr="00427D18" w:rsidTr="00224D6D">
        <w:trPr>
          <w:trHeight w:val="1307"/>
        </w:trPr>
        <w:tc>
          <w:tcPr>
            <w:tcW w:w="0" w:type="auto"/>
            <w:shd w:val="clear" w:color="auto" w:fill="D8DCD1"/>
            <w:vAlign w:val="center"/>
            <w:hideMark/>
          </w:tcPr>
          <w:p w:rsidR="00E772DD" w:rsidRPr="00005E0E" w:rsidRDefault="00E772DD" w:rsidP="00224D6D">
            <w:pPr>
              <w:spacing w:line="276" w:lineRule="auto"/>
              <w:rPr>
                <w:color w:val="000000"/>
                <w:lang w:val="fr-FR"/>
              </w:rPr>
            </w:pPr>
            <w:r w:rsidRPr="00005E0E">
              <w:rPr>
                <w:rStyle w:val="lev"/>
                <w:color w:val="000000"/>
                <w:lang w:val="fr-FR"/>
              </w:rPr>
              <w:t>ATS (</w:t>
            </w:r>
            <w:proofErr w:type="spellStart"/>
            <w:r w:rsidRPr="00005E0E">
              <w:rPr>
                <w:rStyle w:val="lev"/>
                <w:color w:val="000000"/>
                <w:lang w:val="fr-FR"/>
              </w:rPr>
              <w:t>Applicant</w:t>
            </w:r>
            <w:proofErr w:type="spellEnd"/>
            <w:r w:rsidRPr="00005E0E">
              <w:rPr>
                <w:rStyle w:val="lev"/>
                <w:color w:val="000000"/>
                <w:lang w:val="fr-FR"/>
              </w:rPr>
              <w:t xml:space="preserve"> </w:t>
            </w:r>
            <w:proofErr w:type="spellStart"/>
            <w:r w:rsidRPr="00005E0E">
              <w:rPr>
                <w:rStyle w:val="lev"/>
                <w:color w:val="000000"/>
                <w:lang w:val="fr-FR"/>
              </w:rPr>
              <w:t>Tracking</w:t>
            </w:r>
            <w:proofErr w:type="spellEnd"/>
            <w:r w:rsidRPr="00005E0E">
              <w:rPr>
                <w:rStyle w:val="lev"/>
                <w:color w:val="000000"/>
                <w:lang w:val="fr-FR"/>
              </w:rPr>
              <w:t xml:space="preserve"> System)</w:t>
            </w:r>
          </w:p>
        </w:tc>
        <w:tc>
          <w:tcPr>
            <w:tcW w:w="1754"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Tri des candidatures et suivi des recrutements</w:t>
            </w:r>
          </w:p>
        </w:tc>
        <w:tc>
          <w:tcPr>
            <w:tcW w:w="1860"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Non applicable</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Automatisation, gain de temps</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Risque d'exclusion de certains profils</w:t>
            </w:r>
          </w:p>
        </w:tc>
      </w:tr>
      <w:tr w:rsidR="00E772DD" w:rsidRPr="00DA7BB2" w:rsidTr="00224D6D">
        <w:tc>
          <w:tcPr>
            <w:tcW w:w="0" w:type="auto"/>
            <w:shd w:val="clear" w:color="auto" w:fill="D8DCD1"/>
            <w:vAlign w:val="center"/>
            <w:hideMark/>
          </w:tcPr>
          <w:p w:rsidR="00E772DD" w:rsidRPr="00005E0E" w:rsidRDefault="00E772DD" w:rsidP="00224D6D">
            <w:pPr>
              <w:spacing w:line="276" w:lineRule="auto"/>
              <w:rPr>
                <w:color w:val="000000"/>
                <w:lang w:val="fr-FR"/>
              </w:rPr>
            </w:pPr>
            <w:r w:rsidRPr="00005E0E">
              <w:rPr>
                <w:rStyle w:val="lev"/>
                <w:color w:val="000000"/>
                <w:lang w:val="fr-FR"/>
              </w:rPr>
              <w:t>Réseaux sociaux professionnels</w:t>
            </w:r>
          </w:p>
        </w:tc>
        <w:tc>
          <w:tcPr>
            <w:tcW w:w="1754" w:type="dxa"/>
            <w:vAlign w:val="center"/>
            <w:hideMark/>
          </w:tcPr>
          <w:p w:rsidR="00E772DD" w:rsidRPr="00DA7BB2" w:rsidRDefault="00E772DD" w:rsidP="00224D6D">
            <w:pPr>
              <w:spacing w:line="276" w:lineRule="auto"/>
              <w:jc w:val="center"/>
              <w:rPr>
                <w:color w:val="000000"/>
                <w:lang w:val="fr-FR"/>
              </w:rPr>
            </w:pPr>
            <w:proofErr w:type="spellStart"/>
            <w:r w:rsidRPr="00DA7BB2">
              <w:rPr>
                <w:color w:val="000000"/>
                <w:lang w:val="fr-FR"/>
              </w:rPr>
              <w:t>Sourcing</w:t>
            </w:r>
            <w:proofErr w:type="spellEnd"/>
            <w:r w:rsidRPr="00DA7BB2">
              <w:rPr>
                <w:color w:val="000000"/>
                <w:lang w:val="fr-FR"/>
              </w:rPr>
              <w:t xml:space="preserve"> de candidats, marque employeur</w:t>
            </w:r>
          </w:p>
        </w:tc>
        <w:tc>
          <w:tcPr>
            <w:tcW w:w="1860"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Partage de formations, interactions entre apprenants</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Large audience, networking</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Fiabilité des informations</w:t>
            </w:r>
          </w:p>
        </w:tc>
      </w:tr>
      <w:tr w:rsidR="00E772DD" w:rsidRPr="00DA7BB2" w:rsidTr="00224D6D">
        <w:tc>
          <w:tcPr>
            <w:tcW w:w="0" w:type="auto"/>
            <w:shd w:val="clear" w:color="auto" w:fill="D8DCD1"/>
            <w:vAlign w:val="center"/>
            <w:hideMark/>
          </w:tcPr>
          <w:p w:rsidR="00E772DD" w:rsidRPr="00005E0E" w:rsidRDefault="00E772DD" w:rsidP="00224D6D">
            <w:pPr>
              <w:spacing w:line="276" w:lineRule="auto"/>
              <w:rPr>
                <w:color w:val="000000"/>
                <w:lang w:val="fr-FR"/>
              </w:rPr>
            </w:pPr>
            <w:r w:rsidRPr="00005E0E">
              <w:rPr>
                <w:rStyle w:val="lev"/>
                <w:color w:val="000000"/>
                <w:lang w:val="fr-FR"/>
              </w:rPr>
              <w:t>Entretiens vidéo (Zoom, Teams, Skype)</w:t>
            </w:r>
          </w:p>
        </w:tc>
        <w:tc>
          <w:tcPr>
            <w:tcW w:w="1754"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Sélection à distance des candidats</w:t>
            </w:r>
          </w:p>
        </w:tc>
        <w:tc>
          <w:tcPr>
            <w:tcW w:w="1860"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Classes virtuelles et webinaires</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Gain de temps, flexibilité</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Manque d’interactions humaines</w:t>
            </w:r>
          </w:p>
        </w:tc>
      </w:tr>
      <w:tr w:rsidR="00E772DD" w:rsidRPr="00DA7BB2" w:rsidTr="00224D6D">
        <w:tc>
          <w:tcPr>
            <w:tcW w:w="0" w:type="auto"/>
            <w:shd w:val="clear" w:color="auto" w:fill="D8DCD1"/>
            <w:vAlign w:val="center"/>
            <w:hideMark/>
          </w:tcPr>
          <w:p w:rsidR="00E772DD" w:rsidRPr="00005E0E" w:rsidRDefault="00E772DD" w:rsidP="00224D6D">
            <w:pPr>
              <w:spacing w:line="276" w:lineRule="auto"/>
              <w:rPr>
                <w:color w:val="000000"/>
                <w:lang w:val="fr-FR"/>
              </w:rPr>
            </w:pPr>
            <w:r w:rsidRPr="00005E0E">
              <w:rPr>
                <w:rStyle w:val="lev"/>
                <w:color w:val="000000"/>
                <w:lang w:val="fr-FR"/>
              </w:rPr>
              <w:t>Intelligence Artificielle (IA) et Big Data</w:t>
            </w:r>
          </w:p>
        </w:tc>
        <w:tc>
          <w:tcPr>
            <w:tcW w:w="1754"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Tri et sélection automatisés des CV</w:t>
            </w:r>
          </w:p>
        </w:tc>
        <w:tc>
          <w:tcPr>
            <w:tcW w:w="1860"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Personnalisation des parcours d’apprentissage</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Optimisation du ciblage</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Risque de biais algorithmiques</w:t>
            </w:r>
          </w:p>
        </w:tc>
      </w:tr>
      <w:tr w:rsidR="00E772DD" w:rsidRPr="00427D18" w:rsidTr="00224D6D">
        <w:trPr>
          <w:trHeight w:val="1566"/>
        </w:trPr>
        <w:tc>
          <w:tcPr>
            <w:tcW w:w="0" w:type="auto"/>
            <w:shd w:val="clear" w:color="auto" w:fill="D8DCD1"/>
            <w:vAlign w:val="center"/>
            <w:hideMark/>
          </w:tcPr>
          <w:p w:rsidR="00E772DD" w:rsidRPr="005B2A02" w:rsidRDefault="00E772DD" w:rsidP="00224D6D">
            <w:pPr>
              <w:spacing w:line="276" w:lineRule="auto"/>
              <w:rPr>
                <w:color w:val="000000"/>
                <w:lang w:val="en-US"/>
              </w:rPr>
            </w:pPr>
            <w:r w:rsidRPr="005B2A02">
              <w:rPr>
                <w:rStyle w:val="lev"/>
                <w:color w:val="000000"/>
                <w:lang w:val="en-US"/>
              </w:rPr>
              <w:t>ERP RH (SAP, Workday, Odoo)</w:t>
            </w:r>
          </w:p>
        </w:tc>
        <w:tc>
          <w:tcPr>
            <w:tcW w:w="1754"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Gestion centralisée du recrutement et des candidatures</w:t>
            </w:r>
          </w:p>
        </w:tc>
        <w:tc>
          <w:tcPr>
            <w:tcW w:w="1860"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Suivi des compétences et formations internes</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Intégration complète avec la GPRH</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Complexité de mise en place</w:t>
            </w:r>
          </w:p>
        </w:tc>
      </w:tr>
      <w:tr w:rsidR="00E772DD" w:rsidRPr="00427D18" w:rsidTr="00224D6D">
        <w:trPr>
          <w:trHeight w:val="1134"/>
        </w:trPr>
        <w:tc>
          <w:tcPr>
            <w:tcW w:w="0" w:type="auto"/>
            <w:shd w:val="clear" w:color="auto" w:fill="D8DCD1"/>
            <w:vAlign w:val="center"/>
            <w:hideMark/>
          </w:tcPr>
          <w:p w:rsidR="00E772DD" w:rsidRPr="005B2A02" w:rsidRDefault="00E772DD" w:rsidP="00224D6D">
            <w:pPr>
              <w:spacing w:line="276" w:lineRule="auto"/>
              <w:rPr>
                <w:color w:val="000000"/>
                <w:lang w:val="en-US"/>
              </w:rPr>
            </w:pPr>
            <w:r w:rsidRPr="005B2A02">
              <w:rPr>
                <w:rStyle w:val="lev"/>
                <w:color w:val="000000"/>
                <w:lang w:val="en-US"/>
              </w:rPr>
              <w:t>MOOCs et LMS (Moodle, Blackboard)</w:t>
            </w:r>
          </w:p>
        </w:tc>
        <w:tc>
          <w:tcPr>
            <w:tcW w:w="1754"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Non applicable</w:t>
            </w:r>
          </w:p>
        </w:tc>
        <w:tc>
          <w:tcPr>
            <w:tcW w:w="1860" w:type="dxa"/>
            <w:vAlign w:val="center"/>
            <w:hideMark/>
          </w:tcPr>
          <w:p w:rsidR="00E772DD" w:rsidRPr="00DA7BB2" w:rsidRDefault="00E772DD" w:rsidP="00224D6D">
            <w:pPr>
              <w:spacing w:line="276" w:lineRule="auto"/>
              <w:jc w:val="center"/>
              <w:rPr>
                <w:color w:val="000000"/>
                <w:lang w:val="fr-FR"/>
              </w:rPr>
            </w:pPr>
            <w:r w:rsidRPr="00DA7BB2">
              <w:rPr>
                <w:color w:val="000000"/>
                <w:lang w:val="fr-FR"/>
              </w:rPr>
              <w:t>Plateformes de formation en ligne</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Flexibilité, accès illimité</w:t>
            </w:r>
          </w:p>
        </w:tc>
        <w:tc>
          <w:tcPr>
            <w:tcW w:w="0" w:type="auto"/>
            <w:vAlign w:val="center"/>
            <w:hideMark/>
          </w:tcPr>
          <w:p w:rsidR="00E772DD" w:rsidRPr="00DA7BB2" w:rsidRDefault="00E772DD" w:rsidP="00224D6D">
            <w:pPr>
              <w:spacing w:line="276" w:lineRule="auto"/>
              <w:jc w:val="center"/>
              <w:rPr>
                <w:color w:val="000000"/>
                <w:lang w:val="fr-FR"/>
              </w:rPr>
            </w:pPr>
            <w:r w:rsidRPr="00DA7BB2">
              <w:rPr>
                <w:color w:val="000000"/>
                <w:lang w:val="fr-FR"/>
              </w:rPr>
              <w:t>Engagement des apprenants parfois faible</w:t>
            </w:r>
          </w:p>
        </w:tc>
      </w:tr>
    </w:tbl>
    <w:p w:rsidR="00E772DD" w:rsidRPr="00DA7BB2" w:rsidRDefault="00E772DD" w:rsidP="001521FD">
      <w:pPr>
        <w:spacing w:before="100" w:beforeAutospacing="1" w:after="100" w:afterAutospacing="1" w:line="360" w:lineRule="auto"/>
        <w:jc w:val="center"/>
        <w:outlineLvl w:val="3"/>
        <w:rPr>
          <w:rFonts w:asciiTheme="majorBidi" w:hAnsiTheme="majorBidi" w:cstheme="majorBidi"/>
          <w:b/>
          <w:bCs/>
          <w:color w:val="000000"/>
          <w:lang w:val="fr-FR"/>
        </w:rPr>
      </w:pPr>
      <w:r w:rsidRPr="00DA7BB2">
        <w:rPr>
          <w:rFonts w:asciiTheme="majorBidi" w:hAnsiTheme="majorBidi" w:cstheme="majorBidi"/>
          <w:b/>
          <w:bCs/>
          <w:color w:val="000000"/>
          <w:lang w:val="fr-FR"/>
        </w:rPr>
        <w:t xml:space="preserve">Source : </w:t>
      </w:r>
      <w:r w:rsidRPr="00DA7BB2">
        <w:rPr>
          <w:rFonts w:asciiTheme="majorBidi" w:hAnsiTheme="majorBidi" w:cstheme="majorBidi"/>
          <w:color w:val="000000"/>
          <w:lang w:val="fr-FR"/>
        </w:rPr>
        <w:t>Élaboration personnelle.</w:t>
      </w:r>
    </w:p>
    <w:p w:rsidR="00E772DD" w:rsidRPr="00DB602C" w:rsidRDefault="00DB602C" w:rsidP="004D32AC">
      <w:pPr>
        <w:pStyle w:val="Titre3"/>
        <w:numPr>
          <w:ilvl w:val="1"/>
          <w:numId w:val="187"/>
        </w:numPr>
        <w:spacing w:after="0" w:afterAutospacing="0" w:line="360" w:lineRule="auto"/>
        <w:rPr>
          <w:sz w:val="24"/>
          <w:szCs w:val="24"/>
          <w:lang w:val="fr-FR"/>
        </w:rPr>
      </w:pPr>
      <w:r>
        <w:rPr>
          <w:sz w:val="24"/>
          <w:szCs w:val="24"/>
          <w:lang w:val="fr-FR"/>
        </w:rPr>
        <w:t xml:space="preserve"> </w:t>
      </w:r>
      <w:bookmarkStart w:id="1877" w:name="_Toc199714504"/>
      <w:bookmarkStart w:id="1878" w:name="_Toc200486782"/>
      <w:bookmarkStart w:id="1879" w:name="_Toc200635558"/>
      <w:bookmarkStart w:id="1880" w:name="_Toc200635946"/>
      <w:bookmarkStart w:id="1881" w:name="_Toc200636335"/>
      <w:bookmarkStart w:id="1882" w:name="_Toc200756073"/>
      <w:r w:rsidR="00E772DD" w:rsidRPr="00DB602C">
        <w:rPr>
          <w:sz w:val="24"/>
          <w:szCs w:val="24"/>
          <w:lang w:val="fr-FR"/>
        </w:rPr>
        <w:t>L’e-recrutement et son impact sur la gestion prévisionnelle des RH</w:t>
      </w:r>
      <w:bookmarkEnd w:id="1877"/>
      <w:bookmarkEnd w:id="1878"/>
      <w:bookmarkEnd w:id="1879"/>
      <w:bookmarkEnd w:id="1880"/>
      <w:bookmarkEnd w:id="1881"/>
      <w:bookmarkEnd w:id="1882"/>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L’intégration des outils numériques dans le recrutement transforme profondément la manière dont les entreprises anticipent et ajustent leurs effectifs.</w:t>
      </w:r>
    </w:p>
    <w:p w:rsidR="00E772DD" w:rsidRPr="001521FD" w:rsidRDefault="00E772DD" w:rsidP="004D32AC">
      <w:pPr>
        <w:pStyle w:val="Titre4"/>
        <w:numPr>
          <w:ilvl w:val="0"/>
          <w:numId w:val="119"/>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 accès élargi aux talents et une meilleure anticipation des besoins</w:t>
      </w:r>
    </w:p>
    <w:p w:rsidR="00E772DD" w:rsidRPr="001521FD" w:rsidRDefault="00E772DD" w:rsidP="001521FD">
      <w:pPr>
        <w:pStyle w:val="NormalWeb"/>
        <w:spacing w:before="0" w:beforeAutospacing="0" w:after="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Grâce à l’e-recrutement, les entreprises peuvent</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cibler un vivier de talents plus large</w:t>
      </w:r>
      <w:r w:rsidRPr="001521FD">
        <w:rPr>
          <w:rStyle w:val="apple-converted-space"/>
          <w:rFonts w:asciiTheme="majorBidi" w:hAnsiTheme="majorBidi" w:cstheme="majorBidi"/>
          <w:color w:val="000000"/>
          <w:lang w:val="fr-FR"/>
        </w:rPr>
        <w:t> </w:t>
      </w:r>
      <w:r w:rsidRPr="001521FD">
        <w:rPr>
          <w:rFonts w:asciiTheme="majorBidi" w:hAnsiTheme="majorBidi" w:cstheme="majorBidi"/>
          <w:color w:val="000000"/>
          <w:lang w:val="fr-FR"/>
        </w:rPr>
        <w:t xml:space="preserve">et anticiper plus précisément leurs besoins futurs en compétences. Les bases de données de </w:t>
      </w:r>
      <w:r w:rsidRPr="001521FD">
        <w:rPr>
          <w:rFonts w:asciiTheme="majorBidi" w:hAnsiTheme="majorBidi" w:cstheme="majorBidi"/>
          <w:color w:val="000000"/>
          <w:lang w:val="fr-FR"/>
        </w:rPr>
        <w:lastRenderedPageBreak/>
        <w:t>candidats, les algorithmes d’intelligence artificielle et les plateformes de recrutement en ligne permettent une meilleure prévision des profils requis à moyen et long terme</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56"/>
      </w:r>
    </w:p>
    <w:p w:rsidR="00E772DD" w:rsidRPr="001521FD" w:rsidRDefault="00E772DD" w:rsidP="004D32AC">
      <w:pPr>
        <w:pStyle w:val="Titre4"/>
        <w:numPr>
          <w:ilvl w:val="0"/>
          <w:numId w:val="119"/>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Une analyse prédictive pour optimiser la gestion des effectifs</w:t>
      </w:r>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Les logiciels de gestion des talents intégrés aux ERP et aux ATS (</w:t>
      </w:r>
      <w:proofErr w:type="spellStart"/>
      <w:r w:rsidRPr="001521FD">
        <w:rPr>
          <w:rFonts w:asciiTheme="majorBidi" w:hAnsiTheme="majorBidi" w:cstheme="majorBidi"/>
          <w:color w:val="000000"/>
          <w:lang w:val="fr-FR"/>
        </w:rPr>
        <w:t>Applicant</w:t>
      </w:r>
      <w:proofErr w:type="spellEnd"/>
      <w:r w:rsidRPr="001521FD">
        <w:rPr>
          <w:rFonts w:asciiTheme="majorBidi" w:hAnsiTheme="majorBidi" w:cstheme="majorBidi"/>
          <w:color w:val="000000"/>
          <w:lang w:val="fr-FR"/>
        </w:rPr>
        <w:t xml:space="preserve"> </w:t>
      </w:r>
      <w:proofErr w:type="spellStart"/>
      <w:r w:rsidRPr="001521FD">
        <w:rPr>
          <w:rFonts w:asciiTheme="majorBidi" w:hAnsiTheme="majorBidi" w:cstheme="majorBidi"/>
          <w:color w:val="000000"/>
          <w:lang w:val="fr-FR"/>
        </w:rPr>
        <w:t>Tracking</w:t>
      </w:r>
      <w:proofErr w:type="spellEnd"/>
      <w:r w:rsidRPr="001521FD">
        <w:rPr>
          <w:rFonts w:asciiTheme="majorBidi" w:hAnsiTheme="majorBidi" w:cstheme="majorBidi"/>
          <w:color w:val="000000"/>
          <w:lang w:val="fr-FR"/>
        </w:rPr>
        <w:t xml:space="preserve"> </w:t>
      </w:r>
      <w:proofErr w:type="spellStart"/>
      <w:r w:rsidRPr="001521FD">
        <w:rPr>
          <w:rFonts w:asciiTheme="majorBidi" w:hAnsiTheme="majorBidi" w:cstheme="majorBidi"/>
          <w:color w:val="000000"/>
          <w:lang w:val="fr-FR"/>
        </w:rPr>
        <w:t>Systems</w:t>
      </w:r>
      <w:proofErr w:type="spellEnd"/>
      <w:r w:rsidRPr="001521FD">
        <w:rPr>
          <w:rFonts w:asciiTheme="majorBidi" w:hAnsiTheme="majorBidi" w:cstheme="majorBidi"/>
          <w:color w:val="000000"/>
          <w:lang w:val="fr-FR"/>
        </w:rPr>
        <w:t>) permettent d’analyser les tendances du marché du travail et d’anticiper les évolutions des effectifs en fonction des besoins stratégiques de l’entreprise</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57"/>
      </w:r>
    </w:p>
    <w:p w:rsidR="00E772DD" w:rsidRPr="001521FD" w:rsidRDefault="00E772DD" w:rsidP="004D32AC">
      <w:pPr>
        <w:pStyle w:val="Titre4"/>
        <w:numPr>
          <w:ilvl w:val="0"/>
          <w:numId w:val="119"/>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Une réduction des délais et des coûts de recrutement</w:t>
      </w:r>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L’automatisation des processus grâce aux outils numériques accélère le recrutement et réduit les coûts associés à la recherche et à la sélection des candidats. Cela permet aux entreprises d’</w:t>
      </w:r>
      <w:r w:rsidRPr="001521FD">
        <w:rPr>
          <w:rStyle w:val="lev"/>
          <w:rFonts w:asciiTheme="majorBidi" w:hAnsiTheme="majorBidi" w:cstheme="majorBidi"/>
          <w:b w:val="0"/>
          <w:bCs w:val="0"/>
          <w:color w:val="000000"/>
          <w:lang w:val="fr-FR"/>
        </w:rPr>
        <w:t>ajuster rapidement leurs effectifs</w:t>
      </w:r>
      <w:r w:rsidRPr="001521FD">
        <w:rPr>
          <w:rStyle w:val="apple-converted-space"/>
          <w:rFonts w:asciiTheme="majorBidi" w:hAnsiTheme="majorBidi" w:cstheme="majorBidi"/>
          <w:color w:val="000000"/>
          <w:lang w:val="fr-FR"/>
        </w:rPr>
        <w:t> </w:t>
      </w:r>
      <w:r w:rsidRPr="001521FD">
        <w:rPr>
          <w:rFonts w:asciiTheme="majorBidi" w:hAnsiTheme="majorBidi" w:cstheme="majorBidi"/>
          <w:color w:val="000000"/>
          <w:lang w:val="fr-FR"/>
        </w:rPr>
        <w:t>en fonction des variations d’activité</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58"/>
      </w:r>
    </w:p>
    <w:p w:rsidR="00E772DD" w:rsidRPr="00DB602C" w:rsidRDefault="00DB602C" w:rsidP="004D32AC">
      <w:pPr>
        <w:pStyle w:val="Titre3"/>
        <w:numPr>
          <w:ilvl w:val="1"/>
          <w:numId w:val="187"/>
        </w:numPr>
        <w:spacing w:after="0" w:afterAutospacing="0" w:line="360" w:lineRule="auto"/>
        <w:rPr>
          <w:sz w:val="24"/>
          <w:szCs w:val="24"/>
          <w:lang w:val="fr-FR"/>
        </w:rPr>
      </w:pPr>
      <w:r>
        <w:rPr>
          <w:sz w:val="24"/>
          <w:szCs w:val="24"/>
          <w:lang w:val="fr-FR"/>
        </w:rPr>
        <w:t xml:space="preserve"> </w:t>
      </w:r>
      <w:bookmarkStart w:id="1883" w:name="_Toc199714505"/>
      <w:bookmarkStart w:id="1884" w:name="_Toc200486783"/>
      <w:bookmarkStart w:id="1885" w:name="_Toc200635559"/>
      <w:bookmarkStart w:id="1886" w:name="_Toc200635947"/>
      <w:bookmarkStart w:id="1887" w:name="_Toc200636336"/>
      <w:bookmarkStart w:id="1888" w:name="_Toc200756074"/>
      <w:r w:rsidR="00E772DD" w:rsidRPr="00DB602C">
        <w:rPr>
          <w:sz w:val="24"/>
          <w:szCs w:val="24"/>
          <w:lang w:val="fr-FR"/>
        </w:rPr>
        <w:t>L’e-formation et son impact sur la gestion prévisionnelle des RH</w:t>
      </w:r>
      <w:bookmarkEnd w:id="1883"/>
      <w:bookmarkEnd w:id="1884"/>
      <w:bookmarkEnd w:id="1885"/>
      <w:bookmarkEnd w:id="1886"/>
      <w:bookmarkEnd w:id="1887"/>
      <w:bookmarkEnd w:id="1888"/>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L’e-formation contribue à la GPRH en facilitant le développement continu des compétences des employés et en alignant les ressources humaines avec les évolutions du marché.</w:t>
      </w:r>
    </w:p>
    <w:p w:rsidR="00E772DD" w:rsidRPr="001521FD" w:rsidRDefault="00E772DD" w:rsidP="004D32AC">
      <w:pPr>
        <w:pStyle w:val="Titre4"/>
        <w:numPr>
          <w:ilvl w:val="0"/>
          <w:numId w:val="119"/>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Une montée en compétence rapide et adaptée aux besoins de l’entreprise</w:t>
      </w:r>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L’e-formation permet aux entreprises de proposer des</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parcours d’apprentissage sur mesure</w:t>
      </w:r>
      <w:r w:rsidRPr="001521FD">
        <w:rPr>
          <w:rFonts w:asciiTheme="majorBidi" w:hAnsiTheme="majorBidi" w:cstheme="majorBidi"/>
          <w:color w:val="000000"/>
          <w:lang w:val="fr-FR"/>
        </w:rPr>
        <w:t xml:space="preserve">, adaptés aux besoins évolutifs de l’organisation. Les plateformes LMS (Learning Management </w:t>
      </w:r>
      <w:proofErr w:type="spellStart"/>
      <w:r w:rsidRPr="001521FD">
        <w:rPr>
          <w:rFonts w:asciiTheme="majorBidi" w:hAnsiTheme="majorBidi" w:cstheme="majorBidi"/>
          <w:color w:val="000000"/>
          <w:lang w:val="fr-FR"/>
        </w:rPr>
        <w:t>Systems</w:t>
      </w:r>
      <w:proofErr w:type="spellEnd"/>
      <w:r w:rsidRPr="001521FD">
        <w:rPr>
          <w:rFonts w:asciiTheme="majorBidi" w:hAnsiTheme="majorBidi" w:cstheme="majorBidi"/>
          <w:color w:val="000000"/>
          <w:lang w:val="fr-FR"/>
        </w:rPr>
        <w:t>) offrent des formations personnalisées, accessibles à tout moment, favorisant ainsi une montée en compétence rapide</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59"/>
      </w:r>
    </w:p>
    <w:p w:rsidR="00E772DD" w:rsidRPr="001521FD" w:rsidRDefault="00E772DD" w:rsidP="004D32AC">
      <w:pPr>
        <w:pStyle w:val="Titre4"/>
        <w:numPr>
          <w:ilvl w:val="0"/>
          <w:numId w:val="119"/>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t>Une meilleure rétention des talents et une adaptation aux nouvelles exigences du marché</w:t>
      </w:r>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Les entreprises qui investissent dans l’e-formation augmentent la satisfaction et la fidélisation de leurs employés, réduisant ainsi le turnover et facilitant la gestion prévisionnelle des carrières</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60"/>
      </w:r>
    </w:p>
    <w:p w:rsidR="00E772DD" w:rsidRPr="001521FD" w:rsidRDefault="00E772DD" w:rsidP="004D32AC">
      <w:pPr>
        <w:pStyle w:val="Titre4"/>
        <w:numPr>
          <w:ilvl w:val="0"/>
          <w:numId w:val="119"/>
        </w:numPr>
        <w:spacing w:before="0" w:line="360" w:lineRule="auto"/>
        <w:ind w:left="360"/>
        <w:jc w:val="both"/>
        <w:rPr>
          <w:rFonts w:asciiTheme="majorBidi" w:hAnsiTheme="majorBidi"/>
          <w:i w:val="0"/>
          <w:iCs w:val="0"/>
          <w:color w:val="000000"/>
          <w:lang w:val="fr-FR"/>
        </w:rPr>
      </w:pPr>
      <w:r w:rsidRPr="001521FD">
        <w:rPr>
          <w:rStyle w:val="lev"/>
          <w:rFonts w:asciiTheme="majorBidi" w:hAnsiTheme="majorBidi"/>
          <w:i w:val="0"/>
          <w:iCs w:val="0"/>
          <w:color w:val="000000"/>
          <w:lang w:val="fr-FR"/>
        </w:rPr>
        <w:lastRenderedPageBreak/>
        <w:t>L’intégration des outils d’intelligence artificielle pour le suivi des compétences</w:t>
      </w:r>
    </w:p>
    <w:p w:rsidR="00E772DD" w:rsidRPr="001521FD" w:rsidRDefault="00E772DD" w:rsidP="001521FD">
      <w:pPr>
        <w:pStyle w:val="NormalWeb"/>
        <w:spacing w:before="0" w:beforeAutospacing="0" w:after="240" w:afterAutospacing="0" w:line="360" w:lineRule="auto"/>
        <w:jc w:val="both"/>
        <w:rPr>
          <w:rFonts w:asciiTheme="majorBidi" w:hAnsiTheme="majorBidi" w:cstheme="majorBidi"/>
          <w:color w:val="000000"/>
          <w:lang w:val="fr-FR"/>
        </w:rPr>
      </w:pPr>
      <w:r w:rsidRPr="001521FD">
        <w:rPr>
          <w:rFonts w:asciiTheme="majorBidi" w:hAnsiTheme="majorBidi" w:cstheme="majorBidi"/>
          <w:color w:val="000000"/>
          <w:lang w:val="fr-FR"/>
        </w:rPr>
        <w:t>Les solutions digitales permettent d’analyser en temps réel l’évolution des compétences et de recommander des formations ciblées en fonction des besoins futurs de l’entreprise. Cela contribue à une</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gestion proactive des talents</w:t>
      </w:r>
      <w:r w:rsidRPr="001521FD">
        <w:rPr>
          <w:rStyle w:val="apple-converted-space"/>
          <w:rFonts w:asciiTheme="majorBidi" w:hAnsiTheme="majorBidi" w:cstheme="majorBidi"/>
          <w:color w:val="000000"/>
          <w:lang w:val="fr-FR"/>
        </w:rPr>
        <w:t> </w:t>
      </w:r>
      <w:r w:rsidRPr="001521FD">
        <w:rPr>
          <w:rFonts w:asciiTheme="majorBidi" w:hAnsiTheme="majorBidi" w:cstheme="majorBidi"/>
          <w:color w:val="000000"/>
          <w:lang w:val="fr-FR"/>
        </w:rPr>
        <w:t>et à une meilleure anticipation des évolutions du marché du travail</w:t>
      </w:r>
      <w:r w:rsidR="003A1F0E">
        <w:rPr>
          <w:rFonts w:asciiTheme="majorBidi" w:hAnsiTheme="majorBidi" w:cstheme="majorBidi"/>
          <w:color w:val="000000"/>
          <w:lang w:val="fr-FR"/>
        </w:rPr>
        <w:t>.</w:t>
      </w:r>
      <w:r w:rsidRPr="001521FD">
        <w:rPr>
          <w:rStyle w:val="Appelnotedebasdep"/>
          <w:rFonts w:cstheme="majorBidi"/>
          <w:color w:val="000000"/>
          <w:lang w:val="fr-FR"/>
        </w:rPr>
        <w:footnoteReference w:id="361"/>
      </w:r>
    </w:p>
    <w:p w:rsidR="00E772DD" w:rsidRDefault="00E772DD" w:rsidP="001521FD">
      <w:pPr>
        <w:pStyle w:val="NormalWeb"/>
        <w:spacing w:before="0" w:beforeAutospacing="0" w:after="0" w:afterAutospacing="0" w:line="360" w:lineRule="auto"/>
        <w:jc w:val="both"/>
        <w:rPr>
          <w:rFonts w:asciiTheme="majorBidi" w:hAnsiTheme="majorBidi" w:cstheme="majorBidi"/>
          <w:b/>
          <w:bCs/>
          <w:color w:val="000000"/>
          <w:lang w:val="fr-FR"/>
        </w:rPr>
      </w:pPr>
      <w:r w:rsidRPr="001521FD">
        <w:rPr>
          <w:rFonts w:asciiTheme="majorBidi" w:hAnsiTheme="majorBidi" w:cstheme="majorBidi"/>
          <w:color w:val="000000"/>
          <w:lang w:val="fr-FR"/>
        </w:rPr>
        <w:t>L’e-recrutement et l’e-formation jouent un rôle clé dans la gestion prévisionnelle des RH en</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optimisant l’identification, l’acquisition et le développement des compétences</w:t>
      </w:r>
      <w:r w:rsidRPr="001521FD">
        <w:rPr>
          <w:rFonts w:asciiTheme="majorBidi" w:hAnsiTheme="majorBidi" w:cstheme="majorBidi"/>
          <w:b/>
          <w:bCs/>
          <w:color w:val="000000"/>
          <w:lang w:val="fr-FR"/>
        </w:rPr>
        <w:t>.</w:t>
      </w:r>
      <w:r w:rsidRPr="001521FD">
        <w:rPr>
          <w:rFonts w:asciiTheme="majorBidi" w:hAnsiTheme="majorBidi" w:cstheme="majorBidi"/>
          <w:color w:val="000000"/>
          <w:lang w:val="fr-FR"/>
        </w:rPr>
        <w:t xml:space="preserve"> Grâce aux outils numériques, les entreprises peuvent ajuster leurs effectifs plus efficacement, réduire les coûts et anticiper les besoins en compétences. Cependant, leur efficacité repose sur une</w:t>
      </w:r>
      <w:r w:rsidRPr="001521FD">
        <w:rPr>
          <w:rStyle w:val="apple-converted-space"/>
          <w:rFonts w:asciiTheme="majorBidi" w:hAnsiTheme="majorBidi" w:cstheme="majorBidi"/>
          <w:color w:val="000000"/>
          <w:lang w:val="fr-FR"/>
        </w:rPr>
        <w:t> </w:t>
      </w:r>
      <w:r w:rsidRPr="001521FD">
        <w:rPr>
          <w:rStyle w:val="lev"/>
          <w:rFonts w:asciiTheme="majorBidi" w:hAnsiTheme="majorBidi" w:cstheme="majorBidi"/>
          <w:b w:val="0"/>
          <w:bCs w:val="0"/>
          <w:color w:val="000000"/>
          <w:lang w:val="fr-FR"/>
        </w:rPr>
        <w:t>intégration stratégique et une complémentarité avec les approches traditionnelles</w:t>
      </w:r>
      <w:r w:rsidRPr="00041AE7">
        <w:rPr>
          <w:rFonts w:asciiTheme="majorBidi" w:hAnsiTheme="majorBidi" w:cstheme="majorBidi"/>
          <w:color w:val="000000"/>
          <w:lang w:val="fr-FR"/>
        </w:rPr>
        <w:t>.</w:t>
      </w:r>
    </w:p>
    <w:p w:rsidR="00E772DD" w:rsidRDefault="00E772DD" w:rsidP="001521FD">
      <w:pPr>
        <w:pStyle w:val="NormalWeb"/>
        <w:spacing w:before="0" w:beforeAutospacing="0" w:after="0" w:afterAutospacing="0" w:line="360" w:lineRule="auto"/>
        <w:jc w:val="both"/>
        <w:rPr>
          <w:rFonts w:asciiTheme="majorBidi" w:hAnsiTheme="majorBidi" w:cstheme="majorBidi"/>
          <w:b/>
          <w:bCs/>
          <w:color w:val="000000"/>
          <w:lang w:val="fr-FR"/>
        </w:rPr>
      </w:pPr>
    </w:p>
    <w:p w:rsidR="00E772DD" w:rsidRDefault="00E772DD" w:rsidP="001521FD">
      <w:pPr>
        <w:pStyle w:val="NormalWeb"/>
        <w:spacing w:before="0" w:beforeAutospacing="0" w:after="0" w:afterAutospacing="0" w:line="360" w:lineRule="auto"/>
        <w:jc w:val="both"/>
        <w:rPr>
          <w:rFonts w:asciiTheme="majorBidi" w:hAnsiTheme="majorBidi" w:cstheme="majorBidi"/>
          <w:b/>
          <w:bCs/>
          <w:color w:val="000000"/>
          <w:lang w:val="fr-FR"/>
        </w:rPr>
      </w:pPr>
    </w:p>
    <w:p w:rsidR="00E772DD" w:rsidRDefault="00E772DD" w:rsidP="001521FD">
      <w:pPr>
        <w:pStyle w:val="NormalWeb"/>
        <w:spacing w:before="0" w:beforeAutospacing="0" w:after="0" w:afterAutospacing="0" w:line="360" w:lineRule="auto"/>
        <w:jc w:val="both"/>
        <w:rPr>
          <w:rFonts w:asciiTheme="majorBidi" w:hAnsiTheme="majorBidi" w:cstheme="majorBidi"/>
          <w:b/>
          <w:bCs/>
          <w:color w:val="000000"/>
          <w:lang w:val="fr-FR"/>
        </w:rPr>
      </w:pPr>
    </w:p>
    <w:p w:rsidR="00E772DD" w:rsidRDefault="00E772DD" w:rsidP="001521FD">
      <w:pPr>
        <w:pStyle w:val="NormalWeb"/>
        <w:spacing w:before="0" w:beforeAutospacing="0" w:after="0" w:afterAutospacing="0" w:line="360" w:lineRule="auto"/>
        <w:jc w:val="both"/>
        <w:rPr>
          <w:rFonts w:asciiTheme="majorBidi" w:hAnsiTheme="majorBidi" w:cstheme="majorBidi"/>
          <w:b/>
          <w:bCs/>
          <w:color w:val="000000"/>
          <w:lang w:val="fr-FR"/>
        </w:rPr>
      </w:pPr>
    </w:p>
    <w:p w:rsidR="00E772DD" w:rsidRPr="001521FD" w:rsidRDefault="00E772DD" w:rsidP="001521FD">
      <w:pPr>
        <w:pStyle w:val="NormalWeb"/>
        <w:spacing w:before="0" w:beforeAutospacing="0" w:after="0" w:afterAutospacing="0" w:line="360" w:lineRule="auto"/>
        <w:jc w:val="both"/>
        <w:rPr>
          <w:rFonts w:asciiTheme="majorBidi" w:hAnsiTheme="majorBidi" w:cstheme="majorBidi"/>
          <w:color w:val="000000"/>
          <w:lang w:val="fr-FR"/>
        </w:rPr>
      </w:pPr>
    </w:p>
    <w:p w:rsidR="00E772DD" w:rsidRDefault="00E772DD" w:rsidP="00041AE7">
      <w:pPr>
        <w:pStyle w:val="NormalWeb"/>
        <w:spacing w:line="360" w:lineRule="auto"/>
        <w:jc w:val="both"/>
        <w:rPr>
          <w:b/>
          <w:bCs/>
          <w:color w:val="000000"/>
          <w:sz w:val="28"/>
          <w:szCs w:val="28"/>
          <w:lang w:val="fr-FR"/>
        </w:rPr>
      </w:pPr>
    </w:p>
    <w:p w:rsidR="00E772DD" w:rsidRDefault="00E772DD" w:rsidP="00041AE7">
      <w:pPr>
        <w:pStyle w:val="NormalWeb"/>
        <w:spacing w:line="360" w:lineRule="auto"/>
        <w:jc w:val="both"/>
        <w:rPr>
          <w:b/>
          <w:bCs/>
          <w:color w:val="000000"/>
          <w:sz w:val="28"/>
          <w:szCs w:val="28"/>
          <w:lang w:val="fr-FR"/>
        </w:rPr>
      </w:pPr>
    </w:p>
    <w:p w:rsidR="00E772DD" w:rsidRDefault="00E772DD" w:rsidP="00041AE7">
      <w:pPr>
        <w:pStyle w:val="NormalWeb"/>
        <w:spacing w:line="360" w:lineRule="auto"/>
        <w:jc w:val="both"/>
        <w:rPr>
          <w:b/>
          <w:bCs/>
          <w:color w:val="000000"/>
          <w:sz w:val="28"/>
          <w:szCs w:val="28"/>
          <w:lang w:val="fr-FR"/>
        </w:rPr>
      </w:pPr>
    </w:p>
    <w:p w:rsidR="00E772DD" w:rsidRDefault="00E772DD" w:rsidP="00041AE7">
      <w:pPr>
        <w:pStyle w:val="NormalWeb"/>
        <w:spacing w:line="360" w:lineRule="auto"/>
        <w:jc w:val="both"/>
        <w:rPr>
          <w:b/>
          <w:bCs/>
          <w:color w:val="000000"/>
          <w:sz w:val="28"/>
          <w:szCs w:val="28"/>
          <w:lang w:val="fr-FR"/>
        </w:rPr>
      </w:pPr>
    </w:p>
    <w:p w:rsidR="003A1F0E" w:rsidRDefault="003A1F0E" w:rsidP="00041AE7">
      <w:pPr>
        <w:pStyle w:val="NormalWeb"/>
        <w:spacing w:line="360" w:lineRule="auto"/>
        <w:jc w:val="both"/>
        <w:rPr>
          <w:b/>
          <w:bCs/>
          <w:color w:val="000000"/>
          <w:sz w:val="28"/>
          <w:szCs w:val="28"/>
          <w:lang w:val="fr-FR"/>
        </w:rPr>
      </w:pPr>
    </w:p>
    <w:p w:rsidR="003A1F0E" w:rsidRDefault="003A1F0E" w:rsidP="00041AE7">
      <w:pPr>
        <w:pStyle w:val="NormalWeb"/>
        <w:spacing w:line="360" w:lineRule="auto"/>
        <w:jc w:val="both"/>
        <w:rPr>
          <w:b/>
          <w:bCs/>
          <w:color w:val="000000"/>
          <w:sz w:val="28"/>
          <w:szCs w:val="28"/>
          <w:lang w:val="fr-FR"/>
        </w:rPr>
      </w:pPr>
    </w:p>
    <w:p w:rsidR="003A1F0E" w:rsidRDefault="003A1F0E" w:rsidP="00041AE7">
      <w:pPr>
        <w:pStyle w:val="NormalWeb"/>
        <w:spacing w:line="360" w:lineRule="auto"/>
        <w:jc w:val="both"/>
        <w:rPr>
          <w:b/>
          <w:bCs/>
          <w:color w:val="000000"/>
          <w:sz w:val="28"/>
          <w:szCs w:val="28"/>
          <w:lang w:val="fr-FR"/>
        </w:rPr>
      </w:pPr>
    </w:p>
    <w:p w:rsidR="003A1F0E" w:rsidRDefault="003A1F0E" w:rsidP="00041AE7">
      <w:pPr>
        <w:pStyle w:val="NormalWeb"/>
        <w:spacing w:line="360" w:lineRule="auto"/>
        <w:jc w:val="both"/>
        <w:rPr>
          <w:b/>
          <w:bCs/>
          <w:color w:val="000000"/>
          <w:sz w:val="28"/>
          <w:szCs w:val="28"/>
          <w:lang w:val="fr-FR"/>
        </w:rPr>
      </w:pPr>
    </w:p>
    <w:p w:rsidR="00E772DD" w:rsidRPr="00194E42" w:rsidRDefault="00E772DD" w:rsidP="00194E42">
      <w:pPr>
        <w:pStyle w:val="Titre3"/>
        <w:rPr>
          <w:sz w:val="28"/>
          <w:szCs w:val="28"/>
          <w:lang w:val="fr-FR"/>
        </w:rPr>
      </w:pPr>
      <w:bookmarkStart w:id="1889" w:name="_Toc200486784"/>
      <w:bookmarkStart w:id="1890" w:name="_Toc200635560"/>
      <w:bookmarkStart w:id="1891" w:name="_Toc200635948"/>
      <w:bookmarkStart w:id="1892" w:name="_Toc200636337"/>
      <w:bookmarkStart w:id="1893" w:name="_Toc200756075"/>
      <w:r w:rsidRPr="00194E42">
        <w:rPr>
          <w:sz w:val="28"/>
          <w:szCs w:val="28"/>
          <w:lang w:val="fr-FR"/>
        </w:rPr>
        <w:lastRenderedPageBreak/>
        <w:t xml:space="preserve">Conclusion </w:t>
      </w:r>
      <w:r w:rsidR="00194E42" w:rsidRPr="00194E42">
        <w:rPr>
          <w:sz w:val="28"/>
          <w:szCs w:val="28"/>
          <w:lang w:val="fr-FR"/>
        </w:rPr>
        <w:t>du chapitre :</w:t>
      </w:r>
      <w:bookmarkEnd w:id="1889"/>
      <w:bookmarkEnd w:id="1890"/>
      <w:bookmarkEnd w:id="1891"/>
      <w:bookmarkEnd w:id="1892"/>
      <w:bookmarkEnd w:id="1893"/>
    </w:p>
    <w:p w:rsidR="00E772DD" w:rsidRPr="00041AE7" w:rsidRDefault="00E772DD" w:rsidP="00041AE7">
      <w:pPr>
        <w:pStyle w:val="NormalWeb"/>
        <w:spacing w:line="360" w:lineRule="auto"/>
        <w:jc w:val="both"/>
        <w:rPr>
          <w:b/>
          <w:bCs/>
          <w:color w:val="000000"/>
          <w:sz w:val="28"/>
          <w:szCs w:val="28"/>
          <w:lang w:val="fr-FR"/>
        </w:rPr>
      </w:pPr>
      <w:r w:rsidRPr="00041AE7">
        <w:rPr>
          <w:color w:val="000000"/>
          <w:lang w:val="fr-FR"/>
        </w:rPr>
        <w:t>Ce chapitre a permis d’explorer en profondeur l’impact du numérique sur la gestion des ressources humaines, mettant en évidence les changements majeurs qu’il induit au sein des entreprises. L’analyse menée a ainsi permis d’identifier les enjeux, les opportunités et les défis liés à la digitalisation de la GRH, tout en soulignant l’émergence de nouvelles approches comme l’e-recrutement et l’e-formation.</w:t>
      </w:r>
    </w:p>
    <w:p w:rsidR="00E772DD" w:rsidRPr="00041AE7" w:rsidRDefault="00E772DD" w:rsidP="00041AE7">
      <w:pPr>
        <w:pStyle w:val="NormalWeb"/>
        <w:spacing w:line="360" w:lineRule="auto"/>
        <w:jc w:val="both"/>
        <w:rPr>
          <w:color w:val="000000"/>
          <w:lang w:val="fr-FR"/>
        </w:rPr>
      </w:pPr>
      <w:r w:rsidRPr="00041AE7">
        <w:rPr>
          <w:color w:val="000000"/>
          <w:lang w:val="fr-FR"/>
        </w:rPr>
        <w:t>Nous avons constaté que l’intégration des technologies digitales optimise considérablement les processus RH, améliore l’expérience des collaborateurs et renforce la performance organisationnelle. Toutefois, cette transition ne se fait pas sans défis, notamment en ce qui concerne la résistance au changement, l’adaptation aux nouvelles compétences requises et les questions liées à la protection des données personnelles.</w:t>
      </w:r>
    </w:p>
    <w:p w:rsidR="00E772DD" w:rsidRPr="00041AE7" w:rsidRDefault="00E772DD" w:rsidP="00041AE7">
      <w:pPr>
        <w:pStyle w:val="NormalWeb"/>
        <w:spacing w:line="360" w:lineRule="auto"/>
        <w:jc w:val="both"/>
        <w:rPr>
          <w:color w:val="000000"/>
          <w:lang w:val="fr-FR"/>
        </w:rPr>
      </w:pPr>
      <w:r w:rsidRPr="00041AE7">
        <w:rPr>
          <w:color w:val="000000"/>
          <w:lang w:val="fr-FR"/>
        </w:rPr>
        <w:t>Dans la deuxième partie de ce chapitre, nous avons approfondi l’impact de la digitalisation sur les pratiques RH en examinant les innovations technologiques qui transforment le rôle des professionnels du secteur. De plus, l’étude des outils numériques dédiés à l’e-recrutement et à l’e-formation a permis de souligner leur rôle clé dans la modernisation des méthodes de travail, en rendant les processus plus efficaces, flexibles et adaptés aux besoins spécifiques des entreprises et des employés.</w:t>
      </w:r>
    </w:p>
    <w:p w:rsidR="00E772DD" w:rsidRPr="00041AE7" w:rsidRDefault="00E772DD" w:rsidP="00041AE7">
      <w:pPr>
        <w:pStyle w:val="NormalWeb"/>
        <w:spacing w:line="360" w:lineRule="auto"/>
        <w:jc w:val="both"/>
        <w:rPr>
          <w:color w:val="000000"/>
          <w:lang w:val="fr-FR"/>
        </w:rPr>
      </w:pPr>
      <w:r w:rsidRPr="00041AE7">
        <w:rPr>
          <w:color w:val="000000"/>
          <w:lang w:val="fr-FR"/>
        </w:rPr>
        <w:t>Malgré ses nombreux avantages, cette transformation soulève encore des problématiques à résoudre, telles que la nécessité de suivre l’évolution rapide des technologies et d’adopter une gestion responsable des données. Cela ouvre la voie à de nouvelles recherches visant à mieux comprendre l’impact de ces mutations sur les entreprises et à identifier les stratégies les plus efficaces pour tirer pleinement parti du digital tout en limitant ses contraintes.</w:t>
      </w:r>
    </w:p>
    <w:p w:rsidR="002E6982" w:rsidRDefault="00E772DD" w:rsidP="00041AE7">
      <w:pPr>
        <w:pStyle w:val="NormalWeb"/>
        <w:spacing w:line="360" w:lineRule="auto"/>
        <w:jc w:val="both"/>
        <w:rPr>
          <w:color w:val="000000"/>
          <w:lang w:val="fr-FR"/>
        </w:rPr>
        <w:sectPr w:rsidR="002E6982" w:rsidSect="00376CBF">
          <w:headerReference w:type="default" r:id="rId105"/>
          <w:footerReference w:type="default" r:id="rId106"/>
          <w:pgSz w:w="11900" w:h="16840"/>
          <w:pgMar w:top="1440" w:right="1440" w:bottom="1440" w:left="1440" w:header="708" w:footer="708" w:gutter="0"/>
          <w:cols w:space="708"/>
          <w:docGrid w:linePitch="360"/>
        </w:sectPr>
      </w:pPr>
      <w:r w:rsidRPr="00041AE7">
        <w:rPr>
          <w:color w:val="000000"/>
          <w:lang w:val="fr-FR"/>
        </w:rPr>
        <w:t>En conclusion, la digitalisation de la GRH constitue un levier stratégique incontournable pour les organisations souhaitant s’adapter aux évolutions du monde du travail. En intégrant ces innovations de manière structurée et progressive, les entreprises peuvent non seulement améliorer leur gestion des ressources humaines, mais aussi créer un environnement plus agile et performant, en adéquation avec les attentes des nouvelles générations de travailleurs</w:t>
      </w:r>
      <w:r w:rsidR="00A76E4F">
        <w:rPr>
          <w:color w:val="000000"/>
          <w:lang w:val="fr-FR"/>
        </w:rPr>
        <w:t>.</w:t>
      </w:r>
    </w:p>
    <w:p w:rsidR="00D200FC" w:rsidRDefault="00D200FC" w:rsidP="00041AE7">
      <w:pPr>
        <w:pStyle w:val="NormalWeb"/>
        <w:spacing w:line="360" w:lineRule="auto"/>
        <w:jc w:val="both"/>
        <w:rPr>
          <w:color w:val="000000"/>
          <w:lang w:val="fr-FR"/>
        </w:rPr>
        <w:sectPr w:rsidR="00D200FC" w:rsidSect="002E6982">
          <w:type w:val="continuous"/>
          <w:pgSz w:w="11900" w:h="16840"/>
          <w:pgMar w:top="1440" w:right="1440" w:bottom="1440" w:left="1440" w:header="708" w:footer="708" w:gutter="0"/>
          <w:cols w:space="708"/>
          <w:docGrid w:linePitch="360"/>
        </w:sectPr>
      </w:pPr>
    </w:p>
    <w:p w:rsidR="00E772DD" w:rsidRDefault="00E772DD" w:rsidP="00041AE7">
      <w:pPr>
        <w:pStyle w:val="NormalWeb"/>
        <w:spacing w:line="360" w:lineRule="auto"/>
        <w:jc w:val="both"/>
        <w:rPr>
          <w:color w:val="000000"/>
          <w:lang w:val="fr-FR"/>
        </w:rPr>
      </w:pPr>
    </w:p>
    <w:p w:rsidR="00E772DD" w:rsidRDefault="00E772DD" w:rsidP="006870F7">
      <w:pPr>
        <w:spacing w:before="100" w:beforeAutospacing="1" w:after="100" w:afterAutospacing="1" w:line="360" w:lineRule="auto"/>
        <w:jc w:val="both"/>
        <w:outlineLvl w:val="1"/>
        <w:rPr>
          <w:rFonts w:asciiTheme="majorBidi" w:hAnsiTheme="majorBidi" w:cstheme="majorBidi"/>
          <w:b/>
          <w:bCs/>
          <w:color w:val="000000"/>
          <w:sz w:val="28"/>
          <w:szCs w:val="28"/>
        </w:rPr>
      </w:pPr>
    </w:p>
    <w:p w:rsidR="00E772DD" w:rsidRDefault="00E772DD" w:rsidP="006870F7">
      <w:pPr>
        <w:spacing w:before="100" w:beforeAutospacing="1" w:after="100" w:afterAutospacing="1" w:line="360" w:lineRule="auto"/>
        <w:jc w:val="both"/>
        <w:outlineLvl w:val="1"/>
        <w:rPr>
          <w:rFonts w:asciiTheme="majorBidi" w:hAnsiTheme="majorBidi" w:cstheme="majorBidi"/>
          <w:b/>
          <w:bCs/>
          <w:color w:val="000000"/>
          <w:sz w:val="28"/>
          <w:szCs w:val="28"/>
        </w:rPr>
      </w:pPr>
    </w:p>
    <w:p w:rsidR="00A76E4F" w:rsidRDefault="00A76E4F" w:rsidP="00A76E4F">
      <w:pPr>
        <w:pStyle w:val="Titre3"/>
        <w:jc w:val="center"/>
        <w:rPr>
          <w:sz w:val="72"/>
          <w:szCs w:val="72"/>
          <w:lang w:val="fr-FR"/>
        </w:rPr>
      </w:pPr>
    </w:p>
    <w:p w:rsidR="00A76E4F" w:rsidRDefault="00A76E4F" w:rsidP="00A76E4F">
      <w:pPr>
        <w:pStyle w:val="Titre3"/>
        <w:jc w:val="center"/>
        <w:rPr>
          <w:sz w:val="72"/>
          <w:szCs w:val="72"/>
          <w:lang w:val="fr-FR"/>
        </w:rPr>
      </w:pPr>
    </w:p>
    <w:p w:rsidR="00A76E4F" w:rsidRDefault="00A76E4F" w:rsidP="00A76E4F">
      <w:pPr>
        <w:pStyle w:val="Titre3"/>
        <w:jc w:val="center"/>
        <w:rPr>
          <w:sz w:val="72"/>
          <w:szCs w:val="72"/>
          <w:lang w:val="fr-FR"/>
        </w:rPr>
      </w:pPr>
    </w:p>
    <w:p w:rsidR="00D77B02" w:rsidRDefault="00A76E4F" w:rsidP="00D77B02">
      <w:pPr>
        <w:pStyle w:val="Titre3"/>
        <w:jc w:val="center"/>
        <w:rPr>
          <w:sz w:val="72"/>
          <w:szCs w:val="72"/>
          <w:lang w:val="fr-FR"/>
        </w:rPr>
      </w:pPr>
      <w:bookmarkStart w:id="1894" w:name="_Toc200635561"/>
      <w:bookmarkStart w:id="1895" w:name="_Toc200635949"/>
      <w:bookmarkStart w:id="1896" w:name="_Toc200636338"/>
      <w:bookmarkStart w:id="1897" w:name="_Toc200756076"/>
      <w:r w:rsidRPr="00D77B02">
        <w:rPr>
          <w:sz w:val="72"/>
          <w:szCs w:val="72"/>
          <w:lang w:val="fr-FR"/>
        </w:rPr>
        <w:t xml:space="preserve">Chapitre </w:t>
      </w:r>
      <w:r w:rsidRPr="00D77B02">
        <w:rPr>
          <w:sz w:val="72"/>
          <w:szCs w:val="72"/>
          <w:lang w:eastAsia="fr-FR"/>
        </w:rPr>
        <w:t>III</w:t>
      </w:r>
      <w:r w:rsidRPr="00D77B02">
        <w:rPr>
          <w:sz w:val="72"/>
          <w:szCs w:val="72"/>
          <w:lang w:val="fr-FR"/>
        </w:rPr>
        <w:t xml:space="preserve"> :</w:t>
      </w:r>
      <w:bookmarkEnd w:id="1894"/>
      <w:bookmarkEnd w:id="1895"/>
      <w:bookmarkEnd w:id="1896"/>
      <w:bookmarkEnd w:id="1897"/>
    </w:p>
    <w:p w:rsidR="00A76E4F" w:rsidRPr="00D77B02" w:rsidRDefault="00A76E4F" w:rsidP="00D77B02">
      <w:pPr>
        <w:pStyle w:val="Titre3"/>
        <w:jc w:val="center"/>
        <w:rPr>
          <w:sz w:val="72"/>
          <w:szCs w:val="72"/>
          <w:lang w:val="fr-FR"/>
        </w:rPr>
        <w:sectPr w:rsidR="00A76E4F" w:rsidRPr="00D77B02" w:rsidSect="00A76E4F">
          <w:headerReference w:type="default" r:id="rId107"/>
          <w:footerReference w:type="default" r:id="rId108"/>
          <w:pgSz w:w="11900" w:h="16840"/>
          <w:pgMar w:top="1440" w:right="1440" w:bottom="1440" w:left="1440" w:header="708" w:footer="708" w:gutter="0"/>
          <w:cols w:space="708"/>
          <w:docGrid w:linePitch="360"/>
        </w:sectPr>
      </w:pPr>
      <w:bookmarkStart w:id="1898" w:name="_Toc200635562"/>
      <w:bookmarkStart w:id="1899" w:name="_Toc200635950"/>
      <w:bookmarkStart w:id="1900" w:name="_Toc200636339"/>
      <w:bookmarkStart w:id="1901" w:name="_Toc200756077"/>
      <w:r w:rsidRPr="00D77B02">
        <w:rPr>
          <w:sz w:val="72"/>
          <w:szCs w:val="72"/>
          <w:lang w:val="fr-FR"/>
        </w:rPr>
        <w:t>Étude empirique</w:t>
      </w:r>
      <w:bookmarkEnd w:id="1898"/>
      <w:bookmarkEnd w:id="1899"/>
      <w:bookmarkEnd w:id="1900"/>
      <w:bookmarkEnd w:id="1901"/>
    </w:p>
    <w:p w:rsidR="00E772DD" w:rsidRPr="00194E42" w:rsidRDefault="00E772DD" w:rsidP="00194E42">
      <w:pPr>
        <w:pStyle w:val="Titre3"/>
        <w:rPr>
          <w:sz w:val="28"/>
          <w:szCs w:val="28"/>
          <w:lang w:val="fr-FR"/>
        </w:rPr>
      </w:pPr>
      <w:bookmarkStart w:id="1902" w:name="_Toc200486785"/>
      <w:bookmarkStart w:id="1903" w:name="_Toc200635563"/>
      <w:bookmarkStart w:id="1904" w:name="_Toc200635951"/>
      <w:bookmarkStart w:id="1905" w:name="_Toc200636340"/>
      <w:bookmarkStart w:id="1906" w:name="_Toc200756078"/>
      <w:r w:rsidRPr="00194E42">
        <w:rPr>
          <w:sz w:val="28"/>
          <w:szCs w:val="28"/>
          <w:lang w:val="fr-FR"/>
        </w:rPr>
        <w:lastRenderedPageBreak/>
        <w:t xml:space="preserve">Introduction </w:t>
      </w:r>
      <w:r w:rsidR="00194E42" w:rsidRPr="00194E42">
        <w:rPr>
          <w:sz w:val="28"/>
          <w:szCs w:val="28"/>
          <w:lang w:val="fr-FR"/>
        </w:rPr>
        <w:t>du chapitre :</w:t>
      </w:r>
      <w:bookmarkEnd w:id="1902"/>
      <w:bookmarkEnd w:id="1903"/>
      <w:bookmarkEnd w:id="1904"/>
      <w:bookmarkEnd w:id="1905"/>
      <w:bookmarkEnd w:id="1906"/>
    </w:p>
    <w:p w:rsidR="00E772DD" w:rsidRPr="00B022EA" w:rsidRDefault="00E772DD" w:rsidP="007E0FB9">
      <w:pPr>
        <w:spacing w:line="360" w:lineRule="auto"/>
        <w:jc w:val="both"/>
        <w:rPr>
          <w:rFonts w:asciiTheme="majorBidi" w:hAnsiTheme="majorBidi" w:cstheme="majorBidi"/>
          <w:color w:val="000000"/>
        </w:rPr>
      </w:pPr>
      <w:r w:rsidRPr="00B022EA">
        <w:rPr>
          <w:rFonts w:asciiTheme="majorBidi" w:hAnsiTheme="majorBidi" w:cstheme="majorBidi"/>
          <w:color w:val="000000"/>
        </w:rPr>
        <w:t>Après avoir établi dans les chapitres précédents un cadre théorique solide sur la digitalisation des processus de gestion des ressources humaines, notamment dans les domaines du recrutement et de la formation, ce troisième chapitre s’attache à confronter les apports conceptuels aux réalités du terrain. Il s’agit ici d’examiner de manière empirique l’impact concret de la digitalisation sur l’efficacité des pratiques RH, à travers l’analyse des perceptions et des pratiques de professionnels issus de diverses entreprises.</w:t>
      </w:r>
    </w:p>
    <w:p w:rsidR="00E772DD" w:rsidRPr="00B022EA" w:rsidRDefault="00E772DD" w:rsidP="007E0FB9">
      <w:pPr>
        <w:spacing w:line="360" w:lineRule="auto"/>
        <w:jc w:val="both"/>
        <w:rPr>
          <w:rFonts w:asciiTheme="majorBidi" w:hAnsiTheme="majorBidi" w:cstheme="majorBidi"/>
          <w:color w:val="000000"/>
        </w:rPr>
      </w:pPr>
      <w:r w:rsidRPr="00B022EA">
        <w:rPr>
          <w:rFonts w:asciiTheme="majorBidi" w:hAnsiTheme="majorBidi" w:cstheme="majorBidi"/>
          <w:color w:val="000000"/>
        </w:rPr>
        <w:t>Dans un premier temps, nous présentons l’entreprise Hasnaoui Logistique, structure d’accueil de notre stage, qui a servi de cas illustratif pour observer les efforts réels d’implémentation de solutions numériques au sein d’un département RH en contexte algérien. Cette entreprise, appartenant au Groupe Hasnaoui, a intégré progressivement des outils digitaux, afin d’optimiser la gestion des ressources humaines. Bien que ce cas ne constitue pas le cœur de l’enquête empirique, il illustre de façon concrète les dynamiques de digitalisation dans une entreprise locale.</w:t>
      </w:r>
    </w:p>
    <w:p w:rsidR="00E772DD" w:rsidRPr="00B022EA" w:rsidRDefault="00E772DD" w:rsidP="007E0FB9">
      <w:pPr>
        <w:spacing w:line="360" w:lineRule="auto"/>
        <w:jc w:val="both"/>
        <w:rPr>
          <w:rFonts w:asciiTheme="majorBidi" w:hAnsiTheme="majorBidi" w:cstheme="majorBidi"/>
          <w:color w:val="000000"/>
        </w:rPr>
      </w:pPr>
      <w:r w:rsidRPr="00B022EA">
        <w:rPr>
          <w:rFonts w:asciiTheme="majorBidi" w:hAnsiTheme="majorBidi" w:cstheme="majorBidi"/>
          <w:color w:val="000000"/>
        </w:rPr>
        <w:t>La seconde partie de ce chapitre est consacrée à la méthodologie de recherche. Afin de tester les hypothèses formulées dans le modèle conceptuel, nous avons opté pour une approche quantitative, à travers la diffusion d’un questionnaire structuré auprès d’un échantillon raisonné de professionnels RH. L’objectif était de collecter des données fiables et comparables concernant l’utilisation des outils numériques dans les processus de recrutement et de formation, ainsi que leurs effets sur la performance RH.</w:t>
      </w:r>
    </w:p>
    <w:p w:rsidR="00E772DD" w:rsidRPr="00B022EA" w:rsidRDefault="00E772DD" w:rsidP="007E0FB9">
      <w:pPr>
        <w:spacing w:line="360" w:lineRule="auto"/>
        <w:jc w:val="both"/>
        <w:rPr>
          <w:rFonts w:asciiTheme="majorBidi" w:hAnsiTheme="majorBidi" w:cstheme="majorBidi"/>
          <w:color w:val="000000"/>
        </w:rPr>
      </w:pPr>
      <w:r w:rsidRPr="00B022EA">
        <w:rPr>
          <w:rFonts w:asciiTheme="majorBidi" w:hAnsiTheme="majorBidi" w:cstheme="majorBidi"/>
          <w:color w:val="000000"/>
        </w:rPr>
        <w:t xml:space="preserve">Le questionnaire, élaboré à partir des échelles de mesure issues de la littérature scientifique, comprenait plusieurs dimensions : niveau de digitalisation des processus RH, efficacité du recrutement digitalisé, pertinence de la formation numérique, et performance globale de la fonction RH. Il a été administré en ligne et a permis de récolter 170 réponses valides, analysées à l’aide de logiciels spécialisés tels que </w:t>
      </w:r>
      <w:r>
        <w:rPr>
          <w:rFonts w:asciiTheme="majorBidi" w:hAnsiTheme="majorBidi" w:cstheme="majorBidi"/>
          <w:color w:val="000000"/>
          <w:lang w:val="fr-FR"/>
        </w:rPr>
        <w:t xml:space="preserve">Python, </w:t>
      </w:r>
      <w:r w:rsidRPr="00B022EA">
        <w:rPr>
          <w:rFonts w:asciiTheme="majorBidi" w:hAnsiTheme="majorBidi" w:cstheme="majorBidi"/>
          <w:color w:val="000000"/>
        </w:rPr>
        <w:t>SPSS et SmartPLS.</w:t>
      </w:r>
    </w:p>
    <w:p w:rsidR="00E772DD" w:rsidRPr="00B022EA" w:rsidRDefault="00E772DD" w:rsidP="00B022EA">
      <w:pPr>
        <w:spacing w:line="360" w:lineRule="auto"/>
        <w:jc w:val="both"/>
        <w:rPr>
          <w:rFonts w:asciiTheme="majorBidi" w:hAnsiTheme="majorBidi" w:cstheme="majorBidi"/>
          <w:color w:val="000000"/>
        </w:rPr>
      </w:pPr>
      <w:r w:rsidRPr="00B022EA">
        <w:rPr>
          <w:rFonts w:asciiTheme="majorBidi" w:hAnsiTheme="majorBidi" w:cstheme="majorBidi"/>
          <w:color w:val="000000"/>
        </w:rPr>
        <w:t>La dernière section de ce chapitre expose les résultats détaillés de cette enquête, en s’appuyant sur une série d’analyses statistiques permettant de valider ou de rejeter les hypothèses formulées. L’objectif est d’identifier les corrélations et les effets de médiation et de modération entre les variables étudiées, afin de mieux comprendre les leviers d’optimisation que la digitalisation offre aux services RH.</w:t>
      </w:r>
    </w:p>
    <w:p w:rsidR="00E772DD" w:rsidRPr="00B022EA" w:rsidRDefault="00E772DD" w:rsidP="00B022EA">
      <w:pPr>
        <w:spacing w:line="360" w:lineRule="auto"/>
        <w:jc w:val="both"/>
        <w:rPr>
          <w:rFonts w:asciiTheme="majorBidi" w:hAnsiTheme="majorBidi" w:cstheme="majorBidi"/>
          <w:color w:val="000000"/>
        </w:rPr>
      </w:pPr>
    </w:p>
    <w:p w:rsidR="00E772DD" w:rsidRPr="00B022EA" w:rsidRDefault="00E772DD" w:rsidP="00B022EA">
      <w:pPr>
        <w:spacing w:line="360" w:lineRule="auto"/>
        <w:jc w:val="both"/>
        <w:rPr>
          <w:rFonts w:asciiTheme="majorBidi" w:hAnsiTheme="majorBidi" w:cstheme="majorBidi"/>
          <w:b/>
          <w:bCs/>
          <w:color w:val="000000"/>
          <w:sz w:val="28"/>
          <w:szCs w:val="28"/>
        </w:rPr>
      </w:pPr>
      <w:r w:rsidRPr="00B022EA">
        <w:rPr>
          <w:rFonts w:asciiTheme="majorBidi" w:hAnsiTheme="majorBidi" w:cstheme="majorBidi"/>
          <w:color w:val="000000"/>
        </w:rPr>
        <w:lastRenderedPageBreak/>
        <w:t>À travers cette étude empirique, nous cherchons à apporter des réponses concrètes à notre problématique centrale, tout en mettant en lumière les bonnes pratiques et les défis encore rencontrés dans la mise en œuvre d’une stratégie RH digitalisée.</w:t>
      </w:r>
    </w:p>
    <w:p w:rsidR="00E772DD" w:rsidRDefault="00E772DD" w:rsidP="00B022EA">
      <w:pPr>
        <w:spacing w:line="360" w:lineRule="auto"/>
        <w:jc w:val="both"/>
        <w:rPr>
          <w:rFonts w:asciiTheme="majorBidi" w:hAnsiTheme="majorBidi" w:cstheme="majorBidi"/>
          <w:b/>
          <w:bCs/>
          <w:color w:val="000000"/>
          <w:sz w:val="28"/>
          <w:szCs w:val="28"/>
          <w:lang w:val="fr-FR"/>
        </w:rPr>
      </w:pPr>
    </w:p>
    <w:p w:rsidR="00E772DD" w:rsidRDefault="00E772DD" w:rsidP="00B022EA">
      <w:pPr>
        <w:spacing w:line="360" w:lineRule="auto"/>
        <w:jc w:val="both"/>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Default="00E772DD" w:rsidP="00B022EA">
      <w:pPr>
        <w:rPr>
          <w:rFonts w:asciiTheme="majorBidi" w:hAnsiTheme="majorBidi" w:cstheme="majorBidi"/>
          <w:b/>
          <w:bCs/>
          <w:color w:val="000000"/>
          <w:sz w:val="28"/>
          <w:szCs w:val="28"/>
          <w:lang w:val="fr-FR"/>
        </w:rPr>
      </w:pPr>
    </w:p>
    <w:p w:rsidR="00E772DD" w:rsidRPr="008764AA" w:rsidRDefault="00E772DD" w:rsidP="00B022EA">
      <w:pPr>
        <w:rPr>
          <w:rFonts w:asciiTheme="majorBidi" w:hAnsiTheme="majorBidi" w:cstheme="majorBidi"/>
          <w:b/>
          <w:bCs/>
          <w:color w:val="000000"/>
          <w:sz w:val="28"/>
          <w:szCs w:val="28"/>
          <w:lang w:val="fr-FR"/>
        </w:rPr>
      </w:pPr>
    </w:p>
    <w:p w:rsidR="00E772DD" w:rsidRPr="00194E42" w:rsidRDefault="00E772DD" w:rsidP="00194E42">
      <w:pPr>
        <w:pStyle w:val="Titre3"/>
        <w:rPr>
          <w:sz w:val="28"/>
          <w:szCs w:val="28"/>
          <w:lang w:val="fr-FR"/>
        </w:rPr>
      </w:pPr>
      <w:bookmarkStart w:id="1907" w:name="_Toc200486786"/>
      <w:bookmarkStart w:id="1908" w:name="_Toc200635564"/>
      <w:bookmarkStart w:id="1909" w:name="_Toc200635952"/>
      <w:bookmarkStart w:id="1910" w:name="_Toc200636341"/>
      <w:bookmarkStart w:id="1911" w:name="_Toc200756079"/>
      <w:r w:rsidRPr="00194E42">
        <w:rPr>
          <w:sz w:val="28"/>
          <w:szCs w:val="28"/>
          <w:lang w:val="fr-FR"/>
        </w:rPr>
        <w:lastRenderedPageBreak/>
        <w:t>Section 1 : Présentation de l’entreprise Hasnaoui Logistique</w:t>
      </w:r>
      <w:bookmarkEnd w:id="1907"/>
      <w:bookmarkEnd w:id="1908"/>
      <w:bookmarkEnd w:id="1909"/>
      <w:bookmarkEnd w:id="1910"/>
      <w:bookmarkEnd w:id="1911"/>
    </w:p>
    <w:p w:rsidR="00E772DD" w:rsidRPr="008764AA" w:rsidRDefault="00E772DD" w:rsidP="008764AA">
      <w:pPr>
        <w:spacing w:after="100" w:afterAutospacing="1" w:line="360" w:lineRule="auto"/>
        <w:jc w:val="both"/>
        <w:outlineLvl w:val="2"/>
        <w:rPr>
          <w:rFonts w:asciiTheme="majorBidi" w:hAnsiTheme="majorBidi" w:cstheme="majorBidi"/>
          <w:color w:val="000000"/>
          <w:lang w:val="fr-FR"/>
        </w:rPr>
      </w:pPr>
      <w:bookmarkStart w:id="1912" w:name="_Toc199714511"/>
      <w:bookmarkStart w:id="1913" w:name="_Toc200486787"/>
      <w:bookmarkStart w:id="1914" w:name="_Toc200635565"/>
      <w:bookmarkStart w:id="1915" w:name="_Toc200635953"/>
      <w:bookmarkStart w:id="1916" w:name="_Toc200636342"/>
      <w:bookmarkStart w:id="1917" w:name="_Toc200756080"/>
      <w:r w:rsidRPr="008764AA">
        <w:rPr>
          <w:rFonts w:asciiTheme="majorBidi" w:hAnsiTheme="majorBidi" w:cstheme="majorBidi"/>
          <w:color w:val="000000"/>
          <w:lang w:val="fr-FR"/>
        </w:rPr>
        <w:t>Dans le cadre de cette étude, il est essentiel de présenter le contexte organisationnel dans lequel s’inscrit la recherche. Une compréhension approfondie de l’entreprise d’accueil, de sa structure et de son fonctionnement interne permet de mieux cerner les pratiques en matière de gestion des ressources humaines, notamment les processus de recrutement et de formation. Ainsi, cette section est consacrée à la présentation de l’entreprise Hasnaoui Logistique, filiale du groupe Hasnaoui, acteur important dans le secteur du bâtiment et des travaux publics en Algérie. Après un aperçu général de l’entreprise, l’accent sera mis sur son organisation structurelle ainsi que sur le fonctionnement et les missions de son département des ressources humaines, afin de situer les dispositifs RH analysés dans les sections suivantes.</w:t>
      </w:r>
      <w:bookmarkEnd w:id="1912"/>
      <w:bookmarkEnd w:id="1913"/>
      <w:bookmarkEnd w:id="1914"/>
      <w:bookmarkEnd w:id="1915"/>
      <w:bookmarkEnd w:id="1916"/>
      <w:bookmarkEnd w:id="1917"/>
    </w:p>
    <w:p w:rsidR="00E772DD" w:rsidRPr="00B32C94" w:rsidRDefault="00E772DD" w:rsidP="004D32AC">
      <w:pPr>
        <w:pStyle w:val="Titre3"/>
        <w:numPr>
          <w:ilvl w:val="1"/>
          <w:numId w:val="129"/>
        </w:numPr>
        <w:spacing w:after="0" w:afterAutospacing="0" w:line="360" w:lineRule="auto"/>
        <w:rPr>
          <w:sz w:val="24"/>
          <w:szCs w:val="24"/>
        </w:rPr>
      </w:pPr>
      <w:bookmarkStart w:id="1918" w:name="_Toc199714512"/>
      <w:bookmarkStart w:id="1919" w:name="_Toc200486788"/>
      <w:bookmarkStart w:id="1920" w:name="_Toc200635566"/>
      <w:bookmarkStart w:id="1921" w:name="_Toc200635954"/>
      <w:bookmarkStart w:id="1922" w:name="_Toc200636343"/>
      <w:bookmarkStart w:id="1923" w:name="_Toc200756081"/>
      <w:r w:rsidRPr="00B32C94">
        <w:rPr>
          <w:sz w:val="24"/>
          <w:szCs w:val="24"/>
        </w:rPr>
        <w:t>Historique et évolution du Groupe Hasnaoui</w:t>
      </w:r>
      <w:bookmarkEnd w:id="1918"/>
      <w:bookmarkEnd w:id="1919"/>
      <w:bookmarkEnd w:id="1920"/>
      <w:bookmarkEnd w:id="1921"/>
      <w:bookmarkEnd w:id="1922"/>
      <w:bookmarkEnd w:id="1923"/>
    </w:p>
    <w:p w:rsidR="00E772DD" w:rsidRPr="008764AA" w:rsidRDefault="00E772DD" w:rsidP="0089437C">
      <w:pPr>
        <w:spacing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 Groupe Hasnaoui a vu le jour en 1974 sous l’impulsion de M. Brahim Hasnaoui, avec la création de la première entreprise du groupe, active dans le domaine du bâtiment, des travaux publics et de l’hydraulique. L’histoire du groupe peut être divisée en trois grandes phases :</w:t>
      </w:r>
    </w:p>
    <w:p w:rsidR="00E772DD" w:rsidRPr="008764AA" w:rsidRDefault="00E772DD" w:rsidP="004D32AC">
      <w:pPr>
        <w:numPr>
          <w:ilvl w:val="0"/>
          <w:numId w:val="146"/>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Phase de création et de structuration (1974-1983)</w:t>
      </w:r>
      <w:r w:rsidRPr="008764AA">
        <w:rPr>
          <w:rFonts w:asciiTheme="majorBidi" w:hAnsiTheme="majorBidi" w:cstheme="majorBidi"/>
          <w:color w:val="000000"/>
          <w:lang w:val="fr-FR"/>
        </w:rPr>
        <w:t xml:space="preserve"> : Cette période est marquée par le lancement de l’entreprise ETPH Brahim Hasnaoui, spécialisée dans la construction de logements et de projets d'infrastructure dans la région de Sidi Bel </w:t>
      </w:r>
      <w:proofErr w:type="spellStart"/>
      <w:r w:rsidRPr="008764AA">
        <w:rPr>
          <w:rFonts w:asciiTheme="majorBidi" w:hAnsiTheme="majorBidi" w:cstheme="majorBidi"/>
          <w:color w:val="000000"/>
          <w:lang w:val="fr-FR"/>
        </w:rPr>
        <w:t>Abbès</w:t>
      </w:r>
      <w:proofErr w:type="spellEnd"/>
      <w:r w:rsidRPr="008764AA">
        <w:rPr>
          <w:rFonts w:asciiTheme="majorBidi" w:hAnsiTheme="majorBidi" w:cstheme="majorBidi"/>
          <w:color w:val="000000"/>
          <w:lang w:val="fr-FR"/>
        </w:rPr>
        <w:t>.</w:t>
      </w:r>
    </w:p>
    <w:p w:rsidR="00E772DD" w:rsidRPr="008764AA" w:rsidRDefault="00E772DD" w:rsidP="004D32AC">
      <w:pPr>
        <w:numPr>
          <w:ilvl w:val="0"/>
          <w:numId w:val="146"/>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Phase de croissance et de diversification (1983-2008)</w:t>
      </w:r>
      <w:r w:rsidRPr="008764AA">
        <w:rPr>
          <w:rFonts w:asciiTheme="majorBidi" w:hAnsiTheme="majorBidi" w:cstheme="majorBidi"/>
          <w:color w:val="000000"/>
          <w:lang w:val="fr-FR"/>
        </w:rPr>
        <w:t> : Le groupe étend ses activités en intégrant la fabrication de matériaux de construction, l’ouverture d’ateliers de ferraillage, et la mise en place d’unités de production de béton prêt à l’emploi.</w:t>
      </w:r>
    </w:p>
    <w:p w:rsidR="00E772DD" w:rsidRPr="008764AA" w:rsidRDefault="00E772DD" w:rsidP="004D32AC">
      <w:pPr>
        <w:numPr>
          <w:ilvl w:val="0"/>
          <w:numId w:val="146"/>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Phase de restructuration et de développement (depuis 2008)</w:t>
      </w:r>
      <w:r w:rsidRPr="008764AA">
        <w:rPr>
          <w:rFonts w:asciiTheme="majorBidi" w:hAnsiTheme="majorBidi" w:cstheme="majorBidi"/>
          <w:color w:val="000000"/>
          <w:lang w:val="fr-FR"/>
        </w:rPr>
        <w:t> : Le groupe se transforme officiellement en </w:t>
      </w:r>
      <w:r w:rsidRPr="003A1F0E">
        <w:rPr>
          <w:rFonts w:asciiTheme="majorBidi" w:hAnsiTheme="majorBidi" w:cstheme="majorBidi"/>
          <w:color w:val="000000"/>
          <w:lang w:val="fr-FR"/>
        </w:rPr>
        <w:t>Groupe Hasnaoui</w:t>
      </w:r>
      <w:r w:rsidRPr="008764AA">
        <w:rPr>
          <w:rFonts w:asciiTheme="majorBidi" w:hAnsiTheme="majorBidi" w:cstheme="majorBidi"/>
          <w:color w:val="000000"/>
          <w:lang w:val="fr-FR"/>
        </w:rPr>
        <w:t> début 2008, avec le lancement de projets conjoints avec des partenaires étrangers, la création d’une filiale de transport et l’entrée dans le secteur des télécommunications.</w:t>
      </w:r>
    </w:p>
    <w:p w:rsidR="00E772DD" w:rsidRPr="00B32C94" w:rsidRDefault="00E772DD" w:rsidP="004D32AC">
      <w:pPr>
        <w:pStyle w:val="Titre3"/>
        <w:numPr>
          <w:ilvl w:val="1"/>
          <w:numId w:val="129"/>
        </w:numPr>
        <w:spacing w:after="0" w:afterAutospacing="0" w:line="360" w:lineRule="auto"/>
        <w:rPr>
          <w:sz w:val="24"/>
          <w:szCs w:val="24"/>
        </w:rPr>
      </w:pPr>
      <w:bookmarkStart w:id="1924" w:name="_Toc199714513"/>
      <w:bookmarkStart w:id="1925" w:name="_Toc200486789"/>
      <w:bookmarkStart w:id="1926" w:name="_Toc200635567"/>
      <w:bookmarkStart w:id="1927" w:name="_Toc200635955"/>
      <w:bookmarkStart w:id="1928" w:name="_Toc200636344"/>
      <w:bookmarkStart w:id="1929" w:name="_Toc200756082"/>
      <w:r w:rsidRPr="00B32C94">
        <w:rPr>
          <w:sz w:val="24"/>
          <w:szCs w:val="24"/>
        </w:rPr>
        <w:t>Création et statut de Hasnaoui Logistique</w:t>
      </w:r>
      <w:bookmarkEnd w:id="1924"/>
      <w:bookmarkEnd w:id="1925"/>
      <w:bookmarkEnd w:id="1926"/>
      <w:bookmarkEnd w:id="1927"/>
      <w:bookmarkEnd w:id="1928"/>
      <w:bookmarkEnd w:id="1929"/>
    </w:p>
    <w:p w:rsidR="00E772DD" w:rsidRDefault="00E772DD" w:rsidP="00BC371F">
      <w:pPr>
        <w:spacing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Créée en 2010 sous la dénomination initiale </w:t>
      </w:r>
      <w:r w:rsidRPr="008764AA">
        <w:rPr>
          <w:rFonts w:asciiTheme="majorBidi" w:hAnsiTheme="majorBidi" w:cstheme="majorBidi"/>
          <w:i/>
          <w:iCs/>
          <w:color w:val="000000"/>
          <w:lang w:val="fr-FR"/>
        </w:rPr>
        <w:t>SARL G-S Hasnaoui Transport</w:t>
      </w:r>
      <w:r w:rsidRPr="008764AA">
        <w:rPr>
          <w:rFonts w:asciiTheme="majorBidi" w:hAnsiTheme="majorBidi" w:cstheme="majorBidi"/>
          <w:color w:val="000000"/>
          <w:lang w:val="fr-FR"/>
        </w:rPr>
        <w:t>, l’entreprise a évolué vers une société par actions, prenant le nom de </w:t>
      </w:r>
      <w:r w:rsidRPr="003A1F0E">
        <w:rPr>
          <w:rFonts w:asciiTheme="majorBidi" w:hAnsiTheme="majorBidi" w:cstheme="majorBidi"/>
          <w:color w:val="000000"/>
          <w:lang w:val="fr-FR"/>
        </w:rPr>
        <w:t>SPA Hasnaoui Logistique</w:t>
      </w:r>
      <w:r w:rsidRPr="008764AA">
        <w:rPr>
          <w:rFonts w:asciiTheme="majorBidi" w:hAnsiTheme="majorBidi" w:cstheme="majorBidi"/>
          <w:color w:val="000000"/>
          <w:lang w:val="fr-FR"/>
        </w:rPr>
        <w:t>. Son capital social s’élève à </w:t>
      </w:r>
      <w:r w:rsidRPr="003A1F0E">
        <w:rPr>
          <w:rFonts w:asciiTheme="majorBidi" w:hAnsiTheme="majorBidi" w:cstheme="majorBidi"/>
          <w:color w:val="000000"/>
          <w:lang w:val="fr-FR"/>
        </w:rPr>
        <w:t>122 080 000 DZD</w:t>
      </w:r>
      <w:r w:rsidRPr="008764AA">
        <w:rPr>
          <w:rFonts w:asciiTheme="majorBidi" w:hAnsiTheme="majorBidi" w:cstheme="majorBidi"/>
          <w:color w:val="000000"/>
          <w:lang w:val="fr-FR"/>
        </w:rPr>
        <w:t>. L’entreprise propose des services logistiques variés : transport de marchandises, transport de personnel, location de véhicules, etc.</w:t>
      </w:r>
    </w:p>
    <w:p w:rsidR="00E772DD" w:rsidRDefault="00E772DD" w:rsidP="00BC371F">
      <w:pPr>
        <w:spacing w:after="100" w:afterAutospacing="1" w:line="360" w:lineRule="auto"/>
        <w:jc w:val="both"/>
        <w:rPr>
          <w:rFonts w:asciiTheme="majorBidi" w:hAnsiTheme="majorBidi" w:cstheme="majorBidi"/>
          <w:color w:val="000000"/>
          <w:lang w:val="fr-FR"/>
        </w:rPr>
      </w:pPr>
    </w:p>
    <w:p w:rsidR="00E772DD" w:rsidRDefault="00E772DD" w:rsidP="00BC371F">
      <w:pPr>
        <w:spacing w:after="100" w:afterAutospacing="1" w:line="360" w:lineRule="auto"/>
        <w:jc w:val="center"/>
        <w:rPr>
          <w:rFonts w:asciiTheme="majorBidi" w:hAnsiTheme="majorBidi" w:cstheme="majorBidi"/>
          <w:color w:val="000000"/>
          <w:lang w:val="fr-FR"/>
        </w:rPr>
      </w:pPr>
      <w:r w:rsidRPr="00BC371F">
        <w:rPr>
          <w:rFonts w:asciiTheme="majorBidi" w:hAnsiTheme="majorBidi" w:cstheme="majorBidi"/>
          <w:b/>
          <w:bCs/>
          <w:color w:val="000000"/>
          <w:lang w:val="fr-FR"/>
        </w:rPr>
        <w:lastRenderedPageBreak/>
        <w:t xml:space="preserve">Figure N°30 : </w:t>
      </w:r>
      <w:r w:rsidRPr="00BC371F">
        <w:rPr>
          <w:rFonts w:asciiTheme="majorBidi" w:hAnsiTheme="majorBidi" w:cstheme="majorBidi"/>
          <w:color w:val="000000"/>
          <w:lang w:val="fr-FR"/>
        </w:rPr>
        <w:t>Camions de transport de Hasnaoui Logistique</w:t>
      </w:r>
    </w:p>
    <w:p w:rsidR="00E772DD" w:rsidRDefault="00E772DD" w:rsidP="00F60EBD">
      <w:pPr>
        <w:spacing w:after="100" w:afterAutospacing="1" w:line="360" w:lineRule="auto"/>
        <w:jc w:val="center"/>
        <w:rPr>
          <w:rFonts w:asciiTheme="majorBidi" w:hAnsiTheme="majorBidi" w:cstheme="majorBidi"/>
          <w:b/>
          <w:bCs/>
          <w:color w:val="000000"/>
          <w:lang w:val="fr-FR"/>
        </w:rPr>
      </w:pPr>
      <w:r>
        <w:rPr>
          <w:rFonts w:asciiTheme="majorBidi" w:hAnsiTheme="majorBidi" w:cstheme="majorBidi"/>
          <w:b/>
          <w:bCs/>
          <w:noProof/>
          <w:color w:val="000000"/>
          <w:lang w:val="fr-FR"/>
          <w14:ligatures w14:val="standardContextual"/>
        </w:rPr>
        <w:drawing>
          <wp:inline distT="0" distB="0" distL="0" distR="0">
            <wp:extent cx="5080000" cy="3810000"/>
            <wp:effectExtent l="0" t="0" r="0" b="0"/>
            <wp:docPr id="1910618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18442" name="Picture 1910618442"/>
                    <pic:cNvPicPr/>
                  </pic:nvPicPr>
                  <pic:blipFill>
                    <a:blip r:embed="rId109">
                      <a:extLst>
                        <a:ext uri="{28A0092B-C50C-407E-A947-70E740481C1C}">
                          <a14:useLocalDpi xmlns:a14="http://schemas.microsoft.com/office/drawing/2010/main" val="0"/>
                        </a:ext>
                      </a:extLst>
                    </a:blip>
                    <a:stretch>
                      <a:fillRect/>
                    </a:stretch>
                  </pic:blipFill>
                  <pic:spPr>
                    <a:xfrm>
                      <a:off x="0" y="0"/>
                      <a:ext cx="5080000" cy="3810000"/>
                    </a:xfrm>
                    <a:prstGeom prst="rect">
                      <a:avLst/>
                    </a:prstGeom>
                  </pic:spPr>
                </pic:pic>
              </a:graphicData>
            </a:graphic>
          </wp:inline>
        </w:drawing>
      </w:r>
    </w:p>
    <w:p w:rsidR="008245B3" w:rsidRPr="008245B3" w:rsidRDefault="00E772DD" w:rsidP="008245B3">
      <w:pPr>
        <w:spacing w:after="100" w:afterAutospacing="1" w:line="360" w:lineRule="auto"/>
        <w:jc w:val="center"/>
        <w:rPr>
          <w:rFonts w:asciiTheme="majorBidi" w:hAnsiTheme="majorBidi" w:cstheme="majorBidi"/>
          <w:color w:val="000000"/>
          <w:lang w:val="fr-FR"/>
        </w:rPr>
      </w:pPr>
      <w:r w:rsidRPr="00BC371F">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008245B3" w:rsidRPr="008245B3">
        <w:rPr>
          <w:rFonts w:asciiTheme="majorBidi" w:hAnsiTheme="majorBidi" w:cstheme="majorBidi"/>
          <w:color w:val="000000"/>
        </w:rPr>
        <w:t xml:space="preserve">Photo prise sur site – Hasnaoui Logistique, </w:t>
      </w:r>
      <w:r w:rsidR="008245B3">
        <w:rPr>
          <w:rFonts w:asciiTheme="majorBidi" w:hAnsiTheme="majorBidi" w:cstheme="majorBidi"/>
          <w:color w:val="000000"/>
          <w:lang w:val="fr-FR"/>
        </w:rPr>
        <w:t>février</w:t>
      </w:r>
      <w:r w:rsidR="008245B3" w:rsidRPr="008245B3">
        <w:rPr>
          <w:rFonts w:asciiTheme="majorBidi" w:hAnsiTheme="majorBidi" w:cstheme="majorBidi"/>
          <w:color w:val="000000"/>
        </w:rPr>
        <w:t xml:space="preserve"> 202</w:t>
      </w:r>
      <w:r w:rsidR="008245B3">
        <w:rPr>
          <w:rFonts w:asciiTheme="majorBidi" w:hAnsiTheme="majorBidi" w:cstheme="majorBidi"/>
          <w:color w:val="000000"/>
          <w:lang w:val="fr-FR"/>
        </w:rPr>
        <w:t>5</w:t>
      </w:r>
    </w:p>
    <w:p w:rsidR="00E772DD" w:rsidRPr="008764AA" w:rsidRDefault="00E772DD" w:rsidP="008245B3">
      <w:pPr>
        <w:spacing w:after="100" w:afterAutospacing="1" w:line="360" w:lineRule="auto"/>
        <w:rPr>
          <w:rFonts w:asciiTheme="majorBidi" w:hAnsiTheme="majorBidi" w:cstheme="majorBidi"/>
          <w:color w:val="000000"/>
          <w:lang w:val="fr-FR"/>
        </w:rPr>
      </w:pPr>
      <w:r w:rsidRPr="008764AA">
        <w:rPr>
          <w:rFonts w:asciiTheme="majorBidi" w:hAnsiTheme="majorBidi" w:cstheme="majorBidi"/>
          <w:color w:val="000000"/>
          <w:lang w:val="fr-FR"/>
        </w:rPr>
        <w:t>Cette filiale a été pensée comme un levier stratégique pour </w:t>
      </w:r>
      <w:r w:rsidRPr="003A1F0E">
        <w:rPr>
          <w:rFonts w:asciiTheme="majorBidi" w:hAnsiTheme="majorBidi" w:cstheme="majorBidi"/>
          <w:color w:val="000000"/>
          <w:lang w:val="fr-FR"/>
        </w:rPr>
        <w:t>réduire les délais de livraison</w:t>
      </w:r>
      <w:r w:rsidRPr="008764AA">
        <w:rPr>
          <w:rFonts w:asciiTheme="majorBidi" w:hAnsiTheme="majorBidi" w:cstheme="majorBidi"/>
          <w:color w:val="000000"/>
          <w:lang w:val="fr-FR"/>
        </w:rPr>
        <w:t xml:space="preserve"> et garantir l’autonomie logistique des autres entités du groupe, conformément à la devise :       </w:t>
      </w:r>
    </w:p>
    <w:p w:rsidR="00E772DD" w:rsidRPr="008764AA" w:rsidRDefault="00E772DD" w:rsidP="006870F7">
      <w:p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 xml:space="preserve">  « Tout bien immobilier repose sur un bien mobile. »</w:t>
      </w:r>
    </w:p>
    <w:p w:rsidR="00E772DD" w:rsidRPr="00B32C94" w:rsidRDefault="00E772DD" w:rsidP="004D32AC">
      <w:pPr>
        <w:pStyle w:val="Titre3"/>
        <w:numPr>
          <w:ilvl w:val="1"/>
          <w:numId w:val="129"/>
        </w:numPr>
        <w:spacing w:after="0" w:afterAutospacing="0" w:line="360" w:lineRule="auto"/>
        <w:rPr>
          <w:sz w:val="24"/>
          <w:szCs w:val="24"/>
        </w:rPr>
      </w:pPr>
      <w:bookmarkStart w:id="1930" w:name="_Toc199714514"/>
      <w:bookmarkStart w:id="1931" w:name="_Toc200486790"/>
      <w:bookmarkStart w:id="1932" w:name="_Toc200635568"/>
      <w:bookmarkStart w:id="1933" w:name="_Toc200635956"/>
      <w:bookmarkStart w:id="1934" w:name="_Toc200636345"/>
      <w:bookmarkStart w:id="1935" w:name="_Toc200756083"/>
      <w:r w:rsidRPr="00B32C94">
        <w:rPr>
          <w:sz w:val="24"/>
          <w:szCs w:val="24"/>
        </w:rPr>
        <w:t>Objectifs environnementaux et engagement RSE</w:t>
      </w:r>
      <w:bookmarkEnd w:id="1930"/>
      <w:bookmarkEnd w:id="1931"/>
      <w:bookmarkEnd w:id="1932"/>
      <w:bookmarkEnd w:id="1933"/>
      <w:bookmarkEnd w:id="1934"/>
      <w:bookmarkEnd w:id="1935"/>
    </w:p>
    <w:p w:rsidR="00E772DD" w:rsidRPr="008764AA" w:rsidRDefault="00E772DD" w:rsidP="003A1F0E">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Hasnaoui Logistique inscrit ses activités dans une logique de </w:t>
      </w:r>
      <w:r w:rsidRPr="003A1F0E">
        <w:rPr>
          <w:rFonts w:asciiTheme="majorBidi" w:hAnsiTheme="majorBidi" w:cstheme="majorBidi"/>
          <w:color w:val="000000"/>
          <w:lang w:val="fr-FR"/>
        </w:rPr>
        <w:t>développement durable</w:t>
      </w:r>
      <w:r w:rsidRPr="008764AA">
        <w:rPr>
          <w:rFonts w:asciiTheme="majorBidi" w:hAnsiTheme="majorBidi" w:cstheme="majorBidi"/>
          <w:color w:val="000000"/>
          <w:lang w:val="fr-FR"/>
        </w:rPr>
        <w:t>, en adoptant une politique de gestion environnementale exigeante. Elle met en œuvre plusieurs actions :</w:t>
      </w:r>
    </w:p>
    <w:p w:rsidR="00E772DD" w:rsidRPr="008764AA" w:rsidRDefault="00E772DD" w:rsidP="004D32AC">
      <w:pPr>
        <w:numPr>
          <w:ilvl w:val="0"/>
          <w:numId w:val="147"/>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Sensibilisation des salariés aux exigences des clients.</w:t>
      </w:r>
    </w:p>
    <w:p w:rsidR="00E772DD" w:rsidRPr="008764AA" w:rsidRDefault="00E772DD" w:rsidP="004D32AC">
      <w:pPr>
        <w:numPr>
          <w:ilvl w:val="0"/>
          <w:numId w:val="147"/>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Programmes d’amélioration continue en matière de qualité et d’environnement.</w:t>
      </w:r>
    </w:p>
    <w:p w:rsidR="00E772DD" w:rsidRPr="008764AA" w:rsidRDefault="00E772DD" w:rsidP="004D32AC">
      <w:pPr>
        <w:numPr>
          <w:ilvl w:val="0"/>
          <w:numId w:val="147"/>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Respect de la législation environnementale.</w:t>
      </w:r>
    </w:p>
    <w:p w:rsidR="00E772DD" w:rsidRPr="008764AA" w:rsidRDefault="00E772DD" w:rsidP="004D32AC">
      <w:pPr>
        <w:numPr>
          <w:ilvl w:val="0"/>
          <w:numId w:val="147"/>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Réduction des déchets et prévention des risques de pollution.</w:t>
      </w:r>
    </w:p>
    <w:p w:rsidR="00E772DD" w:rsidRDefault="00E772DD" w:rsidP="004D32AC">
      <w:pPr>
        <w:numPr>
          <w:ilvl w:val="0"/>
          <w:numId w:val="147"/>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Implication des fournisseurs et prestataires dans sa démarche responsable.</w:t>
      </w:r>
    </w:p>
    <w:p w:rsidR="003A1F0E" w:rsidRPr="008764AA" w:rsidRDefault="003A1F0E" w:rsidP="003A1F0E">
      <w:pPr>
        <w:spacing w:before="100" w:beforeAutospacing="1" w:after="100" w:afterAutospacing="1" w:line="360" w:lineRule="auto"/>
        <w:ind w:left="720"/>
        <w:jc w:val="both"/>
        <w:rPr>
          <w:rFonts w:asciiTheme="majorBidi" w:hAnsiTheme="majorBidi" w:cstheme="majorBidi"/>
          <w:color w:val="000000"/>
          <w:lang w:val="fr-FR"/>
        </w:rPr>
      </w:pPr>
    </w:p>
    <w:p w:rsidR="00E772DD" w:rsidRPr="00B32C94" w:rsidRDefault="00E772DD" w:rsidP="004D32AC">
      <w:pPr>
        <w:pStyle w:val="Titre3"/>
        <w:numPr>
          <w:ilvl w:val="1"/>
          <w:numId w:val="129"/>
        </w:numPr>
        <w:rPr>
          <w:sz w:val="24"/>
          <w:szCs w:val="24"/>
        </w:rPr>
      </w:pPr>
      <w:bookmarkStart w:id="1936" w:name="_Toc199714515"/>
      <w:bookmarkStart w:id="1937" w:name="_Toc200486791"/>
      <w:bookmarkStart w:id="1938" w:name="_Toc200635569"/>
      <w:bookmarkStart w:id="1939" w:name="_Toc200635957"/>
      <w:bookmarkStart w:id="1940" w:name="_Toc200636346"/>
      <w:bookmarkStart w:id="1941" w:name="_Toc200756084"/>
      <w:r w:rsidRPr="00B32C94">
        <w:rPr>
          <w:sz w:val="24"/>
          <w:szCs w:val="24"/>
        </w:rPr>
        <w:lastRenderedPageBreak/>
        <w:t>Organisation et structure de l’entreprise</w:t>
      </w:r>
      <w:bookmarkEnd w:id="1936"/>
      <w:bookmarkEnd w:id="1937"/>
      <w:bookmarkEnd w:id="1938"/>
      <w:bookmarkEnd w:id="1939"/>
      <w:bookmarkEnd w:id="1940"/>
      <w:bookmarkEnd w:id="1941"/>
    </w:p>
    <w:p w:rsidR="00E772DD" w:rsidRPr="008764AA" w:rsidRDefault="00E772DD" w:rsidP="0089437C">
      <w:pPr>
        <w:spacing w:after="100" w:afterAutospacing="1" w:line="360" w:lineRule="auto"/>
        <w:jc w:val="both"/>
        <w:outlineLvl w:val="3"/>
        <w:rPr>
          <w:rFonts w:asciiTheme="majorBidi" w:hAnsiTheme="majorBidi" w:cstheme="majorBidi"/>
          <w:color w:val="000000"/>
          <w:lang w:val="fr-FR"/>
        </w:rPr>
      </w:pPr>
      <w:r w:rsidRPr="008764AA">
        <w:rPr>
          <w:rFonts w:asciiTheme="majorBidi" w:hAnsiTheme="majorBidi" w:cstheme="majorBidi"/>
          <w:color w:val="000000"/>
          <w:lang w:val="fr-FR"/>
        </w:rPr>
        <w:t>La société Hasnaoui Logistique fonctionne selon une structure hiérarchique clairement définie, dirigée par un </w:t>
      </w:r>
      <w:r w:rsidRPr="003A1F0E">
        <w:rPr>
          <w:rFonts w:asciiTheme="majorBidi" w:hAnsiTheme="majorBidi" w:cstheme="majorBidi"/>
          <w:color w:val="000000"/>
          <w:lang w:val="fr-FR"/>
        </w:rPr>
        <w:t>directeur général</w:t>
      </w:r>
      <w:r w:rsidRPr="008764AA">
        <w:rPr>
          <w:rFonts w:asciiTheme="majorBidi" w:hAnsiTheme="majorBidi" w:cstheme="majorBidi"/>
          <w:color w:val="000000"/>
          <w:lang w:val="fr-FR"/>
        </w:rPr>
        <w:t> qui supervise l’ensemble des activités et assure la coordination entre les différents services.</w:t>
      </w:r>
    </w:p>
    <w:p w:rsidR="00E772DD" w:rsidRPr="008764AA" w:rsidRDefault="00E772DD" w:rsidP="008764AA">
      <w:pPr>
        <w:spacing w:before="100" w:beforeAutospacing="1" w:after="100" w:afterAutospacing="1" w:line="360" w:lineRule="auto"/>
        <w:jc w:val="center"/>
        <w:outlineLvl w:val="3"/>
        <w:rPr>
          <w:rFonts w:asciiTheme="majorBidi" w:hAnsiTheme="majorBidi" w:cstheme="majorBidi"/>
          <w:b/>
          <w:bCs/>
          <w:color w:val="000000"/>
          <w:lang w:val="fr-FR"/>
        </w:rPr>
      </w:pPr>
      <w:r w:rsidRPr="008764AA">
        <w:rPr>
          <w:rFonts w:asciiTheme="majorBidi" w:hAnsiTheme="majorBidi" w:cstheme="majorBidi"/>
          <w:b/>
          <w:bCs/>
          <w:color w:val="000000"/>
          <w:lang w:val="fr-FR"/>
        </w:rPr>
        <w:t>Figure N°</w:t>
      </w:r>
      <w:r>
        <w:rPr>
          <w:rFonts w:asciiTheme="majorBidi" w:hAnsiTheme="majorBidi" w:cstheme="majorBidi"/>
          <w:b/>
          <w:bCs/>
          <w:color w:val="000000"/>
          <w:lang w:val="fr-FR"/>
        </w:rPr>
        <w:t>31</w:t>
      </w:r>
      <w:r w:rsidRPr="008764AA">
        <w:rPr>
          <w:rFonts w:asciiTheme="majorBidi" w:hAnsiTheme="majorBidi" w:cstheme="majorBidi"/>
          <w:b/>
          <w:bCs/>
          <w:color w:val="000000"/>
          <w:lang w:val="fr-FR"/>
        </w:rPr>
        <w:t> :</w:t>
      </w:r>
      <w:r w:rsidRPr="008764AA">
        <w:rPr>
          <w:rFonts w:asciiTheme="majorBidi" w:hAnsiTheme="majorBidi" w:cstheme="majorBidi"/>
          <w:color w:val="000000"/>
          <w:lang w:val="fr-FR"/>
        </w:rPr>
        <w:t xml:space="preserve"> </w:t>
      </w:r>
      <w:r w:rsidRPr="00BC371F">
        <w:rPr>
          <w:rFonts w:asciiTheme="majorBidi" w:hAnsiTheme="majorBidi" w:cstheme="majorBidi"/>
          <w:color w:val="000000"/>
          <w:lang w:val="fr-FR"/>
        </w:rPr>
        <w:t>Organigramme HASNAOUI LOGISTIQUE</w:t>
      </w:r>
    </w:p>
    <w:p w:rsidR="00E772DD" w:rsidRPr="008764AA" w:rsidRDefault="00E772DD" w:rsidP="006870F7">
      <w:pPr>
        <w:spacing w:before="100" w:beforeAutospacing="1" w:after="100" w:afterAutospacing="1" w:line="360" w:lineRule="auto"/>
        <w:jc w:val="both"/>
        <w:outlineLvl w:val="3"/>
        <w:rPr>
          <w:rFonts w:asciiTheme="majorBidi" w:hAnsiTheme="majorBidi" w:cstheme="majorBidi"/>
          <w:b/>
          <w:bCs/>
          <w:color w:val="000000"/>
          <w:lang w:val="fr-FR"/>
        </w:rPr>
      </w:pPr>
      <w:r w:rsidRPr="008764AA">
        <w:rPr>
          <w:rFonts w:asciiTheme="majorBidi" w:hAnsiTheme="majorBidi" w:cstheme="majorBidi"/>
          <w:b/>
          <w:bCs/>
          <w:noProof/>
          <w:color w:val="000000"/>
          <w:lang w:val="fr-FR"/>
        </w:rPr>
        <w:drawing>
          <wp:anchor distT="0" distB="0" distL="114300" distR="114300" simplePos="0" relativeHeight="251685888" behindDoc="0" locked="0" layoutInCell="1" allowOverlap="1" wp14:anchorId="6F0EBF6B" wp14:editId="23D267F4">
            <wp:simplePos x="0" y="0"/>
            <wp:positionH relativeFrom="column">
              <wp:posOffset>-574999</wp:posOffset>
            </wp:positionH>
            <wp:positionV relativeFrom="paragraph">
              <wp:posOffset>25562</wp:posOffset>
            </wp:positionV>
            <wp:extent cx="6653242" cy="3200400"/>
            <wp:effectExtent l="0" t="38100" r="0" b="12700"/>
            <wp:wrapTopAndBottom/>
            <wp:docPr id="8773842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0" r:lo="rId111" r:qs="rId112" r:cs="rId113"/>
              </a:graphicData>
            </a:graphic>
            <wp14:sizeRelH relativeFrom="page">
              <wp14:pctWidth>0</wp14:pctWidth>
            </wp14:sizeRelH>
            <wp14:sizeRelV relativeFrom="page">
              <wp14:pctHeight>0</wp14:pctHeight>
            </wp14:sizeRelV>
          </wp:anchor>
        </w:drawing>
      </w:r>
    </w:p>
    <w:p w:rsidR="008245B3" w:rsidRPr="008245B3" w:rsidRDefault="00E772DD" w:rsidP="008245B3">
      <w:pPr>
        <w:spacing w:before="100" w:beforeAutospacing="1" w:after="100" w:afterAutospacing="1" w:line="360" w:lineRule="auto"/>
        <w:jc w:val="center"/>
        <w:outlineLvl w:val="3"/>
        <w:rPr>
          <w:rFonts w:asciiTheme="majorBidi" w:hAnsiTheme="majorBidi" w:cstheme="majorBidi"/>
          <w:color w:val="000000"/>
          <w:lang w:val="fr-FR"/>
        </w:rPr>
      </w:pPr>
      <w:r w:rsidRPr="008764AA">
        <w:rPr>
          <w:rFonts w:asciiTheme="majorBidi" w:hAnsiTheme="majorBidi" w:cstheme="majorBidi"/>
          <w:b/>
          <w:bCs/>
          <w:color w:val="000000"/>
          <w:lang w:val="fr-FR"/>
        </w:rPr>
        <w:t>Source :</w:t>
      </w:r>
      <w:r w:rsidRPr="008764AA">
        <w:rPr>
          <w:rFonts w:asciiTheme="majorBidi" w:hAnsiTheme="majorBidi" w:cstheme="majorBidi"/>
          <w:color w:val="000000"/>
          <w:lang w:val="fr-FR"/>
        </w:rPr>
        <w:t xml:space="preserve"> </w:t>
      </w:r>
      <w:r w:rsidR="008245B3" w:rsidRPr="008245B3">
        <w:rPr>
          <w:rFonts w:asciiTheme="majorBidi" w:hAnsiTheme="majorBidi" w:cstheme="majorBidi"/>
          <w:color w:val="000000"/>
        </w:rPr>
        <w:t>Département RH</w:t>
      </w:r>
      <w:r w:rsidR="004A31A9">
        <w:rPr>
          <w:rFonts w:asciiTheme="majorBidi" w:hAnsiTheme="majorBidi" w:cstheme="majorBidi"/>
          <w:color w:val="000000"/>
          <w:lang w:val="fr-FR"/>
        </w:rPr>
        <w:t>,</w:t>
      </w:r>
      <w:r w:rsidR="008245B3" w:rsidRPr="008245B3">
        <w:rPr>
          <w:rFonts w:asciiTheme="majorBidi" w:hAnsiTheme="majorBidi" w:cstheme="majorBidi"/>
          <w:color w:val="000000"/>
        </w:rPr>
        <w:t xml:space="preserve"> </w:t>
      </w:r>
      <w:r w:rsidR="004A31A9">
        <w:rPr>
          <w:rFonts w:asciiTheme="majorBidi" w:hAnsiTheme="majorBidi" w:cstheme="majorBidi"/>
          <w:color w:val="000000"/>
          <w:lang w:val="fr-FR"/>
        </w:rPr>
        <w:t xml:space="preserve">« Organigramme interne », </w:t>
      </w:r>
      <w:r w:rsidR="008245B3" w:rsidRPr="008245B3">
        <w:rPr>
          <w:rFonts w:asciiTheme="majorBidi" w:hAnsiTheme="majorBidi" w:cstheme="majorBidi"/>
          <w:color w:val="000000"/>
        </w:rPr>
        <w:t>Hasnaoui Logistique</w:t>
      </w:r>
      <w:r w:rsidR="004A31A9">
        <w:rPr>
          <w:rFonts w:asciiTheme="majorBidi" w:hAnsiTheme="majorBidi" w:cstheme="majorBidi"/>
          <w:color w:val="000000"/>
          <w:lang w:val="fr-FR"/>
        </w:rPr>
        <w:t xml:space="preserve">, </w:t>
      </w:r>
      <w:r w:rsidR="008245B3">
        <w:rPr>
          <w:rFonts w:asciiTheme="majorBidi" w:hAnsiTheme="majorBidi" w:cstheme="majorBidi"/>
          <w:color w:val="000000"/>
          <w:lang w:val="fr-FR"/>
        </w:rPr>
        <w:t>2025</w:t>
      </w:r>
    </w:p>
    <w:p w:rsidR="00E772DD" w:rsidRPr="008764AA" w:rsidRDefault="00E772DD" w:rsidP="008245B3">
      <w:pPr>
        <w:spacing w:before="100" w:beforeAutospacing="1" w:after="100" w:afterAutospacing="1" w:line="360" w:lineRule="auto"/>
        <w:outlineLvl w:val="3"/>
        <w:rPr>
          <w:rFonts w:asciiTheme="majorBidi" w:hAnsiTheme="majorBidi" w:cstheme="majorBidi"/>
          <w:color w:val="000000"/>
          <w:lang w:val="fr-FR"/>
        </w:rPr>
      </w:pPr>
      <w:r w:rsidRPr="008764AA">
        <w:rPr>
          <w:rFonts w:asciiTheme="majorBidi" w:hAnsiTheme="majorBidi" w:cstheme="majorBidi"/>
          <w:color w:val="000000"/>
          <w:lang w:val="fr-FR"/>
        </w:rPr>
        <w:t>L’entreprise est divisée en trois grandes directions :</w:t>
      </w:r>
    </w:p>
    <w:p w:rsidR="00E772DD" w:rsidRPr="008764AA" w:rsidRDefault="00E772DD" w:rsidP="004D32AC">
      <w:pPr>
        <w:pStyle w:val="Paragraphedeliste"/>
        <w:numPr>
          <w:ilvl w:val="0"/>
          <w:numId w:val="158"/>
        </w:numPr>
        <w:spacing w:line="360" w:lineRule="auto"/>
        <w:jc w:val="both"/>
        <w:outlineLvl w:val="4"/>
        <w:rPr>
          <w:rFonts w:asciiTheme="majorBidi" w:eastAsia="Times New Roman" w:hAnsiTheme="majorBidi" w:cstheme="majorBidi"/>
          <w:b/>
          <w:bCs/>
          <w14:ligatures w14:val="none"/>
        </w:rPr>
      </w:pPr>
      <w:r w:rsidRPr="008764AA">
        <w:rPr>
          <w:rFonts w:asciiTheme="majorBidi" w:eastAsia="Times New Roman" w:hAnsiTheme="majorBidi" w:cstheme="majorBidi"/>
          <w:b/>
          <w:bCs/>
          <w14:ligatures w14:val="none"/>
        </w:rPr>
        <w:t>Direction des ressources humaines</w:t>
      </w:r>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Cette direction prend en charge :</w:t>
      </w:r>
    </w:p>
    <w:p w:rsidR="00E772DD" w:rsidRPr="008764AA" w:rsidRDefault="00E772DD" w:rsidP="004D32AC">
      <w:pPr>
        <w:numPr>
          <w:ilvl w:val="0"/>
          <w:numId w:val="148"/>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La gestion du personnel et le respect de la législation sociale.</w:t>
      </w:r>
    </w:p>
    <w:p w:rsidR="00E772DD" w:rsidRPr="008764AA" w:rsidRDefault="00E772DD" w:rsidP="004D32AC">
      <w:pPr>
        <w:numPr>
          <w:ilvl w:val="0"/>
          <w:numId w:val="148"/>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L’établissement des bulletins de paie.</w:t>
      </w:r>
    </w:p>
    <w:p w:rsidR="00E772DD" w:rsidRPr="008764AA" w:rsidRDefault="00E772DD" w:rsidP="004D32AC">
      <w:pPr>
        <w:numPr>
          <w:ilvl w:val="0"/>
          <w:numId w:val="148"/>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La définition des politiques de recrutement, de formation et de motivation.</w:t>
      </w:r>
    </w:p>
    <w:p w:rsidR="00E772DD" w:rsidRDefault="00E772DD" w:rsidP="004D32AC">
      <w:pPr>
        <w:numPr>
          <w:ilvl w:val="0"/>
          <w:numId w:val="148"/>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L’organisation des sessions de formation et l’évaluation de leur impact sur la performance.</w:t>
      </w:r>
    </w:p>
    <w:p w:rsidR="008B0EA7" w:rsidRPr="008764AA" w:rsidRDefault="008B0EA7" w:rsidP="008B0EA7">
      <w:pPr>
        <w:spacing w:before="100" w:beforeAutospacing="1" w:after="100" w:afterAutospacing="1" w:line="360" w:lineRule="auto"/>
        <w:jc w:val="both"/>
        <w:rPr>
          <w:rFonts w:asciiTheme="majorBidi" w:hAnsiTheme="majorBidi" w:cstheme="majorBidi"/>
          <w:color w:val="000000"/>
          <w:lang w:val="fr-FR"/>
        </w:rPr>
      </w:pPr>
    </w:p>
    <w:p w:rsidR="00E772DD" w:rsidRPr="008764AA" w:rsidRDefault="00E772DD" w:rsidP="004D32AC">
      <w:pPr>
        <w:pStyle w:val="Paragraphedeliste"/>
        <w:numPr>
          <w:ilvl w:val="0"/>
          <w:numId w:val="158"/>
        </w:numPr>
        <w:spacing w:line="360" w:lineRule="auto"/>
        <w:jc w:val="both"/>
        <w:outlineLvl w:val="4"/>
        <w:rPr>
          <w:rFonts w:asciiTheme="majorBidi" w:eastAsia="Times New Roman" w:hAnsiTheme="majorBidi" w:cstheme="majorBidi"/>
          <w:b/>
          <w:bCs/>
          <w14:ligatures w14:val="none"/>
        </w:rPr>
      </w:pPr>
      <w:r w:rsidRPr="008764AA">
        <w:rPr>
          <w:rFonts w:asciiTheme="majorBidi" w:eastAsia="Times New Roman" w:hAnsiTheme="majorBidi" w:cstheme="majorBidi"/>
          <w:b/>
          <w:bCs/>
          <w14:ligatures w14:val="none"/>
        </w:rPr>
        <w:lastRenderedPageBreak/>
        <w:t>Direction financière et comptable</w:t>
      </w:r>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Elle comprend deux services :</w:t>
      </w:r>
    </w:p>
    <w:p w:rsidR="00E772DD" w:rsidRPr="008764AA" w:rsidRDefault="00E772DD" w:rsidP="004D32AC">
      <w:pPr>
        <w:numPr>
          <w:ilvl w:val="0"/>
          <w:numId w:val="149"/>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Service comptabilité</w:t>
      </w:r>
      <w:r w:rsidRPr="008764AA">
        <w:rPr>
          <w:rFonts w:asciiTheme="majorBidi" w:hAnsiTheme="majorBidi" w:cstheme="majorBidi"/>
          <w:color w:val="000000"/>
          <w:lang w:val="fr-FR"/>
        </w:rPr>
        <w:t> : veille à l’application des normes comptables, à l’élaboration des états financiers et à l’organisation de l’inventaire.</w:t>
      </w:r>
    </w:p>
    <w:p w:rsidR="00E772DD" w:rsidRPr="008764AA" w:rsidRDefault="00E772DD" w:rsidP="004D32AC">
      <w:pPr>
        <w:numPr>
          <w:ilvl w:val="0"/>
          <w:numId w:val="149"/>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Service financier</w:t>
      </w:r>
      <w:r w:rsidRPr="008764AA">
        <w:rPr>
          <w:rFonts w:asciiTheme="majorBidi" w:hAnsiTheme="majorBidi" w:cstheme="majorBidi"/>
          <w:color w:val="000000"/>
          <w:lang w:val="fr-FR"/>
        </w:rPr>
        <w:t> : responsable de la planification budgétaire, de la gestion des flux de trésorerie et des négociations avec les établissements bancaires.</w:t>
      </w:r>
    </w:p>
    <w:p w:rsidR="00E772DD" w:rsidRPr="008764AA" w:rsidRDefault="00E772DD" w:rsidP="004D32AC">
      <w:pPr>
        <w:pStyle w:val="Paragraphedeliste"/>
        <w:numPr>
          <w:ilvl w:val="0"/>
          <w:numId w:val="158"/>
        </w:numPr>
        <w:spacing w:line="360" w:lineRule="auto"/>
        <w:jc w:val="both"/>
        <w:outlineLvl w:val="4"/>
        <w:rPr>
          <w:rFonts w:asciiTheme="majorBidi" w:eastAsia="Times New Roman" w:hAnsiTheme="majorBidi" w:cstheme="majorBidi"/>
          <w:b/>
          <w:bCs/>
          <w14:ligatures w14:val="none"/>
        </w:rPr>
      </w:pPr>
      <w:r w:rsidRPr="008764AA">
        <w:rPr>
          <w:rFonts w:asciiTheme="majorBidi" w:eastAsia="Times New Roman" w:hAnsiTheme="majorBidi" w:cstheme="majorBidi"/>
          <w:b/>
          <w:bCs/>
          <w14:ligatures w14:val="none"/>
        </w:rPr>
        <w:t>Direction d’exploitation</w:t>
      </w:r>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C’est l’axe central de l’activité logistique, avec trois services majeurs :</w:t>
      </w:r>
    </w:p>
    <w:p w:rsidR="00E772DD" w:rsidRPr="008764AA" w:rsidRDefault="00E772DD" w:rsidP="004D32AC">
      <w:pPr>
        <w:numPr>
          <w:ilvl w:val="0"/>
          <w:numId w:val="150"/>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Service logistique</w:t>
      </w:r>
      <w:r w:rsidRPr="008764AA">
        <w:rPr>
          <w:rFonts w:asciiTheme="majorBidi" w:hAnsiTheme="majorBidi" w:cstheme="majorBidi"/>
          <w:color w:val="000000"/>
          <w:lang w:val="fr-FR"/>
        </w:rPr>
        <w:t> : organise le planning de livraison, la coordination des expéditions et le respect des délais.</w:t>
      </w:r>
    </w:p>
    <w:p w:rsidR="00E772DD" w:rsidRPr="008764AA" w:rsidRDefault="00E772DD" w:rsidP="004D32AC">
      <w:pPr>
        <w:numPr>
          <w:ilvl w:val="0"/>
          <w:numId w:val="150"/>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Service gestion des stocks</w:t>
      </w:r>
      <w:r w:rsidRPr="008764AA">
        <w:rPr>
          <w:rFonts w:asciiTheme="majorBidi" w:hAnsiTheme="majorBidi" w:cstheme="majorBidi"/>
          <w:color w:val="000000"/>
          <w:lang w:val="fr-FR"/>
        </w:rPr>
        <w:t> : assure l’approvisionnement permanent, notamment en pièces de rechange.</w:t>
      </w:r>
    </w:p>
    <w:p w:rsidR="00E772DD" w:rsidRPr="008764AA" w:rsidRDefault="00E772DD" w:rsidP="004D32AC">
      <w:pPr>
        <w:numPr>
          <w:ilvl w:val="0"/>
          <w:numId w:val="150"/>
        </w:numPr>
        <w:spacing w:after="240"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Atelier de maintenance</w:t>
      </w:r>
      <w:r w:rsidRPr="008764AA">
        <w:rPr>
          <w:rFonts w:asciiTheme="majorBidi" w:hAnsiTheme="majorBidi" w:cstheme="majorBidi"/>
          <w:color w:val="000000"/>
          <w:lang w:val="fr-FR"/>
        </w:rPr>
        <w:t> : dédié à l’entretien, à la réparation et au lavage de l’ensemble du parc de véhicules du groupe.</w:t>
      </w:r>
    </w:p>
    <w:p w:rsidR="00E772DD" w:rsidRPr="00B32C94" w:rsidRDefault="00E772DD" w:rsidP="004D32AC">
      <w:pPr>
        <w:pStyle w:val="Titre3"/>
        <w:numPr>
          <w:ilvl w:val="1"/>
          <w:numId w:val="129"/>
        </w:numPr>
        <w:spacing w:after="0" w:afterAutospacing="0" w:line="360" w:lineRule="auto"/>
        <w:rPr>
          <w:sz w:val="24"/>
          <w:szCs w:val="24"/>
        </w:rPr>
      </w:pPr>
      <w:bookmarkStart w:id="1942" w:name="_Toc199714516"/>
      <w:bookmarkStart w:id="1943" w:name="_Toc200486792"/>
      <w:bookmarkStart w:id="1944" w:name="_Toc200635570"/>
      <w:bookmarkStart w:id="1945" w:name="_Toc200635958"/>
      <w:bookmarkStart w:id="1946" w:name="_Toc200636347"/>
      <w:bookmarkStart w:id="1947" w:name="_Toc200756085"/>
      <w:r w:rsidRPr="00B32C94">
        <w:rPr>
          <w:sz w:val="24"/>
          <w:szCs w:val="24"/>
        </w:rPr>
        <w:t>Présentation du département des ressources humaines</w:t>
      </w:r>
      <w:bookmarkEnd w:id="1942"/>
      <w:bookmarkEnd w:id="1943"/>
      <w:bookmarkEnd w:id="1944"/>
      <w:bookmarkEnd w:id="1945"/>
      <w:bookmarkEnd w:id="1946"/>
      <w:bookmarkEnd w:id="1947"/>
    </w:p>
    <w:p w:rsidR="00B32C94" w:rsidRDefault="00E772DD" w:rsidP="00B32C94">
      <w:pPr>
        <w:spacing w:after="240" w:line="360" w:lineRule="auto"/>
        <w:ind w:left="360"/>
        <w:jc w:val="both"/>
        <w:rPr>
          <w:rFonts w:asciiTheme="majorBidi" w:hAnsiTheme="majorBidi" w:cstheme="majorBidi"/>
          <w:color w:val="000000"/>
          <w:lang w:val="fr-FR"/>
        </w:rPr>
      </w:pPr>
      <w:r w:rsidRPr="008764AA">
        <w:rPr>
          <w:rFonts w:asciiTheme="majorBidi" w:hAnsiTheme="majorBidi" w:cstheme="majorBidi"/>
          <w:color w:val="000000"/>
          <w:lang w:val="fr-FR"/>
        </w:rPr>
        <w:t>Dans le prolongement de sa stratégie de développement, Hasnaoui Logistique accorde une importance particulière à la gestion de ses ressources humaines. Le département RH occupe une place stratégique au sein de l’organisation, avec pour mission principale de recruter, former et accompagner les collaborateurs dans l’évolution de leurs compétences.</w:t>
      </w:r>
      <w:r w:rsidRPr="008764AA">
        <w:rPr>
          <w:rFonts w:asciiTheme="majorBidi" w:hAnsiTheme="majorBidi" w:cstheme="majorBidi"/>
          <w:color w:val="000000"/>
          <w:lang w:val="fr-FR"/>
        </w:rPr>
        <w:br/>
        <w:t>Ce service est dirigé par une responsable RH, assistée d’un agent administratif, et assure une gestion directe, opérationnelle et adaptée aux besoins du personnel. Il intervient notamment dans le suivi des dossiers du personnel, la planification des besoins en effectifs, la formation continue, ainsi que la digitalisation progressive de certains processus internes, notamment le recrutement et la formation.</w:t>
      </w:r>
    </w:p>
    <w:p w:rsidR="00E772DD" w:rsidRPr="00B32C94" w:rsidRDefault="00E772DD" w:rsidP="004D32AC">
      <w:pPr>
        <w:pStyle w:val="Paragraphedeliste"/>
        <w:numPr>
          <w:ilvl w:val="1"/>
          <w:numId w:val="188"/>
        </w:numPr>
        <w:spacing w:line="360" w:lineRule="auto"/>
        <w:jc w:val="both"/>
        <w:rPr>
          <w:rFonts w:asciiTheme="majorBidi" w:hAnsiTheme="majorBidi" w:cstheme="majorBidi"/>
          <w:color w:val="000000"/>
          <w:lang w:val="fr-FR"/>
        </w:rPr>
      </w:pPr>
      <w:r w:rsidRPr="00B32C94">
        <w:rPr>
          <w:rFonts w:asciiTheme="majorBidi" w:hAnsiTheme="majorBidi" w:cstheme="majorBidi"/>
          <w:b/>
          <w:bCs/>
        </w:rPr>
        <w:t>Procédure de recrutement au sein de Hasnaoui Logistique</w:t>
      </w:r>
    </w:p>
    <w:p w:rsidR="00E772DD" w:rsidRDefault="00E772DD" w:rsidP="00B32C94">
      <w:pPr>
        <w:spacing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 processus de recrutement à la SPA Hasnaoui Logistique repose sur une démarche rigoureuse, structurée en plusieurs étapes clés visant à garantir une adéquation optimale entre les besoins de l’entreprise et les profils recrutés.</w:t>
      </w:r>
    </w:p>
    <w:p w:rsidR="008B0EA7" w:rsidRDefault="008B0EA7" w:rsidP="00B32C94">
      <w:pPr>
        <w:spacing w:after="100" w:afterAutospacing="1" w:line="360" w:lineRule="auto"/>
        <w:jc w:val="both"/>
        <w:rPr>
          <w:rFonts w:asciiTheme="majorBidi" w:hAnsiTheme="majorBidi" w:cstheme="majorBidi"/>
          <w:color w:val="000000"/>
          <w:lang w:val="fr-FR"/>
        </w:rPr>
      </w:pPr>
    </w:p>
    <w:p w:rsidR="008B0EA7" w:rsidRPr="008764AA" w:rsidRDefault="008B0EA7" w:rsidP="00B32C94">
      <w:pPr>
        <w:spacing w:after="100" w:afterAutospacing="1" w:line="360" w:lineRule="auto"/>
        <w:jc w:val="both"/>
        <w:rPr>
          <w:rFonts w:asciiTheme="majorBidi" w:hAnsiTheme="majorBidi" w:cstheme="majorBidi"/>
          <w:color w:val="000000"/>
          <w:lang w:val="fr-FR"/>
        </w:rPr>
      </w:pPr>
    </w:p>
    <w:p w:rsidR="00E772DD" w:rsidRPr="00B32C94" w:rsidRDefault="00E772DD" w:rsidP="004D32AC">
      <w:pPr>
        <w:pStyle w:val="Titre3"/>
        <w:numPr>
          <w:ilvl w:val="2"/>
          <w:numId w:val="188"/>
        </w:numPr>
        <w:spacing w:after="0" w:afterAutospacing="0" w:line="360" w:lineRule="auto"/>
        <w:rPr>
          <w:sz w:val="24"/>
          <w:szCs w:val="24"/>
        </w:rPr>
      </w:pPr>
      <w:bookmarkStart w:id="1948" w:name="_Toc199714517"/>
      <w:bookmarkStart w:id="1949" w:name="_Toc200486793"/>
      <w:bookmarkStart w:id="1950" w:name="_Toc200635571"/>
      <w:bookmarkStart w:id="1951" w:name="_Toc200635959"/>
      <w:bookmarkStart w:id="1952" w:name="_Toc200636348"/>
      <w:bookmarkStart w:id="1953" w:name="_Toc200756086"/>
      <w:r w:rsidRPr="00B32C94">
        <w:rPr>
          <w:sz w:val="24"/>
          <w:szCs w:val="24"/>
        </w:rPr>
        <w:lastRenderedPageBreak/>
        <w:t>Identification des besoins en personnel</w:t>
      </w:r>
      <w:bookmarkEnd w:id="1948"/>
      <w:bookmarkEnd w:id="1949"/>
      <w:bookmarkEnd w:id="1950"/>
      <w:bookmarkEnd w:id="1951"/>
      <w:bookmarkEnd w:id="1952"/>
      <w:bookmarkEnd w:id="1953"/>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La première phase du processus consiste en l’expression des besoins</w:t>
      </w:r>
      <w:r>
        <w:rPr>
          <w:rFonts w:asciiTheme="majorBidi" w:hAnsiTheme="majorBidi" w:cstheme="majorBidi"/>
          <w:color w:val="000000"/>
          <w:lang w:val="fr-FR"/>
        </w:rPr>
        <w:t xml:space="preserve"> (voir annexe n°01)</w:t>
      </w:r>
      <w:r w:rsidRPr="008764AA">
        <w:rPr>
          <w:rFonts w:asciiTheme="majorBidi" w:hAnsiTheme="majorBidi" w:cstheme="majorBidi"/>
          <w:color w:val="000000"/>
          <w:lang w:val="fr-FR"/>
        </w:rPr>
        <w:t xml:space="preserve">, effectuée par les responsables des différentes structures de l’entreprise. Ces besoins peuvent résulter de diverses situations : </w:t>
      </w:r>
    </w:p>
    <w:p w:rsidR="00E772DD" w:rsidRPr="008764AA" w:rsidRDefault="00E772DD" w:rsidP="004D32AC">
      <w:pPr>
        <w:pStyle w:val="Paragraphedeliste"/>
        <w:numPr>
          <w:ilvl w:val="0"/>
          <w:numId w:val="157"/>
        </w:numPr>
        <w:spacing w:line="360" w:lineRule="auto"/>
        <w:jc w:val="both"/>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Vacation d'un poste, peut être due à un congé de maladie de longue durée, invalidité, mutation ou une promotion à un autre poste, démission, licenciement, etc.....</w:t>
      </w:r>
    </w:p>
    <w:p w:rsidR="00E772DD" w:rsidRPr="008764AA" w:rsidRDefault="00E772DD" w:rsidP="004D32AC">
      <w:pPr>
        <w:pStyle w:val="Paragraphedeliste"/>
        <w:numPr>
          <w:ilvl w:val="0"/>
          <w:numId w:val="157"/>
        </w:numPr>
        <w:spacing w:before="100" w:beforeAutospacing="1" w:after="100" w:afterAutospacing="1" w:line="360" w:lineRule="auto"/>
        <w:jc w:val="both"/>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Création d'un nouveau poste et d'une nouvelle fonction qui doit être inscrite dans un plan de recrutement élaboré par le Responsable ressources humaines approuvé par le DG.</w:t>
      </w:r>
    </w:p>
    <w:p w:rsidR="00E772DD" w:rsidRPr="008764AA" w:rsidRDefault="00E772DD" w:rsidP="004D32AC">
      <w:pPr>
        <w:pStyle w:val="Paragraphedeliste"/>
        <w:numPr>
          <w:ilvl w:val="0"/>
          <w:numId w:val="157"/>
        </w:numPr>
        <w:spacing w:before="100" w:beforeAutospacing="1" w:after="100" w:afterAutospacing="1" w:line="360" w:lineRule="auto"/>
        <w:jc w:val="both"/>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Introduction d'une nouvelle technologie.</w:t>
      </w:r>
    </w:p>
    <w:p w:rsidR="00E772DD" w:rsidRPr="008764AA" w:rsidRDefault="00E772DD" w:rsidP="004D32AC">
      <w:pPr>
        <w:pStyle w:val="Paragraphedeliste"/>
        <w:numPr>
          <w:ilvl w:val="0"/>
          <w:numId w:val="157"/>
        </w:numPr>
        <w:spacing w:before="100" w:beforeAutospacing="1" w:line="360" w:lineRule="auto"/>
        <w:jc w:val="both"/>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Changement de cadence de travail. </w:t>
      </w:r>
    </w:p>
    <w:p w:rsidR="00E772DD" w:rsidRPr="005709B2" w:rsidRDefault="00E772DD" w:rsidP="003A1F0E">
      <w:pPr>
        <w:spacing w:after="100" w:afterAutospacing="1" w:line="360" w:lineRule="auto"/>
        <w:ind w:left="720"/>
        <w:jc w:val="both"/>
        <w:rPr>
          <w:rFonts w:asciiTheme="majorBidi" w:hAnsiTheme="majorBidi" w:cstheme="majorBidi"/>
          <w:color w:val="000000"/>
          <w:lang w:val="fr-FR"/>
        </w:rPr>
      </w:pPr>
      <w:r w:rsidRPr="008764AA">
        <w:rPr>
          <w:rFonts w:asciiTheme="majorBidi" w:hAnsiTheme="majorBidi" w:cstheme="majorBidi"/>
          <w:color w:val="000000"/>
          <w:lang w:val="fr-FR"/>
        </w:rPr>
        <w:t>Toutes les demandes sont transmises à la direction des ressources humaines et à la direction générale pour validation.</w:t>
      </w:r>
    </w:p>
    <w:p w:rsidR="00E772DD" w:rsidRPr="00B32C94" w:rsidRDefault="00E772DD" w:rsidP="004D32AC">
      <w:pPr>
        <w:pStyle w:val="Titre3"/>
        <w:numPr>
          <w:ilvl w:val="2"/>
          <w:numId w:val="188"/>
        </w:numPr>
        <w:spacing w:after="0" w:afterAutospacing="0" w:line="360" w:lineRule="auto"/>
        <w:rPr>
          <w:sz w:val="24"/>
          <w:szCs w:val="24"/>
        </w:rPr>
      </w:pPr>
      <w:bookmarkStart w:id="1954" w:name="_Toc199714518"/>
      <w:bookmarkStart w:id="1955" w:name="_Toc200486794"/>
      <w:bookmarkStart w:id="1956" w:name="_Toc200635572"/>
      <w:bookmarkStart w:id="1957" w:name="_Toc200635960"/>
      <w:bookmarkStart w:id="1958" w:name="_Toc200636349"/>
      <w:bookmarkStart w:id="1959" w:name="_Toc200756087"/>
      <w:r w:rsidRPr="00B32C94">
        <w:rPr>
          <w:sz w:val="24"/>
          <w:szCs w:val="24"/>
        </w:rPr>
        <w:t>Description du poste à pourvoir</w:t>
      </w:r>
      <w:bookmarkEnd w:id="1954"/>
      <w:bookmarkEnd w:id="1955"/>
      <w:bookmarkEnd w:id="1956"/>
      <w:bookmarkEnd w:id="1957"/>
      <w:bookmarkEnd w:id="1958"/>
      <w:bookmarkEnd w:id="1959"/>
    </w:p>
    <w:p w:rsidR="00E772DD" w:rsidRPr="008764AA" w:rsidRDefault="00E772DD" w:rsidP="003A1F0E">
      <w:p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Chaque demande de recrutement doit être accompagnée d'une fiche de poste validée</w:t>
      </w:r>
      <w:r>
        <w:rPr>
          <w:rFonts w:asciiTheme="majorBidi" w:hAnsiTheme="majorBidi" w:cstheme="majorBidi"/>
          <w:color w:val="000000"/>
          <w:lang w:val="fr-FR"/>
        </w:rPr>
        <w:t xml:space="preserve"> (voir annexe n°02) </w:t>
      </w:r>
      <w:r w:rsidRPr="008764AA">
        <w:rPr>
          <w:rFonts w:asciiTheme="majorBidi" w:hAnsiTheme="majorBidi" w:cstheme="majorBidi"/>
          <w:color w:val="000000"/>
          <w:lang w:val="fr-FR"/>
        </w:rPr>
        <w:t>, précisant les missions, les compétences requises et les responsabilités associées. Cette étape garantit la clarté des attentes et facilite les phases ultérieures du recrutement.</w:t>
      </w:r>
    </w:p>
    <w:p w:rsidR="00E772DD" w:rsidRPr="00B32C94" w:rsidRDefault="00E772DD" w:rsidP="004D32AC">
      <w:pPr>
        <w:pStyle w:val="Titre3"/>
        <w:numPr>
          <w:ilvl w:val="2"/>
          <w:numId w:val="188"/>
        </w:numPr>
        <w:spacing w:after="0" w:afterAutospacing="0" w:line="360" w:lineRule="auto"/>
        <w:rPr>
          <w:sz w:val="24"/>
          <w:szCs w:val="24"/>
        </w:rPr>
      </w:pPr>
      <w:bookmarkStart w:id="1960" w:name="_Toc199714519"/>
      <w:bookmarkStart w:id="1961" w:name="_Toc200486795"/>
      <w:bookmarkStart w:id="1962" w:name="_Toc200635573"/>
      <w:bookmarkStart w:id="1963" w:name="_Toc200635961"/>
      <w:bookmarkStart w:id="1964" w:name="_Toc200636350"/>
      <w:bookmarkStart w:id="1965" w:name="_Toc200756088"/>
      <w:r w:rsidRPr="00B32C94">
        <w:rPr>
          <w:sz w:val="24"/>
          <w:szCs w:val="24"/>
        </w:rPr>
        <w:t>Recherche de candidats</w:t>
      </w:r>
      <w:bookmarkEnd w:id="1960"/>
      <w:bookmarkEnd w:id="1961"/>
      <w:bookmarkEnd w:id="1962"/>
      <w:bookmarkEnd w:id="1963"/>
      <w:bookmarkEnd w:id="1964"/>
      <w:bookmarkEnd w:id="1965"/>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L’entreprise privilégie une approche mixte en combinant le </w:t>
      </w:r>
      <w:r w:rsidRPr="003A1F0E">
        <w:rPr>
          <w:rFonts w:asciiTheme="majorBidi" w:hAnsiTheme="majorBidi" w:cstheme="majorBidi"/>
          <w:color w:val="000000"/>
          <w:lang w:val="fr-FR"/>
        </w:rPr>
        <w:t>recrutement interne</w:t>
      </w:r>
      <w:r w:rsidRPr="008764AA">
        <w:rPr>
          <w:rFonts w:asciiTheme="majorBidi" w:hAnsiTheme="majorBidi" w:cstheme="majorBidi"/>
          <w:color w:val="000000"/>
          <w:lang w:val="fr-FR"/>
        </w:rPr>
        <w:t> et </w:t>
      </w:r>
      <w:r w:rsidRPr="003A1F0E">
        <w:rPr>
          <w:rFonts w:asciiTheme="majorBidi" w:hAnsiTheme="majorBidi" w:cstheme="majorBidi"/>
          <w:color w:val="000000"/>
          <w:lang w:val="fr-FR"/>
        </w:rPr>
        <w:t>externe</w:t>
      </w:r>
      <w:r w:rsidRPr="008764AA">
        <w:rPr>
          <w:rFonts w:asciiTheme="majorBidi" w:hAnsiTheme="majorBidi" w:cstheme="majorBidi"/>
          <w:color w:val="000000"/>
          <w:lang w:val="fr-FR"/>
        </w:rPr>
        <w:t> :</w:t>
      </w:r>
    </w:p>
    <w:p w:rsidR="00E772DD" w:rsidRPr="008764AA" w:rsidRDefault="00E772DD" w:rsidP="004D32AC">
      <w:pPr>
        <w:numPr>
          <w:ilvl w:val="0"/>
          <w:numId w:val="151"/>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Recrutement interne</w:t>
      </w:r>
      <w:r w:rsidRPr="008764AA">
        <w:rPr>
          <w:rFonts w:asciiTheme="majorBidi" w:hAnsiTheme="majorBidi" w:cstheme="majorBidi"/>
          <w:color w:val="000000"/>
          <w:lang w:val="fr-FR"/>
        </w:rPr>
        <w:t> : La mobilité interne est encouragée, notamment pour les postes de cadres et agents de maîtrise. Elle permet de valoriser les compétences existantes et d’optimiser les coûts. Le responsable RH contacte la direction des ressources humaines du groupe pour exprimer les besoins à couvrir en interne.</w:t>
      </w:r>
    </w:p>
    <w:p w:rsidR="00E772DD" w:rsidRPr="008764AA" w:rsidRDefault="00E772DD" w:rsidP="004D32AC">
      <w:pPr>
        <w:numPr>
          <w:ilvl w:val="0"/>
          <w:numId w:val="151"/>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Recrutement externe</w:t>
      </w:r>
      <w:r w:rsidRPr="008764AA">
        <w:rPr>
          <w:rFonts w:asciiTheme="majorBidi" w:hAnsiTheme="majorBidi" w:cstheme="majorBidi"/>
          <w:color w:val="000000"/>
          <w:lang w:val="fr-FR"/>
        </w:rPr>
        <w:t> : En cas de besoin externe, plusieurs sources sont mobilisées : l’ANEM (conformément à la loi 04-19 du 25/12/2004), les candidatures spontanées issues de la base de données interne (CVthèque ERP RH), les recommandations internes et les cabinets spécialisés.</w:t>
      </w:r>
    </w:p>
    <w:p w:rsidR="00E772DD" w:rsidRDefault="00E772DD" w:rsidP="0089437C">
      <w:p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Les annonces diffusées en externe précisent systématiquement la filiale concernée, la localisation, le département d’attache, la description du poste, les exigences, ainsi que la date limite de candidature.</w:t>
      </w:r>
    </w:p>
    <w:p w:rsidR="008B0EA7" w:rsidRDefault="008B0EA7" w:rsidP="0089437C">
      <w:pPr>
        <w:spacing w:after="240" w:line="360" w:lineRule="auto"/>
        <w:jc w:val="both"/>
        <w:rPr>
          <w:rFonts w:asciiTheme="majorBidi" w:hAnsiTheme="majorBidi" w:cstheme="majorBidi"/>
          <w:color w:val="000000"/>
          <w:lang w:val="fr-FR"/>
        </w:rPr>
      </w:pPr>
    </w:p>
    <w:p w:rsidR="008B0EA7" w:rsidRPr="008764AA" w:rsidRDefault="008B0EA7" w:rsidP="0089437C">
      <w:pPr>
        <w:spacing w:after="240" w:line="360" w:lineRule="auto"/>
        <w:jc w:val="both"/>
        <w:rPr>
          <w:rFonts w:asciiTheme="majorBidi" w:hAnsiTheme="majorBidi" w:cstheme="majorBidi"/>
          <w:color w:val="000000"/>
          <w:lang w:val="fr-FR"/>
        </w:rPr>
      </w:pPr>
    </w:p>
    <w:p w:rsidR="00E772DD" w:rsidRPr="00B32C94" w:rsidRDefault="00E772DD" w:rsidP="004D32AC">
      <w:pPr>
        <w:pStyle w:val="Titre3"/>
        <w:numPr>
          <w:ilvl w:val="2"/>
          <w:numId w:val="188"/>
        </w:numPr>
        <w:spacing w:after="0" w:afterAutospacing="0" w:line="360" w:lineRule="auto"/>
        <w:rPr>
          <w:sz w:val="24"/>
          <w:szCs w:val="24"/>
        </w:rPr>
      </w:pPr>
      <w:bookmarkStart w:id="1966" w:name="_Toc199714520"/>
      <w:bookmarkStart w:id="1967" w:name="_Toc200486796"/>
      <w:bookmarkStart w:id="1968" w:name="_Toc200635574"/>
      <w:bookmarkStart w:id="1969" w:name="_Toc200635962"/>
      <w:bookmarkStart w:id="1970" w:name="_Toc200636351"/>
      <w:bookmarkStart w:id="1971" w:name="_Toc200756089"/>
      <w:r w:rsidRPr="00B32C94">
        <w:rPr>
          <w:sz w:val="24"/>
          <w:szCs w:val="24"/>
        </w:rPr>
        <w:lastRenderedPageBreak/>
        <w:t>Sélection et entretiens</w:t>
      </w:r>
      <w:bookmarkEnd w:id="1966"/>
      <w:bookmarkEnd w:id="1967"/>
      <w:bookmarkEnd w:id="1968"/>
      <w:bookmarkEnd w:id="1969"/>
      <w:bookmarkEnd w:id="1970"/>
      <w:bookmarkEnd w:id="1971"/>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Une fois la période de candidature clôturée, les CV reçus font l’objet d’un tri et d’une présélection par téléphone. Les candidats dont les profils correspondent aux exigences du poste sont convoqués à un double entretien : technique et non technique. La composition du jury varie selon le niveau hiérarchique du poste :</w:t>
      </w:r>
    </w:p>
    <w:p w:rsidR="00E772DD" w:rsidRPr="008764AA" w:rsidRDefault="00E772DD" w:rsidP="004D32AC">
      <w:pPr>
        <w:numPr>
          <w:ilvl w:val="0"/>
          <w:numId w:val="152"/>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Pour un poste d’exécutant ou d’agent de maîtrise : entretien mené par le responsable RH de la filiale et le responsable hiérarchique.</w:t>
      </w:r>
    </w:p>
    <w:p w:rsidR="00E772DD" w:rsidRPr="008764AA" w:rsidRDefault="00E772DD" w:rsidP="004D32AC">
      <w:pPr>
        <w:numPr>
          <w:ilvl w:val="0"/>
          <w:numId w:val="152"/>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Pour un cadre : entretien avec le responsable RH, le responsable du département concerné, et éventuellement le DG de la filiale.</w:t>
      </w:r>
    </w:p>
    <w:p w:rsidR="00E772DD" w:rsidRPr="008764AA" w:rsidRDefault="00E772DD" w:rsidP="004D32AC">
      <w:pPr>
        <w:numPr>
          <w:ilvl w:val="0"/>
          <w:numId w:val="152"/>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Pour un poste de direction : participation du DRH groupe, du DG filiale et potentiellement du DG groupe.</w:t>
      </w:r>
    </w:p>
    <w:p w:rsidR="00E772DD" w:rsidRPr="008764AA" w:rsidRDefault="00E772DD" w:rsidP="005709B2">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À l’issue des entretiens, un classement des candidats est établi et validé par le département demandeur</w:t>
      </w:r>
      <w:r>
        <w:rPr>
          <w:rFonts w:asciiTheme="majorBidi" w:hAnsiTheme="majorBidi" w:cstheme="majorBidi"/>
          <w:color w:val="000000"/>
          <w:lang w:val="fr-FR"/>
        </w:rPr>
        <w:t xml:space="preserve"> (voir annexe n°03)</w:t>
      </w:r>
      <w:r w:rsidRPr="008764AA">
        <w:rPr>
          <w:rFonts w:asciiTheme="majorBidi" w:hAnsiTheme="majorBidi" w:cstheme="majorBidi"/>
          <w:color w:val="000000"/>
          <w:lang w:val="fr-FR"/>
        </w:rPr>
        <w:t>.</w:t>
      </w:r>
    </w:p>
    <w:p w:rsidR="00E772DD" w:rsidRPr="00E965D1" w:rsidRDefault="00E772DD" w:rsidP="004D32AC">
      <w:pPr>
        <w:pStyle w:val="Titre3"/>
        <w:numPr>
          <w:ilvl w:val="2"/>
          <w:numId w:val="188"/>
        </w:numPr>
        <w:spacing w:after="0" w:afterAutospacing="0" w:line="360" w:lineRule="auto"/>
        <w:rPr>
          <w:sz w:val="24"/>
          <w:szCs w:val="24"/>
        </w:rPr>
      </w:pPr>
      <w:bookmarkStart w:id="1972" w:name="_Toc199714521"/>
      <w:bookmarkStart w:id="1973" w:name="_Toc200486797"/>
      <w:bookmarkStart w:id="1974" w:name="_Toc200635575"/>
      <w:bookmarkStart w:id="1975" w:name="_Toc200635963"/>
      <w:bookmarkStart w:id="1976" w:name="_Toc200636352"/>
      <w:bookmarkStart w:id="1977" w:name="_Toc200756090"/>
      <w:r w:rsidRPr="00E965D1">
        <w:rPr>
          <w:sz w:val="24"/>
          <w:szCs w:val="24"/>
        </w:rPr>
        <w:t>Offre d’emploi et contractualisation</w:t>
      </w:r>
      <w:bookmarkEnd w:id="1972"/>
      <w:bookmarkEnd w:id="1973"/>
      <w:bookmarkEnd w:id="1974"/>
      <w:bookmarkEnd w:id="1975"/>
      <w:bookmarkEnd w:id="1976"/>
      <w:bookmarkEnd w:id="1977"/>
    </w:p>
    <w:p w:rsidR="00E772DD" w:rsidRPr="008764AA" w:rsidRDefault="00E772DD" w:rsidP="00E965D1">
      <w:pPr>
        <w:spacing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 candidat retenu se voit proposer une offre d’embauche officielle précisant : l’intitulé du poste, la direction d’affectation, la rémunération, les primes éventuelles, la date d’installation, le type de contrat, et la période d’essai. La signature de cette offre varie selon le niveau du poste, du responsable RH au président du conseil d’administration</w:t>
      </w:r>
      <w:r>
        <w:rPr>
          <w:rFonts w:asciiTheme="majorBidi" w:hAnsiTheme="majorBidi" w:cstheme="majorBidi"/>
          <w:color w:val="000000"/>
          <w:lang w:val="fr-FR"/>
        </w:rPr>
        <w:t xml:space="preserve"> (voir annexe n°04)</w:t>
      </w:r>
      <w:r w:rsidRPr="008764AA">
        <w:rPr>
          <w:rFonts w:asciiTheme="majorBidi" w:hAnsiTheme="majorBidi" w:cstheme="majorBidi"/>
          <w:color w:val="000000"/>
          <w:lang w:val="fr-FR"/>
        </w:rPr>
        <w:t>.</w:t>
      </w:r>
    </w:p>
    <w:p w:rsidR="00E772DD" w:rsidRPr="00E965D1" w:rsidRDefault="00E772DD" w:rsidP="004D32AC">
      <w:pPr>
        <w:pStyle w:val="Titre3"/>
        <w:numPr>
          <w:ilvl w:val="2"/>
          <w:numId w:val="188"/>
        </w:numPr>
        <w:spacing w:after="0" w:afterAutospacing="0" w:line="360" w:lineRule="auto"/>
        <w:rPr>
          <w:sz w:val="24"/>
          <w:szCs w:val="24"/>
        </w:rPr>
      </w:pPr>
      <w:bookmarkStart w:id="1978" w:name="_Toc199714522"/>
      <w:bookmarkStart w:id="1979" w:name="_Toc200486798"/>
      <w:bookmarkStart w:id="1980" w:name="_Toc200635576"/>
      <w:bookmarkStart w:id="1981" w:name="_Toc200635964"/>
      <w:bookmarkStart w:id="1982" w:name="_Toc200636353"/>
      <w:bookmarkStart w:id="1983" w:name="_Toc200756091"/>
      <w:r w:rsidRPr="00E965D1">
        <w:rPr>
          <w:sz w:val="24"/>
          <w:szCs w:val="24"/>
        </w:rPr>
        <w:t>Formalisation de l’embauche</w:t>
      </w:r>
      <w:bookmarkEnd w:id="1978"/>
      <w:bookmarkEnd w:id="1979"/>
      <w:bookmarkEnd w:id="1980"/>
      <w:bookmarkEnd w:id="1981"/>
      <w:bookmarkEnd w:id="1982"/>
      <w:bookmarkEnd w:id="1983"/>
    </w:p>
    <w:p w:rsidR="00E772DD" w:rsidRPr="008764AA" w:rsidRDefault="00E772DD" w:rsidP="005709B2">
      <w:pPr>
        <w:spacing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L’embauche entraîne la création d’un dossier administratif complet pour le nouvel employé, incluant les documents nécessaires à l’intégration administrative et à l’affiliation à la sécurité sociale</w:t>
      </w:r>
      <w:r>
        <w:rPr>
          <w:rFonts w:asciiTheme="majorBidi" w:hAnsiTheme="majorBidi" w:cstheme="majorBidi"/>
          <w:color w:val="000000"/>
          <w:lang w:val="fr-FR"/>
        </w:rPr>
        <w:t xml:space="preserve"> (voir annexe n°05)</w:t>
      </w:r>
      <w:r w:rsidRPr="008764AA">
        <w:rPr>
          <w:rFonts w:asciiTheme="majorBidi" w:hAnsiTheme="majorBidi" w:cstheme="majorBidi"/>
          <w:color w:val="000000"/>
          <w:lang w:val="fr-FR"/>
        </w:rPr>
        <w:t>. Le contrat de travail, la décision de nomination et le PV d’installation sont signés le jour de la prise de fonction</w:t>
      </w:r>
      <w:r>
        <w:rPr>
          <w:rFonts w:asciiTheme="majorBidi" w:hAnsiTheme="majorBidi" w:cstheme="majorBidi"/>
          <w:color w:val="000000"/>
          <w:lang w:val="fr-FR"/>
        </w:rPr>
        <w:t xml:space="preserve"> (voir annexe n°06)</w:t>
      </w:r>
      <w:r w:rsidRPr="008764AA">
        <w:rPr>
          <w:rFonts w:asciiTheme="majorBidi" w:hAnsiTheme="majorBidi" w:cstheme="majorBidi"/>
          <w:color w:val="000000"/>
          <w:lang w:val="fr-FR"/>
        </w:rPr>
        <w:t>.</w:t>
      </w:r>
    </w:p>
    <w:p w:rsidR="00E772DD" w:rsidRPr="00E965D1" w:rsidRDefault="00E772DD" w:rsidP="004D32AC">
      <w:pPr>
        <w:pStyle w:val="Titre3"/>
        <w:numPr>
          <w:ilvl w:val="2"/>
          <w:numId w:val="188"/>
        </w:numPr>
        <w:spacing w:after="0" w:afterAutospacing="0" w:line="360" w:lineRule="auto"/>
        <w:rPr>
          <w:sz w:val="24"/>
          <w:szCs w:val="24"/>
        </w:rPr>
      </w:pPr>
      <w:bookmarkStart w:id="1984" w:name="_Toc199714523"/>
      <w:bookmarkStart w:id="1985" w:name="_Toc200486799"/>
      <w:bookmarkStart w:id="1986" w:name="_Toc200635577"/>
      <w:bookmarkStart w:id="1987" w:name="_Toc200635965"/>
      <w:bookmarkStart w:id="1988" w:name="_Toc200636354"/>
      <w:bookmarkStart w:id="1989" w:name="_Toc200756092"/>
      <w:r w:rsidRPr="00E965D1">
        <w:rPr>
          <w:sz w:val="24"/>
          <w:szCs w:val="24"/>
        </w:rPr>
        <w:t>Période d’essai</w:t>
      </w:r>
      <w:bookmarkEnd w:id="1984"/>
      <w:bookmarkEnd w:id="1985"/>
      <w:bookmarkEnd w:id="1986"/>
      <w:bookmarkEnd w:id="1987"/>
      <w:bookmarkEnd w:id="1988"/>
      <w:bookmarkEnd w:id="1989"/>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La durée de la période d’essai dépend du type de contrat et du poste :</w:t>
      </w:r>
    </w:p>
    <w:p w:rsidR="00E772DD" w:rsidRPr="008764AA" w:rsidRDefault="00E772DD" w:rsidP="004D32AC">
      <w:pPr>
        <w:numPr>
          <w:ilvl w:val="0"/>
          <w:numId w:val="153"/>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Contrat à durée indéterminée</w:t>
      </w:r>
      <w:r w:rsidRPr="008764AA">
        <w:rPr>
          <w:rFonts w:asciiTheme="majorBidi" w:hAnsiTheme="majorBidi" w:cstheme="majorBidi"/>
          <w:color w:val="000000"/>
          <w:lang w:val="fr-FR"/>
        </w:rPr>
        <w:t> :</w:t>
      </w:r>
    </w:p>
    <w:p w:rsidR="00E772DD" w:rsidRPr="008764AA" w:rsidRDefault="00E772DD" w:rsidP="004D32AC">
      <w:pPr>
        <w:numPr>
          <w:ilvl w:val="1"/>
          <w:numId w:val="153"/>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Exécutants : 2 mois ;</w:t>
      </w:r>
    </w:p>
    <w:p w:rsidR="00E772DD" w:rsidRPr="008764AA" w:rsidRDefault="00E772DD" w:rsidP="004D32AC">
      <w:pPr>
        <w:numPr>
          <w:ilvl w:val="1"/>
          <w:numId w:val="153"/>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Agents de maîtrise : 3 mois ;</w:t>
      </w:r>
    </w:p>
    <w:p w:rsidR="00E772DD" w:rsidRPr="008764AA" w:rsidRDefault="00E772DD" w:rsidP="004D32AC">
      <w:pPr>
        <w:numPr>
          <w:ilvl w:val="1"/>
          <w:numId w:val="153"/>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Cadres : 6 mois ;</w:t>
      </w:r>
    </w:p>
    <w:p w:rsidR="00E772DD" w:rsidRDefault="00E772DD" w:rsidP="004D32AC">
      <w:pPr>
        <w:numPr>
          <w:ilvl w:val="1"/>
          <w:numId w:val="153"/>
        </w:num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Cadres supérieurs : 9 à 12 mois.</w:t>
      </w:r>
    </w:p>
    <w:p w:rsidR="008B0EA7" w:rsidRPr="008764AA" w:rsidRDefault="008B0EA7" w:rsidP="008B0EA7">
      <w:pPr>
        <w:spacing w:after="240" w:line="360" w:lineRule="auto"/>
        <w:jc w:val="both"/>
        <w:rPr>
          <w:rFonts w:asciiTheme="majorBidi" w:hAnsiTheme="majorBidi" w:cstheme="majorBidi"/>
          <w:color w:val="000000"/>
          <w:lang w:val="fr-FR"/>
        </w:rPr>
      </w:pPr>
    </w:p>
    <w:p w:rsidR="00E772DD" w:rsidRPr="008764AA" w:rsidRDefault="00E772DD" w:rsidP="004D32AC">
      <w:pPr>
        <w:numPr>
          <w:ilvl w:val="0"/>
          <w:numId w:val="153"/>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lastRenderedPageBreak/>
        <w:t>Contrat à durée déterminée</w:t>
      </w:r>
      <w:r w:rsidRPr="008764AA">
        <w:rPr>
          <w:rFonts w:asciiTheme="majorBidi" w:hAnsiTheme="majorBidi" w:cstheme="majorBidi"/>
          <w:color w:val="000000"/>
          <w:lang w:val="fr-FR"/>
        </w:rPr>
        <w:t> :</w:t>
      </w:r>
    </w:p>
    <w:p w:rsidR="00E772DD" w:rsidRPr="008764AA" w:rsidRDefault="00E772DD" w:rsidP="004D32AC">
      <w:pPr>
        <w:numPr>
          <w:ilvl w:val="1"/>
          <w:numId w:val="153"/>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Moins de 6 mois : 30 à 45 jours ;</w:t>
      </w:r>
    </w:p>
    <w:p w:rsidR="00E772DD" w:rsidRPr="008764AA" w:rsidRDefault="00E772DD" w:rsidP="004D32AC">
      <w:pPr>
        <w:numPr>
          <w:ilvl w:val="1"/>
          <w:numId w:val="153"/>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De 6 à 12 mois : jusqu’à 90 jours.</w:t>
      </w:r>
    </w:p>
    <w:p w:rsidR="003A1F0E" w:rsidRPr="008764AA" w:rsidRDefault="00E772DD" w:rsidP="008B0EA7">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À l’issue de la période d’essai, une évaluation est réalisée</w:t>
      </w:r>
      <w:r>
        <w:rPr>
          <w:rFonts w:asciiTheme="majorBidi" w:hAnsiTheme="majorBidi" w:cstheme="majorBidi"/>
          <w:color w:val="000000"/>
          <w:lang w:val="fr-FR"/>
        </w:rPr>
        <w:t xml:space="preserve"> (voir annexe n°07)</w:t>
      </w:r>
      <w:r w:rsidRPr="008764AA">
        <w:rPr>
          <w:rFonts w:asciiTheme="majorBidi" w:hAnsiTheme="majorBidi" w:cstheme="majorBidi"/>
          <w:color w:val="000000"/>
          <w:lang w:val="fr-FR"/>
        </w:rPr>
        <w:t>. L’entreprise peut soit confirmer l’embauche, prolonger l’essai (une seule fois), ou mettre fin à la relation contractuelle sans préavis ni indemnité, sauf dispositions spécifiques.</w:t>
      </w:r>
    </w:p>
    <w:p w:rsidR="00E772DD" w:rsidRPr="00E965D1" w:rsidRDefault="00E772DD" w:rsidP="004D32AC">
      <w:pPr>
        <w:pStyle w:val="Titre3"/>
        <w:numPr>
          <w:ilvl w:val="2"/>
          <w:numId w:val="188"/>
        </w:numPr>
        <w:spacing w:after="0" w:afterAutospacing="0" w:line="360" w:lineRule="auto"/>
        <w:rPr>
          <w:sz w:val="24"/>
          <w:szCs w:val="24"/>
        </w:rPr>
      </w:pPr>
      <w:bookmarkStart w:id="1990" w:name="_Toc199714524"/>
      <w:bookmarkStart w:id="1991" w:name="_Toc200486800"/>
      <w:bookmarkStart w:id="1992" w:name="_Toc200635578"/>
      <w:bookmarkStart w:id="1993" w:name="_Toc200635966"/>
      <w:bookmarkStart w:id="1994" w:name="_Toc200636355"/>
      <w:bookmarkStart w:id="1995" w:name="_Toc200756093"/>
      <w:r w:rsidRPr="00E965D1">
        <w:rPr>
          <w:sz w:val="24"/>
          <w:szCs w:val="24"/>
        </w:rPr>
        <w:t>Visite médicale d’embauche</w:t>
      </w:r>
      <w:bookmarkEnd w:id="1990"/>
      <w:bookmarkEnd w:id="1991"/>
      <w:bookmarkEnd w:id="1992"/>
      <w:bookmarkEnd w:id="1993"/>
      <w:bookmarkEnd w:id="1994"/>
      <w:bookmarkEnd w:id="1995"/>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Avant la fin de la période d’essai, le salarié doit se soumettre à un examen médical d’embauche réalisé par un médecin du travail. Cette visite permet de vérifier l’aptitude du salarié aux fonctions envisagées, en tenant compte des exigences physiques ou psychologiques du poste.</w:t>
      </w:r>
    </w:p>
    <w:p w:rsidR="00E772DD" w:rsidRPr="00E965D1" w:rsidRDefault="00E772DD" w:rsidP="004D32AC">
      <w:pPr>
        <w:pStyle w:val="Titre3"/>
        <w:numPr>
          <w:ilvl w:val="2"/>
          <w:numId w:val="188"/>
        </w:numPr>
        <w:spacing w:after="0" w:afterAutospacing="0" w:line="360" w:lineRule="auto"/>
        <w:rPr>
          <w:sz w:val="24"/>
          <w:szCs w:val="24"/>
        </w:rPr>
      </w:pPr>
      <w:bookmarkStart w:id="1996" w:name="_Toc199714525"/>
      <w:bookmarkStart w:id="1997" w:name="_Toc200486801"/>
      <w:bookmarkStart w:id="1998" w:name="_Toc200635579"/>
      <w:bookmarkStart w:id="1999" w:name="_Toc200635967"/>
      <w:bookmarkStart w:id="2000" w:name="_Toc200636356"/>
      <w:bookmarkStart w:id="2001" w:name="_Toc200756094"/>
      <w:r w:rsidRPr="00E965D1">
        <w:rPr>
          <w:sz w:val="24"/>
          <w:szCs w:val="24"/>
        </w:rPr>
        <w:t>Politique de réintégration</w:t>
      </w:r>
      <w:bookmarkEnd w:id="1996"/>
      <w:bookmarkEnd w:id="1997"/>
      <w:bookmarkEnd w:id="1998"/>
      <w:bookmarkEnd w:id="1999"/>
      <w:bookmarkEnd w:id="2000"/>
      <w:bookmarkEnd w:id="2001"/>
    </w:p>
    <w:p w:rsidR="00E772DD" w:rsidRPr="008764AA" w:rsidRDefault="00E772DD" w:rsidP="003A1F0E">
      <w:pPr>
        <w:spacing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 xml:space="preserve">La société prévoit également la possibilité de réintégration pour certains anciens salariés, notamment ceux qui ont quitté l’entreprise pour des raisons médicales ou personnelles (reprises d’études, par exemple). </w:t>
      </w:r>
    </w:p>
    <w:p w:rsidR="00E772DD" w:rsidRPr="00E965D1" w:rsidRDefault="00E965D1" w:rsidP="004D32AC">
      <w:pPr>
        <w:pStyle w:val="Titre3"/>
        <w:numPr>
          <w:ilvl w:val="1"/>
          <w:numId w:val="188"/>
        </w:numPr>
        <w:spacing w:after="0" w:afterAutospacing="0" w:line="360" w:lineRule="auto"/>
        <w:rPr>
          <w:sz w:val="24"/>
          <w:szCs w:val="24"/>
        </w:rPr>
      </w:pPr>
      <w:r w:rsidRPr="00847F4A">
        <w:rPr>
          <w:sz w:val="24"/>
          <w:szCs w:val="24"/>
          <w:lang w:val="fr-FR"/>
        </w:rPr>
        <w:t xml:space="preserve"> </w:t>
      </w:r>
      <w:bookmarkStart w:id="2002" w:name="_Toc199714526"/>
      <w:bookmarkStart w:id="2003" w:name="_Toc200486802"/>
      <w:bookmarkStart w:id="2004" w:name="_Toc200635580"/>
      <w:bookmarkStart w:id="2005" w:name="_Toc200635968"/>
      <w:bookmarkStart w:id="2006" w:name="_Toc200636357"/>
      <w:bookmarkStart w:id="2007" w:name="_Toc200756095"/>
      <w:r w:rsidR="00E772DD" w:rsidRPr="00E965D1">
        <w:rPr>
          <w:sz w:val="24"/>
          <w:szCs w:val="24"/>
        </w:rPr>
        <w:t>La gestion de la formation chez Hasnaoui Logistique</w:t>
      </w:r>
      <w:bookmarkEnd w:id="2002"/>
      <w:bookmarkEnd w:id="2003"/>
      <w:bookmarkEnd w:id="2004"/>
      <w:bookmarkEnd w:id="2005"/>
      <w:bookmarkEnd w:id="2006"/>
      <w:bookmarkEnd w:id="2007"/>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La SPA Hasnaoui Logistique met en œuvre une politique de formation structurée, visant à assurer le développement continu des compétences de son personnel. Cette démarche est encadrée par une procédure claire, répartie en trois étapes principales : identification des besoins, mise en œuvre des formations et évaluation de leur efficacité.</w:t>
      </w:r>
    </w:p>
    <w:p w:rsidR="00E772DD" w:rsidRDefault="00E772DD" w:rsidP="004D32AC">
      <w:pPr>
        <w:pStyle w:val="Titre3"/>
        <w:numPr>
          <w:ilvl w:val="2"/>
          <w:numId w:val="188"/>
        </w:numPr>
        <w:spacing w:after="0" w:afterAutospacing="0" w:line="360" w:lineRule="auto"/>
        <w:rPr>
          <w:sz w:val="24"/>
          <w:szCs w:val="24"/>
        </w:rPr>
      </w:pPr>
      <w:bookmarkStart w:id="2008" w:name="_Toc199714527"/>
      <w:bookmarkStart w:id="2009" w:name="_Toc200486803"/>
      <w:bookmarkStart w:id="2010" w:name="_Toc200635581"/>
      <w:bookmarkStart w:id="2011" w:name="_Toc200635969"/>
      <w:bookmarkStart w:id="2012" w:name="_Toc200636358"/>
      <w:bookmarkStart w:id="2013" w:name="_Toc200756096"/>
      <w:r w:rsidRPr="00E965D1">
        <w:rPr>
          <w:sz w:val="24"/>
          <w:szCs w:val="24"/>
        </w:rPr>
        <w:t>Identification des besoins en formation et planification</w:t>
      </w:r>
      <w:bookmarkEnd w:id="2008"/>
      <w:bookmarkEnd w:id="2009"/>
      <w:bookmarkEnd w:id="2010"/>
      <w:bookmarkEnd w:id="2011"/>
      <w:bookmarkEnd w:id="2012"/>
      <w:bookmarkEnd w:id="2013"/>
    </w:p>
    <w:p w:rsidR="00E772DD" w:rsidRPr="008764AA" w:rsidRDefault="00E772DD" w:rsidP="003A1F0E">
      <w:pPr>
        <w:spacing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Chaque année, la direction des ressources humaines du groupe initie un processus de recensement des besoins en formation en sollicitant, par voie de courrier électronique, les responsables des structures et les responsables RH des filiales. Un canevas standardisé est utilisé pour uniformiser les remontées (disponible sur l’outil GEDISO).</w:t>
      </w:r>
    </w:p>
    <w:p w:rsidR="00E772DD" w:rsidRPr="008764AA" w:rsidRDefault="00E772DD" w:rsidP="007138A7">
      <w:pPr>
        <w:spacing w:before="100" w:beforeAutospacing="1" w:after="100" w:afterAutospacing="1" w:line="360" w:lineRule="auto"/>
        <w:jc w:val="center"/>
        <w:rPr>
          <w:rFonts w:asciiTheme="majorBidi" w:hAnsiTheme="majorBidi" w:cstheme="majorBidi"/>
          <w:color w:val="000000"/>
          <w:lang w:val="fr-FR"/>
        </w:rPr>
      </w:pPr>
      <w:r w:rsidRPr="008764AA">
        <w:rPr>
          <w:rFonts w:asciiTheme="majorBidi" w:hAnsiTheme="majorBidi" w:cstheme="majorBidi"/>
          <w:b/>
          <w:bCs/>
          <w:noProof/>
          <w:color w:val="000000"/>
          <w:lang w:val="fr-FR"/>
        </w:rPr>
        <w:lastRenderedPageBreak/>
        <w:drawing>
          <wp:anchor distT="0" distB="0" distL="114300" distR="114300" simplePos="0" relativeHeight="251686912" behindDoc="0" locked="0" layoutInCell="1" allowOverlap="1" wp14:anchorId="10C5451C" wp14:editId="7AF8FE83">
            <wp:simplePos x="0" y="0"/>
            <wp:positionH relativeFrom="column">
              <wp:posOffset>-184331</wp:posOffset>
            </wp:positionH>
            <wp:positionV relativeFrom="paragraph">
              <wp:posOffset>349250</wp:posOffset>
            </wp:positionV>
            <wp:extent cx="6127115" cy="2538730"/>
            <wp:effectExtent l="0" t="0" r="0" b="1270"/>
            <wp:wrapTopAndBottom/>
            <wp:docPr id="373165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65001" name="Picture 373165001"/>
                    <pic:cNvPicPr/>
                  </pic:nvPicPr>
                  <pic:blipFill rotWithShape="1">
                    <a:blip r:embed="rId115" cstate="print">
                      <a:extLst>
                        <a:ext uri="{28A0092B-C50C-407E-A947-70E740481C1C}">
                          <a14:useLocalDpi xmlns:a14="http://schemas.microsoft.com/office/drawing/2010/main" val="0"/>
                        </a:ext>
                      </a:extLst>
                    </a:blip>
                    <a:srcRect l="16651" t="26475" r="16640" b="29292"/>
                    <a:stretch/>
                  </pic:blipFill>
                  <pic:spPr bwMode="auto">
                    <a:xfrm>
                      <a:off x="0" y="0"/>
                      <a:ext cx="6127115" cy="2538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764AA">
        <w:rPr>
          <w:rFonts w:asciiTheme="majorBidi" w:hAnsiTheme="majorBidi" w:cstheme="majorBidi"/>
          <w:b/>
          <w:bCs/>
          <w:color w:val="000000"/>
          <w:lang w:val="fr-FR"/>
        </w:rPr>
        <w:t>Figure N°</w:t>
      </w:r>
      <w:r>
        <w:rPr>
          <w:rFonts w:asciiTheme="majorBidi" w:hAnsiTheme="majorBidi" w:cstheme="majorBidi"/>
          <w:b/>
          <w:bCs/>
          <w:color w:val="000000"/>
          <w:lang w:val="fr-FR"/>
        </w:rPr>
        <w:t>32</w:t>
      </w:r>
      <w:r w:rsidRPr="008764AA">
        <w:rPr>
          <w:rFonts w:asciiTheme="majorBidi" w:hAnsiTheme="majorBidi" w:cstheme="majorBidi"/>
          <w:b/>
          <w:bCs/>
          <w:color w:val="000000"/>
          <w:lang w:val="fr-FR"/>
        </w:rPr>
        <w:t> :</w:t>
      </w:r>
      <w:r w:rsidRPr="008764AA">
        <w:rPr>
          <w:rFonts w:asciiTheme="majorBidi" w:hAnsiTheme="majorBidi" w:cstheme="majorBidi"/>
          <w:color w:val="000000"/>
          <w:lang w:val="fr-FR"/>
        </w:rPr>
        <w:t xml:space="preserve"> </w:t>
      </w:r>
      <w:r w:rsidRPr="00D7631E">
        <w:rPr>
          <w:rFonts w:asciiTheme="majorBidi" w:hAnsiTheme="majorBidi" w:cstheme="majorBidi"/>
          <w:color w:val="000000"/>
          <w:lang w:val="fr-FR"/>
        </w:rPr>
        <w:t>Expression de besoin en formation</w:t>
      </w:r>
    </w:p>
    <w:p w:rsidR="008245B3" w:rsidRPr="008245B3" w:rsidRDefault="00E772DD" w:rsidP="008245B3">
      <w:pPr>
        <w:spacing w:before="100" w:beforeAutospacing="1" w:after="100" w:afterAutospacing="1" w:line="360" w:lineRule="auto"/>
        <w:jc w:val="center"/>
        <w:rPr>
          <w:rFonts w:asciiTheme="majorBidi" w:hAnsiTheme="majorBidi" w:cstheme="majorBidi"/>
          <w:color w:val="000000"/>
          <w:lang w:val="fr-FR"/>
        </w:rPr>
      </w:pPr>
      <w:r w:rsidRPr="008764AA">
        <w:rPr>
          <w:rFonts w:asciiTheme="majorBidi" w:hAnsiTheme="majorBidi" w:cstheme="majorBidi"/>
          <w:b/>
          <w:bCs/>
          <w:color w:val="000000"/>
          <w:lang w:val="fr-FR"/>
        </w:rPr>
        <w:t>Source :</w:t>
      </w:r>
      <w:r w:rsidRPr="008764AA">
        <w:rPr>
          <w:rFonts w:asciiTheme="majorBidi" w:hAnsiTheme="majorBidi" w:cstheme="majorBidi"/>
          <w:color w:val="000000"/>
          <w:lang w:val="fr-FR"/>
        </w:rPr>
        <w:t xml:space="preserve"> </w:t>
      </w:r>
      <w:r w:rsidR="008245B3" w:rsidRPr="008245B3">
        <w:rPr>
          <w:rFonts w:asciiTheme="majorBidi" w:hAnsiTheme="majorBidi" w:cstheme="majorBidi"/>
          <w:color w:val="000000"/>
        </w:rPr>
        <w:t>Département RH</w:t>
      </w:r>
      <w:r w:rsidR="0066319C">
        <w:rPr>
          <w:rFonts w:asciiTheme="majorBidi" w:hAnsiTheme="majorBidi" w:cstheme="majorBidi"/>
          <w:color w:val="000000"/>
          <w:lang w:val="fr-FR"/>
        </w:rPr>
        <w:t xml:space="preserve">, </w:t>
      </w:r>
      <w:r w:rsidR="0066319C" w:rsidRPr="008245B3">
        <w:rPr>
          <w:rFonts w:asciiTheme="majorBidi" w:hAnsiTheme="majorBidi" w:cstheme="majorBidi"/>
          <w:color w:val="000000"/>
        </w:rPr>
        <w:t xml:space="preserve">« </w:t>
      </w:r>
      <w:r w:rsidR="0066319C">
        <w:rPr>
          <w:rFonts w:asciiTheme="majorBidi" w:hAnsiTheme="majorBidi" w:cstheme="majorBidi"/>
          <w:color w:val="000000"/>
          <w:lang w:val="fr-FR"/>
        </w:rPr>
        <w:t>Procédure de formation</w:t>
      </w:r>
      <w:r w:rsidR="0066319C" w:rsidRPr="008245B3">
        <w:rPr>
          <w:rFonts w:asciiTheme="majorBidi" w:hAnsiTheme="majorBidi" w:cstheme="majorBidi"/>
          <w:color w:val="000000"/>
        </w:rPr>
        <w:t xml:space="preserve"> »</w:t>
      </w:r>
      <w:r w:rsidR="0066319C">
        <w:rPr>
          <w:rFonts w:asciiTheme="majorBidi" w:hAnsiTheme="majorBidi" w:cstheme="majorBidi"/>
          <w:color w:val="000000"/>
          <w:lang w:val="fr-FR"/>
        </w:rPr>
        <w:t xml:space="preserve"> </w:t>
      </w:r>
      <w:r w:rsidR="0066319C" w:rsidRPr="008245B3">
        <w:rPr>
          <w:rFonts w:asciiTheme="majorBidi" w:hAnsiTheme="majorBidi" w:cstheme="majorBidi"/>
          <w:color w:val="000000"/>
        </w:rPr>
        <w:t>document interne</w:t>
      </w:r>
      <w:r w:rsidR="0066319C">
        <w:rPr>
          <w:rFonts w:asciiTheme="majorBidi" w:hAnsiTheme="majorBidi" w:cstheme="majorBidi"/>
          <w:color w:val="000000"/>
          <w:lang w:val="fr-FR"/>
        </w:rPr>
        <w:t xml:space="preserve">, </w:t>
      </w:r>
      <w:r w:rsidR="008245B3" w:rsidRPr="008245B3">
        <w:rPr>
          <w:rFonts w:asciiTheme="majorBidi" w:hAnsiTheme="majorBidi" w:cstheme="majorBidi"/>
          <w:color w:val="000000"/>
        </w:rPr>
        <w:t xml:space="preserve">Hasnaoui Logistique, </w:t>
      </w:r>
      <w:r w:rsidR="0066319C">
        <w:rPr>
          <w:rFonts w:asciiTheme="majorBidi" w:hAnsiTheme="majorBidi" w:cstheme="majorBidi"/>
          <w:color w:val="000000"/>
          <w:lang w:val="fr-FR"/>
        </w:rPr>
        <w:t>2025</w:t>
      </w:r>
    </w:p>
    <w:p w:rsidR="00E772DD" w:rsidRPr="008764AA" w:rsidRDefault="00E772DD" w:rsidP="008245B3">
      <w:pPr>
        <w:spacing w:before="100" w:beforeAutospacing="1" w:after="100" w:afterAutospacing="1" w:line="360" w:lineRule="auto"/>
        <w:rPr>
          <w:rFonts w:asciiTheme="majorBidi" w:hAnsiTheme="majorBidi" w:cstheme="majorBidi"/>
          <w:color w:val="000000"/>
          <w:lang w:val="fr-FR"/>
        </w:rPr>
      </w:pPr>
      <w:r w:rsidRPr="008764AA">
        <w:rPr>
          <w:rFonts w:asciiTheme="majorBidi" w:hAnsiTheme="majorBidi" w:cstheme="majorBidi"/>
          <w:color w:val="000000"/>
          <w:lang w:val="fr-FR"/>
        </w:rPr>
        <w:t>Les besoins exprimés peuvent émaner :</w:t>
      </w:r>
    </w:p>
    <w:p w:rsidR="00E772DD" w:rsidRPr="008764AA" w:rsidRDefault="00E772DD" w:rsidP="004D32AC">
      <w:pPr>
        <w:numPr>
          <w:ilvl w:val="0"/>
          <w:numId w:val="154"/>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Des objectifs annuels de performance.</w:t>
      </w:r>
    </w:p>
    <w:p w:rsidR="00E772DD" w:rsidRPr="008764AA" w:rsidRDefault="00E772DD" w:rsidP="004D32AC">
      <w:pPr>
        <w:numPr>
          <w:ilvl w:val="0"/>
          <w:numId w:val="154"/>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Des résultats des évaluations de compétences individuelles.</w:t>
      </w:r>
    </w:p>
    <w:p w:rsidR="00E772DD" w:rsidRPr="008764AA" w:rsidRDefault="00E772DD" w:rsidP="004D32AC">
      <w:pPr>
        <w:numPr>
          <w:ilvl w:val="0"/>
          <w:numId w:val="154"/>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Des suggestions issues de prospections externes (catalogues, offres de formation…).</w:t>
      </w:r>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Ces besoins sont ensuite analysés par la direction des ressources humaines, selon des critères de pertinence, faisabilité, et adéquation avec la stratégie globale. Un </w:t>
      </w:r>
      <w:r w:rsidRPr="003A1F0E">
        <w:rPr>
          <w:rFonts w:asciiTheme="majorBidi" w:hAnsiTheme="majorBidi" w:cstheme="majorBidi"/>
          <w:color w:val="000000"/>
          <w:lang w:val="fr-FR"/>
        </w:rPr>
        <w:t>plan de formation annuel</w:t>
      </w:r>
      <w:r w:rsidRPr="008764AA">
        <w:rPr>
          <w:rFonts w:asciiTheme="majorBidi" w:hAnsiTheme="majorBidi" w:cstheme="majorBidi"/>
          <w:color w:val="000000"/>
          <w:lang w:val="fr-FR"/>
        </w:rPr>
        <w:t> est alors établi, validé par la direction générale de chaque filiale, puis transmis à la direction RH du groupe au plus tard début octobre. L’ensemble des plans est consolidé à l’échelle du groupe et fait l’objet d’une validation centralisée.</w:t>
      </w:r>
    </w:p>
    <w:p w:rsidR="00E772DD" w:rsidRPr="00D7631E" w:rsidRDefault="00E772DD" w:rsidP="007138A7">
      <w:pPr>
        <w:spacing w:before="100" w:beforeAutospacing="1" w:after="100" w:afterAutospacing="1" w:line="360" w:lineRule="auto"/>
        <w:jc w:val="center"/>
        <w:rPr>
          <w:rFonts w:asciiTheme="majorBidi" w:hAnsiTheme="majorBidi" w:cstheme="majorBidi"/>
          <w:color w:val="000000"/>
          <w:lang w:val="fr-FR"/>
        </w:rPr>
      </w:pPr>
      <w:r w:rsidRPr="008764AA">
        <w:rPr>
          <w:rFonts w:asciiTheme="majorBidi" w:hAnsiTheme="majorBidi" w:cstheme="majorBidi"/>
          <w:noProof/>
          <w:color w:val="000000"/>
          <w:lang w:val="fr-FR"/>
        </w:rPr>
        <w:lastRenderedPageBreak/>
        <w:drawing>
          <wp:anchor distT="0" distB="0" distL="114300" distR="114300" simplePos="0" relativeHeight="251687936" behindDoc="0" locked="0" layoutInCell="1" allowOverlap="1" wp14:anchorId="3D48E266" wp14:editId="302231CE">
            <wp:simplePos x="0" y="0"/>
            <wp:positionH relativeFrom="column">
              <wp:posOffset>89535</wp:posOffset>
            </wp:positionH>
            <wp:positionV relativeFrom="paragraph">
              <wp:posOffset>441960</wp:posOffset>
            </wp:positionV>
            <wp:extent cx="5534660" cy="4772025"/>
            <wp:effectExtent l="0" t="0" r="2540" b="3175"/>
            <wp:wrapTopAndBottom/>
            <wp:docPr id="1091780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780585" name="Picture 1091780585"/>
                    <pic:cNvPicPr/>
                  </pic:nvPicPr>
                  <pic:blipFill rotWithShape="1">
                    <a:blip r:embed="rId116" cstate="print">
                      <a:extLst>
                        <a:ext uri="{28A0092B-C50C-407E-A947-70E740481C1C}">
                          <a14:useLocalDpi xmlns:a14="http://schemas.microsoft.com/office/drawing/2010/main" val="0"/>
                        </a:ext>
                      </a:extLst>
                    </a:blip>
                    <a:srcRect l="11603" t="9705" r="11740"/>
                    <a:stretch/>
                  </pic:blipFill>
                  <pic:spPr bwMode="auto">
                    <a:xfrm>
                      <a:off x="0" y="0"/>
                      <a:ext cx="5534660" cy="4772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764AA">
        <w:rPr>
          <w:rFonts w:asciiTheme="majorBidi" w:hAnsiTheme="majorBidi" w:cstheme="majorBidi"/>
          <w:b/>
          <w:bCs/>
          <w:color w:val="000000"/>
          <w:lang w:val="fr-FR"/>
        </w:rPr>
        <w:t>Figure N°</w:t>
      </w:r>
      <w:r>
        <w:rPr>
          <w:rFonts w:asciiTheme="majorBidi" w:hAnsiTheme="majorBidi" w:cstheme="majorBidi"/>
          <w:b/>
          <w:bCs/>
          <w:color w:val="000000"/>
          <w:lang w:val="fr-FR"/>
        </w:rPr>
        <w:t>33</w:t>
      </w:r>
      <w:r w:rsidRPr="008764AA">
        <w:rPr>
          <w:rFonts w:asciiTheme="majorBidi" w:hAnsiTheme="majorBidi" w:cstheme="majorBidi"/>
          <w:b/>
          <w:bCs/>
          <w:color w:val="000000"/>
          <w:lang w:val="fr-FR"/>
        </w:rPr>
        <w:t> :</w:t>
      </w:r>
      <w:r w:rsidRPr="008764AA">
        <w:rPr>
          <w:rFonts w:asciiTheme="majorBidi" w:hAnsiTheme="majorBidi" w:cstheme="majorBidi"/>
          <w:color w:val="000000"/>
          <w:lang w:val="fr-FR"/>
        </w:rPr>
        <w:t xml:space="preserve"> </w:t>
      </w:r>
      <w:r w:rsidRPr="00D7631E">
        <w:rPr>
          <w:rFonts w:asciiTheme="majorBidi" w:hAnsiTheme="majorBidi" w:cstheme="majorBidi"/>
          <w:color w:val="000000"/>
          <w:lang w:val="fr-FR"/>
        </w:rPr>
        <w:t>Plan de formation -Groupe-</w:t>
      </w:r>
    </w:p>
    <w:p w:rsidR="0066319C" w:rsidRDefault="00E772DD" w:rsidP="0066319C">
      <w:pPr>
        <w:spacing w:before="100" w:beforeAutospacing="1" w:after="100" w:afterAutospacing="1" w:line="360" w:lineRule="auto"/>
        <w:jc w:val="center"/>
        <w:rPr>
          <w:rFonts w:asciiTheme="majorBidi" w:hAnsiTheme="majorBidi" w:cstheme="majorBidi"/>
          <w:color w:val="000000"/>
          <w:lang w:val="fr-FR"/>
        </w:rPr>
      </w:pPr>
      <w:r w:rsidRPr="008764AA">
        <w:rPr>
          <w:rFonts w:asciiTheme="majorBidi" w:hAnsiTheme="majorBidi" w:cstheme="majorBidi"/>
          <w:b/>
          <w:bCs/>
          <w:color w:val="000000"/>
          <w:lang w:val="fr-FR"/>
        </w:rPr>
        <w:t>Source :</w:t>
      </w:r>
      <w:r w:rsidRPr="008764AA">
        <w:rPr>
          <w:rFonts w:asciiTheme="majorBidi" w:hAnsiTheme="majorBidi" w:cstheme="majorBidi"/>
          <w:color w:val="000000"/>
          <w:lang w:val="fr-FR"/>
        </w:rPr>
        <w:t xml:space="preserve"> </w:t>
      </w:r>
      <w:r w:rsidR="0066319C" w:rsidRPr="008245B3">
        <w:rPr>
          <w:rFonts w:asciiTheme="majorBidi" w:hAnsiTheme="majorBidi" w:cstheme="majorBidi"/>
          <w:color w:val="000000"/>
        </w:rPr>
        <w:t>Département RH</w:t>
      </w:r>
      <w:r w:rsidR="0066319C">
        <w:rPr>
          <w:rFonts w:asciiTheme="majorBidi" w:hAnsiTheme="majorBidi" w:cstheme="majorBidi"/>
          <w:color w:val="000000"/>
          <w:lang w:val="fr-FR"/>
        </w:rPr>
        <w:t xml:space="preserve">, </w:t>
      </w:r>
      <w:r w:rsidR="0066319C" w:rsidRPr="008245B3">
        <w:rPr>
          <w:rFonts w:asciiTheme="majorBidi" w:hAnsiTheme="majorBidi" w:cstheme="majorBidi"/>
          <w:color w:val="000000"/>
        </w:rPr>
        <w:t xml:space="preserve">« </w:t>
      </w:r>
      <w:r w:rsidR="0066319C">
        <w:rPr>
          <w:rFonts w:asciiTheme="majorBidi" w:hAnsiTheme="majorBidi" w:cstheme="majorBidi"/>
          <w:color w:val="000000"/>
          <w:lang w:val="fr-FR"/>
        </w:rPr>
        <w:t>Procédure de formation</w:t>
      </w:r>
      <w:r w:rsidR="0066319C" w:rsidRPr="008245B3">
        <w:rPr>
          <w:rFonts w:asciiTheme="majorBidi" w:hAnsiTheme="majorBidi" w:cstheme="majorBidi"/>
          <w:color w:val="000000"/>
        </w:rPr>
        <w:t xml:space="preserve"> »</w:t>
      </w:r>
      <w:r w:rsidR="0066319C">
        <w:rPr>
          <w:rFonts w:asciiTheme="majorBidi" w:hAnsiTheme="majorBidi" w:cstheme="majorBidi"/>
          <w:color w:val="000000"/>
          <w:lang w:val="fr-FR"/>
        </w:rPr>
        <w:t xml:space="preserve"> </w:t>
      </w:r>
      <w:r w:rsidR="0066319C" w:rsidRPr="008245B3">
        <w:rPr>
          <w:rFonts w:asciiTheme="majorBidi" w:hAnsiTheme="majorBidi" w:cstheme="majorBidi"/>
          <w:color w:val="000000"/>
        </w:rPr>
        <w:t>document interne</w:t>
      </w:r>
      <w:r w:rsidR="0066319C">
        <w:rPr>
          <w:rFonts w:asciiTheme="majorBidi" w:hAnsiTheme="majorBidi" w:cstheme="majorBidi"/>
          <w:color w:val="000000"/>
          <w:lang w:val="fr-FR"/>
        </w:rPr>
        <w:t xml:space="preserve">, </w:t>
      </w:r>
      <w:r w:rsidR="0066319C" w:rsidRPr="008245B3">
        <w:rPr>
          <w:rFonts w:asciiTheme="majorBidi" w:hAnsiTheme="majorBidi" w:cstheme="majorBidi"/>
          <w:color w:val="000000"/>
        </w:rPr>
        <w:t xml:space="preserve">Hasnaoui Logistique, </w:t>
      </w:r>
      <w:r w:rsidR="0066319C">
        <w:rPr>
          <w:rFonts w:asciiTheme="majorBidi" w:hAnsiTheme="majorBidi" w:cstheme="majorBidi"/>
          <w:color w:val="000000"/>
          <w:lang w:val="fr-FR"/>
        </w:rPr>
        <w:t>2025</w:t>
      </w:r>
    </w:p>
    <w:p w:rsidR="00E772DD" w:rsidRPr="008764AA" w:rsidRDefault="00E772DD" w:rsidP="0066319C">
      <w:pPr>
        <w:spacing w:before="100" w:beforeAutospacing="1" w:after="100" w:afterAutospacing="1" w:line="360" w:lineRule="auto"/>
        <w:rPr>
          <w:rFonts w:asciiTheme="majorBidi" w:hAnsiTheme="majorBidi" w:cstheme="majorBidi"/>
          <w:color w:val="000000"/>
          <w:lang w:val="fr-FR"/>
        </w:rPr>
      </w:pPr>
      <w:r w:rsidRPr="008764AA">
        <w:rPr>
          <w:rFonts w:asciiTheme="majorBidi" w:hAnsiTheme="majorBidi" w:cstheme="majorBidi"/>
          <w:color w:val="000000"/>
          <w:lang w:val="fr-FR"/>
        </w:rPr>
        <w:t>Il est à noter que les salariés peuvent également, tout au long de l’année, exprimer directement leur besoin en formation via un formulaire dédié sur GEDISO.</w:t>
      </w:r>
    </w:p>
    <w:p w:rsidR="00E772DD" w:rsidRPr="00D7631E" w:rsidRDefault="00E772DD" w:rsidP="007138A7">
      <w:pPr>
        <w:spacing w:before="100" w:beforeAutospacing="1" w:after="100" w:afterAutospacing="1" w:line="360" w:lineRule="auto"/>
        <w:jc w:val="center"/>
        <w:rPr>
          <w:rFonts w:asciiTheme="majorBidi" w:hAnsiTheme="majorBidi" w:cstheme="majorBidi"/>
          <w:color w:val="000000"/>
          <w:lang w:val="fr-FR"/>
        </w:rPr>
      </w:pPr>
      <w:r w:rsidRPr="008764AA">
        <w:rPr>
          <w:rFonts w:asciiTheme="majorBidi" w:hAnsiTheme="majorBidi" w:cstheme="majorBidi"/>
          <w:noProof/>
          <w:color w:val="000000"/>
          <w:lang w:val="fr-FR"/>
        </w:rPr>
        <w:lastRenderedPageBreak/>
        <w:drawing>
          <wp:anchor distT="0" distB="0" distL="114300" distR="114300" simplePos="0" relativeHeight="251688960" behindDoc="0" locked="0" layoutInCell="1" allowOverlap="1" wp14:anchorId="2ADD8201" wp14:editId="0ED135DC">
            <wp:simplePos x="0" y="0"/>
            <wp:positionH relativeFrom="column">
              <wp:posOffset>-478790</wp:posOffset>
            </wp:positionH>
            <wp:positionV relativeFrom="paragraph">
              <wp:posOffset>393065</wp:posOffset>
            </wp:positionV>
            <wp:extent cx="6511290" cy="2402840"/>
            <wp:effectExtent l="0" t="0" r="3810" b="0"/>
            <wp:wrapTopAndBottom/>
            <wp:docPr id="335485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85236" name="Picture 335485236"/>
                    <pic:cNvPicPr/>
                  </pic:nvPicPr>
                  <pic:blipFill rotWithShape="1">
                    <a:blip r:embed="rId117" cstate="print">
                      <a:extLst>
                        <a:ext uri="{28A0092B-C50C-407E-A947-70E740481C1C}">
                          <a14:useLocalDpi xmlns:a14="http://schemas.microsoft.com/office/drawing/2010/main" val="0"/>
                        </a:ext>
                      </a:extLst>
                    </a:blip>
                    <a:srcRect l="18134" t="40565" r="17039" b="21153"/>
                    <a:stretch/>
                  </pic:blipFill>
                  <pic:spPr bwMode="auto">
                    <a:xfrm>
                      <a:off x="0" y="0"/>
                      <a:ext cx="6511290" cy="2402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764AA">
        <w:rPr>
          <w:rFonts w:asciiTheme="majorBidi" w:hAnsiTheme="majorBidi" w:cstheme="majorBidi"/>
          <w:b/>
          <w:bCs/>
          <w:color w:val="000000"/>
          <w:lang w:val="fr-FR"/>
        </w:rPr>
        <w:t>Figure N°</w:t>
      </w:r>
      <w:r>
        <w:rPr>
          <w:rFonts w:asciiTheme="majorBidi" w:hAnsiTheme="majorBidi" w:cstheme="majorBidi"/>
          <w:b/>
          <w:bCs/>
          <w:color w:val="000000"/>
          <w:lang w:val="fr-FR"/>
        </w:rPr>
        <w:t>34</w:t>
      </w:r>
      <w:r w:rsidRPr="008764AA">
        <w:rPr>
          <w:rFonts w:asciiTheme="majorBidi" w:hAnsiTheme="majorBidi" w:cstheme="majorBidi"/>
          <w:b/>
          <w:bCs/>
          <w:color w:val="000000"/>
          <w:lang w:val="fr-FR"/>
        </w:rPr>
        <w:t> :</w:t>
      </w:r>
      <w:r w:rsidRPr="008764AA">
        <w:rPr>
          <w:rFonts w:asciiTheme="majorBidi" w:hAnsiTheme="majorBidi" w:cstheme="majorBidi"/>
          <w:color w:val="000000"/>
          <w:lang w:val="fr-FR"/>
        </w:rPr>
        <w:t xml:space="preserve"> </w:t>
      </w:r>
      <w:r w:rsidRPr="00D7631E">
        <w:rPr>
          <w:rFonts w:asciiTheme="majorBidi" w:hAnsiTheme="majorBidi" w:cstheme="majorBidi"/>
          <w:color w:val="000000"/>
          <w:lang w:val="fr-FR"/>
        </w:rPr>
        <w:t>Expression de besoin en formation par employé</w:t>
      </w:r>
    </w:p>
    <w:p w:rsidR="0066319C" w:rsidRDefault="00E772DD" w:rsidP="0066319C">
      <w:pPr>
        <w:spacing w:before="100" w:beforeAutospacing="1" w:after="100" w:afterAutospacing="1" w:line="360" w:lineRule="auto"/>
        <w:jc w:val="center"/>
        <w:rPr>
          <w:rFonts w:asciiTheme="majorBidi" w:hAnsiTheme="majorBidi" w:cstheme="majorBidi"/>
          <w:color w:val="000000"/>
          <w:lang w:val="fr-FR"/>
        </w:rPr>
      </w:pPr>
      <w:r w:rsidRPr="008764AA">
        <w:rPr>
          <w:rFonts w:asciiTheme="majorBidi" w:hAnsiTheme="majorBidi" w:cstheme="majorBidi"/>
          <w:b/>
          <w:bCs/>
          <w:color w:val="000000"/>
          <w:lang w:val="fr-FR"/>
        </w:rPr>
        <w:t>Source :</w:t>
      </w:r>
      <w:r w:rsidRPr="008764AA">
        <w:rPr>
          <w:rFonts w:asciiTheme="majorBidi" w:hAnsiTheme="majorBidi" w:cstheme="majorBidi"/>
          <w:color w:val="000000"/>
          <w:lang w:val="fr-FR"/>
        </w:rPr>
        <w:t xml:space="preserve"> </w:t>
      </w:r>
      <w:bookmarkStart w:id="2014" w:name="_Toc199714528"/>
      <w:bookmarkStart w:id="2015" w:name="_Toc200486804"/>
      <w:bookmarkStart w:id="2016" w:name="_Toc200635582"/>
      <w:bookmarkStart w:id="2017" w:name="_Toc200635970"/>
      <w:bookmarkStart w:id="2018" w:name="_Toc200636359"/>
      <w:r w:rsidR="0066319C" w:rsidRPr="008245B3">
        <w:rPr>
          <w:rFonts w:asciiTheme="majorBidi" w:hAnsiTheme="majorBidi" w:cstheme="majorBidi"/>
          <w:color w:val="000000"/>
        </w:rPr>
        <w:t>Département RH</w:t>
      </w:r>
      <w:r w:rsidR="0066319C">
        <w:rPr>
          <w:rFonts w:asciiTheme="majorBidi" w:hAnsiTheme="majorBidi" w:cstheme="majorBidi"/>
          <w:color w:val="000000"/>
          <w:lang w:val="fr-FR"/>
        </w:rPr>
        <w:t xml:space="preserve">, </w:t>
      </w:r>
      <w:r w:rsidR="0066319C" w:rsidRPr="008245B3">
        <w:rPr>
          <w:rFonts w:asciiTheme="majorBidi" w:hAnsiTheme="majorBidi" w:cstheme="majorBidi"/>
          <w:color w:val="000000"/>
        </w:rPr>
        <w:t xml:space="preserve">« </w:t>
      </w:r>
      <w:r w:rsidR="0066319C">
        <w:rPr>
          <w:rFonts w:asciiTheme="majorBidi" w:hAnsiTheme="majorBidi" w:cstheme="majorBidi"/>
          <w:color w:val="000000"/>
          <w:lang w:val="fr-FR"/>
        </w:rPr>
        <w:t>Procédure de formation</w:t>
      </w:r>
      <w:r w:rsidR="0066319C" w:rsidRPr="008245B3">
        <w:rPr>
          <w:rFonts w:asciiTheme="majorBidi" w:hAnsiTheme="majorBidi" w:cstheme="majorBidi"/>
          <w:color w:val="000000"/>
        </w:rPr>
        <w:t xml:space="preserve"> »</w:t>
      </w:r>
      <w:r w:rsidR="0066319C">
        <w:rPr>
          <w:rFonts w:asciiTheme="majorBidi" w:hAnsiTheme="majorBidi" w:cstheme="majorBidi"/>
          <w:color w:val="000000"/>
          <w:lang w:val="fr-FR"/>
        </w:rPr>
        <w:t xml:space="preserve"> </w:t>
      </w:r>
      <w:r w:rsidR="0066319C" w:rsidRPr="008245B3">
        <w:rPr>
          <w:rFonts w:asciiTheme="majorBidi" w:hAnsiTheme="majorBidi" w:cstheme="majorBidi"/>
          <w:color w:val="000000"/>
        </w:rPr>
        <w:t>document interne</w:t>
      </w:r>
      <w:r w:rsidR="0066319C">
        <w:rPr>
          <w:rFonts w:asciiTheme="majorBidi" w:hAnsiTheme="majorBidi" w:cstheme="majorBidi"/>
          <w:color w:val="000000"/>
          <w:lang w:val="fr-FR"/>
        </w:rPr>
        <w:t xml:space="preserve">, </w:t>
      </w:r>
      <w:r w:rsidR="0066319C" w:rsidRPr="008245B3">
        <w:rPr>
          <w:rFonts w:asciiTheme="majorBidi" w:hAnsiTheme="majorBidi" w:cstheme="majorBidi"/>
          <w:color w:val="000000"/>
        </w:rPr>
        <w:t xml:space="preserve">Hasnaoui Logistique, </w:t>
      </w:r>
      <w:r w:rsidR="0066319C">
        <w:rPr>
          <w:rFonts w:asciiTheme="majorBidi" w:hAnsiTheme="majorBidi" w:cstheme="majorBidi"/>
          <w:color w:val="000000"/>
          <w:lang w:val="fr-FR"/>
        </w:rPr>
        <w:t>2025</w:t>
      </w:r>
    </w:p>
    <w:p w:rsidR="001B442B" w:rsidRPr="00E965D1" w:rsidRDefault="001B442B" w:rsidP="001B442B">
      <w:pPr>
        <w:pStyle w:val="Titre3"/>
        <w:numPr>
          <w:ilvl w:val="2"/>
          <w:numId w:val="188"/>
        </w:numPr>
        <w:spacing w:after="0" w:afterAutospacing="0" w:line="360" w:lineRule="auto"/>
        <w:rPr>
          <w:sz w:val="24"/>
          <w:szCs w:val="24"/>
        </w:rPr>
      </w:pPr>
      <w:bookmarkStart w:id="2019" w:name="_Toc200756097"/>
      <w:bookmarkEnd w:id="2014"/>
      <w:bookmarkEnd w:id="2015"/>
      <w:bookmarkEnd w:id="2016"/>
      <w:bookmarkEnd w:id="2017"/>
      <w:bookmarkEnd w:id="2018"/>
      <w:r w:rsidRPr="00E965D1">
        <w:rPr>
          <w:sz w:val="24"/>
          <w:szCs w:val="24"/>
        </w:rPr>
        <w:t>Mise en œuvre des actions de formation</w:t>
      </w:r>
      <w:bookmarkEnd w:id="2019"/>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 centre de formation le PHARE, partenaire du groupe Hasnaoui, communique périodiquement (mensuellement ou trimestriellement) les plannings de formation. Les responsables RH</w:t>
      </w:r>
      <w:r w:rsidR="00E965D1">
        <w:rPr>
          <w:rFonts w:asciiTheme="majorBidi" w:hAnsiTheme="majorBidi" w:cstheme="majorBidi"/>
          <w:color w:val="000000"/>
          <w:lang w:val="fr-FR"/>
        </w:rPr>
        <w:t xml:space="preserve"> </w:t>
      </w:r>
      <w:proofErr w:type="gramStart"/>
      <w:r w:rsidRPr="008764AA">
        <w:rPr>
          <w:rFonts w:asciiTheme="majorBidi" w:hAnsiTheme="majorBidi" w:cstheme="majorBidi"/>
          <w:color w:val="000000"/>
          <w:lang w:val="fr-FR"/>
        </w:rPr>
        <w:t>déclenchent</w:t>
      </w:r>
      <w:proofErr w:type="gramEnd"/>
      <w:r w:rsidRPr="008764AA">
        <w:rPr>
          <w:rFonts w:asciiTheme="majorBidi" w:hAnsiTheme="majorBidi" w:cstheme="majorBidi"/>
          <w:color w:val="000000"/>
          <w:lang w:val="fr-FR"/>
        </w:rPr>
        <w:t xml:space="preserve"> alors les inscriptions en coordination avec les structures concernées, en vérifiant notamment les effectifs et la disponibilité des participants.</w:t>
      </w:r>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En cas de faible nombre d’inscrits (moins de 15 participants en moyenne), des relances sont effectuées pour optimiser le taux de participation, sauf pour les formations techniques qui peuvent être dispensées à effectif réduit.</w:t>
      </w:r>
    </w:p>
    <w:p w:rsidR="00E772DD" w:rsidRPr="008764AA" w:rsidRDefault="00E772DD" w:rsidP="0089437C">
      <w:p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La confirmation ou l’annulation d’une inscription est faite au plus tard sept jours avant le début de la formation. Le centre Le PHARE informe également les services RH en cas d’annulation d’une session, au minimum trois jours avant la date prévue.</w:t>
      </w:r>
    </w:p>
    <w:p w:rsidR="00E772DD" w:rsidRPr="00E965D1" w:rsidRDefault="00E772DD" w:rsidP="004D32AC">
      <w:pPr>
        <w:pStyle w:val="Titre3"/>
        <w:numPr>
          <w:ilvl w:val="2"/>
          <w:numId w:val="188"/>
        </w:numPr>
        <w:spacing w:after="0" w:afterAutospacing="0" w:line="360" w:lineRule="auto"/>
        <w:rPr>
          <w:sz w:val="24"/>
          <w:szCs w:val="24"/>
        </w:rPr>
      </w:pPr>
      <w:bookmarkStart w:id="2020" w:name="_Toc199714529"/>
      <w:bookmarkStart w:id="2021" w:name="_Toc200486805"/>
      <w:bookmarkStart w:id="2022" w:name="_Toc200635583"/>
      <w:bookmarkStart w:id="2023" w:name="_Toc200635971"/>
      <w:bookmarkStart w:id="2024" w:name="_Toc200636360"/>
      <w:bookmarkStart w:id="2025" w:name="_Toc200756098"/>
      <w:r w:rsidRPr="00E965D1">
        <w:rPr>
          <w:sz w:val="24"/>
          <w:szCs w:val="24"/>
        </w:rPr>
        <w:t>Évaluation de l’efficacité des formations</w:t>
      </w:r>
      <w:bookmarkEnd w:id="2020"/>
      <w:bookmarkEnd w:id="2021"/>
      <w:bookmarkEnd w:id="2022"/>
      <w:bookmarkEnd w:id="2023"/>
      <w:bookmarkEnd w:id="2024"/>
      <w:bookmarkEnd w:id="2025"/>
    </w:p>
    <w:p w:rsidR="00E772DD" w:rsidRPr="008764AA" w:rsidRDefault="00E772DD" w:rsidP="0089437C">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L’évaluation des formations s’effectue à trois niveaux :</w:t>
      </w:r>
    </w:p>
    <w:p w:rsidR="00E772DD" w:rsidRPr="008764AA" w:rsidRDefault="00E772DD" w:rsidP="004D32AC">
      <w:pPr>
        <w:numPr>
          <w:ilvl w:val="0"/>
          <w:numId w:val="155"/>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Évaluation à chaud</w:t>
      </w:r>
      <w:r w:rsidRPr="008764AA">
        <w:rPr>
          <w:rFonts w:asciiTheme="majorBidi" w:hAnsiTheme="majorBidi" w:cstheme="majorBidi"/>
          <w:color w:val="000000"/>
          <w:lang w:val="fr-FR"/>
        </w:rPr>
        <w:t> : réalisée immédiatement après la formation par les participants afin d’apprécier l’organisation, le contenu et l’animation</w:t>
      </w:r>
      <w:r>
        <w:rPr>
          <w:rFonts w:asciiTheme="majorBidi" w:hAnsiTheme="majorBidi" w:cstheme="majorBidi"/>
          <w:color w:val="000000"/>
          <w:lang w:val="fr-FR"/>
        </w:rPr>
        <w:t xml:space="preserve"> (voir annexe n°08)</w:t>
      </w:r>
      <w:r w:rsidRPr="008764AA">
        <w:rPr>
          <w:rFonts w:asciiTheme="majorBidi" w:hAnsiTheme="majorBidi" w:cstheme="majorBidi"/>
          <w:color w:val="000000"/>
          <w:lang w:val="fr-FR"/>
        </w:rPr>
        <w:t>.</w:t>
      </w:r>
    </w:p>
    <w:p w:rsidR="00E772DD" w:rsidRPr="008764AA" w:rsidRDefault="00E772DD" w:rsidP="004D32AC">
      <w:pPr>
        <w:numPr>
          <w:ilvl w:val="0"/>
          <w:numId w:val="155"/>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Évaluation à froid</w:t>
      </w:r>
      <w:r w:rsidRPr="008764AA">
        <w:rPr>
          <w:rFonts w:asciiTheme="majorBidi" w:hAnsiTheme="majorBidi" w:cstheme="majorBidi"/>
          <w:color w:val="000000"/>
          <w:lang w:val="fr-FR"/>
        </w:rPr>
        <w:t> : effectuée plusieurs mois après, en collaboration avec les supérieurs hiérarchiques, pour mesurer l’impact de la formation sur les compétences et les performances au poste :</w:t>
      </w:r>
    </w:p>
    <w:p w:rsidR="00E772DD" w:rsidRPr="008764AA" w:rsidRDefault="00E772DD" w:rsidP="004D32AC">
      <w:pPr>
        <w:numPr>
          <w:ilvl w:val="1"/>
          <w:numId w:val="155"/>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Trois mois après pour les formations courtes ;</w:t>
      </w:r>
    </w:p>
    <w:p w:rsidR="00E772DD" w:rsidRPr="008764AA" w:rsidRDefault="00E772DD" w:rsidP="004D32AC">
      <w:pPr>
        <w:numPr>
          <w:ilvl w:val="1"/>
          <w:numId w:val="155"/>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Six mois après pour les formations moyennes ;</w:t>
      </w:r>
    </w:p>
    <w:p w:rsidR="00E772DD" w:rsidRPr="00D7631E" w:rsidRDefault="00E772DD" w:rsidP="004D32AC">
      <w:pPr>
        <w:numPr>
          <w:ilvl w:val="1"/>
          <w:numId w:val="155"/>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lastRenderedPageBreak/>
        <w:t>Six à douze mois après pour les formations longues (incluant une</w:t>
      </w:r>
      <w:r w:rsidRPr="003B4928">
        <w:rPr>
          <w:rFonts w:asciiTheme="majorBidi" w:hAnsiTheme="majorBidi" w:cstheme="majorBidi"/>
          <w:color w:val="000000"/>
          <w:lang w:val="fr-FR"/>
        </w:rPr>
        <w:t> évaluation à 180° </w:t>
      </w:r>
      <w:r w:rsidRPr="008764AA">
        <w:rPr>
          <w:rFonts w:asciiTheme="majorBidi" w:hAnsiTheme="majorBidi" w:cstheme="majorBidi"/>
          <w:color w:val="000000"/>
          <w:lang w:val="fr-FR"/>
        </w:rPr>
        <w:t>réalisée à la fois par l'équipe de travail et par le responsable direct)</w:t>
      </w:r>
      <w:r>
        <w:rPr>
          <w:rFonts w:asciiTheme="majorBidi" w:hAnsiTheme="majorBidi" w:cstheme="majorBidi"/>
          <w:color w:val="000000"/>
          <w:lang w:val="fr-FR"/>
        </w:rPr>
        <w:t xml:space="preserve"> (voir annexe n°09)</w:t>
      </w:r>
      <w:r w:rsidRPr="008764AA">
        <w:rPr>
          <w:rFonts w:asciiTheme="majorBidi" w:hAnsiTheme="majorBidi" w:cstheme="majorBidi"/>
          <w:color w:val="000000"/>
          <w:lang w:val="fr-FR"/>
        </w:rPr>
        <w:t>.</w:t>
      </w:r>
    </w:p>
    <w:p w:rsidR="00E772DD" w:rsidRPr="00D7631E" w:rsidRDefault="00E772DD" w:rsidP="004D32AC">
      <w:pPr>
        <w:numPr>
          <w:ilvl w:val="0"/>
          <w:numId w:val="155"/>
        </w:numPr>
        <w:spacing w:before="100" w:beforeAutospacing="1" w:after="100" w:afterAutospacing="1"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Bilan semestriel et annuel</w:t>
      </w:r>
      <w:r w:rsidRPr="008764AA">
        <w:rPr>
          <w:rFonts w:asciiTheme="majorBidi" w:hAnsiTheme="majorBidi" w:cstheme="majorBidi"/>
          <w:color w:val="000000"/>
          <w:lang w:val="fr-FR"/>
        </w:rPr>
        <w:t xml:space="preserve"> : Les responsables RH des filiales </w:t>
      </w:r>
      <w:proofErr w:type="gramStart"/>
      <w:r w:rsidRPr="008764AA">
        <w:rPr>
          <w:rFonts w:asciiTheme="majorBidi" w:hAnsiTheme="majorBidi" w:cstheme="majorBidi"/>
          <w:color w:val="000000"/>
          <w:lang w:val="fr-FR"/>
        </w:rPr>
        <w:t>établissent</w:t>
      </w:r>
      <w:proofErr w:type="gramEnd"/>
      <w:r w:rsidRPr="008764AA">
        <w:rPr>
          <w:rFonts w:asciiTheme="majorBidi" w:hAnsiTheme="majorBidi" w:cstheme="majorBidi"/>
          <w:color w:val="000000"/>
          <w:lang w:val="fr-FR"/>
        </w:rPr>
        <w:t xml:space="preserve"> une synthèse semestrielle des formations réalisées (taux de réalisation, participation, évaluations). Ce bilan est ensuite consolidé en un rapport annuel transmis à la direction générale et à la direction RH du groupe, incluant des propositions d’amélioration et des actions correctives</w:t>
      </w:r>
      <w:r>
        <w:rPr>
          <w:rFonts w:asciiTheme="majorBidi" w:hAnsiTheme="majorBidi" w:cstheme="majorBidi"/>
          <w:color w:val="000000"/>
          <w:lang w:val="fr-FR"/>
        </w:rPr>
        <w:t>.</w:t>
      </w:r>
    </w:p>
    <w:p w:rsidR="00E772DD" w:rsidRPr="00E965D1" w:rsidRDefault="00E772DD" w:rsidP="004D32AC">
      <w:pPr>
        <w:pStyle w:val="Titre3"/>
        <w:numPr>
          <w:ilvl w:val="2"/>
          <w:numId w:val="188"/>
        </w:numPr>
        <w:spacing w:after="0" w:afterAutospacing="0" w:line="360" w:lineRule="auto"/>
        <w:rPr>
          <w:sz w:val="24"/>
          <w:szCs w:val="24"/>
        </w:rPr>
      </w:pPr>
      <w:bookmarkStart w:id="2026" w:name="_Toc199714530"/>
      <w:bookmarkStart w:id="2027" w:name="_Toc200486806"/>
      <w:bookmarkStart w:id="2028" w:name="_Toc200635584"/>
      <w:bookmarkStart w:id="2029" w:name="_Toc200635972"/>
      <w:bookmarkStart w:id="2030" w:name="_Toc200636361"/>
      <w:bookmarkStart w:id="2031" w:name="_Toc200756099"/>
      <w:r w:rsidRPr="00E965D1">
        <w:rPr>
          <w:sz w:val="24"/>
          <w:szCs w:val="24"/>
        </w:rPr>
        <w:t>Engagement de fidélité et suivi</w:t>
      </w:r>
      <w:bookmarkEnd w:id="2026"/>
      <w:bookmarkEnd w:id="2027"/>
      <w:bookmarkEnd w:id="2028"/>
      <w:bookmarkEnd w:id="2029"/>
      <w:bookmarkEnd w:id="2030"/>
      <w:bookmarkEnd w:id="2031"/>
    </w:p>
    <w:p w:rsidR="00E772DD" w:rsidRPr="008764AA" w:rsidRDefault="00E772DD" w:rsidP="0024578E">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Selon le coût de la formation, certains bénéficiaires sont invités à signer un </w:t>
      </w:r>
      <w:r w:rsidRPr="003B4928">
        <w:rPr>
          <w:rFonts w:asciiTheme="majorBidi" w:hAnsiTheme="majorBidi" w:cstheme="majorBidi"/>
          <w:color w:val="000000"/>
          <w:lang w:val="fr-FR"/>
        </w:rPr>
        <w:t>engagement de fidélité,</w:t>
      </w:r>
      <w:r w:rsidRPr="008764AA">
        <w:rPr>
          <w:rFonts w:asciiTheme="majorBidi" w:hAnsiTheme="majorBidi" w:cstheme="majorBidi"/>
          <w:color w:val="000000"/>
          <w:lang w:val="fr-FR"/>
        </w:rPr>
        <w:t xml:space="preserve"> les liant à l’entreprise pour une durée déterminée, afin de garantir un retour sur investissement.</w:t>
      </w:r>
    </w:p>
    <w:p w:rsidR="00E772DD" w:rsidRPr="008764AA" w:rsidRDefault="00E772DD" w:rsidP="0024578E">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Toutes les étapes du processus sont rigoureusement documentées à travers :</w:t>
      </w:r>
    </w:p>
    <w:p w:rsidR="00E772DD" w:rsidRPr="008764AA" w:rsidRDefault="00E772DD" w:rsidP="004D32AC">
      <w:pPr>
        <w:numPr>
          <w:ilvl w:val="0"/>
          <w:numId w:val="156"/>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 plan de formation annuel ;</w:t>
      </w:r>
    </w:p>
    <w:p w:rsidR="00E772DD" w:rsidRPr="008764AA" w:rsidRDefault="00E772DD" w:rsidP="004D32AC">
      <w:pPr>
        <w:numPr>
          <w:ilvl w:val="0"/>
          <w:numId w:val="156"/>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Les fiches de besoins exprimés ;</w:t>
      </w:r>
    </w:p>
    <w:p w:rsidR="00E772DD" w:rsidRPr="008764AA" w:rsidRDefault="00E772DD" w:rsidP="004D32AC">
      <w:pPr>
        <w:numPr>
          <w:ilvl w:val="0"/>
          <w:numId w:val="156"/>
        </w:num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Les évaluations (à chaud, à froid, à 180°) ;</w:t>
      </w:r>
    </w:p>
    <w:p w:rsidR="00E772DD" w:rsidRPr="00D7631E" w:rsidRDefault="00E772DD" w:rsidP="004D32AC">
      <w:pPr>
        <w:numPr>
          <w:ilvl w:val="0"/>
          <w:numId w:val="156"/>
        </w:num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Les engagements et synthèses d'efficacité.</w:t>
      </w:r>
    </w:p>
    <w:p w:rsidR="001B442B" w:rsidRPr="001B442B" w:rsidRDefault="00E772DD" w:rsidP="001B442B">
      <w:pPr>
        <w:pStyle w:val="Titre3"/>
        <w:numPr>
          <w:ilvl w:val="0"/>
          <w:numId w:val="188"/>
        </w:numPr>
        <w:spacing w:after="0" w:afterAutospacing="0" w:line="360" w:lineRule="auto"/>
        <w:rPr>
          <w:sz w:val="24"/>
          <w:szCs w:val="24"/>
        </w:rPr>
      </w:pPr>
      <w:bookmarkStart w:id="2032" w:name="_Toc199714531"/>
      <w:bookmarkStart w:id="2033" w:name="_Toc200486807"/>
      <w:bookmarkStart w:id="2034" w:name="_Toc200635585"/>
      <w:bookmarkStart w:id="2035" w:name="_Toc200635973"/>
      <w:bookmarkStart w:id="2036" w:name="_Toc200636362"/>
      <w:bookmarkStart w:id="2037" w:name="_Toc200756100"/>
      <w:r w:rsidRPr="00E965D1">
        <w:rPr>
          <w:sz w:val="24"/>
          <w:szCs w:val="24"/>
        </w:rPr>
        <w:t>Digitalisation des processus RH : outils utilisés dans le recrutement et la formation</w:t>
      </w:r>
      <w:bookmarkEnd w:id="2032"/>
      <w:bookmarkEnd w:id="2033"/>
      <w:bookmarkEnd w:id="2034"/>
      <w:bookmarkEnd w:id="2035"/>
      <w:bookmarkEnd w:id="2036"/>
      <w:bookmarkEnd w:id="2037"/>
    </w:p>
    <w:p w:rsidR="00E772DD" w:rsidRDefault="00E772DD" w:rsidP="00720E53">
      <w:pPr>
        <w:spacing w:after="240" w:line="360" w:lineRule="auto"/>
        <w:jc w:val="both"/>
        <w:rPr>
          <w:color w:val="000000"/>
          <w:lang w:val="fr-FR"/>
        </w:rPr>
      </w:pPr>
      <w:r w:rsidRPr="008764AA">
        <w:rPr>
          <w:color w:val="000000"/>
          <w:lang w:val="fr-FR"/>
        </w:rPr>
        <w:t>Dans une démarche d’optimisation continue de sa gestion des ressources humaines, Hasnaoui Logistique s’appuie sur une diversité d’outils digitaux intégrés aux différentes étapes des processus de </w:t>
      </w:r>
      <w:r w:rsidRPr="003B4928">
        <w:rPr>
          <w:color w:val="000000"/>
          <w:lang w:val="fr-FR"/>
        </w:rPr>
        <w:t>recrutement</w:t>
      </w:r>
      <w:r w:rsidRPr="008764AA">
        <w:rPr>
          <w:color w:val="000000"/>
          <w:lang w:val="fr-FR"/>
        </w:rPr>
        <w:t> et de</w:t>
      </w:r>
      <w:r w:rsidRPr="003B4928">
        <w:rPr>
          <w:color w:val="000000"/>
          <w:lang w:val="fr-FR"/>
        </w:rPr>
        <w:t> formation</w:t>
      </w:r>
      <w:r w:rsidRPr="008764AA">
        <w:rPr>
          <w:color w:val="000000"/>
          <w:lang w:val="fr-FR"/>
        </w:rPr>
        <w:t>. Ces technologies permettent d’automatiser certaines tâches, de centraliser les données RH et de renforcer la traçabilité des actions.</w:t>
      </w:r>
    </w:p>
    <w:p w:rsidR="001B442B" w:rsidRDefault="001B442B" w:rsidP="00EE167F">
      <w:pPr>
        <w:pStyle w:val="Titre3"/>
        <w:numPr>
          <w:ilvl w:val="1"/>
          <w:numId w:val="188"/>
        </w:numPr>
        <w:rPr>
          <w:lang w:val="fr-FR"/>
        </w:rPr>
      </w:pPr>
      <w:bookmarkStart w:id="2038" w:name="_Toc200756101"/>
      <w:r w:rsidRPr="00EE167F">
        <w:rPr>
          <w:sz w:val="24"/>
          <w:szCs w:val="24"/>
          <w:lang w:val="fr-FR"/>
        </w:rPr>
        <w:t>Outils digitaux utilisés dans le recrutement :</w:t>
      </w:r>
      <w:bookmarkEnd w:id="2038"/>
    </w:p>
    <w:p w:rsidR="00E772DD" w:rsidRPr="008764AA" w:rsidRDefault="00E772DD" w:rsidP="004D32AC">
      <w:pPr>
        <w:numPr>
          <w:ilvl w:val="0"/>
          <w:numId w:val="159"/>
        </w:numPr>
        <w:spacing w:line="360" w:lineRule="auto"/>
        <w:jc w:val="both"/>
        <w:rPr>
          <w:color w:val="000000"/>
          <w:lang w:val="fr-FR"/>
        </w:rPr>
      </w:pPr>
      <w:r w:rsidRPr="008764AA">
        <w:rPr>
          <w:b/>
          <w:bCs/>
          <w:color w:val="000000"/>
          <w:lang w:val="fr-FR"/>
        </w:rPr>
        <w:t>ERP Odoo</w:t>
      </w:r>
      <w:r w:rsidRPr="008764AA">
        <w:rPr>
          <w:color w:val="000000"/>
          <w:lang w:val="fr-FR"/>
        </w:rPr>
        <w:t> : principal outil de gestion des processus RH, il permet le suivi complet du recrutement, depuis la réception des candidatures jusqu’à l’intégration administrative des nouveaux employés. Ce système assure également la centralisation et la mise à jour des dossiers du personnel.</w:t>
      </w:r>
    </w:p>
    <w:p w:rsidR="00E772DD" w:rsidRPr="008764AA" w:rsidRDefault="00E772DD" w:rsidP="004D32AC">
      <w:pPr>
        <w:numPr>
          <w:ilvl w:val="0"/>
          <w:numId w:val="159"/>
        </w:numPr>
        <w:spacing w:line="360" w:lineRule="auto"/>
        <w:jc w:val="both"/>
        <w:rPr>
          <w:color w:val="000000"/>
          <w:lang w:val="fr-FR"/>
        </w:rPr>
      </w:pPr>
      <w:r w:rsidRPr="008764AA">
        <w:rPr>
          <w:b/>
          <w:bCs/>
          <w:color w:val="000000"/>
          <w:lang w:val="fr-FR"/>
        </w:rPr>
        <w:t>GEDISO (intégré dans Odoo)</w:t>
      </w:r>
      <w:r w:rsidRPr="008764AA">
        <w:rPr>
          <w:color w:val="000000"/>
          <w:lang w:val="fr-FR"/>
        </w:rPr>
        <w:t> : module de gestion électronique des documents, facilitant l’archivage, l’accès et le traitement des documents RH.</w:t>
      </w:r>
    </w:p>
    <w:p w:rsidR="00E772DD" w:rsidRPr="008764AA" w:rsidRDefault="00E772DD" w:rsidP="004D32AC">
      <w:pPr>
        <w:numPr>
          <w:ilvl w:val="0"/>
          <w:numId w:val="159"/>
        </w:numPr>
        <w:spacing w:line="360" w:lineRule="auto"/>
        <w:jc w:val="both"/>
        <w:rPr>
          <w:color w:val="000000"/>
          <w:lang w:val="fr-FR"/>
        </w:rPr>
      </w:pPr>
      <w:r w:rsidRPr="008764AA">
        <w:rPr>
          <w:b/>
          <w:bCs/>
          <w:color w:val="000000"/>
          <w:lang w:val="fr-FR"/>
        </w:rPr>
        <w:t>Plateforme de l’ANEM</w:t>
      </w:r>
      <w:r w:rsidRPr="008764AA">
        <w:rPr>
          <w:color w:val="000000"/>
          <w:lang w:val="fr-FR"/>
        </w:rPr>
        <w:t> : utilisée pour la publication des offres d’emploi et la sélection de profils, notamment dans le cadre de programmes comme le DAIP.</w:t>
      </w:r>
    </w:p>
    <w:p w:rsidR="001B442B" w:rsidRPr="001B442B" w:rsidRDefault="00E772DD" w:rsidP="001B442B">
      <w:pPr>
        <w:numPr>
          <w:ilvl w:val="0"/>
          <w:numId w:val="159"/>
        </w:numPr>
        <w:spacing w:before="100" w:beforeAutospacing="1" w:after="100" w:afterAutospacing="1" w:line="360" w:lineRule="auto"/>
        <w:jc w:val="both"/>
        <w:rPr>
          <w:color w:val="000000"/>
          <w:lang w:val="fr-FR"/>
        </w:rPr>
      </w:pPr>
      <w:r w:rsidRPr="008764AA">
        <w:rPr>
          <w:b/>
          <w:bCs/>
          <w:color w:val="000000"/>
          <w:lang w:val="fr-FR"/>
        </w:rPr>
        <w:lastRenderedPageBreak/>
        <w:t>Boîte mail professionnelle</w:t>
      </w:r>
      <w:r w:rsidRPr="008764AA">
        <w:rPr>
          <w:color w:val="000000"/>
          <w:lang w:val="fr-FR"/>
        </w:rPr>
        <w:t> : pour la communication avec les candidats, la planification des entretiens et l’envoi des convocations.</w:t>
      </w:r>
    </w:p>
    <w:p w:rsidR="001B442B" w:rsidRPr="005D3481" w:rsidRDefault="005D3481" w:rsidP="005D3481">
      <w:pPr>
        <w:pStyle w:val="Titre3"/>
        <w:numPr>
          <w:ilvl w:val="1"/>
          <w:numId w:val="188"/>
        </w:numPr>
        <w:rPr>
          <w:sz w:val="24"/>
          <w:szCs w:val="24"/>
          <w:lang w:val="fr-FR"/>
        </w:rPr>
      </w:pPr>
      <w:r>
        <w:rPr>
          <w:sz w:val="24"/>
          <w:szCs w:val="24"/>
          <w:lang w:val="fr-FR"/>
        </w:rPr>
        <w:t xml:space="preserve"> </w:t>
      </w:r>
      <w:bookmarkStart w:id="2039" w:name="_Toc200756102"/>
      <w:r w:rsidR="001B442B" w:rsidRPr="005D3481">
        <w:rPr>
          <w:sz w:val="24"/>
          <w:szCs w:val="24"/>
          <w:lang w:val="fr-FR"/>
        </w:rPr>
        <w:t>Outils digitaux mobilisés dans la formation :</w:t>
      </w:r>
      <w:bookmarkEnd w:id="2039"/>
    </w:p>
    <w:p w:rsidR="00E772DD" w:rsidRPr="008764AA" w:rsidRDefault="00E772DD" w:rsidP="004D32AC">
      <w:pPr>
        <w:numPr>
          <w:ilvl w:val="0"/>
          <w:numId w:val="160"/>
        </w:numPr>
        <w:spacing w:line="360" w:lineRule="auto"/>
        <w:jc w:val="both"/>
        <w:rPr>
          <w:color w:val="000000"/>
          <w:lang w:val="fr-FR"/>
        </w:rPr>
      </w:pPr>
      <w:r w:rsidRPr="008764AA">
        <w:rPr>
          <w:b/>
          <w:bCs/>
          <w:color w:val="000000"/>
          <w:lang w:val="fr-FR"/>
        </w:rPr>
        <w:t>ERP Odoo</w:t>
      </w:r>
      <w:r w:rsidRPr="008764AA">
        <w:rPr>
          <w:color w:val="000000"/>
          <w:lang w:val="fr-FR"/>
        </w:rPr>
        <w:t> : également utilisé pour l’organisation logistique et le suivi des actions de formation, notamment l’enregistrement des participants et l’évaluation des formations.</w:t>
      </w:r>
    </w:p>
    <w:p w:rsidR="00E772DD" w:rsidRPr="008764AA" w:rsidRDefault="00E772DD" w:rsidP="004D32AC">
      <w:pPr>
        <w:numPr>
          <w:ilvl w:val="0"/>
          <w:numId w:val="160"/>
        </w:numPr>
        <w:spacing w:line="360" w:lineRule="auto"/>
        <w:jc w:val="both"/>
        <w:rPr>
          <w:color w:val="000000"/>
          <w:lang w:val="fr-FR"/>
        </w:rPr>
      </w:pPr>
      <w:r w:rsidRPr="008764AA">
        <w:rPr>
          <w:b/>
          <w:bCs/>
          <w:color w:val="000000"/>
          <w:lang w:val="fr-FR"/>
        </w:rPr>
        <w:t>Microsoft PowerPoint et supports numériques</w:t>
      </w:r>
      <w:r w:rsidRPr="008764AA">
        <w:rPr>
          <w:color w:val="000000"/>
          <w:lang w:val="fr-FR"/>
        </w:rPr>
        <w:t> : largement utilisés lors des formations en présentiel pour la présentation des contenus pédagogiques.</w:t>
      </w:r>
    </w:p>
    <w:p w:rsidR="001B442B" w:rsidRPr="001B442B" w:rsidRDefault="00E772DD" w:rsidP="001B442B">
      <w:pPr>
        <w:numPr>
          <w:ilvl w:val="0"/>
          <w:numId w:val="160"/>
        </w:numPr>
        <w:spacing w:after="240" w:line="360" w:lineRule="auto"/>
        <w:jc w:val="both"/>
        <w:rPr>
          <w:color w:val="000000"/>
          <w:lang w:val="fr-FR"/>
        </w:rPr>
      </w:pPr>
      <w:r w:rsidRPr="008764AA">
        <w:rPr>
          <w:b/>
          <w:bCs/>
          <w:color w:val="000000"/>
          <w:lang w:val="fr-FR"/>
        </w:rPr>
        <w:t>Microsoft Excel</w:t>
      </w:r>
      <w:r w:rsidRPr="008764AA">
        <w:rPr>
          <w:color w:val="000000"/>
          <w:lang w:val="fr-FR"/>
        </w:rPr>
        <w:t> : outil essentiel pour la gestion des feuilles de présence, l’évaluation des résultats des formations et l’élaboration de rapports synthétiques.</w:t>
      </w:r>
    </w:p>
    <w:p w:rsidR="001B442B" w:rsidRPr="005D3481" w:rsidRDefault="005D3481" w:rsidP="005D3481">
      <w:pPr>
        <w:pStyle w:val="Titre3"/>
        <w:numPr>
          <w:ilvl w:val="1"/>
          <w:numId w:val="188"/>
        </w:numPr>
        <w:rPr>
          <w:sz w:val="24"/>
          <w:szCs w:val="24"/>
          <w:lang w:val="fr-FR"/>
        </w:rPr>
      </w:pPr>
      <w:r>
        <w:rPr>
          <w:sz w:val="24"/>
          <w:szCs w:val="24"/>
          <w:lang w:val="fr-FR"/>
        </w:rPr>
        <w:t xml:space="preserve"> </w:t>
      </w:r>
      <w:bookmarkStart w:id="2040" w:name="_Toc200756103"/>
      <w:r w:rsidR="001B442B" w:rsidRPr="005D3481">
        <w:rPr>
          <w:sz w:val="24"/>
          <w:szCs w:val="24"/>
          <w:lang w:val="fr-FR"/>
        </w:rPr>
        <w:t>Autres outils numériques RH :</w:t>
      </w:r>
      <w:bookmarkEnd w:id="2040"/>
    </w:p>
    <w:p w:rsidR="00E772DD" w:rsidRPr="008764AA" w:rsidRDefault="00E772DD" w:rsidP="004D32AC">
      <w:pPr>
        <w:numPr>
          <w:ilvl w:val="0"/>
          <w:numId w:val="161"/>
        </w:numPr>
        <w:spacing w:after="100" w:afterAutospacing="1" w:line="360" w:lineRule="auto"/>
        <w:jc w:val="both"/>
        <w:rPr>
          <w:color w:val="000000"/>
          <w:lang w:val="fr-FR"/>
        </w:rPr>
      </w:pPr>
      <w:r w:rsidRPr="008764AA">
        <w:rPr>
          <w:b/>
          <w:bCs/>
          <w:color w:val="000000"/>
          <w:lang w:val="fr-FR"/>
        </w:rPr>
        <w:t>Microsoft Excel</w:t>
      </w:r>
      <w:r w:rsidRPr="008764AA">
        <w:rPr>
          <w:color w:val="000000"/>
          <w:lang w:val="fr-FR"/>
        </w:rPr>
        <w:t> : en plus des formations, Excel est utilisé pour la création de </w:t>
      </w:r>
      <w:r w:rsidRPr="003B4928">
        <w:rPr>
          <w:color w:val="000000"/>
          <w:lang w:val="fr-FR"/>
        </w:rPr>
        <w:t>tableaux de bord RH</w:t>
      </w:r>
      <w:r w:rsidRPr="008764AA">
        <w:rPr>
          <w:color w:val="000000"/>
          <w:lang w:val="fr-FR"/>
        </w:rPr>
        <w:t> (indicateurs de performance, taux de formation, suivi des recrutements, etc.), offrant une visibilité stratégique sur la gestion des ressources humaines.</w:t>
      </w:r>
    </w:p>
    <w:p w:rsidR="00E772DD" w:rsidRPr="008764AA" w:rsidRDefault="00E772DD" w:rsidP="004D32AC">
      <w:pPr>
        <w:numPr>
          <w:ilvl w:val="0"/>
          <w:numId w:val="161"/>
        </w:numPr>
        <w:spacing w:before="100" w:beforeAutospacing="1" w:after="100" w:afterAutospacing="1" w:line="360" w:lineRule="auto"/>
        <w:jc w:val="both"/>
        <w:rPr>
          <w:color w:val="000000"/>
          <w:lang w:val="fr-FR"/>
        </w:rPr>
      </w:pPr>
      <w:r w:rsidRPr="008764AA">
        <w:rPr>
          <w:b/>
          <w:bCs/>
          <w:color w:val="000000"/>
          <w:lang w:val="fr-FR"/>
        </w:rPr>
        <w:t>Kelio</w:t>
      </w:r>
      <w:r w:rsidRPr="008764AA">
        <w:rPr>
          <w:color w:val="000000"/>
          <w:lang w:val="fr-FR"/>
        </w:rPr>
        <w:t> : système de gestion du temps et de pointage, permettant un suivi rigoureux des heures de travail, des absences et des congés.</w:t>
      </w:r>
    </w:p>
    <w:p w:rsidR="00E772DD" w:rsidRPr="008764AA" w:rsidRDefault="00E772DD" w:rsidP="004D32AC">
      <w:pPr>
        <w:numPr>
          <w:ilvl w:val="0"/>
          <w:numId w:val="161"/>
        </w:numPr>
        <w:spacing w:before="100" w:beforeAutospacing="1" w:after="100" w:afterAutospacing="1" w:line="360" w:lineRule="auto"/>
        <w:jc w:val="both"/>
        <w:rPr>
          <w:color w:val="000000"/>
          <w:lang w:val="fr-FR"/>
        </w:rPr>
      </w:pPr>
      <w:r w:rsidRPr="008764AA">
        <w:rPr>
          <w:b/>
          <w:bCs/>
          <w:color w:val="000000"/>
          <w:lang w:val="fr-FR"/>
        </w:rPr>
        <w:t xml:space="preserve">Plateforme </w:t>
      </w:r>
      <w:proofErr w:type="spellStart"/>
      <w:r w:rsidRPr="008764AA">
        <w:rPr>
          <w:b/>
          <w:bCs/>
          <w:color w:val="000000"/>
          <w:lang w:val="fr-FR"/>
        </w:rPr>
        <w:t>Macir</w:t>
      </w:r>
      <w:proofErr w:type="spellEnd"/>
      <w:r w:rsidRPr="008764AA">
        <w:rPr>
          <w:b/>
          <w:bCs/>
          <w:color w:val="000000"/>
          <w:lang w:val="fr-FR"/>
        </w:rPr>
        <w:t xml:space="preserve"> Vie</w:t>
      </w:r>
      <w:r w:rsidRPr="008764AA">
        <w:rPr>
          <w:color w:val="000000"/>
          <w:lang w:val="fr-FR"/>
        </w:rPr>
        <w:t> : outil de gestion en ligne des assurances santé des employés, simplifiant les démarches et le suivi des prises en charge.</w:t>
      </w:r>
    </w:p>
    <w:p w:rsidR="00720E53" w:rsidRDefault="00E772DD" w:rsidP="00720E53">
      <w:pPr>
        <w:spacing w:after="240" w:line="360" w:lineRule="auto"/>
        <w:jc w:val="both"/>
        <w:rPr>
          <w:color w:val="000000"/>
          <w:lang w:val="fr-FR"/>
        </w:rPr>
      </w:pPr>
      <w:r w:rsidRPr="008764AA">
        <w:rPr>
          <w:color w:val="000000"/>
          <w:lang w:val="fr-FR"/>
        </w:rPr>
        <w:t>Ainsi, même si tous les processus ne sont pas encore totalement automatisés, l’intégration progressive de ces outils marque un pas significatif vers la </w:t>
      </w:r>
      <w:r w:rsidRPr="003B4928">
        <w:rPr>
          <w:color w:val="000000"/>
          <w:lang w:val="fr-FR"/>
        </w:rPr>
        <w:t>digitalisation des pratiques RH</w:t>
      </w:r>
      <w:r w:rsidRPr="008764AA">
        <w:rPr>
          <w:color w:val="000000"/>
          <w:lang w:val="fr-FR"/>
        </w:rPr>
        <w:t>. Cette transformation numérique contribue à une meilleure organisation, un gain de temps et une prise de décision plus rapide basée sur des données fiables.</w:t>
      </w:r>
    </w:p>
    <w:p w:rsidR="00720E53" w:rsidRDefault="00E772DD" w:rsidP="00B30A23">
      <w:pPr>
        <w:spacing w:line="360" w:lineRule="auto"/>
        <w:jc w:val="both"/>
        <w:rPr>
          <w:color w:val="000000"/>
        </w:rPr>
      </w:pPr>
      <w:r w:rsidRPr="000E0E7D">
        <w:rPr>
          <w:color w:val="000000"/>
        </w:rPr>
        <w:t>En somme, la présentation de Hasnaoui Logistique nous a permis de mieux comprendre le fonctionnement organisationnel d’une entreprise algérienne engagée dans une transition digitale. Cette entreprise se distingue par sa volonté de moderniser ses processus RH à travers l’intégration progressive d’outils numériques. L’examen de ses pratiques en matière de recrutement et de formation constitue une base précieuse pour illustrer les enjeux concrets de la digitalisation RH dans le contexte national.</w:t>
      </w:r>
    </w:p>
    <w:p w:rsidR="00AE378F" w:rsidRDefault="00AE378F" w:rsidP="00B30A23">
      <w:pPr>
        <w:spacing w:line="360" w:lineRule="auto"/>
        <w:jc w:val="both"/>
        <w:rPr>
          <w:color w:val="000000"/>
        </w:rPr>
      </w:pPr>
    </w:p>
    <w:p w:rsidR="00AE378F" w:rsidRDefault="00AE378F" w:rsidP="00B30A23">
      <w:pPr>
        <w:spacing w:line="360" w:lineRule="auto"/>
        <w:jc w:val="both"/>
        <w:rPr>
          <w:color w:val="000000"/>
        </w:rPr>
      </w:pPr>
    </w:p>
    <w:p w:rsidR="00AE378F" w:rsidRPr="00B30A23" w:rsidRDefault="00AE378F" w:rsidP="00B30A23">
      <w:pPr>
        <w:spacing w:line="360" w:lineRule="auto"/>
        <w:jc w:val="both"/>
        <w:rPr>
          <w:color w:val="000000"/>
        </w:rPr>
      </w:pPr>
    </w:p>
    <w:p w:rsidR="00E772DD" w:rsidRPr="00E965D1" w:rsidRDefault="00E772DD" w:rsidP="00E965D1">
      <w:pPr>
        <w:pStyle w:val="Titre3"/>
        <w:rPr>
          <w:sz w:val="28"/>
          <w:szCs w:val="28"/>
          <w:lang w:val="fr-FR"/>
        </w:rPr>
      </w:pPr>
      <w:bookmarkStart w:id="2041" w:name="_Toc200486808"/>
      <w:bookmarkStart w:id="2042" w:name="_Toc200635586"/>
      <w:bookmarkStart w:id="2043" w:name="_Toc200635974"/>
      <w:bookmarkStart w:id="2044" w:name="_Toc200636363"/>
      <w:bookmarkStart w:id="2045" w:name="_Toc200756104"/>
      <w:r w:rsidRPr="00E965D1">
        <w:rPr>
          <w:sz w:val="28"/>
          <w:szCs w:val="28"/>
          <w:lang w:val="fr-FR"/>
        </w:rPr>
        <w:lastRenderedPageBreak/>
        <w:t>Section 2 : Cadre méthodologique de la recherche</w:t>
      </w:r>
      <w:bookmarkEnd w:id="2041"/>
      <w:bookmarkEnd w:id="2042"/>
      <w:bookmarkEnd w:id="2043"/>
      <w:bookmarkEnd w:id="2044"/>
      <w:bookmarkEnd w:id="2045"/>
    </w:p>
    <w:p w:rsidR="00E772DD" w:rsidRPr="008764AA" w:rsidRDefault="00194E42" w:rsidP="0024578E">
      <w:pPr>
        <w:spacing w:after="240" w:line="360" w:lineRule="auto"/>
        <w:jc w:val="both"/>
        <w:rPr>
          <w:rFonts w:asciiTheme="majorBidi" w:hAnsiTheme="majorBidi" w:cstheme="majorBidi"/>
          <w:color w:val="000000"/>
          <w:lang w:val="fr-FR"/>
        </w:rPr>
      </w:pPr>
      <w:r>
        <w:rPr>
          <w:rFonts w:asciiTheme="majorBidi" w:hAnsiTheme="majorBidi" w:cstheme="majorBidi"/>
          <w:color w:val="000000"/>
          <w:lang w:val="fr-FR"/>
        </w:rPr>
        <w:t xml:space="preserve">Après </w:t>
      </w:r>
      <w:r w:rsidR="00E772DD" w:rsidRPr="008764AA">
        <w:rPr>
          <w:rFonts w:asciiTheme="majorBidi" w:hAnsiTheme="majorBidi" w:cstheme="majorBidi"/>
          <w:color w:val="000000"/>
          <w:lang w:val="fr-FR"/>
        </w:rPr>
        <w:t>avoir défini le cadre théorique et les hypothèses de notre étude, il est maintenant nécessaire de détailler la méthodologie adoptée pour mener à bien cette recherche empirique. L’objectif de cette section est de clarifier les choix méthodologiques effectués, ainsi que les raisons pour lesquelles ces approches ont été privilégiées.</w:t>
      </w:r>
    </w:p>
    <w:p w:rsidR="00E772DD" w:rsidRPr="00E965D1" w:rsidRDefault="00E772DD" w:rsidP="004D32AC">
      <w:pPr>
        <w:pStyle w:val="Titre3"/>
        <w:numPr>
          <w:ilvl w:val="1"/>
          <w:numId w:val="160"/>
        </w:numPr>
        <w:spacing w:after="0" w:afterAutospacing="0" w:line="360" w:lineRule="auto"/>
        <w:rPr>
          <w:sz w:val="24"/>
          <w:szCs w:val="24"/>
        </w:rPr>
      </w:pPr>
      <w:bookmarkStart w:id="2046" w:name="_Toc199714533"/>
      <w:bookmarkStart w:id="2047" w:name="_Toc200486809"/>
      <w:bookmarkStart w:id="2048" w:name="_Toc200635587"/>
      <w:bookmarkStart w:id="2049" w:name="_Toc200635975"/>
      <w:bookmarkStart w:id="2050" w:name="_Toc200636364"/>
      <w:bookmarkStart w:id="2051" w:name="_Toc200756105"/>
      <w:r w:rsidRPr="00E965D1">
        <w:rPr>
          <w:sz w:val="24"/>
          <w:szCs w:val="24"/>
        </w:rPr>
        <w:t>Nature de la recherche</w:t>
      </w:r>
      <w:bookmarkEnd w:id="2046"/>
      <w:bookmarkEnd w:id="2047"/>
      <w:bookmarkEnd w:id="2048"/>
      <w:bookmarkEnd w:id="2049"/>
      <w:bookmarkEnd w:id="2050"/>
      <w:bookmarkEnd w:id="2051"/>
    </w:p>
    <w:p w:rsidR="00720E53" w:rsidRPr="007B7267" w:rsidRDefault="00E772DD" w:rsidP="00720E53">
      <w:pPr>
        <w:spacing w:line="360" w:lineRule="auto"/>
        <w:jc w:val="both"/>
        <w:rPr>
          <w:rFonts w:asciiTheme="majorBidi" w:hAnsiTheme="majorBidi" w:cstheme="majorBidi"/>
        </w:rPr>
      </w:pPr>
      <w:r w:rsidRPr="007B7267">
        <w:rPr>
          <w:rFonts w:asciiTheme="majorBidi" w:hAnsiTheme="majorBidi" w:cstheme="majorBidi"/>
        </w:rPr>
        <w:t>Cette étude s’inscrit dans une approche quantitative, visant à analyser l’impact de la digitalisation sur les pratiques de recrutement et de formation au sein des services des ressources humaines. Ce type d’approche permet de quantifier les phénomènes observés et de tester des relations entre variables à partir de données mesurables (Thiétart, 2007, p. 109)</w:t>
      </w:r>
      <w:r>
        <w:rPr>
          <w:rStyle w:val="Appelnotedebasdep"/>
          <w:rFonts w:cstheme="majorBidi"/>
        </w:rPr>
        <w:footnoteReference w:id="362"/>
      </w:r>
      <w:r w:rsidRPr="007B7267">
        <w:rPr>
          <w:rFonts w:asciiTheme="majorBidi" w:hAnsiTheme="majorBidi" w:cstheme="majorBidi"/>
        </w:rPr>
        <w:t>. Elle repose sur une démarche hypothético-déductive, qui consiste à formuler des hypothèses à partir d’un cadre théorique existant, puis à les confronter à la réalité par la collecte de données empirique</w:t>
      </w:r>
      <w:r w:rsidR="00720E53" w:rsidRPr="00847F4A">
        <w:rPr>
          <w:rFonts w:asciiTheme="majorBidi" w:hAnsiTheme="majorBidi" w:cstheme="majorBidi"/>
          <w:lang w:val="fr-FR"/>
        </w:rPr>
        <w:t>s.</w:t>
      </w:r>
      <w:r>
        <w:rPr>
          <w:rStyle w:val="Appelnotedebasdep"/>
          <w:rFonts w:cstheme="majorBidi"/>
        </w:rPr>
        <w:footnoteReference w:id="363"/>
      </w:r>
    </w:p>
    <w:p w:rsidR="00720E53" w:rsidRDefault="00E772DD" w:rsidP="007B7267">
      <w:pPr>
        <w:spacing w:line="360" w:lineRule="auto"/>
        <w:jc w:val="both"/>
        <w:rPr>
          <w:rFonts w:asciiTheme="majorBidi" w:hAnsiTheme="majorBidi" w:cstheme="majorBidi"/>
        </w:rPr>
      </w:pPr>
      <w:r w:rsidRPr="007B7267">
        <w:rPr>
          <w:rFonts w:asciiTheme="majorBidi" w:hAnsiTheme="majorBidi" w:cstheme="majorBidi"/>
        </w:rPr>
        <w:t>Le recueil de données s’appuie sur un questionnaire structuré, outil couramment utilisé dans les études quantitatives pour standardiser les réponses et permettre des comparaisons fiables entre les répondants</w:t>
      </w:r>
      <w:r w:rsidR="00720E53" w:rsidRPr="00847F4A">
        <w:rPr>
          <w:rFonts w:asciiTheme="majorBidi" w:hAnsiTheme="majorBidi" w:cstheme="majorBidi"/>
          <w:lang w:val="fr-FR"/>
        </w:rPr>
        <w:t>.</w:t>
      </w:r>
      <w:r>
        <w:rPr>
          <w:rStyle w:val="Appelnotedebasdep"/>
          <w:rFonts w:cstheme="majorBidi"/>
        </w:rPr>
        <w:footnoteReference w:id="364"/>
      </w:r>
    </w:p>
    <w:p w:rsidR="00E772DD" w:rsidRPr="007B7267" w:rsidRDefault="00E772DD" w:rsidP="007B7267">
      <w:pPr>
        <w:spacing w:line="360" w:lineRule="auto"/>
        <w:jc w:val="both"/>
        <w:rPr>
          <w:rFonts w:asciiTheme="majorBidi" w:hAnsiTheme="majorBidi" w:cstheme="majorBidi"/>
        </w:rPr>
      </w:pPr>
      <w:r w:rsidRPr="007B7267">
        <w:rPr>
          <w:rFonts w:asciiTheme="majorBidi" w:hAnsiTheme="majorBidi" w:cstheme="majorBidi"/>
        </w:rPr>
        <w:t xml:space="preserve"> Ce choix méthodologique favorise l’identification de corrélations et de régularités entre les variables étudiées, tout en assurant la reproductibilité de l’enquête. Il s’agit ainsi d’objectiver le phénomène analysé en mobilisant des indicateurs chiffrés, dans une perspective de généralisation à d’autres contextes présentant des caractéristiques similaires</w:t>
      </w:r>
      <w:r w:rsidR="00720E53" w:rsidRPr="00847F4A">
        <w:rPr>
          <w:rFonts w:asciiTheme="majorBidi" w:hAnsiTheme="majorBidi" w:cstheme="majorBidi"/>
          <w:lang w:val="fr-FR"/>
        </w:rPr>
        <w:t>.</w:t>
      </w:r>
      <w:r>
        <w:rPr>
          <w:rStyle w:val="Appelnotedebasdep"/>
          <w:rFonts w:cstheme="majorBidi"/>
        </w:rPr>
        <w:footnoteReference w:id="365"/>
      </w:r>
    </w:p>
    <w:p w:rsidR="00E772DD" w:rsidRPr="007B7267" w:rsidRDefault="00E772DD" w:rsidP="007B7267">
      <w:pPr>
        <w:spacing w:line="360" w:lineRule="auto"/>
        <w:jc w:val="both"/>
        <w:rPr>
          <w:rFonts w:asciiTheme="majorBidi" w:hAnsiTheme="majorBidi" w:cstheme="majorBidi"/>
        </w:rPr>
      </w:pPr>
      <w:r w:rsidRPr="007B7267">
        <w:rPr>
          <w:rFonts w:asciiTheme="majorBidi" w:hAnsiTheme="majorBidi" w:cstheme="majorBidi"/>
        </w:rPr>
        <w:t>Les différentes dimensions de cette démarche seront détaillées dans les sous-parties qui suivent.</w:t>
      </w:r>
    </w:p>
    <w:p w:rsidR="00E772DD" w:rsidRPr="00E965D1" w:rsidRDefault="005208B2" w:rsidP="004D32AC">
      <w:pPr>
        <w:pStyle w:val="Titre3"/>
        <w:numPr>
          <w:ilvl w:val="1"/>
          <w:numId w:val="160"/>
        </w:numPr>
        <w:spacing w:after="0" w:afterAutospacing="0" w:line="360" w:lineRule="auto"/>
      </w:pPr>
      <w:bookmarkStart w:id="2052" w:name="_Toc199714534"/>
      <w:bookmarkStart w:id="2053" w:name="_Toc200486810"/>
      <w:bookmarkStart w:id="2054" w:name="_Toc200635588"/>
      <w:bookmarkStart w:id="2055" w:name="_Toc200635976"/>
      <w:bookmarkStart w:id="2056" w:name="_Toc200636365"/>
      <w:bookmarkStart w:id="2057" w:name="_Toc200756106"/>
      <w:r>
        <w:rPr>
          <w:rStyle w:val="lev"/>
          <w:rFonts w:asciiTheme="majorBidi" w:hAnsiTheme="majorBidi"/>
          <w:b/>
          <w:bCs/>
          <w:color w:val="000000"/>
          <w:sz w:val="24"/>
          <w:szCs w:val="24"/>
          <w:lang w:val="fr-FR"/>
        </w:rPr>
        <w:t>Modèle de recherche et f</w:t>
      </w:r>
      <w:r w:rsidR="00E772DD" w:rsidRPr="00720E53">
        <w:rPr>
          <w:rStyle w:val="lev"/>
          <w:rFonts w:asciiTheme="majorBidi" w:hAnsiTheme="majorBidi"/>
          <w:b/>
          <w:bCs/>
          <w:color w:val="000000"/>
          <w:sz w:val="24"/>
          <w:szCs w:val="24"/>
          <w:lang w:val="fr-FR"/>
        </w:rPr>
        <w:t>ormulation des hypothèses</w:t>
      </w:r>
      <w:bookmarkEnd w:id="2052"/>
      <w:bookmarkEnd w:id="2053"/>
      <w:bookmarkEnd w:id="2054"/>
      <w:bookmarkEnd w:id="2055"/>
      <w:bookmarkEnd w:id="2056"/>
      <w:bookmarkEnd w:id="2057"/>
    </w:p>
    <w:p w:rsidR="00FB1085" w:rsidRDefault="00E772DD" w:rsidP="0024578E">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 xml:space="preserve">L’analyse de la littérature met en évidence plusieurs relations pertinentes entre la digitalisation des processus RH, le recours aux outils numériques dans le recrutement et la formation, ainsi que l’impact de ces transformations sur la performance de la fonction ressources humaines. </w:t>
      </w:r>
    </w:p>
    <w:p w:rsidR="00FB1085" w:rsidRDefault="00FB1085" w:rsidP="00FB1085">
      <w:pPr>
        <w:spacing w:line="360" w:lineRule="auto"/>
        <w:jc w:val="both"/>
        <w:rPr>
          <w:rFonts w:asciiTheme="majorBidi" w:hAnsiTheme="majorBidi" w:cstheme="majorBidi"/>
          <w:color w:val="000000"/>
        </w:rPr>
      </w:pPr>
      <w:r w:rsidRPr="00FB1085">
        <w:rPr>
          <w:rFonts w:asciiTheme="majorBidi" w:hAnsiTheme="majorBidi" w:cstheme="majorBidi"/>
          <w:color w:val="000000"/>
        </w:rPr>
        <w:lastRenderedPageBreak/>
        <w:t>Afin de synthétiser ces interactions, le schéma suivant présente le modèle conceptuel de la recherche, fondé sur les résultats des études antérieures et sur les variables retenues dans le cadre de ce mémoire.</w:t>
      </w:r>
    </w:p>
    <w:p w:rsidR="00FB1085" w:rsidRPr="008764AA" w:rsidRDefault="00FB1085" w:rsidP="00FB1085">
      <w:pPr>
        <w:pStyle w:val="Paragraphedeliste"/>
        <w:numPr>
          <w:ilvl w:val="0"/>
          <w:numId w:val="162"/>
        </w:numPr>
        <w:spacing w:line="360" w:lineRule="auto"/>
        <w:jc w:val="both"/>
        <w:rPr>
          <w:rFonts w:asciiTheme="majorBidi" w:eastAsia="Times New Roman" w:hAnsiTheme="majorBidi" w:cstheme="majorBidi"/>
          <w14:ligatures w14:val="none"/>
        </w:rPr>
      </w:pPr>
      <w:r w:rsidRPr="008764AA">
        <w:rPr>
          <w:rFonts w:asciiTheme="majorBidi" w:eastAsia="Times New Roman" w:hAnsiTheme="majorBidi" w:cstheme="majorBidi"/>
          <w:b/>
          <w:bCs/>
          <w14:ligatures w14:val="none"/>
        </w:rPr>
        <w:t>Modèle conceptuel de l’étude :</w:t>
      </w:r>
    </w:p>
    <w:p w:rsidR="00FB1085" w:rsidRPr="008764AA" w:rsidRDefault="00FB1085" w:rsidP="00FB1085">
      <w:pPr>
        <w:ind w:left="360"/>
        <w:jc w:val="center"/>
        <w:rPr>
          <w:lang w:val="fr-FR"/>
        </w:rPr>
      </w:pPr>
      <w:r w:rsidRPr="008764AA">
        <w:rPr>
          <w:b/>
          <w:bCs/>
          <w:lang w:val="fr-FR"/>
        </w:rPr>
        <w:t>Figure</w:t>
      </w:r>
      <w:r>
        <w:rPr>
          <w:b/>
          <w:bCs/>
          <w:lang w:val="fr-FR"/>
        </w:rPr>
        <w:t xml:space="preserve"> N°35</w:t>
      </w:r>
      <w:r w:rsidRPr="008764AA">
        <w:rPr>
          <w:b/>
          <w:bCs/>
          <w:lang w:val="fr-FR"/>
        </w:rPr>
        <w:t xml:space="preserve"> </w:t>
      </w:r>
      <w:r w:rsidRPr="008764AA">
        <w:rPr>
          <w:lang w:val="fr-FR"/>
        </w:rPr>
        <w:t xml:space="preserve">: </w:t>
      </w:r>
      <w:r w:rsidRPr="00562602">
        <w:rPr>
          <w:lang w:val="fr-FR"/>
        </w:rPr>
        <w:t>Modèle conceptuel de la recherche</w:t>
      </w:r>
    </w:p>
    <w:p w:rsidR="00FB1085" w:rsidRPr="008764AA" w:rsidRDefault="00FB1085" w:rsidP="00FB1085">
      <w:pPr>
        <w:spacing w:line="360" w:lineRule="auto"/>
        <w:jc w:val="both"/>
        <w:rPr>
          <w:rFonts w:asciiTheme="majorBidi" w:hAnsiTheme="majorBidi" w:cstheme="majorBidi"/>
          <w:color w:val="000000"/>
          <w:lang w:val="fr-FR"/>
        </w:rPr>
      </w:pPr>
      <w:r w:rsidRPr="00EC661E">
        <w:rPr>
          <w:rFonts w:asciiTheme="majorBidi" w:hAnsiTheme="majorBidi" w:cstheme="majorBidi"/>
          <w:noProof/>
          <w:color w:val="D4CEC2"/>
          <w:lang w:val="fr-FR"/>
        </w:rPr>
        <w:drawing>
          <wp:anchor distT="0" distB="0" distL="114300" distR="114300" simplePos="0" relativeHeight="251709440" behindDoc="0" locked="0" layoutInCell="1" allowOverlap="1" wp14:anchorId="395433DC" wp14:editId="6E5658E9">
            <wp:simplePos x="0" y="0"/>
            <wp:positionH relativeFrom="column">
              <wp:posOffset>-314016</wp:posOffset>
            </wp:positionH>
            <wp:positionV relativeFrom="paragraph">
              <wp:posOffset>264160</wp:posOffset>
            </wp:positionV>
            <wp:extent cx="6426200" cy="3644900"/>
            <wp:effectExtent l="0" t="0" r="0" b="0"/>
            <wp:wrapTopAndBottom/>
            <wp:docPr id="679386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828093" name="Picture 2"/>
                    <pic:cNvPicPr/>
                  </pic:nvPicPr>
                  <pic:blipFill rotWithShape="1">
                    <a:blip r:embed="rId118">
                      <a:extLst>
                        <a:ext uri="{28A0092B-C50C-407E-A947-70E740481C1C}">
                          <a14:useLocalDpi xmlns:a14="http://schemas.microsoft.com/office/drawing/2010/main" val="0"/>
                        </a:ext>
                      </a:extLst>
                    </a:blip>
                    <a:srcRect l="17811" t="17454" r="18081" b="17903"/>
                    <a:stretch/>
                  </pic:blipFill>
                  <pic:spPr bwMode="auto">
                    <a:xfrm>
                      <a:off x="0" y="0"/>
                      <a:ext cx="6426200" cy="3644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B1085" w:rsidRPr="008764AA" w:rsidRDefault="00FB1085" w:rsidP="00FB1085">
      <w:pPr>
        <w:spacing w:line="360" w:lineRule="auto"/>
        <w:jc w:val="both"/>
        <w:rPr>
          <w:rFonts w:asciiTheme="majorBidi" w:hAnsiTheme="majorBidi" w:cstheme="majorBidi"/>
          <w:lang w:val="fr-FR"/>
        </w:rPr>
      </w:pPr>
    </w:p>
    <w:p w:rsidR="00FB1085" w:rsidRDefault="00FB1085" w:rsidP="00FB1085">
      <w:pPr>
        <w:spacing w:line="360" w:lineRule="auto"/>
        <w:jc w:val="center"/>
        <w:rPr>
          <w:rFonts w:asciiTheme="majorBidi" w:hAnsiTheme="majorBidi" w:cstheme="majorBidi"/>
          <w:lang w:val="fr-FR"/>
        </w:rPr>
      </w:pPr>
      <w:r w:rsidRPr="008764AA">
        <w:rPr>
          <w:rFonts w:asciiTheme="majorBidi" w:hAnsiTheme="majorBidi" w:cstheme="majorBidi"/>
          <w:b/>
          <w:bCs/>
          <w:lang w:val="fr-FR"/>
        </w:rPr>
        <w:t>Source :</w:t>
      </w:r>
      <w:r w:rsidRPr="008764AA">
        <w:rPr>
          <w:rFonts w:asciiTheme="majorBidi" w:hAnsiTheme="majorBidi" w:cstheme="majorBidi"/>
          <w:lang w:val="fr-FR"/>
        </w:rPr>
        <w:t xml:space="preserve"> Élaboration personnelle</w:t>
      </w:r>
    </w:p>
    <w:p w:rsidR="00FB1085" w:rsidRPr="00FB1085" w:rsidRDefault="00FB1085" w:rsidP="00FB1085">
      <w:pPr>
        <w:spacing w:line="360" w:lineRule="auto"/>
        <w:jc w:val="center"/>
        <w:rPr>
          <w:rFonts w:asciiTheme="majorBidi" w:hAnsiTheme="majorBidi" w:cstheme="majorBidi"/>
          <w:lang w:val="fr-FR"/>
        </w:rPr>
      </w:pPr>
    </w:p>
    <w:p w:rsidR="003F1CCC" w:rsidRDefault="003F1CCC" w:rsidP="003F1CCC">
      <w:pPr>
        <w:spacing w:after="240" w:line="360" w:lineRule="auto"/>
        <w:jc w:val="both"/>
        <w:rPr>
          <w:rFonts w:asciiTheme="majorBidi" w:hAnsiTheme="majorBidi" w:cstheme="majorBidi"/>
          <w:color w:val="000000"/>
        </w:rPr>
      </w:pPr>
      <w:r w:rsidRPr="003F1CCC">
        <w:rPr>
          <w:rFonts w:asciiTheme="majorBidi" w:hAnsiTheme="majorBidi" w:cstheme="majorBidi"/>
          <w:color w:val="000000"/>
        </w:rPr>
        <w:t>Sur cette base, les hypothèses suivantes ont été formulées :</w:t>
      </w:r>
    </w:p>
    <w:p w:rsidR="00E772DD" w:rsidRPr="008764AA" w:rsidRDefault="00E772DD" w:rsidP="003F1CCC">
      <w:p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 xml:space="preserve">Les travaux de </w:t>
      </w:r>
      <w:proofErr w:type="spellStart"/>
      <w:r w:rsidRPr="008764AA">
        <w:rPr>
          <w:rFonts w:asciiTheme="majorBidi" w:hAnsiTheme="majorBidi" w:cstheme="majorBidi"/>
          <w:color w:val="000000"/>
          <w:lang w:val="fr-FR"/>
        </w:rPr>
        <w:t>Jarachi</w:t>
      </w:r>
      <w:proofErr w:type="spellEnd"/>
      <w:r w:rsidRPr="008764AA">
        <w:rPr>
          <w:rFonts w:asciiTheme="majorBidi" w:hAnsiTheme="majorBidi" w:cstheme="majorBidi"/>
          <w:color w:val="000000"/>
          <w:lang w:val="fr-FR"/>
        </w:rPr>
        <w:t xml:space="preserve"> et al. (2022)</w:t>
      </w:r>
      <w:r w:rsidRPr="008764AA">
        <w:rPr>
          <w:rStyle w:val="Appelnotedebasdep"/>
          <w:rFonts w:eastAsiaTheme="majorEastAsia"/>
          <w:color w:val="000000"/>
          <w:lang w:val="fr-FR"/>
        </w:rPr>
        <w:footnoteReference w:id="366"/>
      </w:r>
      <w:r w:rsidRPr="008764AA">
        <w:rPr>
          <w:rFonts w:asciiTheme="majorBidi" w:hAnsiTheme="majorBidi" w:cstheme="majorBidi"/>
          <w:color w:val="000000"/>
          <w:lang w:val="fr-FR"/>
        </w:rPr>
        <w:t xml:space="preserve"> soulignent l’importance de l’implémentation d’un Système d’Information des Ressources Humaines (SIRH), qui permet notamment d’automatiser les procédures de recrutement et de renforcer l’efficience du capital humain mobilisé dans l’entreprise. </w:t>
      </w:r>
      <w:proofErr w:type="spellStart"/>
      <w:r w:rsidRPr="008764AA">
        <w:rPr>
          <w:rFonts w:asciiTheme="majorBidi" w:hAnsiTheme="majorBidi" w:cstheme="majorBidi"/>
          <w:color w:val="000000"/>
          <w:lang w:val="fr-FR"/>
        </w:rPr>
        <w:t>Gampine</w:t>
      </w:r>
      <w:proofErr w:type="spellEnd"/>
      <w:r w:rsidRPr="008764AA">
        <w:rPr>
          <w:rFonts w:asciiTheme="majorBidi" w:hAnsiTheme="majorBidi" w:cstheme="majorBidi"/>
          <w:color w:val="000000"/>
          <w:lang w:val="fr-FR"/>
        </w:rPr>
        <w:t xml:space="preserve"> (2023)</w:t>
      </w:r>
      <w:r w:rsidRPr="008764AA">
        <w:rPr>
          <w:rStyle w:val="Appelnotedebasdep"/>
          <w:rFonts w:eastAsiaTheme="majorEastAsia"/>
          <w:color w:val="000000"/>
          <w:lang w:val="fr-FR"/>
        </w:rPr>
        <w:footnoteReference w:id="367"/>
      </w:r>
      <w:r w:rsidRPr="008764AA">
        <w:rPr>
          <w:rFonts w:asciiTheme="majorBidi" w:hAnsiTheme="majorBidi" w:cstheme="majorBidi"/>
          <w:color w:val="000000"/>
          <w:lang w:val="fr-FR"/>
        </w:rPr>
        <w:t xml:space="preserve"> met également en évidence l’effet structurant des technologies numériques sur la capacité des organisations à adapter rapidement leurs pratiques de recrutement aux exigences du marché.</w:t>
      </w:r>
    </w:p>
    <w:p w:rsidR="00E772DD" w:rsidRPr="00720E53" w:rsidRDefault="00E772DD" w:rsidP="00720E53">
      <w:pPr>
        <w:spacing w:after="240" w:line="360" w:lineRule="auto"/>
        <w:jc w:val="both"/>
        <w:rPr>
          <w:rFonts w:asciiTheme="majorBidi" w:hAnsiTheme="majorBidi" w:cstheme="majorBidi"/>
          <w:b/>
          <w:bCs/>
          <w:color w:val="000000"/>
          <w:lang w:val="fr-FR"/>
        </w:rPr>
      </w:pPr>
      <w:r w:rsidRPr="00720E53">
        <w:rPr>
          <w:rStyle w:val="lev"/>
          <w:rFonts w:asciiTheme="majorBidi" w:hAnsiTheme="majorBidi" w:cstheme="majorBidi"/>
          <w:b w:val="0"/>
          <w:bCs w:val="0"/>
          <w:color w:val="000000"/>
          <w:lang w:val="fr-FR"/>
        </w:rPr>
        <w:lastRenderedPageBreak/>
        <w:t>Ces études montrent que la digitalisation constitue un levier d’optimisation du recrutement, ce qui permet de formuler l’hypothèse suivante :</w:t>
      </w:r>
    </w:p>
    <w:p w:rsidR="00FB1085" w:rsidRDefault="00E772DD" w:rsidP="00FB1085">
      <w:pPr>
        <w:spacing w:line="360" w:lineRule="auto"/>
        <w:jc w:val="both"/>
        <w:rPr>
          <w:rFonts w:asciiTheme="majorBidi" w:hAnsiTheme="majorBidi" w:cstheme="majorBidi"/>
          <w:b/>
          <w:bCs/>
          <w:color w:val="000000"/>
          <w:lang w:val="fr-FR"/>
        </w:rPr>
      </w:pPr>
      <w:r w:rsidRPr="00562602">
        <w:rPr>
          <w:rStyle w:val="lev"/>
          <w:rFonts w:asciiTheme="majorBidi" w:hAnsiTheme="majorBidi" w:cstheme="majorBidi"/>
          <w:color w:val="000000"/>
          <w:lang w:val="fr-FR"/>
        </w:rPr>
        <w:t xml:space="preserve">H1 : </w:t>
      </w:r>
      <w:r w:rsidR="00FB1085" w:rsidRPr="00FB1085">
        <w:rPr>
          <w:rFonts w:asciiTheme="majorBidi" w:hAnsiTheme="majorBidi" w:cstheme="majorBidi"/>
          <w:b/>
          <w:bCs/>
          <w:color w:val="000000"/>
          <w:lang w:val="fr-FR"/>
        </w:rPr>
        <w:t>La digitalisation des processus RH a un impact positif significatif sur le processus de recrutement.</w:t>
      </w:r>
    </w:p>
    <w:p w:rsidR="00E772DD" w:rsidRPr="008764AA" w:rsidRDefault="00E772DD" w:rsidP="00FB1085">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 xml:space="preserve">Dans le secteur bancaire, l’étude d’El </w:t>
      </w:r>
      <w:proofErr w:type="spellStart"/>
      <w:r w:rsidRPr="008764AA">
        <w:rPr>
          <w:rFonts w:asciiTheme="majorBidi" w:hAnsiTheme="majorBidi" w:cstheme="majorBidi"/>
          <w:color w:val="000000"/>
          <w:lang w:val="fr-FR"/>
        </w:rPr>
        <w:t>Oumami</w:t>
      </w:r>
      <w:proofErr w:type="spellEnd"/>
      <w:r w:rsidRPr="008764AA">
        <w:rPr>
          <w:rFonts w:asciiTheme="majorBidi" w:hAnsiTheme="majorBidi" w:cstheme="majorBidi"/>
          <w:color w:val="000000"/>
          <w:lang w:val="fr-FR"/>
        </w:rPr>
        <w:t xml:space="preserve"> et El Haddad (2024)</w:t>
      </w:r>
      <w:r w:rsidRPr="008764AA">
        <w:rPr>
          <w:rStyle w:val="Appelnotedebasdep"/>
          <w:rFonts w:eastAsiaTheme="majorEastAsia"/>
          <w:color w:val="000000"/>
          <w:lang w:val="fr-FR"/>
        </w:rPr>
        <w:footnoteReference w:id="368"/>
      </w:r>
      <w:r w:rsidRPr="008764AA">
        <w:rPr>
          <w:rFonts w:asciiTheme="majorBidi" w:hAnsiTheme="majorBidi" w:cstheme="majorBidi"/>
          <w:color w:val="000000"/>
          <w:lang w:val="fr-FR"/>
        </w:rPr>
        <w:t xml:space="preserve"> montre que l’introduction de modules de formation en ligne a permis de réduire les coûts, d’améliorer l’accessibilité et de rationaliser le temps alloué à la montée en compétences des employés. L’Écuyer (2016)</w:t>
      </w:r>
      <w:r w:rsidRPr="008764AA">
        <w:rPr>
          <w:rStyle w:val="Appelnotedebasdep"/>
          <w:rFonts w:eastAsiaTheme="majorEastAsia"/>
          <w:color w:val="000000"/>
          <w:lang w:val="fr-FR"/>
        </w:rPr>
        <w:footnoteReference w:id="369"/>
      </w:r>
      <w:r w:rsidRPr="008764AA">
        <w:rPr>
          <w:rFonts w:asciiTheme="majorBidi" w:hAnsiTheme="majorBidi" w:cstheme="majorBidi"/>
          <w:color w:val="000000"/>
          <w:lang w:val="fr-FR"/>
        </w:rPr>
        <w:t>, pour sa part, évoque l’évolution du rôle du formateur dans un contexte digitalisé, devenant davantage facilitateur de savoir que simple transmetteur, ce qui contribue à rendre la formation plus dynamique et adaptée.</w:t>
      </w:r>
    </w:p>
    <w:p w:rsidR="00E772DD" w:rsidRPr="00720E53" w:rsidRDefault="00E772DD" w:rsidP="0024578E">
      <w:pPr>
        <w:spacing w:after="240" w:line="360" w:lineRule="auto"/>
        <w:jc w:val="both"/>
        <w:rPr>
          <w:rFonts w:asciiTheme="majorBidi" w:hAnsiTheme="majorBidi" w:cstheme="majorBidi"/>
          <w:b/>
          <w:bCs/>
          <w:color w:val="000000"/>
          <w:lang w:val="fr-FR"/>
        </w:rPr>
      </w:pPr>
      <w:r w:rsidRPr="00720E53">
        <w:rPr>
          <w:rStyle w:val="lev"/>
          <w:rFonts w:asciiTheme="majorBidi" w:hAnsiTheme="majorBidi" w:cstheme="majorBidi"/>
          <w:b w:val="0"/>
          <w:bCs w:val="0"/>
          <w:color w:val="000000"/>
          <w:lang w:val="fr-FR"/>
        </w:rPr>
        <w:t>Ces travaux confirment le rôle structurant de la digitalisation dans le développement de la formation, ce qui permet de formuler l’hypothèse suivante :</w:t>
      </w:r>
    </w:p>
    <w:p w:rsidR="00FB1085" w:rsidRDefault="00E772DD" w:rsidP="00FB1085">
      <w:pPr>
        <w:spacing w:line="360" w:lineRule="auto"/>
        <w:jc w:val="both"/>
        <w:rPr>
          <w:rStyle w:val="lev"/>
          <w:rFonts w:asciiTheme="majorBidi" w:hAnsiTheme="majorBidi" w:cstheme="majorBidi"/>
          <w:color w:val="000000"/>
          <w:lang w:val="fr-FR"/>
        </w:rPr>
      </w:pPr>
      <w:r w:rsidRPr="00562602">
        <w:rPr>
          <w:rStyle w:val="lev"/>
          <w:rFonts w:asciiTheme="majorBidi" w:hAnsiTheme="majorBidi" w:cstheme="majorBidi"/>
          <w:color w:val="000000"/>
          <w:lang w:val="fr-FR"/>
        </w:rPr>
        <w:t xml:space="preserve">H2 : </w:t>
      </w:r>
      <w:r w:rsidR="00FB1085" w:rsidRPr="00FB1085">
        <w:rPr>
          <w:rStyle w:val="lev"/>
          <w:rFonts w:asciiTheme="majorBidi" w:hAnsiTheme="majorBidi" w:cstheme="majorBidi"/>
          <w:color w:val="000000"/>
          <w:lang w:val="fr-FR"/>
        </w:rPr>
        <w:t>La digitalisation des processus RH a un impact positif significatif sur le processus de formation .</w:t>
      </w:r>
    </w:p>
    <w:p w:rsidR="00E772DD" w:rsidRPr="008764AA" w:rsidRDefault="00E772DD" w:rsidP="00FB1085">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Plusieurs recherches convergent sur le rôle structurant de la digitalisation dans la performance de la fonction RH. L’Écuyer (2016)</w:t>
      </w:r>
      <w:r w:rsidRPr="008764AA">
        <w:rPr>
          <w:rStyle w:val="Appelnotedebasdep"/>
          <w:rFonts w:eastAsiaTheme="majorEastAsia"/>
          <w:color w:val="000000"/>
          <w:lang w:val="fr-FR"/>
        </w:rPr>
        <w:footnoteReference w:id="370"/>
      </w:r>
      <w:r w:rsidRPr="008764AA">
        <w:rPr>
          <w:rFonts w:asciiTheme="majorBidi" w:hAnsiTheme="majorBidi" w:cstheme="majorBidi"/>
          <w:color w:val="000000"/>
          <w:lang w:val="fr-FR"/>
        </w:rPr>
        <w:t xml:space="preserve"> établit un lien direct entre les pratiques d’e-GRH et l’efficacité de la gestion stratégique des ressources humaines dans les PME. </w:t>
      </w:r>
      <w:proofErr w:type="spellStart"/>
      <w:r w:rsidRPr="008764AA">
        <w:rPr>
          <w:rFonts w:asciiTheme="majorBidi" w:hAnsiTheme="majorBidi" w:cstheme="majorBidi"/>
          <w:color w:val="000000"/>
          <w:lang w:val="fr-FR"/>
        </w:rPr>
        <w:t>Berrefas</w:t>
      </w:r>
      <w:proofErr w:type="spellEnd"/>
      <w:r w:rsidRPr="008764AA">
        <w:rPr>
          <w:rFonts w:asciiTheme="majorBidi" w:hAnsiTheme="majorBidi" w:cstheme="majorBidi"/>
          <w:color w:val="000000"/>
          <w:lang w:val="fr-FR"/>
        </w:rPr>
        <w:t xml:space="preserve"> (2023)</w:t>
      </w:r>
      <w:r w:rsidRPr="008764AA">
        <w:rPr>
          <w:rStyle w:val="Appelnotedebasdep"/>
          <w:rFonts w:eastAsiaTheme="majorEastAsia"/>
          <w:color w:val="000000"/>
          <w:lang w:val="fr-FR"/>
        </w:rPr>
        <w:footnoteReference w:id="371"/>
      </w:r>
      <w:r w:rsidRPr="008764AA">
        <w:rPr>
          <w:rFonts w:asciiTheme="majorBidi" w:hAnsiTheme="majorBidi" w:cstheme="majorBidi"/>
          <w:color w:val="000000"/>
          <w:lang w:val="fr-FR"/>
        </w:rPr>
        <w:t xml:space="preserve"> observe une amélioration de la gestion des talents et de la satisfaction des collaborateurs dans les organisations algériennes engagées dans une transformation numérique. </w:t>
      </w:r>
      <w:proofErr w:type="spellStart"/>
      <w:r w:rsidRPr="008764AA">
        <w:rPr>
          <w:rFonts w:asciiTheme="majorBidi" w:hAnsiTheme="majorBidi" w:cstheme="majorBidi"/>
          <w:color w:val="000000"/>
          <w:lang w:val="fr-FR"/>
        </w:rPr>
        <w:t>Gampine</w:t>
      </w:r>
      <w:proofErr w:type="spellEnd"/>
      <w:r w:rsidRPr="008764AA">
        <w:rPr>
          <w:rFonts w:asciiTheme="majorBidi" w:hAnsiTheme="majorBidi" w:cstheme="majorBidi"/>
          <w:color w:val="000000"/>
          <w:lang w:val="fr-FR"/>
        </w:rPr>
        <w:t xml:space="preserve"> (2023)</w:t>
      </w:r>
      <w:r w:rsidRPr="008764AA">
        <w:rPr>
          <w:rStyle w:val="Appelnotedebasdep"/>
          <w:rFonts w:eastAsiaTheme="majorEastAsia"/>
          <w:color w:val="000000"/>
          <w:lang w:val="fr-FR"/>
        </w:rPr>
        <w:footnoteReference w:id="372"/>
      </w:r>
      <w:r w:rsidRPr="008764AA">
        <w:rPr>
          <w:rFonts w:asciiTheme="majorBidi" w:hAnsiTheme="majorBidi" w:cstheme="majorBidi"/>
          <w:color w:val="000000"/>
          <w:lang w:val="fr-FR"/>
        </w:rPr>
        <w:t xml:space="preserve"> confirme ce lien positif en montrant que les technologies RH favorisent la capacité adaptative et l’agilité organisationnelle, deux éléments-clés de la performance globale.</w:t>
      </w:r>
    </w:p>
    <w:p w:rsidR="00E772DD" w:rsidRPr="00720E53" w:rsidRDefault="00E772DD" w:rsidP="0024578E">
      <w:pPr>
        <w:spacing w:after="240" w:line="360" w:lineRule="auto"/>
        <w:jc w:val="both"/>
        <w:rPr>
          <w:rStyle w:val="lev"/>
          <w:rFonts w:asciiTheme="majorBidi" w:hAnsiTheme="majorBidi" w:cstheme="majorBidi"/>
          <w:b w:val="0"/>
          <w:bCs w:val="0"/>
          <w:color w:val="000000"/>
          <w:lang w:val="fr-FR"/>
        </w:rPr>
      </w:pPr>
      <w:r w:rsidRPr="00720E53">
        <w:rPr>
          <w:rStyle w:val="lev"/>
          <w:rFonts w:asciiTheme="majorBidi" w:hAnsiTheme="majorBidi" w:cstheme="majorBidi"/>
          <w:b w:val="0"/>
          <w:bCs w:val="0"/>
          <w:color w:val="000000"/>
          <w:lang w:val="fr-FR"/>
        </w:rPr>
        <w:t>Ces résultats soulignent le potentiel de la digitalisation à améliorer la performance RH, ce qui permet de formuler l’hypothèse suivante :</w:t>
      </w:r>
    </w:p>
    <w:p w:rsidR="00E772DD" w:rsidRDefault="00E772DD" w:rsidP="003B4928">
      <w:pPr>
        <w:spacing w:line="360" w:lineRule="auto"/>
        <w:jc w:val="both"/>
        <w:rPr>
          <w:rStyle w:val="lev"/>
          <w:rFonts w:asciiTheme="majorBidi" w:hAnsiTheme="majorBidi" w:cstheme="majorBidi"/>
          <w:color w:val="000000"/>
          <w:lang w:val="fr-FR"/>
        </w:rPr>
      </w:pPr>
      <w:r w:rsidRPr="00562602">
        <w:rPr>
          <w:rStyle w:val="lev"/>
          <w:rFonts w:asciiTheme="majorBidi" w:hAnsiTheme="majorBidi" w:cstheme="majorBidi"/>
          <w:color w:val="000000"/>
          <w:lang w:val="fr-FR"/>
        </w:rPr>
        <w:t>H3</w:t>
      </w:r>
      <w:r>
        <w:rPr>
          <w:rStyle w:val="lev"/>
          <w:rFonts w:asciiTheme="majorBidi" w:hAnsiTheme="majorBidi" w:cstheme="majorBidi"/>
          <w:color w:val="000000"/>
          <w:lang w:val="fr-FR"/>
        </w:rPr>
        <w:t xml:space="preserve"> </w:t>
      </w:r>
      <w:r w:rsidRPr="00562602">
        <w:rPr>
          <w:rStyle w:val="lev"/>
          <w:rFonts w:asciiTheme="majorBidi" w:hAnsiTheme="majorBidi" w:cstheme="majorBidi"/>
          <w:color w:val="000000"/>
          <w:lang w:val="fr-FR"/>
        </w:rPr>
        <w:t xml:space="preserve">: </w:t>
      </w:r>
      <w:r w:rsidR="007B209A">
        <w:rPr>
          <w:rStyle w:val="lev"/>
          <w:rFonts w:asciiTheme="majorBidi" w:hAnsiTheme="majorBidi" w:cstheme="majorBidi"/>
          <w:color w:val="000000"/>
          <w:lang w:val="fr-FR"/>
        </w:rPr>
        <w:t>La digitalisation des processus RH a un impact significatif sur la performance des ressources humaines.</w:t>
      </w:r>
    </w:p>
    <w:p w:rsidR="00E772DD" w:rsidRDefault="00E772DD" w:rsidP="00720E53">
      <w:p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lastRenderedPageBreak/>
        <w:t xml:space="preserve">La formation numérique est souvent identifiée comme une variable d’accompagnement essentielle dans le processus de transformation digitale. El </w:t>
      </w:r>
      <w:proofErr w:type="spellStart"/>
      <w:r w:rsidRPr="008764AA">
        <w:rPr>
          <w:rFonts w:asciiTheme="majorBidi" w:hAnsiTheme="majorBidi" w:cstheme="majorBidi"/>
          <w:color w:val="000000"/>
          <w:lang w:val="fr-FR"/>
        </w:rPr>
        <w:t>Oumami</w:t>
      </w:r>
      <w:proofErr w:type="spellEnd"/>
      <w:r w:rsidRPr="008764AA">
        <w:rPr>
          <w:rFonts w:asciiTheme="majorBidi" w:hAnsiTheme="majorBidi" w:cstheme="majorBidi"/>
          <w:color w:val="000000"/>
          <w:lang w:val="fr-FR"/>
        </w:rPr>
        <w:t xml:space="preserve"> et El Haddad (2024)</w:t>
      </w:r>
      <w:r w:rsidRPr="008764AA">
        <w:rPr>
          <w:rStyle w:val="Appelnotedebasdep"/>
          <w:rFonts w:eastAsiaTheme="majorEastAsia"/>
          <w:color w:val="000000"/>
          <w:lang w:val="fr-FR"/>
        </w:rPr>
        <w:footnoteReference w:id="373"/>
      </w:r>
      <w:r w:rsidRPr="008764AA">
        <w:rPr>
          <w:rFonts w:asciiTheme="majorBidi" w:hAnsiTheme="majorBidi" w:cstheme="majorBidi"/>
          <w:color w:val="000000"/>
          <w:lang w:val="fr-FR"/>
        </w:rPr>
        <w:t xml:space="preserve"> montrent que l’e-learning, en facilitant l’appropriation des outils digitaux, permet une meilleure adhésion des collaborateurs et une réduction des résistances organisationnelles. L’Écuyer (2016)</w:t>
      </w:r>
      <w:r w:rsidRPr="008764AA">
        <w:rPr>
          <w:rStyle w:val="Appelnotedebasdep"/>
          <w:rFonts w:eastAsiaTheme="majorEastAsia"/>
          <w:color w:val="000000"/>
          <w:lang w:val="fr-FR"/>
        </w:rPr>
        <w:footnoteReference w:id="374"/>
      </w:r>
      <w:r w:rsidRPr="008764AA">
        <w:rPr>
          <w:rFonts w:asciiTheme="majorBidi" w:hAnsiTheme="majorBidi" w:cstheme="majorBidi"/>
          <w:color w:val="000000"/>
          <w:lang w:val="fr-FR"/>
        </w:rPr>
        <w:t xml:space="preserve"> insiste également sur le rôle de la formation dans le renforcement des compétences numériques et l’adaptation aux nouvelles exigences technologiques.</w:t>
      </w:r>
    </w:p>
    <w:p w:rsidR="00E772DD" w:rsidRPr="00720E53" w:rsidRDefault="00E772DD" w:rsidP="003B4928">
      <w:pPr>
        <w:spacing w:after="240" w:line="360" w:lineRule="auto"/>
        <w:jc w:val="both"/>
        <w:rPr>
          <w:rStyle w:val="lev"/>
          <w:rFonts w:asciiTheme="majorBidi" w:hAnsiTheme="majorBidi" w:cstheme="majorBidi"/>
          <w:b w:val="0"/>
          <w:bCs w:val="0"/>
          <w:color w:val="000000"/>
          <w:lang w:val="fr-FR"/>
        </w:rPr>
      </w:pPr>
      <w:r w:rsidRPr="00720E53">
        <w:rPr>
          <w:rStyle w:val="lev"/>
          <w:rFonts w:asciiTheme="majorBidi" w:hAnsiTheme="majorBidi" w:cstheme="majorBidi"/>
          <w:b w:val="0"/>
          <w:bCs w:val="0"/>
          <w:color w:val="000000"/>
          <w:lang w:val="fr-FR"/>
        </w:rPr>
        <w:t>Ces études mettent en lumière le rôle modérateur de la formation digitale dans la réussite des transformations numériques, ce qui permet de formuler l’hypothèse suivante :</w:t>
      </w:r>
    </w:p>
    <w:p w:rsidR="00E772DD" w:rsidRPr="00FB1085" w:rsidRDefault="00E772DD" w:rsidP="00FB1085">
      <w:pPr>
        <w:spacing w:after="240" w:line="360" w:lineRule="auto"/>
        <w:jc w:val="both"/>
        <w:rPr>
          <w:rStyle w:val="lev"/>
          <w:rFonts w:asciiTheme="majorBidi" w:hAnsiTheme="majorBidi" w:cstheme="majorBidi"/>
          <w:color w:val="000000"/>
          <w:lang w:val="fr-FR"/>
        </w:rPr>
      </w:pPr>
      <w:r w:rsidRPr="00562602">
        <w:rPr>
          <w:rStyle w:val="lev"/>
          <w:rFonts w:asciiTheme="majorBidi" w:hAnsiTheme="majorBidi" w:cstheme="majorBidi"/>
          <w:color w:val="000000"/>
          <w:lang w:val="fr-FR"/>
        </w:rPr>
        <w:t xml:space="preserve">H4: </w:t>
      </w:r>
      <w:r w:rsidR="00FB1085" w:rsidRPr="00FB1085">
        <w:rPr>
          <w:rFonts w:asciiTheme="majorBidi" w:hAnsiTheme="majorBidi" w:cstheme="majorBidi"/>
          <w:b/>
          <w:bCs/>
          <w:color w:val="000000"/>
          <w:lang w:val="fr-FR"/>
        </w:rPr>
        <w:t>Le processus de recrutement a un impact modérateur sur la digitalisation des processus RH et la performance des ressources humaines.</w:t>
      </w:r>
    </w:p>
    <w:p w:rsidR="00E772DD" w:rsidRPr="008764AA" w:rsidRDefault="00E772DD" w:rsidP="0024578E">
      <w:pPr>
        <w:spacing w:after="240" w:line="360" w:lineRule="auto"/>
        <w:jc w:val="both"/>
        <w:rPr>
          <w:rStyle w:val="lev"/>
          <w:rFonts w:asciiTheme="majorBidi" w:hAnsiTheme="majorBidi" w:cstheme="majorBidi"/>
          <w:color w:val="000000"/>
          <w:lang w:val="fr-FR"/>
        </w:rPr>
      </w:pPr>
      <w:proofErr w:type="spellStart"/>
      <w:r w:rsidRPr="008764AA">
        <w:rPr>
          <w:rFonts w:asciiTheme="majorBidi" w:hAnsiTheme="majorBidi" w:cstheme="majorBidi"/>
          <w:color w:val="000000"/>
          <w:lang w:val="fr-FR"/>
        </w:rPr>
        <w:t>Galindo</w:t>
      </w:r>
      <w:proofErr w:type="spellEnd"/>
      <w:r w:rsidRPr="008764AA">
        <w:rPr>
          <w:rFonts w:asciiTheme="majorBidi" w:hAnsiTheme="majorBidi" w:cstheme="majorBidi"/>
          <w:color w:val="000000"/>
          <w:lang w:val="fr-FR"/>
        </w:rPr>
        <w:t xml:space="preserve">, </w:t>
      </w:r>
      <w:proofErr w:type="spellStart"/>
      <w:r w:rsidRPr="008764AA">
        <w:rPr>
          <w:rFonts w:asciiTheme="majorBidi" w:hAnsiTheme="majorBidi" w:cstheme="majorBidi"/>
          <w:color w:val="000000"/>
          <w:lang w:val="fr-FR"/>
        </w:rPr>
        <w:t>Garbe</w:t>
      </w:r>
      <w:proofErr w:type="spellEnd"/>
      <w:r w:rsidRPr="008764AA">
        <w:rPr>
          <w:rFonts w:asciiTheme="majorBidi" w:hAnsiTheme="majorBidi" w:cstheme="majorBidi"/>
          <w:color w:val="000000"/>
          <w:lang w:val="fr-FR"/>
        </w:rPr>
        <w:t xml:space="preserve"> et Vignal (2019)</w:t>
      </w:r>
      <w:r w:rsidRPr="008764AA">
        <w:rPr>
          <w:rStyle w:val="Appelnotedebasdep"/>
          <w:rFonts w:eastAsiaTheme="majorEastAsia"/>
          <w:color w:val="000000"/>
          <w:lang w:val="fr-FR"/>
        </w:rPr>
        <w:footnoteReference w:id="375"/>
      </w:r>
      <w:r w:rsidRPr="008764AA">
        <w:rPr>
          <w:rFonts w:asciiTheme="majorBidi" w:hAnsiTheme="majorBidi" w:cstheme="majorBidi"/>
          <w:color w:val="000000"/>
          <w:lang w:val="fr-FR"/>
        </w:rPr>
        <w:t xml:space="preserve"> mettent en avant l’existence de décalages entre les politiques RH, les pratiques sur le terrain et les perceptions des collaborateurs. Ces écarts peuvent être réduits grâce à un recrutement digitalisé mieux aligné sur les réalités organisationnelles, notamment en matière d’adéquation poste-profil et de diffusion des valeurs numériques. </w:t>
      </w:r>
      <w:proofErr w:type="spellStart"/>
      <w:r w:rsidRPr="008764AA">
        <w:rPr>
          <w:rFonts w:asciiTheme="majorBidi" w:hAnsiTheme="majorBidi" w:cstheme="majorBidi"/>
          <w:color w:val="000000"/>
          <w:lang w:val="fr-FR"/>
        </w:rPr>
        <w:t>Gampine</w:t>
      </w:r>
      <w:proofErr w:type="spellEnd"/>
      <w:r w:rsidRPr="008764AA">
        <w:rPr>
          <w:rFonts w:asciiTheme="majorBidi" w:hAnsiTheme="majorBidi" w:cstheme="majorBidi"/>
          <w:color w:val="000000"/>
          <w:lang w:val="fr-FR"/>
        </w:rPr>
        <w:t xml:space="preserve"> (2023)</w:t>
      </w:r>
      <w:r w:rsidRPr="008764AA">
        <w:rPr>
          <w:rStyle w:val="Appelnotedebasdep"/>
          <w:rFonts w:eastAsiaTheme="majorEastAsia"/>
          <w:color w:val="000000"/>
          <w:lang w:val="fr-FR"/>
        </w:rPr>
        <w:footnoteReference w:id="376"/>
      </w:r>
      <w:r w:rsidRPr="008764AA">
        <w:rPr>
          <w:rFonts w:asciiTheme="majorBidi" w:hAnsiTheme="majorBidi" w:cstheme="majorBidi"/>
          <w:color w:val="000000"/>
          <w:lang w:val="fr-FR"/>
        </w:rPr>
        <w:t xml:space="preserve"> souligne, quant à lui, que les outils de recrutement numérique renforcent l’impact des pratiques RH sur la performance en favorisant une meilleure adaptation stratégique.</w:t>
      </w:r>
      <w:r w:rsidRPr="008764AA">
        <w:rPr>
          <w:rFonts w:asciiTheme="majorBidi" w:hAnsiTheme="majorBidi" w:cstheme="majorBidi"/>
          <w:color w:val="000000"/>
          <w:lang w:val="fr-FR"/>
        </w:rPr>
        <w:br/>
      </w:r>
      <w:r w:rsidRPr="00720E53">
        <w:rPr>
          <w:rStyle w:val="lev"/>
          <w:rFonts w:asciiTheme="majorBidi" w:hAnsiTheme="majorBidi" w:cstheme="majorBidi"/>
          <w:b w:val="0"/>
          <w:bCs w:val="0"/>
          <w:color w:val="000000"/>
          <w:lang w:val="fr-FR"/>
        </w:rPr>
        <w:t>Ces constats soulignent l’effet potentiel du recrutement digitalisé comme levier de renforcement de l’efficacité de la digitalisation RH, ce qui permet de formuler l’hypothèse suivante :</w:t>
      </w:r>
    </w:p>
    <w:p w:rsidR="00E772DD" w:rsidRDefault="00E772DD" w:rsidP="00FB1085">
      <w:pPr>
        <w:spacing w:line="360" w:lineRule="auto"/>
        <w:jc w:val="both"/>
        <w:rPr>
          <w:rStyle w:val="lev"/>
          <w:rFonts w:asciiTheme="majorBidi" w:hAnsiTheme="majorBidi" w:cstheme="majorBidi"/>
          <w:color w:val="000000"/>
          <w:lang w:val="fr-FR"/>
        </w:rPr>
      </w:pPr>
      <w:r w:rsidRPr="00562602">
        <w:rPr>
          <w:rStyle w:val="lev"/>
          <w:rFonts w:asciiTheme="majorBidi" w:hAnsiTheme="majorBidi" w:cstheme="majorBidi"/>
          <w:color w:val="000000"/>
          <w:lang w:val="fr-FR"/>
        </w:rPr>
        <w:t xml:space="preserve">H5 : </w:t>
      </w:r>
      <w:r w:rsidR="00FB1085" w:rsidRPr="00FB1085">
        <w:rPr>
          <w:rFonts w:asciiTheme="majorBidi" w:hAnsiTheme="majorBidi" w:cstheme="majorBidi"/>
          <w:b/>
          <w:bCs/>
          <w:color w:val="000000"/>
          <w:lang w:val="fr-FR"/>
        </w:rPr>
        <w:t>Le processus de formation a un impact modérateur sur la digitalisation des processus RH et la performance des ressources humaines</w:t>
      </w:r>
      <w:r>
        <w:rPr>
          <w:rStyle w:val="lev"/>
          <w:rFonts w:asciiTheme="majorBidi" w:hAnsiTheme="majorBidi" w:cstheme="majorBidi"/>
          <w:color w:val="000000"/>
          <w:lang w:val="fr-FR"/>
        </w:rPr>
        <w:t>.</w:t>
      </w:r>
    </w:p>
    <w:p w:rsidR="00E772DD" w:rsidRPr="00E965D1" w:rsidRDefault="00E772DD" w:rsidP="004D32AC">
      <w:pPr>
        <w:pStyle w:val="Titre3"/>
        <w:numPr>
          <w:ilvl w:val="1"/>
          <w:numId w:val="160"/>
        </w:numPr>
        <w:spacing w:after="0" w:afterAutospacing="0" w:line="360" w:lineRule="auto"/>
        <w:rPr>
          <w:sz w:val="24"/>
          <w:szCs w:val="24"/>
        </w:rPr>
      </w:pPr>
      <w:bookmarkStart w:id="2058" w:name="_Toc199714535"/>
      <w:bookmarkStart w:id="2059" w:name="_Toc200486811"/>
      <w:bookmarkStart w:id="2060" w:name="_Toc200635589"/>
      <w:bookmarkStart w:id="2061" w:name="_Toc200635977"/>
      <w:bookmarkStart w:id="2062" w:name="_Toc200636366"/>
      <w:bookmarkStart w:id="2063" w:name="_Toc200756107"/>
      <w:r w:rsidRPr="00E965D1">
        <w:rPr>
          <w:sz w:val="24"/>
          <w:szCs w:val="24"/>
        </w:rPr>
        <w:t>Présentation de l'Échantillon</w:t>
      </w:r>
      <w:bookmarkEnd w:id="2058"/>
      <w:bookmarkEnd w:id="2059"/>
      <w:bookmarkEnd w:id="2060"/>
      <w:bookmarkEnd w:id="2061"/>
      <w:bookmarkEnd w:id="2062"/>
      <w:bookmarkEnd w:id="2063"/>
    </w:p>
    <w:p w:rsidR="00720E53" w:rsidRDefault="00E772DD" w:rsidP="00720E53">
      <w:pPr>
        <w:spacing w:line="360" w:lineRule="auto"/>
        <w:jc w:val="both"/>
        <w:rPr>
          <w:rFonts w:asciiTheme="majorBidi" w:hAnsiTheme="majorBidi" w:cstheme="majorBidi"/>
        </w:rPr>
      </w:pPr>
      <w:r w:rsidRPr="00BE529C">
        <w:rPr>
          <w:rFonts w:asciiTheme="majorBidi" w:hAnsiTheme="majorBidi" w:cstheme="majorBidi"/>
        </w:rPr>
        <w:t xml:space="preserve">L’étude s’appuie sur une démarche empirique nécessitant la sélection de répondants en adéquation avec l’objet de recherche. Dans le cadre des sciences sociales, le choix de la </w:t>
      </w:r>
      <w:r w:rsidRPr="00BE529C">
        <w:rPr>
          <w:rFonts w:asciiTheme="majorBidi" w:hAnsiTheme="majorBidi" w:cstheme="majorBidi"/>
        </w:rPr>
        <w:lastRenderedPageBreak/>
        <w:t>méthode d’échantillonnage doit répondre à des critères de pertinence, de cohérence avec la problématique et de faisabilité sur le terrain</w:t>
      </w:r>
      <w:r w:rsidR="00720E53" w:rsidRPr="00847F4A">
        <w:rPr>
          <w:rFonts w:asciiTheme="majorBidi" w:hAnsiTheme="majorBidi" w:cstheme="majorBidi"/>
          <w:lang w:val="fr-FR"/>
        </w:rPr>
        <w:t>.</w:t>
      </w:r>
      <w:r>
        <w:rPr>
          <w:rStyle w:val="Appelnotedebasdep"/>
          <w:rFonts w:cstheme="majorBidi"/>
        </w:rPr>
        <w:footnoteReference w:id="377"/>
      </w:r>
    </w:p>
    <w:p w:rsidR="00E965D1" w:rsidRDefault="00E772DD" w:rsidP="00321B2D">
      <w:pPr>
        <w:spacing w:after="240" w:line="360" w:lineRule="auto"/>
        <w:jc w:val="both"/>
        <w:rPr>
          <w:rFonts w:asciiTheme="majorBidi" w:hAnsiTheme="majorBidi" w:cstheme="majorBidi"/>
        </w:rPr>
      </w:pPr>
      <w:r w:rsidRPr="00BE529C">
        <w:rPr>
          <w:rFonts w:asciiTheme="majorBidi" w:hAnsiTheme="majorBidi" w:cstheme="majorBidi"/>
        </w:rPr>
        <w:t xml:space="preserve"> Le recours à une approche ciblée permet d’obtenir des données directement liées à la question de recherche, tout en assurant une qualité de réponse optimale</w:t>
      </w:r>
      <w:r>
        <w:rPr>
          <w:rStyle w:val="Appelnotedebasdep"/>
          <w:rFonts w:cstheme="majorBidi"/>
        </w:rPr>
        <w:footnoteReference w:id="378"/>
      </w:r>
      <w:r w:rsidRPr="00BE529C">
        <w:rPr>
          <w:rFonts w:asciiTheme="majorBidi" w:hAnsiTheme="majorBidi" w:cstheme="majorBidi"/>
        </w:rPr>
        <w:t>.</w:t>
      </w:r>
    </w:p>
    <w:p w:rsidR="00E772DD" w:rsidRPr="00321B2D" w:rsidRDefault="00321B2D" w:rsidP="004D32AC">
      <w:pPr>
        <w:pStyle w:val="Titre3"/>
        <w:numPr>
          <w:ilvl w:val="1"/>
          <w:numId w:val="192"/>
        </w:numPr>
        <w:spacing w:after="0" w:afterAutospacing="0" w:line="360" w:lineRule="auto"/>
        <w:rPr>
          <w:sz w:val="24"/>
          <w:szCs w:val="24"/>
        </w:rPr>
      </w:pPr>
      <w:r w:rsidRPr="00847F4A">
        <w:rPr>
          <w:sz w:val="24"/>
          <w:szCs w:val="24"/>
          <w:lang w:val="fr-FR"/>
        </w:rPr>
        <w:t xml:space="preserve"> </w:t>
      </w:r>
      <w:bookmarkStart w:id="2064" w:name="_Toc199714536"/>
      <w:bookmarkStart w:id="2065" w:name="_Toc200486812"/>
      <w:bookmarkStart w:id="2066" w:name="_Toc200635590"/>
      <w:bookmarkStart w:id="2067" w:name="_Toc200635978"/>
      <w:bookmarkStart w:id="2068" w:name="_Toc200636367"/>
      <w:bookmarkStart w:id="2069" w:name="_Toc200756108"/>
      <w:r w:rsidR="00E772DD" w:rsidRPr="00321B2D">
        <w:rPr>
          <w:sz w:val="24"/>
          <w:szCs w:val="24"/>
        </w:rPr>
        <w:t>Description de l'</w:t>
      </w:r>
      <w:r w:rsidRPr="00321B2D">
        <w:rPr>
          <w:sz w:val="24"/>
          <w:szCs w:val="24"/>
          <w:lang w:val="en-US"/>
        </w:rPr>
        <w:t>é</w:t>
      </w:r>
      <w:r w:rsidR="00E772DD" w:rsidRPr="00321B2D">
        <w:rPr>
          <w:sz w:val="24"/>
          <w:szCs w:val="24"/>
        </w:rPr>
        <w:t>chantillon</w:t>
      </w:r>
      <w:bookmarkEnd w:id="2064"/>
      <w:bookmarkEnd w:id="2065"/>
      <w:bookmarkEnd w:id="2066"/>
      <w:bookmarkEnd w:id="2067"/>
      <w:bookmarkEnd w:id="2068"/>
      <w:bookmarkEnd w:id="2069"/>
    </w:p>
    <w:p w:rsidR="00E772DD" w:rsidRPr="00B83658" w:rsidRDefault="00E772DD" w:rsidP="00321B2D">
      <w:pPr>
        <w:spacing w:line="360" w:lineRule="auto"/>
        <w:jc w:val="both"/>
        <w:outlineLvl w:val="2"/>
        <w:rPr>
          <w:rFonts w:asciiTheme="majorBidi" w:hAnsiTheme="majorBidi" w:cstheme="majorBidi"/>
        </w:rPr>
      </w:pPr>
      <w:bookmarkStart w:id="2070" w:name="_Toc199714154"/>
      <w:bookmarkStart w:id="2071" w:name="_Toc199714537"/>
      <w:bookmarkStart w:id="2072" w:name="_Toc200486813"/>
      <w:bookmarkStart w:id="2073" w:name="_Toc200635591"/>
      <w:bookmarkStart w:id="2074" w:name="_Toc200635979"/>
      <w:bookmarkStart w:id="2075" w:name="_Toc200636368"/>
      <w:bookmarkStart w:id="2076" w:name="_Toc200756109"/>
      <w:r w:rsidRPr="00B83658">
        <w:rPr>
          <w:rFonts w:asciiTheme="majorBidi" w:hAnsiTheme="majorBidi" w:cstheme="majorBidi"/>
        </w:rPr>
        <w:t>Dans le cadre de cette étude, le choix des participants a été guidé par la volonté d’interroger des professionnels directement concernés par la digitalisation des processus RH, notamment dans les domaines du recrutement et de la formation. L’objectif était de recueillir des données pertinentes, issues d’acteurs ayant une expérience concrète de l’utilisation des outils numériques au sein des fonctions RH.</w:t>
      </w:r>
      <w:bookmarkEnd w:id="2070"/>
      <w:bookmarkEnd w:id="2071"/>
      <w:bookmarkEnd w:id="2072"/>
      <w:bookmarkEnd w:id="2073"/>
      <w:bookmarkEnd w:id="2074"/>
      <w:bookmarkEnd w:id="2075"/>
      <w:bookmarkEnd w:id="2076"/>
    </w:p>
    <w:p w:rsidR="00E772DD" w:rsidRPr="00B83658" w:rsidRDefault="00E772DD" w:rsidP="00B83658">
      <w:pPr>
        <w:spacing w:before="100" w:beforeAutospacing="1" w:line="360" w:lineRule="auto"/>
        <w:jc w:val="both"/>
        <w:outlineLvl w:val="2"/>
        <w:rPr>
          <w:rFonts w:asciiTheme="majorBidi" w:hAnsiTheme="majorBidi" w:cstheme="majorBidi"/>
        </w:rPr>
      </w:pPr>
      <w:bookmarkStart w:id="2077" w:name="_Toc199714155"/>
      <w:bookmarkStart w:id="2078" w:name="_Toc199714538"/>
      <w:bookmarkStart w:id="2079" w:name="_Toc200486814"/>
      <w:bookmarkStart w:id="2080" w:name="_Toc200635592"/>
      <w:bookmarkStart w:id="2081" w:name="_Toc200635980"/>
      <w:bookmarkStart w:id="2082" w:name="_Toc200636369"/>
      <w:bookmarkStart w:id="2083" w:name="_Toc200756110"/>
      <w:r w:rsidRPr="00B83658">
        <w:rPr>
          <w:rFonts w:asciiTheme="majorBidi" w:hAnsiTheme="majorBidi" w:cstheme="majorBidi"/>
        </w:rPr>
        <w:t>Sur cette base, un total de 190 questionnaires a été collecté, parmi lesquels 170 ont été jugés valides et exploités pour l’analyse. Les répondants sont principalement des employés évoluant dans des organisations partiellement ou totalement digitalisées, avec une attention particulière portée aux professionnels des ressources humaines : responsables RH, DRH, recruteurs, formateurs, assistants RH, etc.</w:t>
      </w:r>
      <w:bookmarkEnd w:id="2077"/>
      <w:bookmarkEnd w:id="2078"/>
      <w:bookmarkEnd w:id="2079"/>
      <w:bookmarkEnd w:id="2080"/>
      <w:bookmarkEnd w:id="2081"/>
      <w:bookmarkEnd w:id="2082"/>
      <w:bookmarkEnd w:id="2083"/>
    </w:p>
    <w:p w:rsidR="00E772DD" w:rsidRPr="00023334" w:rsidRDefault="00E772DD" w:rsidP="00720E53">
      <w:pPr>
        <w:spacing w:before="100" w:beforeAutospacing="1" w:after="240" w:line="360" w:lineRule="auto"/>
        <w:jc w:val="both"/>
        <w:outlineLvl w:val="2"/>
        <w:rPr>
          <w:rFonts w:asciiTheme="majorBidi" w:hAnsiTheme="majorBidi" w:cstheme="majorBidi"/>
        </w:rPr>
      </w:pPr>
      <w:bookmarkStart w:id="2084" w:name="_Toc199714156"/>
      <w:bookmarkStart w:id="2085" w:name="_Toc199714539"/>
      <w:bookmarkStart w:id="2086" w:name="_Toc200486815"/>
      <w:bookmarkStart w:id="2087" w:name="_Toc200635593"/>
      <w:bookmarkStart w:id="2088" w:name="_Toc200635981"/>
      <w:bookmarkStart w:id="2089" w:name="_Toc200636370"/>
      <w:bookmarkStart w:id="2090" w:name="_Toc200756111"/>
      <w:r w:rsidRPr="00B83658">
        <w:rPr>
          <w:rFonts w:asciiTheme="majorBidi" w:hAnsiTheme="majorBidi" w:cstheme="majorBidi"/>
        </w:rPr>
        <w:t>La collecte des données a été réalisée à l’aide de Google Forms, un outil qui a permis une diffusion rapide et efficace du questionnaire via des canaux professionnels tels que LinkedIn, ainsi que par le biais de contacts personnels dans le domaine RH.</w:t>
      </w:r>
      <w:bookmarkEnd w:id="2084"/>
      <w:bookmarkEnd w:id="2085"/>
      <w:bookmarkEnd w:id="2086"/>
      <w:bookmarkEnd w:id="2087"/>
      <w:bookmarkEnd w:id="2088"/>
      <w:bookmarkEnd w:id="2089"/>
      <w:bookmarkEnd w:id="2090"/>
    </w:p>
    <w:p w:rsidR="00E772DD" w:rsidRPr="00321B2D" w:rsidRDefault="00321B2D" w:rsidP="004D32AC">
      <w:pPr>
        <w:pStyle w:val="Titre3"/>
        <w:numPr>
          <w:ilvl w:val="1"/>
          <w:numId w:val="192"/>
        </w:numPr>
        <w:spacing w:after="0" w:afterAutospacing="0" w:line="360" w:lineRule="auto"/>
        <w:rPr>
          <w:sz w:val="24"/>
          <w:szCs w:val="24"/>
        </w:rPr>
      </w:pPr>
      <w:r w:rsidRPr="00847F4A">
        <w:rPr>
          <w:sz w:val="24"/>
          <w:szCs w:val="24"/>
          <w:lang w:val="fr-FR"/>
        </w:rPr>
        <w:t xml:space="preserve"> </w:t>
      </w:r>
      <w:bookmarkStart w:id="2091" w:name="_Toc199714540"/>
      <w:bookmarkStart w:id="2092" w:name="_Toc200486816"/>
      <w:bookmarkStart w:id="2093" w:name="_Toc200635594"/>
      <w:bookmarkStart w:id="2094" w:name="_Toc200635982"/>
      <w:bookmarkStart w:id="2095" w:name="_Toc200636371"/>
      <w:bookmarkStart w:id="2096" w:name="_Toc200756112"/>
      <w:r w:rsidR="00E772DD" w:rsidRPr="00321B2D">
        <w:rPr>
          <w:sz w:val="24"/>
          <w:szCs w:val="24"/>
        </w:rPr>
        <w:t>Méthode d'</w:t>
      </w:r>
      <w:r w:rsidRPr="00321B2D">
        <w:rPr>
          <w:sz w:val="24"/>
          <w:szCs w:val="24"/>
          <w:lang w:val="en-US"/>
        </w:rPr>
        <w:t>é</w:t>
      </w:r>
      <w:r w:rsidR="00E772DD" w:rsidRPr="00321B2D">
        <w:rPr>
          <w:sz w:val="24"/>
          <w:szCs w:val="24"/>
        </w:rPr>
        <w:t>chantillonnage</w:t>
      </w:r>
      <w:bookmarkEnd w:id="2091"/>
      <w:bookmarkEnd w:id="2092"/>
      <w:bookmarkEnd w:id="2093"/>
      <w:bookmarkEnd w:id="2094"/>
      <w:bookmarkEnd w:id="2095"/>
      <w:bookmarkEnd w:id="2096"/>
    </w:p>
    <w:p w:rsidR="00E772DD" w:rsidRPr="0044216F" w:rsidRDefault="00E772DD" w:rsidP="0044216F">
      <w:pPr>
        <w:spacing w:line="360" w:lineRule="auto"/>
        <w:jc w:val="both"/>
        <w:outlineLvl w:val="2"/>
        <w:rPr>
          <w:rFonts w:asciiTheme="majorBidi" w:hAnsiTheme="majorBidi" w:cstheme="majorBidi"/>
        </w:rPr>
      </w:pPr>
      <w:bookmarkStart w:id="2097" w:name="_Toc199714158"/>
      <w:bookmarkStart w:id="2098" w:name="_Toc199714541"/>
      <w:bookmarkStart w:id="2099" w:name="_Toc200486817"/>
      <w:bookmarkStart w:id="2100" w:name="_Toc200635595"/>
      <w:bookmarkStart w:id="2101" w:name="_Toc200635983"/>
      <w:bookmarkStart w:id="2102" w:name="_Toc200636372"/>
      <w:bookmarkStart w:id="2103" w:name="_Toc200756113"/>
      <w:r w:rsidRPr="0044216F">
        <w:rPr>
          <w:rFonts w:asciiTheme="majorBidi" w:hAnsiTheme="majorBidi" w:cstheme="majorBidi"/>
        </w:rPr>
        <w:t>La méthode retenue est celle de l’échantillonnage raisonné (ou par jugement), qui consiste à sélectionner intentionnellement des individus considérés comme les plus pertinents au regard de la problématique étudiée. Ce choix repose sur la volonté de recueillir les points de vue de professionnels ayant une connaissance directe ou approfondie des pratiques RH digitalisées. Ce type d’échantillonnage est couramment utilisé dans les recherches appliquées lorsque la qualité des réponses prime sur la représentativité statistique</w:t>
      </w:r>
      <w:r w:rsidR="009832B3" w:rsidRPr="008A5941">
        <w:rPr>
          <w:rFonts w:asciiTheme="majorBidi" w:hAnsiTheme="majorBidi" w:cstheme="majorBidi"/>
          <w:lang w:val="fr-FR"/>
        </w:rPr>
        <w:t>.</w:t>
      </w:r>
      <w:r>
        <w:rPr>
          <w:rStyle w:val="Appelnotedebasdep"/>
          <w:rFonts w:cstheme="majorBidi"/>
        </w:rPr>
        <w:footnoteReference w:id="379"/>
      </w:r>
      <w:bookmarkEnd w:id="2097"/>
      <w:bookmarkEnd w:id="2098"/>
      <w:bookmarkEnd w:id="2099"/>
      <w:bookmarkEnd w:id="2100"/>
      <w:bookmarkEnd w:id="2101"/>
      <w:bookmarkEnd w:id="2102"/>
      <w:bookmarkEnd w:id="2103"/>
    </w:p>
    <w:p w:rsidR="00E772DD" w:rsidRPr="00720E53" w:rsidRDefault="00E772DD" w:rsidP="00720E53">
      <w:pPr>
        <w:spacing w:after="240" w:line="360" w:lineRule="auto"/>
        <w:jc w:val="both"/>
        <w:outlineLvl w:val="2"/>
        <w:rPr>
          <w:rFonts w:asciiTheme="majorBidi" w:hAnsiTheme="majorBidi" w:cstheme="majorBidi"/>
        </w:rPr>
      </w:pPr>
      <w:bookmarkStart w:id="2104" w:name="_Toc199714159"/>
      <w:bookmarkStart w:id="2105" w:name="_Toc199714542"/>
      <w:bookmarkStart w:id="2106" w:name="_Toc200486818"/>
      <w:bookmarkStart w:id="2107" w:name="_Toc200635596"/>
      <w:bookmarkStart w:id="2108" w:name="_Toc200635984"/>
      <w:bookmarkStart w:id="2109" w:name="_Toc200636373"/>
      <w:bookmarkStart w:id="2110" w:name="_Toc200756114"/>
      <w:r w:rsidRPr="0044216F">
        <w:rPr>
          <w:rFonts w:asciiTheme="majorBidi" w:hAnsiTheme="majorBidi" w:cstheme="majorBidi"/>
        </w:rPr>
        <w:t xml:space="preserve">Le questionnaire a été diffusé principalement via Google Forms, partagé sur des plateformes professionnelles telles que LinkedIn, ainsi que par le biais de réseaux personnels ou professionnels en lien avec les ressources humaines. Plusieurs répondants ont également </w:t>
      </w:r>
      <w:r w:rsidRPr="0044216F">
        <w:rPr>
          <w:rFonts w:asciiTheme="majorBidi" w:hAnsiTheme="majorBidi" w:cstheme="majorBidi"/>
        </w:rPr>
        <w:lastRenderedPageBreak/>
        <w:t>redirigé le lien vers leurs collègues RH, favorisant un effet « boule de neige » tout en maintenant la pertinence des profils sélectionnés.</w:t>
      </w:r>
      <w:bookmarkEnd w:id="2104"/>
      <w:bookmarkEnd w:id="2105"/>
      <w:bookmarkEnd w:id="2106"/>
      <w:bookmarkEnd w:id="2107"/>
      <w:bookmarkEnd w:id="2108"/>
      <w:bookmarkEnd w:id="2109"/>
      <w:bookmarkEnd w:id="2110"/>
    </w:p>
    <w:p w:rsidR="00E772DD" w:rsidRPr="00321B2D" w:rsidRDefault="00321B2D" w:rsidP="004D32AC">
      <w:pPr>
        <w:pStyle w:val="Titre3"/>
        <w:numPr>
          <w:ilvl w:val="1"/>
          <w:numId w:val="192"/>
        </w:numPr>
        <w:spacing w:after="0" w:afterAutospacing="0" w:line="360" w:lineRule="auto"/>
        <w:rPr>
          <w:sz w:val="24"/>
          <w:szCs w:val="24"/>
        </w:rPr>
      </w:pPr>
      <w:r w:rsidRPr="00847F4A">
        <w:rPr>
          <w:sz w:val="24"/>
          <w:szCs w:val="24"/>
          <w:lang w:val="fr-FR"/>
        </w:rPr>
        <w:t xml:space="preserve"> </w:t>
      </w:r>
      <w:bookmarkStart w:id="2111" w:name="_Toc199714543"/>
      <w:bookmarkStart w:id="2112" w:name="_Toc200486819"/>
      <w:bookmarkStart w:id="2113" w:name="_Toc200635597"/>
      <w:bookmarkStart w:id="2114" w:name="_Toc200635985"/>
      <w:bookmarkStart w:id="2115" w:name="_Toc200636374"/>
      <w:bookmarkStart w:id="2116" w:name="_Toc200756115"/>
      <w:r w:rsidR="00E772DD" w:rsidRPr="00321B2D">
        <w:rPr>
          <w:sz w:val="24"/>
          <w:szCs w:val="24"/>
        </w:rPr>
        <w:t>Justification de l'Échantillonnage</w:t>
      </w:r>
      <w:bookmarkEnd w:id="2111"/>
      <w:bookmarkEnd w:id="2112"/>
      <w:bookmarkEnd w:id="2113"/>
      <w:bookmarkEnd w:id="2114"/>
      <w:bookmarkEnd w:id="2115"/>
      <w:bookmarkEnd w:id="2116"/>
    </w:p>
    <w:p w:rsidR="00E772DD" w:rsidRPr="0044216F" w:rsidRDefault="00E772DD" w:rsidP="0044216F">
      <w:pPr>
        <w:spacing w:line="360" w:lineRule="auto"/>
        <w:jc w:val="both"/>
        <w:outlineLvl w:val="2"/>
        <w:rPr>
          <w:rFonts w:asciiTheme="majorBidi" w:hAnsiTheme="majorBidi" w:cstheme="majorBidi"/>
        </w:rPr>
      </w:pPr>
      <w:bookmarkStart w:id="2117" w:name="_Toc199714161"/>
      <w:bookmarkStart w:id="2118" w:name="_Toc199714544"/>
      <w:bookmarkStart w:id="2119" w:name="_Toc200486820"/>
      <w:bookmarkStart w:id="2120" w:name="_Toc200635598"/>
      <w:bookmarkStart w:id="2121" w:name="_Toc200635986"/>
      <w:bookmarkStart w:id="2122" w:name="_Toc200636375"/>
      <w:bookmarkStart w:id="2123" w:name="_Toc200756116"/>
      <w:r w:rsidRPr="0044216F">
        <w:rPr>
          <w:rFonts w:asciiTheme="majorBidi" w:hAnsiTheme="majorBidi" w:cstheme="majorBidi"/>
        </w:rPr>
        <w:t>Le recours à un échantillonnage raisonné se justifie pleinement par la nature exploratoire de l’étude et l’objectif visé, à savoir analyser les effets concrets de la digitalisation sur les pratiques RH, notamment en matière de recrutement et de formation. L’objectif n’est pas ici de généraliser les résultats à l’ensemble de la population active, mais bien d’interroger des acteurs directement concernés et impliqués dans ces transformations.</w:t>
      </w:r>
      <w:bookmarkEnd w:id="2117"/>
      <w:bookmarkEnd w:id="2118"/>
      <w:bookmarkEnd w:id="2119"/>
      <w:bookmarkEnd w:id="2120"/>
      <w:bookmarkEnd w:id="2121"/>
      <w:bookmarkEnd w:id="2122"/>
      <w:bookmarkEnd w:id="2123"/>
    </w:p>
    <w:p w:rsidR="00E772DD" w:rsidRPr="00023334" w:rsidRDefault="00E772DD" w:rsidP="00023334">
      <w:pPr>
        <w:spacing w:line="360" w:lineRule="auto"/>
        <w:jc w:val="both"/>
        <w:outlineLvl w:val="2"/>
        <w:rPr>
          <w:rFonts w:asciiTheme="majorBidi" w:hAnsiTheme="majorBidi" w:cstheme="majorBidi"/>
        </w:rPr>
      </w:pPr>
      <w:bookmarkStart w:id="2124" w:name="_Toc199714162"/>
      <w:bookmarkStart w:id="2125" w:name="_Toc199714545"/>
      <w:bookmarkStart w:id="2126" w:name="_Toc200486821"/>
      <w:bookmarkStart w:id="2127" w:name="_Toc200635599"/>
      <w:bookmarkStart w:id="2128" w:name="_Toc200635987"/>
      <w:bookmarkStart w:id="2129" w:name="_Toc200636376"/>
      <w:bookmarkStart w:id="2130" w:name="_Toc200756117"/>
      <w:r w:rsidRPr="0044216F">
        <w:rPr>
          <w:rFonts w:asciiTheme="majorBidi" w:hAnsiTheme="majorBidi" w:cstheme="majorBidi"/>
        </w:rPr>
        <w:t>Cette méthode permet de cibler des profils disposant d’une expérience professionnelle concrète dans des environnements digitalisés, garantissant ainsi des données plus riches, informées et contextuellement pertinentes(Babbie, 2013, p. 193)</w:t>
      </w:r>
      <w:r>
        <w:rPr>
          <w:rStyle w:val="Appelnotedebasdep"/>
          <w:rFonts w:cstheme="majorBidi"/>
        </w:rPr>
        <w:footnoteReference w:id="380"/>
      </w:r>
      <w:r w:rsidRPr="0044216F">
        <w:rPr>
          <w:rFonts w:asciiTheme="majorBidi" w:hAnsiTheme="majorBidi" w:cstheme="majorBidi"/>
        </w:rPr>
        <w:t>. Elle est particulièrement adaptée lorsque la recherche vise à identifier des tendances, des perceptions ou des effets liés à un phénomène encore en cours d’implantation dans les organisations, comme c’est le cas de la digitalisation RH.</w:t>
      </w:r>
      <w:bookmarkEnd w:id="2124"/>
      <w:bookmarkEnd w:id="2125"/>
      <w:bookmarkEnd w:id="2126"/>
      <w:bookmarkEnd w:id="2127"/>
      <w:bookmarkEnd w:id="2128"/>
      <w:bookmarkEnd w:id="2129"/>
      <w:bookmarkEnd w:id="2130"/>
    </w:p>
    <w:p w:rsidR="00E772DD" w:rsidRPr="00321B2D" w:rsidRDefault="00E772DD" w:rsidP="004D32AC">
      <w:pPr>
        <w:pStyle w:val="Titre3"/>
        <w:numPr>
          <w:ilvl w:val="0"/>
          <w:numId w:val="192"/>
        </w:numPr>
        <w:spacing w:after="0" w:afterAutospacing="0" w:line="360" w:lineRule="auto"/>
        <w:rPr>
          <w:sz w:val="24"/>
          <w:szCs w:val="24"/>
        </w:rPr>
      </w:pPr>
      <w:bookmarkStart w:id="2131" w:name="_Toc199714546"/>
      <w:bookmarkStart w:id="2132" w:name="_Toc200486822"/>
      <w:bookmarkStart w:id="2133" w:name="_Toc200635600"/>
      <w:bookmarkStart w:id="2134" w:name="_Toc200635988"/>
      <w:bookmarkStart w:id="2135" w:name="_Toc200636377"/>
      <w:bookmarkStart w:id="2136" w:name="_Toc200756118"/>
      <w:r w:rsidRPr="00321B2D">
        <w:rPr>
          <w:sz w:val="24"/>
          <w:szCs w:val="24"/>
        </w:rPr>
        <w:t>Le questionnaire de recherche</w:t>
      </w:r>
      <w:bookmarkEnd w:id="2131"/>
      <w:bookmarkEnd w:id="2132"/>
      <w:bookmarkEnd w:id="2133"/>
      <w:bookmarkEnd w:id="2134"/>
      <w:bookmarkEnd w:id="2135"/>
      <w:bookmarkEnd w:id="2136"/>
    </w:p>
    <w:p w:rsidR="00E772DD" w:rsidRPr="008764AA" w:rsidRDefault="00E772DD" w:rsidP="00720E53">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Afin de collecter les données nécessaires à cette étude, un questionnaire structuré a été élaboré en tenant compte des objectifs de la recherche. L’outil a été conçu pour recueillir des informations précises sur les entreprises interrogées, le profil des répondants, le niveau de digitalisation des processus RH, ainsi que l’évaluation des variables liées au modèle conceptuel proposé.</w:t>
      </w:r>
    </w:p>
    <w:p w:rsidR="00E772DD" w:rsidRDefault="00E772DD" w:rsidP="0024578E">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Le questionnaire est organisé en quatre parties principales :</w:t>
      </w:r>
    </w:p>
    <w:p w:rsidR="00E772DD" w:rsidRPr="004347A2" w:rsidRDefault="00E772DD" w:rsidP="004D32AC">
      <w:pPr>
        <w:numPr>
          <w:ilvl w:val="0"/>
          <w:numId w:val="163"/>
        </w:numPr>
        <w:spacing w:line="360" w:lineRule="auto"/>
        <w:jc w:val="both"/>
        <w:rPr>
          <w:rFonts w:asciiTheme="majorBidi" w:hAnsiTheme="majorBidi" w:cstheme="majorBidi"/>
          <w:color w:val="000000"/>
          <w:lang w:val="fr-FR"/>
        </w:rPr>
      </w:pPr>
      <w:r w:rsidRPr="004347A2">
        <w:rPr>
          <w:rFonts w:asciiTheme="majorBidi" w:hAnsiTheme="majorBidi" w:cstheme="majorBidi"/>
          <w:b/>
          <w:bCs/>
          <w:color w:val="000000"/>
          <w:lang w:val="fr-FR"/>
        </w:rPr>
        <w:t>Niveau de digitalisation de l’entreprise :</w:t>
      </w:r>
      <w:r w:rsidRPr="004347A2">
        <w:rPr>
          <w:rFonts w:asciiTheme="majorBidi" w:hAnsiTheme="majorBidi" w:cstheme="majorBidi"/>
          <w:color w:val="000000"/>
          <w:lang w:val="fr-FR"/>
        </w:rPr>
        <w:t> Cette section joue un rôle fondamental dans le filtrage des réponses. Elle permet de déterminer si l’entreprise est engagée ou non dans un processus de digitalisation, et si oui, d’identifier les outils numériques utilisés (SIRH, plateformes d’e-recrutement, LMS, ERP, etc.). Les entreprises ne présentant aucune forme de digitalisation ont été exclues de la base pour garantir la cohérence de l’échantillon.</w:t>
      </w:r>
    </w:p>
    <w:p w:rsidR="00E772DD" w:rsidRPr="008764AA" w:rsidRDefault="00E772DD" w:rsidP="004D32AC">
      <w:pPr>
        <w:numPr>
          <w:ilvl w:val="0"/>
          <w:numId w:val="163"/>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Coordonnées de l’entreprise :</w:t>
      </w:r>
      <w:r w:rsidRPr="008764AA">
        <w:rPr>
          <w:rFonts w:asciiTheme="majorBidi" w:hAnsiTheme="majorBidi" w:cstheme="majorBidi"/>
          <w:color w:val="000000"/>
          <w:lang w:val="fr-FR"/>
        </w:rPr>
        <w:t> Cette section vise à recueillir des données générales sur l’organisation à laquelle appartient le répondant (secteur d’activité, taille, localisation, etc.), dans le but d’obtenir un aperçu du contexte organisationnel.</w:t>
      </w:r>
    </w:p>
    <w:p w:rsidR="00E772DD" w:rsidRPr="008764AA" w:rsidRDefault="00E772DD" w:rsidP="004D32AC">
      <w:pPr>
        <w:numPr>
          <w:ilvl w:val="0"/>
          <w:numId w:val="163"/>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lastRenderedPageBreak/>
        <w:t>Profil du répondant :</w:t>
      </w:r>
      <w:r w:rsidRPr="008764AA">
        <w:rPr>
          <w:rFonts w:asciiTheme="majorBidi" w:hAnsiTheme="majorBidi" w:cstheme="majorBidi"/>
          <w:color w:val="000000"/>
          <w:lang w:val="fr-FR"/>
        </w:rPr>
        <w:t> Cette partie permet d’identifier le rôle du participant dans l’entreprise (DRH, responsable RH, recruteur, etc.), son ancienneté, son niveau de qualification, et d’autres éléments pertinents pouvant influencer la perception des pratiques digitales.</w:t>
      </w:r>
    </w:p>
    <w:p w:rsidR="00E772DD" w:rsidRPr="008764AA" w:rsidRDefault="00E772DD" w:rsidP="004D32AC">
      <w:pPr>
        <w:numPr>
          <w:ilvl w:val="0"/>
          <w:numId w:val="163"/>
        </w:numPr>
        <w:spacing w:line="360" w:lineRule="auto"/>
        <w:jc w:val="both"/>
        <w:rPr>
          <w:rFonts w:asciiTheme="majorBidi" w:hAnsiTheme="majorBidi" w:cstheme="majorBidi"/>
          <w:color w:val="000000"/>
          <w:lang w:val="fr-FR"/>
        </w:rPr>
      </w:pPr>
      <w:r w:rsidRPr="008764AA">
        <w:rPr>
          <w:rFonts w:asciiTheme="majorBidi" w:hAnsiTheme="majorBidi" w:cstheme="majorBidi"/>
          <w:b/>
          <w:bCs/>
          <w:color w:val="000000"/>
          <w:lang w:val="fr-FR"/>
        </w:rPr>
        <w:t>Évaluation des variables de l’étude :</w:t>
      </w:r>
      <w:r w:rsidRPr="008764AA">
        <w:rPr>
          <w:rFonts w:asciiTheme="majorBidi" w:hAnsiTheme="majorBidi" w:cstheme="majorBidi"/>
          <w:color w:val="000000"/>
          <w:lang w:val="fr-FR"/>
        </w:rPr>
        <w:t> Cette dernière section comprend une série d’items mesurant les différentes dimensions du modèle conceptuel : la digitalisation des processus RH, le recrutement digitalisé, la formation digitalisée, et la performance globale des ressources humaines. Les questions sont formulées sous forme d’items évalués sur une échelle de Likert à 5 points, allant de « Pas du tout d’accord » à « Tout à fait d’accord ».</w:t>
      </w:r>
    </w:p>
    <w:p w:rsidR="00E772DD" w:rsidRPr="00321B2D" w:rsidRDefault="00E772DD" w:rsidP="004D32AC">
      <w:pPr>
        <w:pStyle w:val="Titre3"/>
        <w:numPr>
          <w:ilvl w:val="0"/>
          <w:numId w:val="192"/>
        </w:numPr>
        <w:spacing w:after="0" w:afterAutospacing="0" w:line="360" w:lineRule="auto"/>
        <w:rPr>
          <w:sz w:val="24"/>
          <w:szCs w:val="24"/>
        </w:rPr>
      </w:pPr>
      <w:bookmarkStart w:id="2137" w:name="_Toc199714547"/>
      <w:bookmarkStart w:id="2138" w:name="_Toc200486823"/>
      <w:bookmarkStart w:id="2139" w:name="_Toc200635601"/>
      <w:bookmarkStart w:id="2140" w:name="_Toc200635989"/>
      <w:bookmarkStart w:id="2141" w:name="_Toc200636378"/>
      <w:bookmarkStart w:id="2142" w:name="_Toc200756119"/>
      <w:r w:rsidRPr="00321B2D">
        <w:rPr>
          <w:sz w:val="24"/>
          <w:szCs w:val="24"/>
        </w:rPr>
        <w:t>Présentation des variables et des items de mesure</w:t>
      </w:r>
      <w:bookmarkEnd w:id="2137"/>
      <w:bookmarkEnd w:id="2138"/>
      <w:bookmarkEnd w:id="2139"/>
      <w:bookmarkEnd w:id="2140"/>
      <w:bookmarkEnd w:id="2141"/>
      <w:bookmarkEnd w:id="2142"/>
    </w:p>
    <w:p w:rsidR="00E772DD" w:rsidRPr="008764AA" w:rsidRDefault="00E772DD" w:rsidP="003B4928">
      <w:pPr>
        <w:spacing w:after="100" w:afterAutospacing="1"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Dans le cadre de cette recherche, les variables ont été définies sur la base du modèle conceptuel élaboré à partir des études antérieures. Chaque variable a été traduite en un ensemble d’items mesurables, formulés sous forme d’affirmations évaluées selon une échelle de Likert à 5 points, allant de 1 (« Pas du tout d’accord ») à 5 (« Tout à fait d’accord »). Les variables sont classées en trois catégories : variable indépendante, variables médiatrices, et variable dépendante.</w:t>
      </w:r>
    </w:p>
    <w:p w:rsidR="00E772DD" w:rsidRPr="008764AA" w:rsidRDefault="00E772DD" w:rsidP="008764AA">
      <w:pPr>
        <w:spacing w:before="100" w:beforeAutospacing="1" w:after="100" w:afterAutospacing="1" w:line="360" w:lineRule="auto"/>
        <w:jc w:val="center"/>
        <w:rPr>
          <w:rFonts w:asciiTheme="majorBidi" w:hAnsiTheme="majorBidi" w:cstheme="majorBidi"/>
          <w:color w:val="000000"/>
          <w:lang w:val="fr-FR"/>
        </w:rPr>
      </w:pPr>
      <w:r w:rsidRPr="008764AA">
        <w:rPr>
          <w:rFonts w:asciiTheme="majorBidi" w:hAnsiTheme="majorBidi" w:cstheme="majorBidi"/>
          <w:b/>
          <w:bCs/>
          <w:color w:val="000000"/>
          <w:lang w:val="fr-FR"/>
        </w:rPr>
        <w:t>Tableau N°</w:t>
      </w:r>
      <w:r>
        <w:rPr>
          <w:rFonts w:asciiTheme="majorBidi" w:hAnsiTheme="majorBidi" w:cstheme="majorBidi"/>
          <w:b/>
          <w:bCs/>
          <w:color w:val="000000"/>
          <w:lang w:val="fr-FR"/>
        </w:rPr>
        <w:t>13</w:t>
      </w:r>
      <w:r w:rsidRPr="008764AA">
        <w:rPr>
          <w:rFonts w:asciiTheme="majorBidi" w:hAnsiTheme="majorBidi" w:cstheme="majorBidi"/>
          <w:b/>
          <w:bCs/>
          <w:color w:val="000000"/>
          <w:lang w:val="fr-FR"/>
        </w:rPr>
        <w:t> :</w:t>
      </w:r>
      <w:r w:rsidRPr="008764AA">
        <w:rPr>
          <w:rFonts w:asciiTheme="majorBidi" w:hAnsiTheme="majorBidi" w:cstheme="majorBidi"/>
          <w:color w:val="000000"/>
          <w:lang w:val="fr-FR"/>
        </w:rPr>
        <w:t xml:space="preserve"> </w:t>
      </w:r>
      <w:r>
        <w:rPr>
          <w:rFonts w:asciiTheme="majorBidi" w:hAnsiTheme="majorBidi" w:cstheme="majorBidi"/>
          <w:color w:val="000000"/>
          <w:lang w:val="fr-FR"/>
        </w:rPr>
        <w:t>V</w:t>
      </w:r>
      <w:r w:rsidRPr="008764AA">
        <w:rPr>
          <w:rFonts w:asciiTheme="majorBidi" w:hAnsiTheme="majorBidi" w:cstheme="majorBidi"/>
          <w:color w:val="000000"/>
          <w:lang w:val="fr-FR"/>
        </w:rPr>
        <w:t>ariables et items mesurés dans l'étude</w:t>
      </w:r>
    </w:p>
    <w:tbl>
      <w:tblPr>
        <w:tblStyle w:val="Grilledutableau"/>
        <w:tblW w:w="10490" w:type="dxa"/>
        <w:tblInd w:w="-714" w:type="dxa"/>
        <w:tblLook w:val="04A0" w:firstRow="1" w:lastRow="0" w:firstColumn="1" w:lastColumn="0" w:noHBand="0" w:noVBand="1"/>
      </w:tblPr>
      <w:tblGrid>
        <w:gridCol w:w="1702"/>
        <w:gridCol w:w="1559"/>
        <w:gridCol w:w="4819"/>
        <w:gridCol w:w="2410"/>
      </w:tblGrid>
      <w:tr w:rsidR="00E772DD" w:rsidRPr="008764AA" w:rsidTr="00AE378F">
        <w:tc>
          <w:tcPr>
            <w:tcW w:w="1702" w:type="dxa"/>
            <w:shd w:val="clear" w:color="auto" w:fill="D8DCD1"/>
            <w:hideMark/>
          </w:tcPr>
          <w:p w:rsidR="00E772DD" w:rsidRPr="008764AA" w:rsidRDefault="00E772DD" w:rsidP="0024578E">
            <w:pPr>
              <w:spacing w:line="360" w:lineRule="auto"/>
              <w:rPr>
                <w:rFonts w:asciiTheme="majorBidi" w:hAnsiTheme="majorBidi" w:cstheme="majorBidi"/>
                <w:b/>
                <w:bCs/>
                <w:color w:val="000000"/>
                <w:lang w:val="fr-FR"/>
              </w:rPr>
            </w:pPr>
            <w:r w:rsidRPr="008764AA">
              <w:rPr>
                <w:rFonts w:asciiTheme="majorBidi" w:hAnsiTheme="majorBidi" w:cstheme="majorBidi"/>
                <w:b/>
                <w:bCs/>
                <w:color w:val="000000"/>
                <w:lang w:val="fr-FR"/>
              </w:rPr>
              <w:t>Variable</w:t>
            </w:r>
          </w:p>
        </w:tc>
        <w:tc>
          <w:tcPr>
            <w:tcW w:w="1559" w:type="dxa"/>
            <w:shd w:val="clear" w:color="auto" w:fill="D8DCD1"/>
            <w:hideMark/>
          </w:tcPr>
          <w:p w:rsidR="00E772DD" w:rsidRPr="008764AA" w:rsidRDefault="00E772DD" w:rsidP="0024578E">
            <w:pPr>
              <w:spacing w:line="360" w:lineRule="auto"/>
              <w:rPr>
                <w:rFonts w:asciiTheme="majorBidi" w:hAnsiTheme="majorBidi" w:cstheme="majorBidi"/>
                <w:b/>
                <w:bCs/>
                <w:color w:val="000000"/>
                <w:lang w:val="fr-FR"/>
              </w:rPr>
            </w:pPr>
            <w:r w:rsidRPr="008764AA">
              <w:rPr>
                <w:rFonts w:asciiTheme="majorBidi" w:hAnsiTheme="majorBidi" w:cstheme="majorBidi"/>
                <w:b/>
                <w:bCs/>
                <w:color w:val="000000"/>
                <w:lang w:val="fr-FR"/>
              </w:rPr>
              <w:t>Nature</w:t>
            </w:r>
          </w:p>
        </w:tc>
        <w:tc>
          <w:tcPr>
            <w:tcW w:w="4819" w:type="dxa"/>
            <w:shd w:val="clear" w:color="auto" w:fill="D8DCD1"/>
            <w:hideMark/>
          </w:tcPr>
          <w:p w:rsidR="00E772DD" w:rsidRPr="008764AA" w:rsidRDefault="00E772DD" w:rsidP="0024578E">
            <w:pPr>
              <w:spacing w:line="360" w:lineRule="auto"/>
              <w:rPr>
                <w:rFonts w:asciiTheme="majorBidi" w:hAnsiTheme="majorBidi" w:cstheme="majorBidi"/>
                <w:b/>
                <w:bCs/>
                <w:color w:val="000000"/>
                <w:lang w:val="fr-FR"/>
              </w:rPr>
            </w:pPr>
            <w:r w:rsidRPr="008764AA">
              <w:rPr>
                <w:rFonts w:asciiTheme="majorBidi" w:hAnsiTheme="majorBidi" w:cstheme="majorBidi"/>
                <w:b/>
                <w:bCs/>
                <w:color w:val="000000"/>
                <w:lang w:val="fr-FR"/>
              </w:rPr>
              <w:t>Intitulés des items</w:t>
            </w:r>
          </w:p>
        </w:tc>
        <w:tc>
          <w:tcPr>
            <w:tcW w:w="2410" w:type="dxa"/>
            <w:shd w:val="clear" w:color="auto" w:fill="D8DCD1"/>
          </w:tcPr>
          <w:p w:rsidR="00E772DD" w:rsidRPr="008764AA" w:rsidRDefault="00E772DD" w:rsidP="008D5C1D">
            <w:pPr>
              <w:spacing w:line="360" w:lineRule="auto"/>
              <w:rPr>
                <w:rFonts w:asciiTheme="majorBidi" w:hAnsiTheme="majorBidi" w:cstheme="majorBidi"/>
                <w:b/>
                <w:bCs/>
                <w:color w:val="000000"/>
                <w:lang w:val="fr-FR"/>
              </w:rPr>
            </w:pPr>
            <w:r w:rsidRPr="008D5C1D">
              <w:rPr>
                <w:rFonts w:asciiTheme="majorBidi" w:hAnsiTheme="majorBidi" w:cstheme="majorBidi"/>
                <w:b/>
                <w:bCs/>
                <w:color w:val="000000"/>
              </w:rPr>
              <w:t>Sources</w:t>
            </w:r>
            <w:r>
              <w:rPr>
                <w:rFonts w:asciiTheme="majorBidi" w:hAnsiTheme="majorBidi" w:cstheme="majorBidi"/>
                <w:b/>
                <w:bCs/>
                <w:color w:val="000000"/>
                <w:lang w:val="fr-FR"/>
              </w:rPr>
              <w:t xml:space="preserve"> </w:t>
            </w:r>
            <w:r w:rsidRPr="008D5C1D">
              <w:rPr>
                <w:rFonts w:asciiTheme="majorBidi" w:hAnsiTheme="majorBidi" w:cstheme="majorBidi"/>
                <w:b/>
                <w:bCs/>
                <w:color w:val="000000"/>
              </w:rPr>
              <w:t>inspirantes</w:t>
            </w:r>
          </w:p>
        </w:tc>
      </w:tr>
      <w:tr w:rsidR="00E772DD" w:rsidRPr="008764AA" w:rsidTr="00AE378F">
        <w:tc>
          <w:tcPr>
            <w:tcW w:w="1702" w:type="dxa"/>
            <w:shd w:val="clear" w:color="auto" w:fill="D8DCD1"/>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Digitalisation des processus RH</w:t>
            </w:r>
          </w:p>
        </w:tc>
        <w:tc>
          <w:tcPr>
            <w:tcW w:w="1559" w:type="dxa"/>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Variable indépendante</w:t>
            </w:r>
          </w:p>
        </w:tc>
        <w:tc>
          <w:tcPr>
            <w:tcW w:w="4819" w:type="dxa"/>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Automatisation (8 items)</w:t>
            </w:r>
            <w:r w:rsidRPr="008764AA">
              <w:rPr>
                <w:rFonts w:asciiTheme="majorBidi" w:hAnsiTheme="majorBidi" w:cstheme="majorBidi"/>
                <w:color w:val="000000"/>
                <w:lang w:val="fr-FR"/>
              </w:rPr>
              <w:t> :</w:t>
            </w:r>
          </w:p>
          <w:p w:rsidR="00E772DD" w:rsidRPr="008764AA" w:rsidRDefault="00E772DD" w:rsidP="004D32AC">
            <w:pPr>
              <w:pStyle w:val="Paragraphedeliste"/>
              <w:numPr>
                <w:ilvl w:val="0"/>
                <w:numId w:val="165"/>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Présélection automatisée des CV</w:t>
            </w:r>
          </w:p>
          <w:p w:rsidR="00E772DD" w:rsidRPr="008764AA" w:rsidRDefault="00E772DD" w:rsidP="004D32AC">
            <w:pPr>
              <w:pStyle w:val="Paragraphedeliste"/>
              <w:numPr>
                <w:ilvl w:val="0"/>
                <w:numId w:val="165"/>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Tests de recrutement automatisés </w:t>
            </w:r>
          </w:p>
          <w:p w:rsidR="00E772DD" w:rsidRPr="008764AA" w:rsidRDefault="00E772DD" w:rsidP="004D32AC">
            <w:pPr>
              <w:pStyle w:val="Paragraphedeliste"/>
              <w:numPr>
                <w:ilvl w:val="0"/>
                <w:numId w:val="165"/>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Planification des entretiens automatisée</w:t>
            </w:r>
          </w:p>
          <w:p w:rsidR="00E772DD" w:rsidRPr="008764AA" w:rsidRDefault="00E772DD" w:rsidP="004D32AC">
            <w:pPr>
              <w:pStyle w:val="Paragraphedeliste"/>
              <w:numPr>
                <w:ilvl w:val="0"/>
                <w:numId w:val="164"/>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Suivi des candidatures automatisé </w:t>
            </w:r>
          </w:p>
          <w:p w:rsidR="00E772DD" w:rsidRPr="008764AA" w:rsidRDefault="00E772DD" w:rsidP="004D32AC">
            <w:pPr>
              <w:pStyle w:val="Paragraphedeliste"/>
              <w:numPr>
                <w:ilvl w:val="0"/>
                <w:numId w:val="164"/>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Notifications automatiques envoyées </w:t>
            </w:r>
          </w:p>
          <w:p w:rsidR="00E772DD" w:rsidRPr="008764AA" w:rsidRDefault="00E772DD" w:rsidP="004D32AC">
            <w:pPr>
              <w:pStyle w:val="Paragraphedeliste"/>
              <w:numPr>
                <w:ilvl w:val="0"/>
                <w:numId w:val="164"/>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Réduction des interventions manuelles </w:t>
            </w:r>
          </w:p>
          <w:p w:rsidR="00E772DD" w:rsidRPr="008764AA" w:rsidRDefault="00E772DD" w:rsidP="004D32AC">
            <w:pPr>
              <w:pStyle w:val="Paragraphedeliste"/>
              <w:numPr>
                <w:ilvl w:val="0"/>
                <w:numId w:val="164"/>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Coordination améliorée </w:t>
            </w:r>
          </w:p>
          <w:p w:rsidR="00E772DD" w:rsidRPr="008764AA" w:rsidRDefault="00E772DD" w:rsidP="004D32AC">
            <w:pPr>
              <w:pStyle w:val="Paragraphedeliste"/>
              <w:numPr>
                <w:ilvl w:val="0"/>
                <w:numId w:val="164"/>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Automatisation de la formation</w:t>
            </w:r>
          </w:p>
        </w:tc>
        <w:tc>
          <w:tcPr>
            <w:tcW w:w="2410" w:type="dxa"/>
          </w:tcPr>
          <w:p w:rsidR="00E772DD" w:rsidRPr="008D5C1D" w:rsidRDefault="00E772DD" w:rsidP="0024578E">
            <w:pPr>
              <w:spacing w:line="360" w:lineRule="auto"/>
              <w:rPr>
                <w:rFonts w:asciiTheme="majorBidi" w:hAnsiTheme="majorBidi" w:cstheme="majorBidi"/>
                <w:color w:val="000000"/>
                <w:lang w:val="fr-FR"/>
              </w:rPr>
            </w:pPr>
            <w:proofErr w:type="spellStart"/>
            <w:r w:rsidRPr="008D5C1D">
              <w:rPr>
                <w:rFonts w:asciiTheme="majorBidi" w:hAnsiTheme="majorBidi" w:cstheme="majorBidi"/>
                <w:color w:val="000000"/>
                <w:lang w:val="fr-FR"/>
              </w:rPr>
              <w:t>Jarachi</w:t>
            </w:r>
            <w:proofErr w:type="spellEnd"/>
            <w:r w:rsidRPr="008D5C1D">
              <w:rPr>
                <w:rFonts w:asciiTheme="majorBidi" w:hAnsiTheme="majorBidi" w:cstheme="majorBidi"/>
                <w:color w:val="000000"/>
                <w:lang w:val="fr-FR"/>
              </w:rPr>
              <w:t xml:space="preserve"> et al. (2022, pp. 154–155)</w:t>
            </w:r>
            <w:r>
              <w:rPr>
                <w:rStyle w:val="Appelnotedebasdep"/>
                <w:rFonts w:cstheme="majorBidi"/>
                <w:color w:val="000000"/>
                <w:lang w:val="fr-FR"/>
              </w:rPr>
              <w:footnoteReference w:id="381"/>
            </w:r>
            <w:r w:rsidRPr="008D5C1D">
              <w:rPr>
                <w:rFonts w:asciiTheme="majorBidi" w:hAnsiTheme="majorBidi" w:cstheme="majorBidi"/>
                <w:color w:val="000000"/>
                <w:lang w:val="fr-FR"/>
              </w:rPr>
              <w:t xml:space="preserve"> ; </w:t>
            </w:r>
            <w:proofErr w:type="spellStart"/>
            <w:r w:rsidRPr="008D5C1D">
              <w:rPr>
                <w:rFonts w:asciiTheme="majorBidi" w:hAnsiTheme="majorBidi" w:cstheme="majorBidi"/>
                <w:color w:val="000000"/>
                <w:lang w:val="fr-FR"/>
              </w:rPr>
              <w:t>Gampine</w:t>
            </w:r>
            <w:proofErr w:type="spellEnd"/>
            <w:r w:rsidRPr="008D5C1D">
              <w:rPr>
                <w:rFonts w:asciiTheme="majorBidi" w:hAnsiTheme="majorBidi" w:cstheme="majorBidi"/>
                <w:color w:val="000000"/>
                <w:lang w:val="fr-FR"/>
              </w:rPr>
              <w:t xml:space="preserve"> (2023, pp. 6–8)</w:t>
            </w:r>
            <w:r>
              <w:rPr>
                <w:rStyle w:val="Appelnotedebasdep"/>
                <w:rFonts w:cstheme="majorBidi"/>
                <w:color w:val="000000"/>
                <w:lang w:val="fr-FR"/>
              </w:rPr>
              <w:footnoteReference w:id="382"/>
            </w:r>
          </w:p>
        </w:tc>
      </w:tr>
      <w:tr w:rsidR="00AE378F" w:rsidRPr="008764AA" w:rsidTr="00AE378F">
        <w:tc>
          <w:tcPr>
            <w:tcW w:w="1702" w:type="dxa"/>
            <w:vMerge w:val="restart"/>
            <w:shd w:val="clear" w:color="auto" w:fill="D8DCD1"/>
            <w:hideMark/>
          </w:tcPr>
          <w:p w:rsidR="00AE378F" w:rsidRPr="008764AA" w:rsidRDefault="00AE378F" w:rsidP="0024578E">
            <w:pPr>
              <w:spacing w:line="360" w:lineRule="auto"/>
              <w:rPr>
                <w:rFonts w:asciiTheme="majorBidi" w:hAnsiTheme="majorBidi" w:cstheme="majorBidi"/>
                <w:color w:val="000000"/>
                <w:lang w:val="fr-FR"/>
              </w:rPr>
            </w:pPr>
          </w:p>
        </w:tc>
        <w:tc>
          <w:tcPr>
            <w:tcW w:w="1559" w:type="dxa"/>
            <w:hideMark/>
          </w:tcPr>
          <w:p w:rsidR="00AE378F" w:rsidRPr="008764AA" w:rsidRDefault="00AE378F" w:rsidP="0024578E">
            <w:pPr>
              <w:spacing w:line="360" w:lineRule="auto"/>
              <w:rPr>
                <w:rFonts w:asciiTheme="majorBidi" w:hAnsiTheme="majorBidi" w:cstheme="majorBidi"/>
                <w:lang w:val="fr-FR"/>
              </w:rPr>
            </w:pPr>
          </w:p>
        </w:tc>
        <w:tc>
          <w:tcPr>
            <w:tcW w:w="4819" w:type="dxa"/>
            <w:hideMark/>
          </w:tcPr>
          <w:p w:rsidR="00AE378F" w:rsidRPr="008764AA" w:rsidRDefault="00AE378F"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Numérisation (7 items)</w:t>
            </w:r>
            <w:r w:rsidRPr="008764AA">
              <w:rPr>
                <w:rFonts w:asciiTheme="majorBidi" w:hAnsiTheme="majorBidi" w:cstheme="majorBidi"/>
                <w:color w:val="000000"/>
                <w:lang w:val="fr-FR"/>
              </w:rPr>
              <w:t> :</w:t>
            </w:r>
          </w:p>
          <w:p w:rsidR="00AE378F" w:rsidRPr="008764AA" w:rsidRDefault="00AE378F" w:rsidP="004D32AC">
            <w:pPr>
              <w:pStyle w:val="Paragraphedeliste"/>
              <w:numPr>
                <w:ilvl w:val="0"/>
                <w:numId w:val="166"/>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Archivage numérique des dossiers </w:t>
            </w:r>
          </w:p>
          <w:p w:rsidR="00AE378F" w:rsidRPr="008764AA" w:rsidRDefault="00AE378F" w:rsidP="004D32AC">
            <w:pPr>
              <w:pStyle w:val="Paragraphedeliste"/>
              <w:numPr>
                <w:ilvl w:val="0"/>
                <w:numId w:val="166"/>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Formulaires RH dématérialisés </w:t>
            </w:r>
          </w:p>
          <w:p w:rsidR="00AE378F" w:rsidRPr="008764AA" w:rsidRDefault="00AE378F" w:rsidP="004D32AC">
            <w:pPr>
              <w:pStyle w:val="Paragraphedeliste"/>
              <w:numPr>
                <w:ilvl w:val="0"/>
                <w:numId w:val="166"/>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Utilisation de la signature électronique </w:t>
            </w:r>
          </w:p>
          <w:p w:rsidR="00AE378F" w:rsidRPr="008764AA" w:rsidRDefault="00AE378F" w:rsidP="004D32AC">
            <w:pPr>
              <w:pStyle w:val="Paragraphedeliste"/>
              <w:numPr>
                <w:ilvl w:val="0"/>
                <w:numId w:val="166"/>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Supports de formation numériques</w:t>
            </w:r>
          </w:p>
          <w:p w:rsidR="00AE378F" w:rsidRPr="008764AA" w:rsidRDefault="00AE378F" w:rsidP="004D32AC">
            <w:pPr>
              <w:pStyle w:val="Paragraphedeliste"/>
              <w:numPr>
                <w:ilvl w:val="0"/>
                <w:numId w:val="166"/>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Gestion des données RH numériques</w:t>
            </w:r>
          </w:p>
          <w:p w:rsidR="00AE378F" w:rsidRPr="008764AA" w:rsidRDefault="00AE378F" w:rsidP="004D32AC">
            <w:pPr>
              <w:pStyle w:val="Paragraphedeliste"/>
              <w:numPr>
                <w:ilvl w:val="0"/>
                <w:numId w:val="166"/>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Mise à jour des dossiers numérisés </w:t>
            </w:r>
          </w:p>
          <w:p w:rsidR="00AE378F" w:rsidRPr="008764AA" w:rsidRDefault="00AE378F" w:rsidP="004D32AC">
            <w:pPr>
              <w:pStyle w:val="Paragraphedeliste"/>
              <w:numPr>
                <w:ilvl w:val="0"/>
                <w:numId w:val="166"/>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Enregistrement numérique des entretiens</w:t>
            </w:r>
          </w:p>
        </w:tc>
        <w:tc>
          <w:tcPr>
            <w:tcW w:w="2410" w:type="dxa"/>
          </w:tcPr>
          <w:p w:rsidR="00AE378F" w:rsidRPr="008D5C1D" w:rsidRDefault="00AE378F" w:rsidP="008D5C1D">
            <w:pPr>
              <w:spacing w:line="360" w:lineRule="auto"/>
              <w:rPr>
                <w:rFonts w:asciiTheme="majorBidi" w:hAnsiTheme="majorBidi" w:cstheme="majorBidi"/>
                <w:color w:val="000000"/>
                <w:lang w:val="fr-FR"/>
              </w:rPr>
            </w:pPr>
            <w:r w:rsidRPr="008D5C1D">
              <w:rPr>
                <w:rFonts w:asciiTheme="majorBidi" w:hAnsiTheme="majorBidi" w:cstheme="majorBidi"/>
                <w:color w:val="000000"/>
              </w:rPr>
              <w:t>L’Écuyer (2016, pp. 4–5)</w:t>
            </w:r>
            <w:r>
              <w:rPr>
                <w:rStyle w:val="Appelnotedebasdep"/>
                <w:rFonts w:cstheme="majorBidi"/>
                <w:color w:val="000000"/>
              </w:rPr>
              <w:footnoteReference w:id="383"/>
            </w:r>
            <w:r w:rsidRPr="008D5C1D">
              <w:rPr>
                <w:rFonts w:asciiTheme="majorBidi" w:hAnsiTheme="majorBidi" w:cstheme="majorBidi"/>
                <w:color w:val="000000"/>
              </w:rPr>
              <w:t xml:space="preserve"> ; Berrefas (2023, pp. 121–124)</w:t>
            </w:r>
            <w:r>
              <w:rPr>
                <w:rStyle w:val="Appelnotedebasdep"/>
                <w:rFonts w:cstheme="majorBidi"/>
                <w:color w:val="000000"/>
              </w:rPr>
              <w:footnoteReference w:id="384"/>
            </w:r>
          </w:p>
        </w:tc>
      </w:tr>
      <w:tr w:rsidR="00AE378F" w:rsidRPr="008764AA" w:rsidTr="00AE378F">
        <w:tc>
          <w:tcPr>
            <w:tcW w:w="1702" w:type="dxa"/>
            <w:vMerge/>
            <w:shd w:val="clear" w:color="auto" w:fill="D8DCD1"/>
            <w:hideMark/>
          </w:tcPr>
          <w:p w:rsidR="00AE378F" w:rsidRPr="008764AA" w:rsidRDefault="00AE378F" w:rsidP="0024578E">
            <w:pPr>
              <w:spacing w:line="360" w:lineRule="auto"/>
              <w:rPr>
                <w:rFonts w:asciiTheme="majorBidi" w:hAnsiTheme="majorBidi" w:cstheme="majorBidi"/>
                <w:color w:val="000000"/>
                <w:lang w:val="fr-FR"/>
              </w:rPr>
            </w:pPr>
          </w:p>
        </w:tc>
        <w:tc>
          <w:tcPr>
            <w:tcW w:w="1559" w:type="dxa"/>
            <w:hideMark/>
          </w:tcPr>
          <w:p w:rsidR="00AE378F" w:rsidRPr="008764AA" w:rsidRDefault="00AE378F" w:rsidP="0024578E">
            <w:pPr>
              <w:spacing w:line="360" w:lineRule="auto"/>
              <w:rPr>
                <w:rFonts w:asciiTheme="majorBidi" w:hAnsiTheme="majorBidi" w:cstheme="majorBidi"/>
                <w:lang w:val="fr-FR"/>
              </w:rPr>
            </w:pPr>
          </w:p>
        </w:tc>
        <w:tc>
          <w:tcPr>
            <w:tcW w:w="4819" w:type="dxa"/>
            <w:hideMark/>
          </w:tcPr>
          <w:p w:rsidR="00AE378F" w:rsidRPr="008764AA" w:rsidRDefault="00AE378F"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Accessibilité numérique (7 items)</w:t>
            </w:r>
            <w:r w:rsidRPr="008764AA">
              <w:rPr>
                <w:rFonts w:asciiTheme="majorBidi" w:hAnsiTheme="majorBidi" w:cstheme="majorBidi"/>
                <w:color w:val="000000"/>
                <w:lang w:val="fr-FR"/>
              </w:rPr>
              <w:t> :</w:t>
            </w:r>
          </w:p>
          <w:p w:rsidR="00AE378F" w:rsidRPr="008764AA" w:rsidRDefault="00AE378F" w:rsidP="004D32AC">
            <w:pPr>
              <w:pStyle w:val="Paragraphedeliste"/>
              <w:numPr>
                <w:ilvl w:val="0"/>
                <w:numId w:val="167"/>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Outils RH accessibles à distance </w:t>
            </w:r>
          </w:p>
          <w:p w:rsidR="00AE378F" w:rsidRPr="008764AA" w:rsidRDefault="00AE378F" w:rsidP="004D32AC">
            <w:pPr>
              <w:pStyle w:val="Paragraphedeliste"/>
              <w:numPr>
                <w:ilvl w:val="0"/>
                <w:numId w:val="167"/>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Compatibilité des plateformes RH </w:t>
            </w:r>
          </w:p>
          <w:p w:rsidR="00AE378F" w:rsidRPr="008764AA" w:rsidRDefault="00AE378F" w:rsidP="004D32AC">
            <w:pPr>
              <w:pStyle w:val="Paragraphedeliste"/>
              <w:numPr>
                <w:ilvl w:val="0"/>
                <w:numId w:val="167"/>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Accès facile aux informations RH</w:t>
            </w:r>
          </w:p>
          <w:p w:rsidR="00AE378F" w:rsidRPr="008764AA" w:rsidRDefault="00AE378F" w:rsidP="004D32AC">
            <w:pPr>
              <w:pStyle w:val="Paragraphedeliste"/>
              <w:numPr>
                <w:ilvl w:val="0"/>
                <w:numId w:val="167"/>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Accès rapide aux outils numériques </w:t>
            </w:r>
          </w:p>
          <w:p w:rsidR="00AE378F" w:rsidRPr="008764AA" w:rsidRDefault="00AE378F" w:rsidP="004D32AC">
            <w:pPr>
              <w:pStyle w:val="Paragraphedeliste"/>
              <w:numPr>
                <w:ilvl w:val="0"/>
                <w:numId w:val="167"/>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Réactivité améliorée des services RH </w:t>
            </w:r>
          </w:p>
          <w:p w:rsidR="00AE378F" w:rsidRPr="008764AA" w:rsidRDefault="00AE378F" w:rsidP="004D32AC">
            <w:pPr>
              <w:pStyle w:val="Paragraphedeliste"/>
              <w:numPr>
                <w:ilvl w:val="0"/>
                <w:numId w:val="167"/>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Accessibilité des formations en ligne </w:t>
            </w:r>
          </w:p>
          <w:p w:rsidR="00AE378F" w:rsidRPr="008764AA" w:rsidRDefault="00AE378F" w:rsidP="004D32AC">
            <w:pPr>
              <w:pStyle w:val="Paragraphedeliste"/>
              <w:numPr>
                <w:ilvl w:val="0"/>
                <w:numId w:val="167"/>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Promotion de l'utilisation mobile des outils RH</w:t>
            </w:r>
          </w:p>
        </w:tc>
        <w:tc>
          <w:tcPr>
            <w:tcW w:w="2410" w:type="dxa"/>
          </w:tcPr>
          <w:p w:rsidR="00AE378F" w:rsidRPr="008D5C1D" w:rsidRDefault="00AE378F" w:rsidP="0024578E">
            <w:pPr>
              <w:spacing w:line="360" w:lineRule="auto"/>
              <w:rPr>
                <w:rFonts w:asciiTheme="majorBidi" w:hAnsiTheme="majorBidi" w:cstheme="majorBidi"/>
                <w:color w:val="000000"/>
                <w:lang w:val="en-US"/>
              </w:rPr>
            </w:pPr>
            <w:r w:rsidRPr="008D5C1D">
              <w:rPr>
                <w:rFonts w:asciiTheme="majorBidi" w:hAnsiTheme="majorBidi" w:cstheme="majorBidi"/>
                <w:color w:val="000000"/>
                <w:lang w:val="en-US"/>
              </w:rPr>
              <w:t xml:space="preserve">El </w:t>
            </w:r>
            <w:proofErr w:type="spellStart"/>
            <w:r w:rsidRPr="008D5C1D">
              <w:rPr>
                <w:rFonts w:asciiTheme="majorBidi" w:hAnsiTheme="majorBidi" w:cstheme="majorBidi"/>
                <w:color w:val="000000"/>
                <w:lang w:val="en-US"/>
              </w:rPr>
              <w:t>Oumami</w:t>
            </w:r>
            <w:proofErr w:type="spellEnd"/>
            <w:r w:rsidRPr="008D5C1D">
              <w:rPr>
                <w:rFonts w:asciiTheme="majorBidi" w:hAnsiTheme="majorBidi" w:cstheme="majorBidi"/>
                <w:color w:val="000000"/>
                <w:lang w:val="en-US"/>
              </w:rPr>
              <w:t xml:space="preserve"> &amp; El Haddad (2024, pp. 211–213)</w:t>
            </w:r>
            <w:r>
              <w:rPr>
                <w:rStyle w:val="Appelnotedebasdep"/>
                <w:rFonts w:cstheme="majorBidi"/>
                <w:color w:val="000000"/>
                <w:lang w:val="en-US"/>
              </w:rPr>
              <w:footnoteReference w:id="385"/>
            </w:r>
            <w:r w:rsidRPr="008D5C1D">
              <w:rPr>
                <w:rFonts w:asciiTheme="majorBidi" w:hAnsiTheme="majorBidi" w:cstheme="majorBidi"/>
                <w:color w:val="000000"/>
                <w:lang w:val="en-US"/>
              </w:rPr>
              <w:t xml:space="preserve"> ; </w:t>
            </w:r>
            <w:proofErr w:type="spellStart"/>
            <w:r w:rsidRPr="008D5C1D">
              <w:rPr>
                <w:rFonts w:asciiTheme="majorBidi" w:hAnsiTheme="majorBidi" w:cstheme="majorBidi"/>
                <w:color w:val="000000"/>
                <w:lang w:val="en-US"/>
              </w:rPr>
              <w:t>Gampine</w:t>
            </w:r>
            <w:proofErr w:type="spellEnd"/>
            <w:r w:rsidRPr="008D5C1D">
              <w:rPr>
                <w:rFonts w:asciiTheme="majorBidi" w:hAnsiTheme="majorBidi" w:cstheme="majorBidi"/>
                <w:color w:val="000000"/>
                <w:lang w:val="en-US"/>
              </w:rPr>
              <w:t xml:space="preserve"> (2023, pp. 11–13)</w:t>
            </w:r>
            <w:r>
              <w:rPr>
                <w:rStyle w:val="Appelnotedebasdep"/>
                <w:rFonts w:cstheme="majorBidi"/>
                <w:color w:val="000000"/>
                <w:lang w:val="en-US"/>
              </w:rPr>
              <w:footnoteReference w:id="386"/>
            </w:r>
          </w:p>
        </w:tc>
      </w:tr>
      <w:tr w:rsidR="00E772DD" w:rsidRPr="008764AA" w:rsidTr="00AE378F">
        <w:tc>
          <w:tcPr>
            <w:tcW w:w="1702" w:type="dxa"/>
            <w:shd w:val="clear" w:color="auto" w:fill="D8DCD1"/>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Processus de recrutement digitalisé</w:t>
            </w:r>
          </w:p>
        </w:tc>
        <w:tc>
          <w:tcPr>
            <w:tcW w:w="1559" w:type="dxa"/>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Variable médiatrice</w:t>
            </w:r>
          </w:p>
        </w:tc>
        <w:tc>
          <w:tcPr>
            <w:tcW w:w="4819" w:type="dxa"/>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Recrutement digitalisé (8 items)</w:t>
            </w:r>
            <w:r w:rsidRPr="008764AA">
              <w:rPr>
                <w:rFonts w:asciiTheme="majorBidi" w:hAnsiTheme="majorBidi" w:cstheme="majorBidi"/>
                <w:color w:val="000000"/>
                <w:lang w:val="fr-FR"/>
              </w:rPr>
              <w:t> :</w:t>
            </w:r>
          </w:p>
          <w:p w:rsidR="00E772DD" w:rsidRPr="008764AA" w:rsidRDefault="00E772DD" w:rsidP="004D32AC">
            <w:pPr>
              <w:pStyle w:val="Paragraphedeliste"/>
              <w:numPr>
                <w:ilvl w:val="0"/>
                <w:numId w:val="168"/>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Offres d'emploi publiées en ligne </w:t>
            </w:r>
          </w:p>
          <w:p w:rsidR="00E772DD" w:rsidRPr="008764AA" w:rsidRDefault="00E772DD" w:rsidP="004D32AC">
            <w:pPr>
              <w:pStyle w:val="Paragraphedeliste"/>
              <w:numPr>
                <w:ilvl w:val="0"/>
                <w:numId w:val="168"/>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Candidatures via plateformes numériques </w:t>
            </w:r>
          </w:p>
          <w:p w:rsidR="00E772DD" w:rsidRPr="008764AA" w:rsidRDefault="00E772DD" w:rsidP="004D32AC">
            <w:pPr>
              <w:pStyle w:val="Paragraphedeliste"/>
              <w:numPr>
                <w:ilvl w:val="0"/>
                <w:numId w:val="168"/>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Entretiens en visioconférence </w:t>
            </w:r>
          </w:p>
          <w:p w:rsidR="00E772DD" w:rsidRPr="008764AA" w:rsidRDefault="00E772DD" w:rsidP="004D32AC">
            <w:pPr>
              <w:pStyle w:val="Paragraphedeliste"/>
              <w:numPr>
                <w:ilvl w:val="0"/>
                <w:numId w:val="168"/>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 xml:space="preserve">Réseaux sociaux pour le sourcing </w:t>
            </w:r>
          </w:p>
          <w:p w:rsidR="00E772DD" w:rsidRPr="008764AA" w:rsidRDefault="00E772DD" w:rsidP="004D32AC">
            <w:pPr>
              <w:pStyle w:val="Paragraphedeliste"/>
              <w:numPr>
                <w:ilvl w:val="0"/>
                <w:numId w:val="168"/>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lastRenderedPageBreak/>
              <w:t xml:space="preserve">Recrutement piloté numériquement </w:t>
            </w:r>
          </w:p>
          <w:p w:rsidR="00E772DD" w:rsidRPr="008764AA" w:rsidRDefault="00E772DD" w:rsidP="004D32AC">
            <w:pPr>
              <w:pStyle w:val="Paragraphedeliste"/>
              <w:numPr>
                <w:ilvl w:val="0"/>
                <w:numId w:val="168"/>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Utilisation d'ERP dans le recrutement</w:t>
            </w:r>
          </w:p>
          <w:p w:rsidR="00E772DD" w:rsidRPr="008764AA" w:rsidRDefault="00E772DD" w:rsidP="004D32AC">
            <w:pPr>
              <w:pStyle w:val="Paragraphedeliste"/>
              <w:numPr>
                <w:ilvl w:val="0"/>
                <w:numId w:val="168"/>
              </w:numPr>
              <w:spacing w:line="360" w:lineRule="auto"/>
              <w:rPr>
                <w:rFonts w:asciiTheme="majorBidi" w:eastAsia="Times New Roman" w:hAnsiTheme="majorBidi" w:cstheme="majorBidi"/>
                <w14:ligatures w14:val="none"/>
              </w:rPr>
            </w:pPr>
            <w:r w:rsidRPr="008764AA">
              <w:rPr>
                <w:rFonts w:asciiTheme="majorBidi" w:eastAsia="Times New Roman" w:hAnsiTheme="majorBidi" w:cstheme="majorBidi"/>
                <w14:ligatures w14:val="none"/>
              </w:rPr>
              <w:t>Ciblage amélioré des profils</w:t>
            </w:r>
          </w:p>
        </w:tc>
        <w:tc>
          <w:tcPr>
            <w:tcW w:w="2410" w:type="dxa"/>
          </w:tcPr>
          <w:p w:rsidR="00E772DD" w:rsidRPr="008D5C1D" w:rsidRDefault="00E772DD" w:rsidP="008D5C1D">
            <w:pPr>
              <w:spacing w:line="360" w:lineRule="auto"/>
              <w:rPr>
                <w:rFonts w:asciiTheme="majorBidi" w:hAnsiTheme="majorBidi" w:cstheme="majorBidi"/>
                <w:color w:val="000000"/>
                <w:lang w:val="fr-FR"/>
              </w:rPr>
            </w:pPr>
            <w:r w:rsidRPr="008D5C1D">
              <w:rPr>
                <w:rFonts w:asciiTheme="majorBidi" w:hAnsiTheme="majorBidi" w:cstheme="majorBidi"/>
                <w:color w:val="000000"/>
              </w:rPr>
              <w:lastRenderedPageBreak/>
              <w:t>Galindo et al. (2019, pp. 33–36)</w:t>
            </w:r>
            <w:r>
              <w:rPr>
                <w:rStyle w:val="Appelnotedebasdep"/>
                <w:rFonts w:cstheme="majorBidi"/>
                <w:color w:val="000000"/>
              </w:rPr>
              <w:footnoteReference w:id="387"/>
            </w:r>
            <w:r w:rsidRPr="008D5C1D">
              <w:rPr>
                <w:rFonts w:asciiTheme="majorBidi" w:hAnsiTheme="majorBidi" w:cstheme="majorBidi"/>
                <w:color w:val="000000"/>
              </w:rPr>
              <w:t xml:space="preserve"> ; Jarachi et al. (2022, pp. 154–155)</w:t>
            </w:r>
            <w:r>
              <w:rPr>
                <w:rStyle w:val="Appelnotedebasdep"/>
                <w:rFonts w:cstheme="majorBidi"/>
                <w:color w:val="000000"/>
              </w:rPr>
              <w:footnoteReference w:id="388"/>
            </w:r>
          </w:p>
        </w:tc>
      </w:tr>
      <w:tr w:rsidR="00E772DD" w:rsidRPr="008764AA" w:rsidTr="00AE378F">
        <w:tc>
          <w:tcPr>
            <w:tcW w:w="1702" w:type="dxa"/>
            <w:shd w:val="clear" w:color="auto" w:fill="D8DCD1"/>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Processus de formation digitalisé</w:t>
            </w:r>
          </w:p>
        </w:tc>
        <w:tc>
          <w:tcPr>
            <w:tcW w:w="1559" w:type="dxa"/>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Variable médiatrice</w:t>
            </w:r>
          </w:p>
        </w:tc>
        <w:tc>
          <w:tcPr>
            <w:tcW w:w="4819" w:type="dxa"/>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Formation digitalisée (7 items)</w:t>
            </w:r>
            <w:r w:rsidRPr="008764AA">
              <w:rPr>
                <w:rFonts w:asciiTheme="majorBidi" w:hAnsiTheme="majorBidi" w:cstheme="majorBidi"/>
                <w:color w:val="000000"/>
                <w:lang w:val="fr-FR"/>
              </w:rPr>
              <w:t>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Formation en ligne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Outils numériques pour la formation continue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Suivi via outils numériques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Utilisation d'ERP pour la gestion de la formation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Parcours de formation numériques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Efficacité de la formation digitale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Mise à jour des contenus de formation</w:t>
            </w:r>
          </w:p>
        </w:tc>
        <w:tc>
          <w:tcPr>
            <w:tcW w:w="2410" w:type="dxa"/>
          </w:tcPr>
          <w:p w:rsidR="00E772DD" w:rsidRPr="008D5C1D" w:rsidRDefault="00E772DD" w:rsidP="0024578E">
            <w:pPr>
              <w:spacing w:line="360" w:lineRule="auto"/>
              <w:rPr>
                <w:rFonts w:asciiTheme="majorBidi" w:hAnsiTheme="majorBidi" w:cstheme="majorBidi"/>
                <w:color w:val="000000"/>
                <w:lang w:val="en-US"/>
              </w:rPr>
            </w:pPr>
            <w:r w:rsidRPr="008D5C1D">
              <w:rPr>
                <w:rFonts w:asciiTheme="majorBidi" w:hAnsiTheme="majorBidi" w:cstheme="majorBidi"/>
                <w:color w:val="000000"/>
                <w:lang w:val="en-US"/>
              </w:rPr>
              <w:t xml:space="preserve">El </w:t>
            </w:r>
            <w:proofErr w:type="spellStart"/>
            <w:r w:rsidRPr="008D5C1D">
              <w:rPr>
                <w:rFonts w:asciiTheme="majorBidi" w:hAnsiTheme="majorBidi" w:cstheme="majorBidi"/>
                <w:color w:val="000000"/>
                <w:lang w:val="en-US"/>
              </w:rPr>
              <w:t>Oumami</w:t>
            </w:r>
            <w:proofErr w:type="spellEnd"/>
            <w:r w:rsidRPr="008D5C1D">
              <w:rPr>
                <w:rFonts w:asciiTheme="majorBidi" w:hAnsiTheme="majorBidi" w:cstheme="majorBidi"/>
                <w:color w:val="000000"/>
                <w:lang w:val="en-US"/>
              </w:rPr>
              <w:t xml:space="preserve"> &amp; El Haddad (2024, pp. 214–216)</w:t>
            </w:r>
            <w:r>
              <w:rPr>
                <w:rStyle w:val="Appelnotedebasdep"/>
                <w:rFonts w:cstheme="majorBidi"/>
                <w:color w:val="000000"/>
                <w:lang w:val="en-US"/>
              </w:rPr>
              <w:footnoteReference w:id="389"/>
            </w:r>
            <w:r w:rsidRPr="008D5C1D">
              <w:rPr>
                <w:rFonts w:asciiTheme="majorBidi" w:hAnsiTheme="majorBidi" w:cstheme="majorBidi"/>
                <w:color w:val="000000"/>
                <w:lang w:val="en-US"/>
              </w:rPr>
              <w:t xml:space="preserve"> ; </w:t>
            </w:r>
            <w:proofErr w:type="spellStart"/>
            <w:r w:rsidRPr="008D5C1D">
              <w:rPr>
                <w:rFonts w:asciiTheme="majorBidi" w:hAnsiTheme="majorBidi" w:cstheme="majorBidi"/>
                <w:color w:val="000000"/>
                <w:lang w:val="en-US"/>
              </w:rPr>
              <w:t>L’Écuyer</w:t>
            </w:r>
            <w:proofErr w:type="spellEnd"/>
            <w:r w:rsidRPr="008D5C1D">
              <w:rPr>
                <w:rFonts w:asciiTheme="majorBidi" w:hAnsiTheme="majorBidi" w:cstheme="majorBidi"/>
                <w:color w:val="000000"/>
                <w:lang w:val="en-US"/>
              </w:rPr>
              <w:t xml:space="preserve"> (2016, p. 5)</w:t>
            </w:r>
            <w:r>
              <w:rPr>
                <w:rStyle w:val="Appelnotedebasdep"/>
                <w:rFonts w:cstheme="majorBidi"/>
                <w:color w:val="000000"/>
                <w:lang w:val="en-US"/>
              </w:rPr>
              <w:footnoteReference w:id="390"/>
            </w:r>
          </w:p>
        </w:tc>
      </w:tr>
      <w:tr w:rsidR="00E772DD" w:rsidRPr="008764AA" w:rsidTr="00AE378F">
        <w:tc>
          <w:tcPr>
            <w:tcW w:w="1702" w:type="dxa"/>
            <w:shd w:val="clear" w:color="auto" w:fill="D8DCD1"/>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Performance RH</w:t>
            </w:r>
          </w:p>
        </w:tc>
        <w:tc>
          <w:tcPr>
            <w:tcW w:w="1559" w:type="dxa"/>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Variable dépendante</w:t>
            </w:r>
          </w:p>
        </w:tc>
        <w:tc>
          <w:tcPr>
            <w:tcW w:w="4819" w:type="dxa"/>
            <w:hideMark/>
          </w:tcPr>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b/>
                <w:bCs/>
                <w:color w:val="000000"/>
                <w:lang w:val="fr-FR"/>
              </w:rPr>
              <w:t>Performance RH (7 items)</w:t>
            </w:r>
            <w:r w:rsidRPr="008764AA">
              <w:rPr>
                <w:rFonts w:asciiTheme="majorBidi" w:hAnsiTheme="majorBidi" w:cstheme="majorBidi"/>
                <w:color w:val="000000"/>
                <w:lang w:val="fr-FR"/>
              </w:rPr>
              <w:t>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Réduction du temps de recrutement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Amélioration de la qualité des candidatures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Gestion de la formation plus efficace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Engagement des employés renforcé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 xml:space="preserve">Rétention des talents améliorée </w:t>
            </w:r>
          </w:p>
          <w:p w:rsidR="00E772DD" w:rsidRPr="008764AA" w:rsidRDefault="00E772DD" w:rsidP="0024578E">
            <w:pPr>
              <w:spacing w:line="360" w:lineRule="auto"/>
              <w:rPr>
                <w:rFonts w:asciiTheme="majorBidi" w:hAnsiTheme="majorBidi" w:cstheme="majorBidi"/>
                <w:color w:val="000000"/>
                <w:lang w:val="fr-FR"/>
              </w:rPr>
            </w:pPr>
            <w:r w:rsidRPr="008764AA">
              <w:rPr>
                <w:rFonts w:asciiTheme="majorBidi" w:hAnsiTheme="majorBidi" w:cstheme="majorBidi"/>
                <w:color w:val="000000"/>
                <w:lang w:val="fr-FR"/>
              </w:rPr>
              <w:t>Alignement stratégique RH et entreprise Amélioration de la performance RH</w:t>
            </w:r>
          </w:p>
        </w:tc>
        <w:tc>
          <w:tcPr>
            <w:tcW w:w="2410" w:type="dxa"/>
          </w:tcPr>
          <w:p w:rsidR="00E772DD" w:rsidRPr="008D5C1D" w:rsidRDefault="00E772DD" w:rsidP="0024578E">
            <w:pPr>
              <w:spacing w:line="360" w:lineRule="auto"/>
              <w:rPr>
                <w:rFonts w:asciiTheme="majorBidi" w:hAnsiTheme="majorBidi" w:cstheme="majorBidi"/>
                <w:color w:val="000000"/>
                <w:lang w:val="fr-FR"/>
              </w:rPr>
            </w:pPr>
            <w:proofErr w:type="spellStart"/>
            <w:r w:rsidRPr="008D5C1D">
              <w:rPr>
                <w:rFonts w:asciiTheme="majorBidi" w:hAnsiTheme="majorBidi" w:cstheme="majorBidi"/>
                <w:color w:val="000000"/>
                <w:lang w:val="fr-FR"/>
              </w:rPr>
              <w:t>Gampine</w:t>
            </w:r>
            <w:proofErr w:type="spellEnd"/>
            <w:r w:rsidRPr="008D5C1D">
              <w:rPr>
                <w:rFonts w:asciiTheme="majorBidi" w:hAnsiTheme="majorBidi" w:cstheme="majorBidi"/>
                <w:color w:val="000000"/>
                <w:lang w:val="fr-FR"/>
              </w:rPr>
              <w:t xml:space="preserve"> (2023, pp. 10–12)</w:t>
            </w:r>
            <w:r>
              <w:rPr>
                <w:rStyle w:val="Appelnotedebasdep"/>
                <w:rFonts w:cstheme="majorBidi"/>
                <w:color w:val="000000"/>
                <w:lang w:val="fr-FR"/>
              </w:rPr>
              <w:footnoteReference w:id="391"/>
            </w:r>
            <w:r w:rsidRPr="008D5C1D">
              <w:rPr>
                <w:rFonts w:asciiTheme="majorBidi" w:hAnsiTheme="majorBidi" w:cstheme="majorBidi"/>
                <w:color w:val="000000"/>
                <w:lang w:val="fr-FR"/>
              </w:rPr>
              <w:t xml:space="preserve"> ; </w:t>
            </w:r>
            <w:proofErr w:type="spellStart"/>
            <w:r w:rsidRPr="008D5C1D">
              <w:rPr>
                <w:rFonts w:asciiTheme="majorBidi" w:hAnsiTheme="majorBidi" w:cstheme="majorBidi"/>
                <w:color w:val="000000"/>
                <w:lang w:val="fr-FR"/>
              </w:rPr>
              <w:t>Berrefas</w:t>
            </w:r>
            <w:proofErr w:type="spellEnd"/>
            <w:r w:rsidRPr="008D5C1D">
              <w:rPr>
                <w:rFonts w:asciiTheme="majorBidi" w:hAnsiTheme="majorBidi" w:cstheme="majorBidi"/>
                <w:color w:val="000000"/>
                <w:lang w:val="fr-FR"/>
              </w:rPr>
              <w:t xml:space="preserve"> (2023, pp. 122–124)</w:t>
            </w:r>
            <w:r>
              <w:rPr>
                <w:rStyle w:val="Appelnotedebasdep"/>
                <w:rFonts w:cstheme="majorBidi"/>
                <w:color w:val="000000"/>
                <w:lang w:val="fr-FR"/>
              </w:rPr>
              <w:footnoteReference w:id="392"/>
            </w:r>
          </w:p>
        </w:tc>
      </w:tr>
    </w:tbl>
    <w:p w:rsidR="00E772DD" w:rsidRDefault="00E772DD" w:rsidP="0027184E">
      <w:pPr>
        <w:spacing w:line="360" w:lineRule="auto"/>
        <w:jc w:val="center"/>
        <w:rPr>
          <w:rFonts w:asciiTheme="majorBidi" w:hAnsiTheme="majorBidi" w:cstheme="majorBidi"/>
          <w:color w:val="000000"/>
          <w:rtl/>
        </w:rPr>
      </w:pPr>
      <w:r w:rsidRPr="008764AA">
        <w:rPr>
          <w:rFonts w:asciiTheme="majorBidi" w:hAnsiTheme="majorBidi" w:cstheme="majorBidi"/>
          <w:b/>
          <w:bCs/>
          <w:color w:val="000000"/>
          <w:lang w:val="fr-FR"/>
        </w:rPr>
        <w:t>Source :</w:t>
      </w:r>
      <w:r w:rsidRPr="008764AA">
        <w:rPr>
          <w:rFonts w:asciiTheme="majorBidi" w:hAnsiTheme="majorBidi" w:cstheme="majorBidi"/>
          <w:color w:val="000000"/>
          <w:lang w:val="fr-FR"/>
        </w:rPr>
        <w:t xml:space="preserve"> </w:t>
      </w:r>
      <w:r w:rsidRPr="0027184E">
        <w:rPr>
          <w:rFonts w:asciiTheme="majorBidi" w:hAnsiTheme="majorBidi" w:cstheme="majorBidi"/>
          <w:color w:val="000000"/>
        </w:rPr>
        <w:t>Items inspirés et adaptés à partir des travaux de Jarachi et al. (2022), L’Écuyer (2016), Gampine (2023), El Oumami &amp; El Haddad (2024), Galindo et al. (2019), et Berrefas (2023).</w:t>
      </w:r>
    </w:p>
    <w:p w:rsidR="00E772DD" w:rsidRDefault="00E772DD" w:rsidP="00720E53">
      <w:p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 xml:space="preserve">Pour une présentation détaillée des items associés à chaque variable, </w:t>
      </w:r>
      <w:r>
        <w:rPr>
          <w:rFonts w:asciiTheme="majorBidi" w:hAnsiTheme="majorBidi" w:cstheme="majorBidi"/>
          <w:color w:val="000000"/>
          <w:lang w:val="fr-FR"/>
        </w:rPr>
        <w:t xml:space="preserve">(voir </w:t>
      </w:r>
      <w:r w:rsidRPr="008764AA">
        <w:rPr>
          <w:rFonts w:asciiTheme="majorBidi" w:hAnsiTheme="majorBidi" w:cstheme="majorBidi"/>
          <w:color w:val="000000"/>
          <w:lang w:val="fr-FR"/>
        </w:rPr>
        <w:t>annexe</w:t>
      </w:r>
      <w:r>
        <w:rPr>
          <w:rFonts w:asciiTheme="majorBidi" w:hAnsiTheme="majorBidi" w:cstheme="majorBidi"/>
          <w:color w:val="000000"/>
          <w:lang w:val="fr-FR"/>
        </w:rPr>
        <w:t xml:space="preserve"> n°10)</w:t>
      </w:r>
      <w:r w:rsidRPr="008764AA">
        <w:rPr>
          <w:rFonts w:asciiTheme="majorBidi" w:hAnsiTheme="majorBidi" w:cstheme="majorBidi"/>
          <w:color w:val="000000"/>
          <w:lang w:val="fr-FR"/>
        </w:rPr>
        <w:t>, où chaque élément est explicitement défini et énuméré.</w:t>
      </w:r>
    </w:p>
    <w:p w:rsidR="00BB319E" w:rsidRPr="008764AA" w:rsidRDefault="00BB319E" w:rsidP="00720E53">
      <w:pPr>
        <w:spacing w:after="240" w:line="360" w:lineRule="auto"/>
        <w:jc w:val="both"/>
        <w:rPr>
          <w:rFonts w:asciiTheme="majorBidi" w:hAnsiTheme="majorBidi" w:cstheme="majorBidi"/>
          <w:color w:val="000000"/>
          <w:lang w:val="fr-FR"/>
        </w:rPr>
      </w:pPr>
    </w:p>
    <w:p w:rsidR="00E772DD" w:rsidRPr="00321B2D" w:rsidRDefault="00E772DD" w:rsidP="004D32AC">
      <w:pPr>
        <w:pStyle w:val="Titre3"/>
        <w:numPr>
          <w:ilvl w:val="0"/>
          <w:numId w:val="192"/>
        </w:numPr>
        <w:spacing w:after="0" w:afterAutospacing="0" w:line="360" w:lineRule="auto"/>
        <w:rPr>
          <w:sz w:val="24"/>
          <w:szCs w:val="24"/>
        </w:rPr>
      </w:pPr>
      <w:bookmarkStart w:id="2143" w:name="_Toc199714548"/>
      <w:bookmarkStart w:id="2144" w:name="_Toc200486824"/>
      <w:bookmarkStart w:id="2145" w:name="_Toc200635602"/>
      <w:bookmarkStart w:id="2146" w:name="_Toc200635990"/>
      <w:bookmarkStart w:id="2147" w:name="_Toc200636379"/>
      <w:bookmarkStart w:id="2148" w:name="_Toc200756120"/>
      <w:r w:rsidRPr="00321B2D">
        <w:rPr>
          <w:sz w:val="24"/>
          <w:szCs w:val="24"/>
        </w:rPr>
        <w:lastRenderedPageBreak/>
        <w:t>Outils d'analyse</w:t>
      </w:r>
      <w:bookmarkEnd w:id="2143"/>
      <w:bookmarkEnd w:id="2144"/>
      <w:bookmarkEnd w:id="2145"/>
      <w:bookmarkEnd w:id="2146"/>
      <w:bookmarkEnd w:id="2147"/>
      <w:bookmarkEnd w:id="2148"/>
    </w:p>
    <w:p w:rsidR="00E772DD" w:rsidRDefault="00E772DD" w:rsidP="00720E53">
      <w:pPr>
        <w:spacing w:line="360" w:lineRule="auto"/>
        <w:jc w:val="both"/>
        <w:rPr>
          <w:rFonts w:asciiTheme="majorBidi" w:hAnsiTheme="majorBidi" w:cstheme="majorBidi"/>
        </w:rPr>
      </w:pPr>
      <w:r w:rsidRPr="000730E4">
        <w:rPr>
          <w:rFonts w:asciiTheme="majorBidi" w:hAnsiTheme="majorBidi" w:cstheme="majorBidi"/>
        </w:rPr>
        <w:t>Dans les sciences de gestion et les sciences sociales, les outils d’analyse constituent un pilier essentiel pour traiter les données empiriques, valider des hypothèses, et interpréter les phénomènes complexes liés aux comportements organisationnels, humains et économiques. Leur rôle est de transformer des données brutes en informations exploitables, permettant de tester des modèles conceptuels, de détecter des tendances, ou encore d’identifier des corrélations significatives entre variables</w:t>
      </w:r>
      <w:r w:rsidRPr="000730E4">
        <w:rPr>
          <w:rFonts w:ascii="-webkit-standard" w:hAnsi="-webkit-standard"/>
          <w:color w:val="000000"/>
          <w:sz w:val="27"/>
          <w:szCs w:val="27"/>
        </w:rPr>
        <w:t xml:space="preserve"> </w:t>
      </w:r>
      <w:r w:rsidRPr="000730E4">
        <w:rPr>
          <w:rFonts w:asciiTheme="majorBidi" w:hAnsiTheme="majorBidi" w:cstheme="majorBidi"/>
        </w:rPr>
        <w:t>(Miles, Huberman &amp; Saldaña, 2014, p. 13)</w:t>
      </w:r>
      <w:r>
        <w:rPr>
          <w:rStyle w:val="Appelnotedebasdep"/>
          <w:rFonts w:cstheme="majorBidi"/>
        </w:rPr>
        <w:footnoteReference w:id="393"/>
      </w:r>
      <w:r w:rsidRPr="000730E4">
        <w:rPr>
          <w:rFonts w:asciiTheme="majorBidi" w:hAnsiTheme="majorBidi" w:cstheme="majorBidi"/>
        </w:rPr>
        <w:t>.</w:t>
      </w:r>
    </w:p>
    <w:p w:rsidR="00E772DD" w:rsidRPr="000730E4" w:rsidRDefault="00E772DD" w:rsidP="000730E4">
      <w:pPr>
        <w:spacing w:before="240" w:line="360" w:lineRule="auto"/>
        <w:jc w:val="both"/>
        <w:rPr>
          <w:rFonts w:asciiTheme="majorBidi" w:hAnsiTheme="majorBidi" w:cstheme="majorBidi"/>
        </w:rPr>
      </w:pPr>
      <w:r w:rsidRPr="000730E4">
        <w:rPr>
          <w:rFonts w:asciiTheme="majorBidi" w:hAnsiTheme="majorBidi" w:cstheme="majorBidi"/>
        </w:rPr>
        <w:t>Le choix de ces outils dépend notamment de la nature des hypothèses, du type de données collectées (quantitatives ou qualitatives), et du niveau de traitement statistique requis pour atteindre les objectifs de recherche (Collis &amp; Hussey, 2014, p. 218)</w:t>
      </w:r>
      <w:r>
        <w:rPr>
          <w:rStyle w:val="Appelnotedebasdep"/>
          <w:rFonts w:cstheme="majorBidi"/>
        </w:rPr>
        <w:footnoteReference w:id="394"/>
      </w:r>
      <w:r w:rsidRPr="000730E4">
        <w:rPr>
          <w:rFonts w:asciiTheme="majorBidi" w:hAnsiTheme="majorBidi" w:cstheme="majorBidi"/>
        </w:rPr>
        <w:t>. Bryman (2016)</w:t>
      </w:r>
      <w:r>
        <w:rPr>
          <w:rStyle w:val="Appelnotedebasdep"/>
          <w:rFonts w:cstheme="majorBidi"/>
        </w:rPr>
        <w:footnoteReference w:id="395"/>
      </w:r>
      <w:r w:rsidRPr="000730E4">
        <w:rPr>
          <w:rFonts w:asciiTheme="majorBidi" w:hAnsiTheme="majorBidi" w:cstheme="majorBidi"/>
        </w:rPr>
        <w:t xml:space="preserve"> souligne que, dans une approche hypothético-déductive, les outils statistiques sont particulièrement adaptés pour vérifier empiriquement les hypothèses issues du cadre théorique.</w:t>
      </w:r>
    </w:p>
    <w:p w:rsidR="00E772DD" w:rsidRPr="000730E4" w:rsidRDefault="00E772DD" w:rsidP="00321B2D">
      <w:pPr>
        <w:spacing w:before="240" w:line="360" w:lineRule="auto"/>
        <w:jc w:val="both"/>
        <w:rPr>
          <w:rFonts w:asciiTheme="majorBidi" w:hAnsiTheme="majorBidi" w:cstheme="majorBidi"/>
        </w:rPr>
      </w:pPr>
      <w:r w:rsidRPr="000730E4">
        <w:rPr>
          <w:rFonts w:asciiTheme="majorBidi" w:hAnsiTheme="majorBidi" w:cstheme="majorBidi"/>
        </w:rPr>
        <w:t>Dans cette recherche, plusieurs outils d’analyse ont été mobilisés pour garantir la validité des résultats et la solidité des interprétations. Chaque outil a été sélectionné en fonction de sa capacité à répondre aux exigences analytiques spécifiques liées au modèle conceptuel adopté. Ces outils comprennent notamment des analyses statistiques descriptives, des tests de fiabilité (comme l’alpha de Cronbach), une analyse factorielle exploratoire (AFE) pour valider la structure des dimensions mesurées, ainsi que des analyses de régression pour tester les relations entre variables. L’objectif est d’assurer une cohérence entre les hypothèses formulées, les données collectées et les résultats obtenus.</w:t>
      </w:r>
    </w:p>
    <w:p w:rsidR="00E772DD" w:rsidRPr="00321B2D" w:rsidRDefault="00E772DD" w:rsidP="004D32AC">
      <w:pPr>
        <w:pStyle w:val="Titre3"/>
        <w:numPr>
          <w:ilvl w:val="1"/>
          <w:numId w:val="192"/>
        </w:numPr>
        <w:spacing w:after="0" w:afterAutospacing="0" w:line="360" w:lineRule="auto"/>
        <w:rPr>
          <w:sz w:val="24"/>
          <w:szCs w:val="24"/>
          <w:lang w:val="en-US"/>
        </w:rPr>
      </w:pPr>
      <w:bookmarkStart w:id="2149" w:name="_Toc199714549"/>
      <w:bookmarkStart w:id="2150" w:name="_Toc200486825"/>
      <w:bookmarkStart w:id="2151" w:name="_Toc200635603"/>
      <w:bookmarkStart w:id="2152" w:name="_Toc200635991"/>
      <w:bookmarkStart w:id="2153" w:name="_Toc200636380"/>
      <w:bookmarkStart w:id="2154" w:name="_Toc200756121"/>
      <w:r w:rsidRPr="00321B2D">
        <w:rPr>
          <w:sz w:val="24"/>
          <w:szCs w:val="24"/>
          <w:lang w:val="en-US"/>
        </w:rPr>
        <w:t>SPSS (Statistical Package for the Social Sciences)</w:t>
      </w:r>
      <w:bookmarkEnd w:id="2149"/>
      <w:bookmarkEnd w:id="2150"/>
      <w:bookmarkEnd w:id="2151"/>
      <w:bookmarkEnd w:id="2152"/>
      <w:bookmarkEnd w:id="2153"/>
      <w:bookmarkEnd w:id="2154"/>
    </w:p>
    <w:p w:rsidR="00720E53" w:rsidRDefault="00E772DD" w:rsidP="001F69F7">
      <w:pPr>
        <w:spacing w:line="360" w:lineRule="auto"/>
        <w:jc w:val="both"/>
        <w:rPr>
          <w:rFonts w:asciiTheme="majorBidi" w:hAnsiTheme="majorBidi" w:cstheme="majorBidi"/>
          <w:color w:val="0C0C0C"/>
        </w:rPr>
      </w:pPr>
      <w:r w:rsidRPr="001F69F7">
        <w:rPr>
          <w:rFonts w:asciiTheme="majorBidi" w:hAnsiTheme="majorBidi" w:cstheme="majorBidi"/>
          <w:color w:val="0C0C0C"/>
        </w:rPr>
        <w:t>Le logiciel SPSS (</w:t>
      </w:r>
      <w:r w:rsidRPr="001F69F7">
        <w:rPr>
          <w:rFonts w:asciiTheme="majorBidi" w:hAnsiTheme="majorBidi" w:cstheme="majorBidi"/>
          <w:i/>
          <w:iCs/>
          <w:color w:val="0C0C0C"/>
        </w:rPr>
        <w:t>Statistical Package for the Social Sciences</w:t>
      </w:r>
      <w:r w:rsidRPr="001F69F7">
        <w:rPr>
          <w:rFonts w:asciiTheme="majorBidi" w:hAnsiTheme="majorBidi" w:cstheme="majorBidi"/>
          <w:color w:val="0C0C0C"/>
        </w:rPr>
        <w:t>), développé initialement par IBM, est l’un des outils les plus populaires et puissants pour l’analyse statistique en sciences sociales, en particulier en gestion, en psychologie, en sociologie et en éducation</w:t>
      </w:r>
      <w:r w:rsidR="00720E53" w:rsidRPr="00847F4A">
        <w:rPr>
          <w:rFonts w:asciiTheme="majorBidi" w:hAnsiTheme="majorBidi" w:cstheme="majorBidi"/>
          <w:color w:val="0C0C0C"/>
          <w:lang w:val="fr-FR"/>
        </w:rPr>
        <w:t>.</w:t>
      </w:r>
      <w:r>
        <w:rPr>
          <w:rStyle w:val="Appelnotedebasdep"/>
          <w:rFonts w:cstheme="majorBidi"/>
          <w:color w:val="0C0C0C"/>
        </w:rPr>
        <w:footnoteReference w:id="396"/>
      </w:r>
    </w:p>
    <w:p w:rsidR="00E772DD" w:rsidRPr="001F69F7" w:rsidRDefault="00E772DD" w:rsidP="001F69F7">
      <w:pPr>
        <w:spacing w:line="360" w:lineRule="auto"/>
        <w:jc w:val="both"/>
        <w:rPr>
          <w:rFonts w:asciiTheme="majorBidi" w:hAnsiTheme="majorBidi" w:cstheme="majorBidi"/>
          <w:color w:val="0C0C0C"/>
        </w:rPr>
      </w:pPr>
      <w:r w:rsidRPr="001F69F7">
        <w:rPr>
          <w:rFonts w:asciiTheme="majorBidi" w:hAnsiTheme="majorBidi" w:cstheme="majorBidi"/>
          <w:color w:val="0C0C0C"/>
        </w:rPr>
        <w:t xml:space="preserve"> Sa version 29, utilisée dans le cadre de cette étude, propose une interface conviviale, accessible même aux utilisateurs peu familiers avec la programmation, tout en offrant un large éventail de fonctionnalités avancées pour le traitement et l’analyse des données quantitatives.</w:t>
      </w:r>
    </w:p>
    <w:p w:rsidR="00720E53" w:rsidRDefault="00E772DD" w:rsidP="00720E53">
      <w:pPr>
        <w:spacing w:line="360" w:lineRule="auto"/>
        <w:jc w:val="both"/>
        <w:rPr>
          <w:rFonts w:asciiTheme="majorBidi" w:hAnsiTheme="majorBidi" w:cstheme="majorBidi"/>
          <w:color w:val="0C0C0C"/>
        </w:rPr>
      </w:pPr>
      <w:r w:rsidRPr="001F69F7">
        <w:rPr>
          <w:rFonts w:asciiTheme="majorBidi" w:hAnsiTheme="majorBidi" w:cstheme="majorBidi"/>
          <w:color w:val="0C0C0C"/>
        </w:rPr>
        <w:lastRenderedPageBreak/>
        <w:t>Parmi ses principales fonctionnalités, on peut citer :</w:t>
      </w:r>
    </w:p>
    <w:p w:rsidR="00720E53" w:rsidRDefault="00720E53" w:rsidP="00720E53">
      <w:pPr>
        <w:spacing w:line="360" w:lineRule="auto"/>
        <w:jc w:val="both"/>
        <w:rPr>
          <w:rFonts w:asciiTheme="majorBidi" w:hAnsiTheme="majorBidi" w:cstheme="majorBidi"/>
          <w:color w:val="0C0C0C"/>
        </w:rPr>
      </w:pPr>
      <w:r w:rsidRPr="001F69F7">
        <w:rPr>
          <w:rFonts w:asciiTheme="majorBidi" w:hAnsiTheme="majorBidi" w:cstheme="majorBidi"/>
          <w:color w:val="0C0C0C"/>
        </w:rPr>
        <w:t>La gestion des bases de données : SPSS permet de manipuler des jeux de données complexes, d’effectuer des transformations, des recodages, des tris, des filtrages et des regroupements de variables avec une grande flexibilité</w:t>
      </w:r>
      <w:r w:rsidRPr="00847F4A">
        <w:rPr>
          <w:rFonts w:asciiTheme="majorBidi" w:hAnsiTheme="majorBidi" w:cstheme="majorBidi"/>
          <w:color w:val="0C0C0C"/>
          <w:lang w:val="fr-FR"/>
        </w:rPr>
        <w:t>.</w:t>
      </w:r>
      <w:r>
        <w:rPr>
          <w:rStyle w:val="Appelnotedebasdep"/>
          <w:rFonts w:cstheme="majorBidi"/>
          <w:color w:val="0C0C0C"/>
        </w:rPr>
        <w:footnoteReference w:id="397"/>
      </w:r>
    </w:p>
    <w:p w:rsidR="00720E53" w:rsidRDefault="00720E53" w:rsidP="00720E53">
      <w:pPr>
        <w:spacing w:line="360" w:lineRule="auto"/>
        <w:jc w:val="both"/>
        <w:rPr>
          <w:rFonts w:asciiTheme="majorBidi" w:hAnsiTheme="majorBidi" w:cstheme="majorBidi"/>
          <w:color w:val="0C0C0C"/>
        </w:rPr>
      </w:pPr>
      <w:r w:rsidRPr="001F69F7">
        <w:rPr>
          <w:rFonts w:asciiTheme="majorBidi" w:hAnsiTheme="majorBidi" w:cstheme="majorBidi"/>
          <w:color w:val="0C0C0C"/>
        </w:rPr>
        <w:t>L’analyse descriptive : moyennes, médianes, fréquences, tableaux croisés, dispersion, et représentations graphiques.</w:t>
      </w:r>
    </w:p>
    <w:p w:rsidR="00720E53" w:rsidRDefault="00720E53" w:rsidP="00720E53">
      <w:pPr>
        <w:spacing w:line="360" w:lineRule="auto"/>
        <w:jc w:val="both"/>
        <w:rPr>
          <w:rFonts w:asciiTheme="majorBidi" w:hAnsiTheme="majorBidi" w:cstheme="majorBidi"/>
          <w:color w:val="0C0C0C"/>
        </w:rPr>
      </w:pPr>
      <w:r w:rsidRPr="001F69F7">
        <w:rPr>
          <w:rFonts w:asciiTheme="majorBidi" w:hAnsiTheme="majorBidi" w:cstheme="majorBidi"/>
          <w:color w:val="0C0C0C"/>
        </w:rPr>
        <w:t xml:space="preserve">• Les tests de fiabilité : notamment le calcul de l’alpha de Cronbach pour vérifier la cohérence interne des échelles de mesure </w:t>
      </w:r>
      <w:r w:rsidRPr="00847F4A">
        <w:rPr>
          <w:rFonts w:asciiTheme="majorBidi" w:hAnsiTheme="majorBidi" w:cstheme="majorBidi"/>
          <w:color w:val="0C0C0C"/>
          <w:lang w:val="fr-FR"/>
        </w:rPr>
        <w:t>.</w:t>
      </w:r>
      <w:r>
        <w:rPr>
          <w:rStyle w:val="Appelnotedebasdep"/>
          <w:rFonts w:cstheme="majorBidi"/>
          <w:color w:val="0C0C0C"/>
        </w:rPr>
        <w:footnoteReference w:id="398"/>
      </w:r>
    </w:p>
    <w:p w:rsidR="00720E53" w:rsidRDefault="00720E53" w:rsidP="00720E53">
      <w:pPr>
        <w:spacing w:line="360" w:lineRule="auto"/>
        <w:jc w:val="both"/>
        <w:rPr>
          <w:rFonts w:asciiTheme="majorBidi" w:hAnsiTheme="majorBidi" w:cstheme="majorBidi"/>
          <w:color w:val="0C0C0C"/>
        </w:rPr>
      </w:pPr>
      <w:r w:rsidRPr="001F69F7">
        <w:rPr>
          <w:rFonts w:asciiTheme="majorBidi" w:hAnsiTheme="majorBidi" w:cstheme="majorBidi"/>
          <w:color w:val="0C0C0C"/>
        </w:rPr>
        <w:t>• Les analyses bivariées : corrélations de Pearson, tests </w:t>
      </w:r>
      <w:r w:rsidRPr="001F69F7">
        <w:rPr>
          <w:rFonts w:asciiTheme="majorBidi" w:hAnsiTheme="majorBidi" w:cstheme="majorBidi"/>
          <w:i/>
          <w:iCs/>
          <w:color w:val="0C0C0C"/>
        </w:rPr>
        <w:t>t</w:t>
      </w:r>
      <w:r w:rsidRPr="001F69F7">
        <w:rPr>
          <w:rFonts w:asciiTheme="majorBidi" w:hAnsiTheme="majorBidi" w:cstheme="majorBidi"/>
          <w:color w:val="0C0C0C"/>
        </w:rPr>
        <w:t> de Student, ANOVA, etc.</w:t>
      </w:r>
      <w:r w:rsidR="00E772DD" w:rsidRPr="001F69F7">
        <w:rPr>
          <w:rFonts w:asciiTheme="majorBidi" w:hAnsiTheme="majorBidi" w:cstheme="majorBidi"/>
          <w:color w:val="0C0C0C"/>
        </w:rPr>
        <w:br/>
        <w:t>• Les analyses multivariées : régressions linéaires et multiples, analyse factorielle exploratoire (EFA), analyse discriminante, etc</w:t>
      </w:r>
      <w:r w:rsidR="00E772DD">
        <w:rPr>
          <w:rStyle w:val="Appelnotedebasdep"/>
          <w:rFonts w:cstheme="majorBidi"/>
          <w:color w:val="0C0C0C"/>
        </w:rPr>
        <w:footnoteReference w:id="399"/>
      </w:r>
      <w:r w:rsidR="00E772DD" w:rsidRPr="001F69F7">
        <w:rPr>
          <w:rFonts w:asciiTheme="majorBidi" w:hAnsiTheme="majorBidi" w:cstheme="majorBidi"/>
          <w:color w:val="0C0C0C"/>
        </w:rPr>
        <w:t>.</w:t>
      </w:r>
    </w:p>
    <w:p w:rsidR="00720E53" w:rsidRPr="001F69F7" w:rsidRDefault="00720E53" w:rsidP="00720E53">
      <w:pPr>
        <w:spacing w:line="360" w:lineRule="auto"/>
        <w:jc w:val="both"/>
        <w:rPr>
          <w:rFonts w:asciiTheme="majorBidi" w:hAnsiTheme="majorBidi" w:cstheme="majorBidi"/>
          <w:color w:val="0C0C0C"/>
        </w:rPr>
      </w:pPr>
      <w:r w:rsidRPr="001F69F7">
        <w:rPr>
          <w:rFonts w:asciiTheme="majorBidi" w:hAnsiTheme="majorBidi" w:cstheme="majorBidi"/>
          <w:color w:val="0C0C0C"/>
        </w:rPr>
        <w:t>• Les modules complémentaires : SPSS offre aussi la possibilité d’intégrer des scripts Python ou R pour élargir ses capacités d’analyse, ainsi que des extensions telles que PROCESS de Hayes pour les modèles de médiation et de modération</w:t>
      </w:r>
      <w:r w:rsidRPr="00847F4A">
        <w:rPr>
          <w:rFonts w:asciiTheme="majorBidi" w:hAnsiTheme="majorBidi" w:cstheme="majorBidi"/>
          <w:color w:val="0C0C0C"/>
          <w:lang w:val="fr-FR"/>
        </w:rPr>
        <w:t>.</w:t>
      </w:r>
      <w:r>
        <w:rPr>
          <w:rStyle w:val="Appelnotedebasdep"/>
          <w:rFonts w:cstheme="majorBidi"/>
          <w:color w:val="0C0C0C"/>
        </w:rPr>
        <w:footnoteReference w:id="400"/>
      </w:r>
    </w:p>
    <w:p w:rsidR="00720E53" w:rsidRDefault="00E772DD" w:rsidP="00720E53">
      <w:pPr>
        <w:spacing w:line="360" w:lineRule="auto"/>
        <w:jc w:val="both"/>
        <w:rPr>
          <w:rFonts w:asciiTheme="majorBidi" w:hAnsiTheme="majorBidi" w:cstheme="majorBidi"/>
          <w:color w:val="0C0C0C"/>
        </w:rPr>
      </w:pPr>
      <w:r w:rsidRPr="001F69F7">
        <w:rPr>
          <w:rFonts w:asciiTheme="majorBidi" w:hAnsiTheme="majorBidi" w:cstheme="majorBidi"/>
          <w:color w:val="0C0C0C"/>
        </w:rPr>
        <w:t>Dans le cadre de cette recherche, SPSS version 29 a été utilisé à plusieurs niveaux :</w:t>
      </w:r>
      <w:r w:rsidRPr="001F69F7">
        <w:rPr>
          <w:rFonts w:asciiTheme="majorBidi" w:hAnsiTheme="majorBidi" w:cstheme="majorBidi"/>
          <w:color w:val="0C0C0C"/>
        </w:rPr>
        <w:br/>
        <w:t>• Pour le traitement initial des données : vérification des valeurs manquantes, suppression des doublons, détection des valeurs aberrantes, et nettoyage général de la base.</w:t>
      </w:r>
      <w:r w:rsidRPr="001F69F7">
        <w:rPr>
          <w:rFonts w:asciiTheme="majorBidi" w:hAnsiTheme="majorBidi" w:cstheme="majorBidi"/>
          <w:color w:val="0C0C0C"/>
        </w:rPr>
        <w:br/>
        <w:t>•</w:t>
      </w:r>
      <w:r w:rsidRPr="001F69F7">
        <w:rPr>
          <w:rFonts w:ascii="-webkit-standard" w:hAnsi="-webkit-standard"/>
          <w:color w:val="000000"/>
          <w:sz w:val="27"/>
          <w:szCs w:val="27"/>
        </w:rPr>
        <w:t xml:space="preserve"> </w:t>
      </w:r>
      <w:r w:rsidRPr="001F69F7">
        <w:rPr>
          <w:rFonts w:asciiTheme="majorBidi" w:hAnsiTheme="majorBidi" w:cstheme="majorBidi"/>
          <w:color w:val="0C0C0C"/>
        </w:rPr>
        <w:t>Pour la réalisation de tests de régression et d’analyses de variance (ANOVA), dans le cadre de l’analyse des relations entre la digitalisation des processus RH, les processus de recrutement et de</w:t>
      </w:r>
      <w:r>
        <w:rPr>
          <w:rFonts w:asciiTheme="majorBidi" w:hAnsiTheme="majorBidi" w:cstheme="majorBidi"/>
          <w:color w:val="0C0C0C"/>
          <w:lang w:val="fr-FR"/>
        </w:rPr>
        <w:t xml:space="preserve"> </w:t>
      </w:r>
      <w:r w:rsidRPr="001F69F7">
        <w:rPr>
          <w:rFonts w:asciiTheme="majorBidi" w:hAnsiTheme="majorBidi" w:cstheme="majorBidi"/>
          <w:color w:val="0C0C0C"/>
        </w:rPr>
        <w:t>formation, et la performance RH.</w:t>
      </w:r>
    </w:p>
    <w:p w:rsidR="00720E53" w:rsidRDefault="00720E53" w:rsidP="00720E53">
      <w:pPr>
        <w:spacing w:line="360" w:lineRule="auto"/>
        <w:jc w:val="both"/>
        <w:rPr>
          <w:rFonts w:asciiTheme="majorBidi" w:hAnsiTheme="majorBidi" w:cstheme="majorBidi"/>
          <w:color w:val="0C0C0C"/>
        </w:rPr>
      </w:pPr>
      <w:r w:rsidRPr="001F69F7">
        <w:rPr>
          <w:rFonts w:asciiTheme="majorBidi" w:hAnsiTheme="majorBidi" w:cstheme="majorBidi"/>
          <w:color w:val="0C0C0C"/>
        </w:rPr>
        <w:t>• Pour la réalisation de tests de régression dans le cadre de l’analyse des relations entre la digitalisation des processus RH, les processus de recrutement et de formation, et la performance RH.</w:t>
      </w:r>
    </w:p>
    <w:p w:rsidR="00E772DD" w:rsidRDefault="00E772DD" w:rsidP="00720E53">
      <w:pPr>
        <w:spacing w:after="240" w:line="360" w:lineRule="auto"/>
        <w:jc w:val="both"/>
        <w:rPr>
          <w:rFonts w:asciiTheme="majorBidi" w:hAnsiTheme="majorBidi" w:cstheme="majorBidi"/>
          <w:color w:val="0C0C0C"/>
          <w:lang w:val="fr-FR"/>
        </w:rPr>
      </w:pPr>
      <w:r w:rsidRPr="001F69F7">
        <w:rPr>
          <w:rFonts w:asciiTheme="majorBidi" w:hAnsiTheme="majorBidi" w:cstheme="majorBidi"/>
          <w:color w:val="0C0C0C"/>
        </w:rPr>
        <w:t>Le choix de SPSS se justifie par sa fiabilité, sa popularité dans les recherches en gestion, sa richesse fonctionnelle et sa facilité d’utilisation. Il constitue ainsi un outil incontournable pour produire des résultats statistiquement valides et directement exploitables dans un cadre académique</w:t>
      </w:r>
      <w:r>
        <w:rPr>
          <w:rFonts w:asciiTheme="majorBidi" w:hAnsiTheme="majorBidi" w:cstheme="majorBidi"/>
          <w:color w:val="0C0C0C"/>
          <w:lang w:val="fr-FR"/>
        </w:rPr>
        <w:t>.</w:t>
      </w:r>
    </w:p>
    <w:p w:rsidR="00BB319E" w:rsidRPr="00720E53" w:rsidRDefault="00BB319E" w:rsidP="00720E53">
      <w:pPr>
        <w:spacing w:after="240" w:line="360" w:lineRule="auto"/>
        <w:jc w:val="both"/>
        <w:rPr>
          <w:rFonts w:asciiTheme="majorBidi" w:hAnsiTheme="majorBidi" w:cstheme="majorBidi"/>
          <w:color w:val="0C0C0C"/>
        </w:rPr>
      </w:pPr>
    </w:p>
    <w:p w:rsidR="00E772DD" w:rsidRPr="00321B2D" w:rsidRDefault="00321B2D" w:rsidP="004D32AC">
      <w:pPr>
        <w:pStyle w:val="Titre3"/>
        <w:numPr>
          <w:ilvl w:val="1"/>
          <w:numId w:val="192"/>
        </w:numPr>
        <w:spacing w:after="0" w:afterAutospacing="0" w:line="360" w:lineRule="auto"/>
        <w:rPr>
          <w:sz w:val="24"/>
          <w:szCs w:val="24"/>
        </w:rPr>
      </w:pPr>
      <w:r w:rsidRPr="00847F4A">
        <w:rPr>
          <w:sz w:val="24"/>
          <w:szCs w:val="24"/>
          <w:lang w:val="fr-FR"/>
        </w:rPr>
        <w:lastRenderedPageBreak/>
        <w:t xml:space="preserve"> </w:t>
      </w:r>
      <w:bookmarkStart w:id="2155" w:name="_Toc199714550"/>
      <w:bookmarkStart w:id="2156" w:name="_Toc200486826"/>
      <w:bookmarkStart w:id="2157" w:name="_Toc200635604"/>
      <w:bookmarkStart w:id="2158" w:name="_Toc200635992"/>
      <w:bookmarkStart w:id="2159" w:name="_Toc200636381"/>
      <w:bookmarkStart w:id="2160" w:name="_Toc200756122"/>
      <w:r w:rsidR="00E772DD" w:rsidRPr="00321B2D">
        <w:rPr>
          <w:sz w:val="24"/>
          <w:szCs w:val="24"/>
        </w:rPr>
        <w:t>SmartPLS</w:t>
      </w:r>
      <w:bookmarkEnd w:id="2155"/>
      <w:bookmarkEnd w:id="2156"/>
      <w:bookmarkEnd w:id="2157"/>
      <w:bookmarkEnd w:id="2158"/>
      <w:bookmarkEnd w:id="2159"/>
      <w:bookmarkEnd w:id="2160"/>
    </w:p>
    <w:p w:rsidR="00720E53" w:rsidRDefault="00E772DD" w:rsidP="00720E53">
      <w:pPr>
        <w:spacing w:line="360" w:lineRule="auto"/>
        <w:jc w:val="both"/>
        <w:rPr>
          <w:rFonts w:asciiTheme="majorBidi" w:hAnsiTheme="majorBidi" w:cstheme="majorBidi"/>
        </w:rPr>
      </w:pPr>
      <w:r w:rsidRPr="00A67DA3">
        <w:rPr>
          <w:rFonts w:asciiTheme="majorBidi" w:hAnsiTheme="majorBidi" w:cstheme="majorBidi"/>
        </w:rPr>
        <w:t>SmartPLS 4 est un logiciel spécialisé dans l’analyse en modélisation par équations structurelles à variables latentes, fondée sur la méthode des moindres carrés partiels (</w:t>
      </w:r>
      <w:r w:rsidRPr="00A67DA3">
        <w:rPr>
          <w:rFonts w:asciiTheme="majorBidi" w:hAnsiTheme="majorBidi" w:cstheme="majorBidi"/>
          <w:i/>
          <w:iCs/>
        </w:rPr>
        <w:t>Partial Least Squares Structural Equation Modeling</w:t>
      </w:r>
      <w:r w:rsidRPr="00A67DA3">
        <w:rPr>
          <w:rFonts w:asciiTheme="majorBidi" w:hAnsiTheme="majorBidi" w:cstheme="majorBidi"/>
        </w:rPr>
        <w:t>, PLS-SEM). Contrairement aux approches basées sur la méthode des moindres carrés ordinaires (</w:t>
      </w:r>
      <w:r w:rsidRPr="00A67DA3">
        <w:rPr>
          <w:rFonts w:asciiTheme="majorBidi" w:hAnsiTheme="majorBidi" w:cstheme="majorBidi"/>
          <w:i/>
          <w:iCs/>
        </w:rPr>
        <w:t>OLS</w:t>
      </w:r>
      <w:r w:rsidRPr="00A67DA3">
        <w:rPr>
          <w:rFonts w:asciiTheme="majorBidi" w:hAnsiTheme="majorBidi" w:cstheme="majorBidi"/>
        </w:rPr>
        <w:t>), SmartPLS permet d’estimer des modèles complexes, même avec un échantillon de taille modérée et sans exiger la normalité des données</w:t>
      </w:r>
      <w:r w:rsidR="00720E53" w:rsidRPr="00847F4A">
        <w:rPr>
          <w:rFonts w:asciiTheme="majorBidi" w:hAnsiTheme="majorBidi" w:cstheme="majorBidi"/>
          <w:lang w:val="fr-FR"/>
        </w:rPr>
        <w:t>.</w:t>
      </w:r>
      <w:r>
        <w:rPr>
          <w:rStyle w:val="Appelnotedebasdep"/>
          <w:rFonts w:cstheme="majorBidi"/>
        </w:rPr>
        <w:footnoteReference w:id="401"/>
      </w:r>
    </w:p>
    <w:p w:rsidR="00E772DD" w:rsidRPr="00A67DA3" w:rsidRDefault="00E772DD" w:rsidP="00720E53">
      <w:pPr>
        <w:spacing w:line="360" w:lineRule="auto"/>
        <w:jc w:val="both"/>
        <w:rPr>
          <w:rFonts w:asciiTheme="majorBidi" w:hAnsiTheme="majorBidi" w:cstheme="majorBidi"/>
        </w:rPr>
      </w:pPr>
      <w:r w:rsidRPr="00A67DA3">
        <w:rPr>
          <w:rFonts w:asciiTheme="majorBidi" w:hAnsiTheme="majorBidi" w:cstheme="majorBidi"/>
        </w:rPr>
        <w:t>Cette approche est particulièrement recommandée pour les recherches exploratoires, les études prédictives ou les modèles intégrant plusieurs variables latentes et relations simultanées</w:t>
      </w:r>
      <w:r w:rsidR="00720E53" w:rsidRPr="00847F4A">
        <w:rPr>
          <w:rFonts w:asciiTheme="majorBidi" w:hAnsiTheme="majorBidi" w:cstheme="majorBidi"/>
          <w:lang w:val="fr-FR"/>
        </w:rPr>
        <w:t>.</w:t>
      </w:r>
      <w:r>
        <w:rPr>
          <w:rStyle w:val="Appelnotedebasdep"/>
          <w:rFonts w:cstheme="majorBidi"/>
        </w:rPr>
        <w:footnoteReference w:id="402"/>
      </w:r>
    </w:p>
    <w:p w:rsidR="00720E53" w:rsidRDefault="00E772DD" w:rsidP="00720E53">
      <w:pPr>
        <w:spacing w:line="360" w:lineRule="auto"/>
        <w:jc w:val="both"/>
        <w:rPr>
          <w:rFonts w:asciiTheme="majorBidi" w:hAnsiTheme="majorBidi" w:cstheme="majorBidi"/>
        </w:rPr>
      </w:pPr>
      <w:r w:rsidRPr="00A67DA3">
        <w:rPr>
          <w:rFonts w:asciiTheme="majorBidi" w:hAnsiTheme="majorBidi" w:cstheme="majorBidi"/>
        </w:rPr>
        <w:t>Dans cette étude, SmartPLS 4 a été utilisé pour :</w:t>
      </w:r>
    </w:p>
    <w:p w:rsidR="00720E53" w:rsidRDefault="00720E53" w:rsidP="00720E53">
      <w:pPr>
        <w:spacing w:line="360" w:lineRule="auto"/>
        <w:jc w:val="both"/>
        <w:rPr>
          <w:rFonts w:asciiTheme="majorBidi" w:hAnsiTheme="majorBidi" w:cstheme="majorBidi"/>
        </w:rPr>
      </w:pPr>
      <w:r w:rsidRPr="00A67DA3">
        <w:rPr>
          <w:rFonts w:asciiTheme="majorBidi" w:hAnsiTheme="majorBidi" w:cstheme="majorBidi"/>
        </w:rPr>
        <w:t>• Tester le modèle conceptuel élaboré à partir des hypothèses issues de la littérature.</w:t>
      </w:r>
      <w:r w:rsidR="00E772DD" w:rsidRPr="00A67DA3">
        <w:rPr>
          <w:rFonts w:asciiTheme="majorBidi" w:hAnsiTheme="majorBidi" w:cstheme="majorBidi"/>
        </w:rPr>
        <w:br/>
        <w:t>• Évaluer les relations structurelles entre la digitalisation des processus RH, les processus de recrutement et de formation digitalisés, et la performance RH.</w:t>
      </w:r>
    </w:p>
    <w:p w:rsidR="00E772DD" w:rsidRPr="00A67DA3" w:rsidRDefault="00720E53" w:rsidP="00720E53">
      <w:pPr>
        <w:spacing w:line="360" w:lineRule="auto"/>
        <w:jc w:val="both"/>
        <w:rPr>
          <w:rFonts w:asciiTheme="majorBidi" w:hAnsiTheme="majorBidi" w:cstheme="majorBidi"/>
        </w:rPr>
      </w:pPr>
      <w:r w:rsidRPr="00A67DA3">
        <w:rPr>
          <w:rFonts w:asciiTheme="majorBidi" w:hAnsiTheme="majorBidi" w:cstheme="majorBidi"/>
        </w:rPr>
        <w:t>• Vérifier la qualité du modèle de mesure à travers des indicateurs de </w:t>
      </w:r>
      <w:r w:rsidRPr="00346EF7">
        <w:rPr>
          <w:rFonts w:asciiTheme="majorBidi" w:hAnsiTheme="majorBidi" w:cstheme="majorBidi"/>
        </w:rPr>
        <w:t>validité convergente</w:t>
      </w:r>
      <w:r w:rsidRPr="00A67DA3">
        <w:rPr>
          <w:rFonts w:asciiTheme="majorBidi" w:hAnsiTheme="majorBidi" w:cstheme="majorBidi"/>
        </w:rPr>
        <w:t> (Average Variance Extracted</w:t>
      </w:r>
      <w:r>
        <w:rPr>
          <w:rFonts w:asciiTheme="majorBidi" w:hAnsiTheme="majorBidi" w:cstheme="majorBidi"/>
          <w:lang w:val="fr-FR"/>
        </w:rPr>
        <w:t xml:space="preserve">) </w:t>
      </w:r>
      <w:r w:rsidRPr="00A67DA3">
        <w:rPr>
          <w:rFonts w:asciiTheme="majorBidi" w:hAnsiTheme="majorBidi" w:cstheme="majorBidi"/>
        </w:rPr>
        <w:t>et de </w:t>
      </w:r>
      <w:r w:rsidRPr="00346EF7">
        <w:rPr>
          <w:rFonts w:asciiTheme="majorBidi" w:hAnsiTheme="majorBidi" w:cstheme="majorBidi"/>
        </w:rPr>
        <w:t>fiabilité </w:t>
      </w:r>
      <w:r w:rsidRPr="00A67DA3">
        <w:rPr>
          <w:rFonts w:asciiTheme="majorBidi" w:hAnsiTheme="majorBidi" w:cstheme="majorBidi"/>
        </w:rPr>
        <w:t>(alpha de Cronbach).</w:t>
      </w:r>
    </w:p>
    <w:p w:rsidR="00720E53" w:rsidRDefault="00E772DD" w:rsidP="00720E53">
      <w:pPr>
        <w:spacing w:line="360" w:lineRule="auto"/>
        <w:jc w:val="both"/>
        <w:rPr>
          <w:rFonts w:asciiTheme="majorBidi" w:hAnsiTheme="majorBidi" w:cstheme="majorBidi"/>
        </w:rPr>
      </w:pPr>
      <w:r w:rsidRPr="00A67DA3">
        <w:rPr>
          <w:rFonts w:asciiTheme="majorBidi" w:hAnsiTheme="majorBidi" w:cstheme="majorBidi"/>
        </w:rPr>
        <w:t>Le choix de SmartPLS 4 s’explique par sa capacité à traiter des modèles complexes avec des données non normales et à fournir des estimations robustes pour les effets directs, indirects et modérateurs</w:t>
      </w:r>
      <w:r w:rsidR="00720E53" w:rsidRPr="00847F4A">
        <w:rPr>
          <w:rFonts w:asciiTheme="majorBidi" w:hAnsiTheme="majorBidi" w:cstheme="majorBidi"/>
          <w:lang w:val="fr-FR"/>
        </w:rPr>
        <w:t>.</w:t>
      </w:r>
      <w:r>
        <w:rPr>
          <w:rStyle w:val="Appelnotedebasdep"/>
          <w:rFonts w:cstheme="majorBidi"/>
        </w:rPr>
        <w:footnoteReference w:id="403"/>
      </w:r>
    </w:p>
    <w:p w:rsidR="00E772DD" w:rsidRPr="00A67DA3" w:rsidRDefault="00E772DD" w:rsidP="00720E53">
      <w:pPr>
        <w:spacing w:after="240" w:line="360" w:lineRule="auto"/>
        <w:jc w:val="both"/>
        <w:rPr>
          <w:rFonts w:asciiTheme="majorBidi" w:hAnsiTheme="majorBidi" w:cstheme="majorBidi"/>
        </w:rPr>
      </w:pPr>
      <w:r w:rsidRPr="00A67DA3">
        <w:rPr>
          <w:rFonts w:asciiTheme="majorBidi" w:hAnsiTheme="majorBidi" w:cstheme="majorBidi"/>
        </w:rPr>
        <w:t xml:space="preserve"> Ce logiciel est particulièrement pertinent dans les recherches en gestion intégrant des </w:t>
      </w:r>
      <w:r w:rsidRPr="00720E53">
        <w:rPr>
          <w:rFonts w:asciiTheme="majorBidi" w:hAnsiTheme="majorBidi" w:cstheme="majorBidi"/>
        </w:rPr>
        <w:t>variables latentes</w:t>
      </w:r>
      <w:r w:rsidRPr="00A67DA3">
        <w:rPr>
          <w:rFonts w:asciiTheme="majorBidi" w:hAnsiTheme="majorBidi" w:cstheme="majorBidi"/>
        </w:rPr>
        <w:t> mesurées par plusieurs indicateurs.</w:t>
      </w:r>
    </w:p>
    <w:p w:rsidR="00E772DD" w:rsidRPr="00321B2D" w:rsidRDefault="00321B2D" w:rsidP="004D32AC">
      <w:pPr>
        <w:pStyle w:val="Titre3"/>
        <w:numPr>
          <w:ilvl w:val="1"/>
          <w:numId w:val="192"/>
        </w:numPr>
        <w:spacing w:after="0" w:afterAutospacing="0" w:line="360" w:lineRule="auto"/>
        <w:rPr>
          <w:sz w:val="24"/>
          <w:szCs w:val="24"/>
          <w:lang w:val="en-US"/>
        </w:rPr>
      </w:pPr>
      <w:r w:rsidRPr="00847F4A">
        <w:rPr>
          <w:sz w:val="24"/>
          <w:szCs w:val="24"/>
          <w:lang w:val="fr-FR"/>
        </w:rPr>
        <w:t xml:space="preserve"> </w:t>
      </w:r>
      <w:bookmarkStart w:id="2161" w:name="_Toc199714551"/>
      <w:bookmarkStart w:id="2162" w:name="_Toc200486827"/>
      <w:bookmarkStart w:id="2163" w:name="_Toc200635605"/>
      <w:bookmarkStart w:id="2164" w:name="_Toc200635993"/>
      <w:bookmarkStart w:id="2165" w:name="_Toc200636382"/>
      <w:bookmarkStart w:id="2166" w:name="_Toc200756123"/>
      <w:r w:rsidR="00E772DD" w:rsidRPr="00321B2D">
        <w:rPr>
          <w:sz w:val="24"/>
          <w:szCs w:val="24"/>
          <w:lang w:val="en-US"/>
        </w:rPr>
        <w:t xml:space="preserve">Python (via </w:t>
      </w:r>
      <w:proofErr w:type="spellStart"/>
      <w:r w:rsidR="00E772DD" w:rsidRPr="00321B2D">
        <w:rPr>
          <w:sz w:val="24"/>
          <w:szCs w:val="24"/>
          <w:lang w:val="en-US"/>
        </w:rPr>
        <w:t>Jupyter</w:t>
      </w:r>
      <w:proofErr w:type="spellEnd"/>
      <w:r w:rsidR="00E772DD" w:rsidRPr="00321B2D">
        <w:rPr>
          <w:sz w:val="24"/>
          <w:szCs w:val="24"/>
          <w:lang w:val="en-US"/>
        </w:rPr>
        <w:t xml:space="preserve"> Notebook – Anaconda Navigator 2.6.3)</w:t>
      </w:r>
      <w:bookmarkEnd w:id="2161"/>
      <w:bookmarkEnd w:id="2162"/>
      <w:bookmarkEnd w:id="2163"/>
      <w:bookmarkEnd w:id="2164"/>
      <w:bookmarkEnd w:id="2165"/>
      <w:bookmarkEnd w:id="2166"/>
    </w:p>
    <w:p w:rsidR="00E772DD" w:rsidRPr="00045AFB" w:rsidRDefault="00E772DD" w:rsidP="00720E53">
      <w:pPr>
        <w:spacing w:line="360" w:lineRule="auto"/>
        <w:jc w:val="both"/>
        <w:rPr>
          <w:rFonts w:asciiTheme="majorBidi" w:hAnsiTheme="majorBidi" w:cstheme="majorBidi"/>
        </w:rPr>
      </w:pPr>
      <w:r w:rsidRPr="00045AFB">
        <w:rPr>
          <w:rFonts w:asciiTheme="majorBidi" w:hAnsiTheme="majorBidi" w:cstheme="majorBidi"/>
        </w:rPr>
        <w:t>Python est un langage de programmation open-source, reconnu pour sa puissance, sa polyvalence et sa large communauté. Il est particulièrement adapté à l’analyse de données, aux statistiques avancées et à la visualisation (VanderPlas, 2016, pp. 3–5</w:t>
      </w:r>
      <w:r>
        <w:rPr>
          <w:rFonts w:asciiTheme="majorBidi" w:hAnsiTheme="majorBidi" w:cstheme="majorBidi"/>
          <w:lang w:val="fr-FR"/>
        </w:rPr>
        <w:t>)</w:t>
      </w:r>
      <w:r>
        <w:rPr>
          <w:rStyle w:val="Appelnotedebasdep"/>
          <w:rFonts w:cstheme="majorBidi"/>
          <w:lang w:val="fr-FR"/>
        </w:rPr>
        <w:footnoteReference w:id="404"/>
      </w:r>
      <w:r w:rsidRPr="00045AFB">
        <w:rPr>
          <w:rFonts w:asciiTheme="majorBidi" w:hAnsiTheme="majorBidi" w:cstheme="majorBidi"/>
        </w:rPr>
        <w:t xml:space="preserve">. Dans cette étude, Python a été exécuté via Jupyter Notebook, un environnement interactif intégré dans la </w:t>
      </w:r>
      <w:r w:rsidRPr="00045AFB">
        <w:rPr>
          <w:rFonts w:asciiTheme="majorBidi" w:hAnsiTheme="majorBidi" w:cstheme="majorBidi"/>
        </w:rPr>
        <w:lastRenderedPageBreak/>
        <w:t>distribution Anaconda Navigator 2.6.3, qui permet de combiner du code, des visualisations et des commentaires dans un même document, favorisant ainsi la reproductibilité des analyses</w:t>
      </w:r>
      <w:r w:rsidR="00720E53" w:rsidRPr="00847F4A">
        <w:rPr>
          <w:rFonts w:asciiTheme="majorBidi" w:hAnsiTheme="majorBidi" w:cstheme="majorBidi"/>
          <w:lang w:val="fr-FR"/>
        </w:rPr>
        <w:t>.</w:t>
      </w:r>
      <w:r>
        <w:rPr>
          <w:rStyle w:val="Appelnotedebasdep"/>
          <w:rFonts w:cstheme="majorBidi"/>
        </w:rPr>
        <w:footnoteReference w:id="405"/>
      </w:r>
    </w:p>
    <w:p w:rsidR="00720E53" w:rsidRDefault="00E772DD" w:rsidP="00045AFB">
      <w:pPr>
        <w:spacing w:before="100" w:beforeAutospacing="1" w:line="360" w:lineRule="auto"/>
        <w:jc w:val="both"/>
        <w:rPr>
          <w:rFonts w:asciiTheme="majorBidi" w:hAnsiTheme="majorBidi" w:cstheme="majorBidi"/>
        </w:rPr>
      </w:pPr>
      <w:r w:rsidRPr="00045AFB">
        <w:rPr>
          <w:rFonts w:asciiTheme="majorBidi" w:hAnsiTheme="majorBidi" w:cstheme="majorBidi"/>
        </w:rPr>
        <w:t>Les fonctionnalités mobilisées dans cette recherche incluent :</w:t>
      </w:r>
    </w:p>
    <w:p w:rsidR="00720E53" w:rsidRDefault="00720E53" w:rsidP="004D32AC">
      <w:pPr>
        <w:pStyle w:val="Paragraphedeliste"/>
        <w:numPr>
          <w:ilvl w:val="0"/>
          <w:numId w:val="173"/>
        </w:numPr>
        <w:spacing w:after="240" w:line="360" w:lineRule="auto"/>
        <w:jc w:val="both"/>
        <w:rPr>
          <w:rFonts w:asciiTheme="majorBidi" w:hAnsiTheme="majorBidi" w:cstheme="majorBidi"/>
        </w:rPr>
      </w:pPr>
      <w:r w:rsidRPr="00720E53">
        <w:rPr>
          <w:rFonts w:asciiTheme="majorBidi" w:hAnsiTheme="majorBidi" w:cstheme="majorBidi"/>
        </w:rPr>
        <w:t>Analyse descriptive : à l’aide des bibliothèques pandas et numpy, des statistiques descriptives (moyennes, écarts-types, fréquences…) ont été générées pour décrire les variables.</w:t>
      </w:r>
    </w:p>
    <w:p w:rsidR="00720E53" w:rsidRDefault="00720E53" w:rsidP="004D32AC">
      <w:pPr>
        <w:pStyle w:val="Paragraphedeliste"/>
        <w:numPr>
          <w:ilvl w:val="0"/>
          <w:numId w:val="173"/>
        </w:numPr>
        <w:spacing w:after="240" w:line="360" w:lineRule="auto"/>
        <w:jc w:val="both"/>
        <w:rPr>
          <w:rFonts w:asciiTheme="majorBidi" w:hAnsiTheme="majorBidi" w:cstheme="majorBidi"/>
        </w:rPr>
      </w:pPr>
      <w:r w:rsidRPr="00720E53">
        <w:rPr>
          <w:rFonts w:asciiTheme="majorBidi" w:hAnsiTheme="majorBidi" w:cstheme="majorBidi"/>
        </w:rPr>
        <w:t> Visualisation des données : les bibliothèques seaborn et matplotlib ont été utilisées pour représenter graphiquement la distribution des réponses et faciliter l’interprétation.</w:t>
      </w:r>
    </w:p>
    <w:p w:rsidR="00E772DD" w:rsidRPr="00720E53" w:rsidRDefault="00720E53" w:rsidP="004D32AC">
      <w:pPr>
        <w:pStyle w:val="Paragraphedeliste"/>
        <w:numPr>
          <w:ilvl w:val="0"/>
          <w:numId w:val="173"/>
        </w:numPr>
        <w:spacing w:after="240" w:line="360" w:lineRule="auto"/>
        <w:jc w:val="both"/>
        <w:rPr>
          <w:rFonts w:asciiTheme="majorBidi" w:hAnsiTheme="majorBidi" w:cstheme="majorBidi"/>
        </w:rPr>
      </w:pPr>
      <w:r w:rsidRPr="00720E53">
        <w:rPr>
          <w:rFonts w:asciiTheme="majorBidi" w:hAnsiTheme="majorBidi" w:cstheme="majorBidi"/>
        </w:rPr>
        <w:t xml:space="preserve"> Test </w:t>
      </w:r>
      <w:r w:rsidRPr="00847F4A">
        <w:rPr>
          <w:rFonts w:asciiTheme="majorBidi" w:hAnsiTheme="majorBidi" w:cstheme="majorBidi"/>
          <w:lang w:val="fr-FR"/>
        </w:rPr>
        <w:t>T</w:t>
      </w:r>
      <w:r w:rsidRPr="00720E53">
        <w:rPr>
          <w:rFonts w:asciiTheme="majorBidi" w:hAnsiTheme="majorBidi" w:cstheme="majorBidi"/>
        </w:rPr>
        <w:t xml:space="preserve"> de Student : Python a également été utilisé pour effectuer des tests t indépendants afin de comparer les moyennes entre groupes.</w:t>
      </w:r>
    </w:p>
    <w:p w:rsidR="00E772DD" w:rsidRPr="00346EF7" w:rsidRDefault="00E772DD" w:rsidP="00346EF7">
      <w:pPr>
        <w:spacing w:before="100" w:beforeAutospacing="1" w:line="360" w:lineRule="auto"/>
        <w:jc w:val="both"/>
        <w:rPr>
          <w:rFonts w:asciiTheme="majorBidi" w:hAnsiTheme="majorBidi" w:cstheme="majorBidi"/>
        </w:rPr>
      </w:pPr>
      <w:r w:rsidRPr="00045AFB">
        <w:rPr>
          <w:rFonts w:asciiTheme="majorBidi" w:hAnsiTheme="majorBidi" w:cstheme="majorBidi"/>
        </w:rPr>
        <w:t>Le recours à Python s’explique par sa flexibilité, sa rapidité de traitement et sa capacité à personnaliser les analyses. Contrairement aux logiciels à interface graphique, Python permet de coder des traitements sur mesure, particulièrement utiles dans les phases exploratoires et comparatives des données. En outre, l’utilisation de Jupyter Notebook favorise la traçabilité, la réplicabilité et la visualisation claire des résultats dans un format interactif</w:t>
      </w:r>
      <w:r w:rsidR="00720E53" w:rsidRPr="00847F4A">
        <w:rPr>
          <w:rFonts w:asciiTheme="majorBidi" w:hAnsiTheme="majorBidi" w:cstheme="majorBidi"/>
          <w:lang w:val="fr-FR"/>
        </w:rPr>
        <w:t>.</w:t>
      </w:r>
      <w:r>
        <w:rPr>
          <w:rStyle w:val="Appelnotedebasdep"/>
          <w:rFonts w:cstheme="majorBidi"/>
        </w:rPr>
        <w:footnoteReference w:id="406"/>
      </w:r>
    </w:p>
    <w:p w:rsidR="00E772DD" w:rsidRPr="00321B2D" w:rsidRDefault="00321B2D" w:rsidP="004D32AC">
      <w:pPr>
        <w:pStyle w:val="Titre3"/>
        <w:numPr>
          <w:ilvl w:val="1"/>
          <w:numId w:val="192"/>
        </w:numPr>
        <w:spacing w:after="0" w:afterAutospacing="0" w:line="360" w:lineRule="auto"/>
        <w:rPr>
          <w:sz w:val="24"/>
          <w:szCs w:val="24"/>
          <w:lang w:val="en-US"/>
        </w:rPr>
      </w:pPr>
      <w:r w:rsidRPr="00847F4A">
        <w:rPr>
          <w:sz w:val="24"/>
          <w:szCs w:val="24"/>
          <w:lang w:val="fr-FR"/>
        </w:rPr>
        <w:t xml:space="preserve"> </w:t>
      </w:r>
      <w:bookmarkStart w:id="2167" w:name="_Toc199714552"/>
      <w:bookmarkStart w:id="2168" w:name="_Toc200486828"/>
      <w:bookmarkStart w:id="2169" w:name="_Toc200635606"/>
      <w:bookmarkStart w:id="2170" w:name="_Toc200635994"/>
      <w:bookmarkStart w:id="2171" w:name="_Toc200636383"/>
      <w:bookmarkStart w:id="2172" w:name="_Toc200756124"/>
      <w:r w:rsidR="00E772DD" w:rsidRPr="00321B2D">
        <w:rPr>
          <w:sz w:val="24"/>
          <w:szCs w:val="24"/>
          <w:lang w:val="en-US"/>
        </w:rPr>
        <w:t>Extension PROCESS v4.2 (Andrew F. Hayes)</w:t>
      </w:r>
      <w:bookmarkEnd w:id="2167"/>
      <w:bookmarkEnd w:id="2168"/>
      <w:bookmarkEnd w:id="2169"/>
      <w:bookmarkEnd w:id="2170"/>
      <w:bookmarkEnd w:id="2171"/>
      <w:bookmarkEnd w:id="2172"/>
    </w:p>
    <w:p w:rsidR="00E772DD" w:rsidRPr="00864729" w:rsidRDefault="00E772DD" w:rsidP="00321B2D">
      <w:pPr>
        <w:spacing w:line="360" w:lineRule="auto"/>
        <w:jc w:val="both"/>
        <w:rPr>
          <w:rFonts w:asciiTheme="majorBidi" w:hAnsiTheme="majorBidi" w:cstheme="majorBidi"/>
          <w:color w:val="000000"/>
        </w:rPr>
      </w:pPr>
      <w:r w:rsidRPr="00864729">
        <w:rPr>
          <w:rFonts w:asciiTheme="majorBidi" w:hAnsiTheme="majorBidi" w:cstheme="majorBidi"/>
          <w:color w:val="000000"/>
        </w:rPr>
        <w:t>L’extension </w:t>
      </w:r>
      <w:r w:rsidRPr="00346EF7">
        <w:rPr>
          <w:rFonts w:asciiTheme="majorBidi" w:hAnsiTheme="majorBidi" w:cstheme="majorBidi"/>
          <w:color w:val="000000"/>
        </w:rPr>
        <w:t>PROCESS</w:t>
      </w:r>
      <w:r w:rsidRPr="00864729">
        <w:rPr>
          <w:rFonts w:asciiTheme="majorBidi" w:hAnsiTheme="majorBidi" w:cstheme="majorBidi"/>
          <w:color w:val="000000"/>
        </w:rPr>
        <w:t>, développée par Andrew F. Hayes, est aujourd’hui largement reconnue dans les recherches en sciences sociales et en gestion comme un outil de référence pour l’analyse des effets médiateurs, modérateurs et indirects. Il s’agit d’un module complémentaire intégré à SPSS qui permet de spécifier, estimer et interpréter des modèles de médiation, de modération et de médiation modérée de manière automatisée et rigoureuse</w:t>
      </w:r>
      <w:r w:rsidR="00A73794" w:rsidRPr="00847F4A">
        <w:rPr>
          <w:rFonts w:asciiTheme="majorBidi" w:hAnsiTheme="majorBidi" w:cstheme="majorBidi"/>
          <w:color w:val="000000"/>
          <w:lang w:val="fr-FR"/>
        </w:rPr>
        <w:t>.</w:t>
      </w:r>
      <w:r>
        <w:rPr>
          <w:rStyle w:val="Appelnotedebasdep"/>
          <w:rFonts w:cstheme="majorBidi"/>
          <w:color w:val="000000"/>
        </w:rPr>
        <w:footnoteReference w:id="407"/>
      </w:r>
      <w:r w:rsidRPr="00864729">
        <w:rPr>
          <w:rFonts w:asciiTheme="majorBidi" w:hAnsiTheme="majorBidi" w:cstheme="majorBidi"/>
          <w:color w:val="000000"/>
        </w:rPr>
        <w:t xml:space="preserve"> La version 4.2 de cette extension, utilisée dans la présente étude, est compatible avec SPSS 29 et propose une interface simplifiée pour tester des relations causales complexes entre variables latentes ou observées.</w:t>
      </w:r>
    </w:p>
    <w:p w:rsidR="00321B2D" w:rsidRDefault="00E772DD" w:rsidP="00321B2D">
      <w:pPr>
        <w:spacing w:after="240" w:line="360" w:lineRule="auto"/>
        <w:jc w:val="both"/>
        <w:rPr>
          <w:rFonts w:asciiTheme="majorBidi" w:hAnsiTheme="majorBidi" w:cstheme="majorBidi"/>
          <w:color w:val="000000"/>
        </w:rPr>
      </w:pPr>
      <w:r w:rsidRPr="00864729">
        <w:rPr>
          <w:rFonts w:asciiTheme="majorBidi" w:hAnsiTheme="majorBidi" w:cstheme="majorBidi"/>
          <w:color w:val="000000"/>
        </w:rPr>
        <w:t>Dans cette recherche, les fonctionnalités suivantes ont été mobilisées :</w:t>
      </w:r>
    </w:p>
    <w:p w:rsidR="00A73794" w:rsidRDefault="00321B2D" w:rsidP="00321B2D">
      <w:pPr>
        <w:spacing w:after="240" w:line="360" w:lineRule="auto"/>
        <w:jc w:val="both"/>
        <w:rPr>
          <w:rFonts w:asciiTheme="majorBidi" w:hAnsiTheme="majorBidi" w:cstheme="majorBidi"/>
          <w:color w:val="000000"/>
        </w:rPr>
      </w:pPr>
      <w:r w:rsidRPr="00864729">
        <w:rPr>
          <w:rFonts w:asciiTheme="majorBidi" w:hAnsiTheme="majorBidi" w:cstheme="majorBidi"/>
          <w:color w:val="000000"/>
        </w:rPr>
        <w:lastRenderedPageBreak/>
        <w:t>• </w:t>
      </w:r>
      <w:r w:rsidRPr="00864729">
        <w:rPr>
          <w:rFonts w:asciiTheme="majorBidi" w:hAnsiTheme="majorBidi" w:cstheme="majorBidi"/>
          <w:b/>
          <w:bCs/>
          <w:color w:val="000000"/>
        </w:rPr>
        <w:t>Analyse de la médiation</w:t>
      </w:r>
      <w:r w:rsidRPr="00864729">
        <w:rPr>
          <w:rFonts w:asciiTheme="majorBidi" w:hAnsiTheme="majorBidi" w:cstheme="majorBidi"/>
          <w:color w:val="000000"/>
        </w:rPr>
        <w:t> : l’outil a permis d’examiner les effets médiateurs du recrutement digitalisé et de la formation digitalisée dans la relation entre la digitalisation RH (automatisation, numérisation, accessibilité numérique) et la performance RH.</w:t>
      </w:r>
    </w:p>
    <w:p w:rsidR="00E772DD" w:rsidRPr="00864729" w:rsidRDefault="00A73794" w:rsidP="00864729">
      <w:pPr>
        <w:spacing w:after="240" w:line="360" w:lineRule="auto"/>
        <w:jc w:val="both"/>
        <w:rPr>
          <w:rFonts w:asciiTheme="majorBidi" w:hAnsiTheme="majorBidi" w:cstheme="majorBidi"/>
          <w:color w:val="000000"/>
        </w:rPr>
      </w:pPr>
      <w:r w:rsidRPr="00864729">
        <w:rPr>
          <w:rFonts w:asciiTheme="majorBidi" w:hAnsiTheme="majorBidi" w:cstheme="majorBidi"/>
          <w:color w:val="000000"/>
        </w:rPr>
        <w:t>• </w:t>
      </w:r>
      <w:r w:rsidRPr="00864729">
        <w:rPr>
          <w:rFonts w:asciiTheme="majorBidi" w:hAnsiTheme="majorBidi" w:cstheme="majorBidi"/>
          <w:b/>
          <w:bCs/>
          <w:color w:val="000000"/>
        </w:rPr>
        <w:t>Estimation par bootstrap</w:t>
      </w:r>
      <w:r w:rsidRPr="00864729">
        <w:rPr>
          <w:rFonts w:asciiTheme="majorBidi" w:hAnsiTheme="majorBidi" w:cstheme="majorBidi"/>
          <w:color w:val="000000"/>
        </w:rPr>
        <w:t> : la méthode bootstrap à </w:t>
      </w:r>
      <w:r w:rsidRPr="00346EF7">
        <w:rPr>
          <w:rFonts w:asciiTheme="majorBidi" w:hAnsiTheme="majorBidi" w:cstheme="majorBidi"/>
          <w:color w:val="000000"/>
        </w:rPr>
        <w:t>5000 rééchantillonnages</w:t>
      </w:r>
      <w:r w:rsidRPr="00864729">
        <w:rPr>
          <w:rFonts w:asciiTheme="majorBidi" w:hAnsiTheme="majorBidi" w:cstheme="majorBidi"/>
          <w:color w:val="000000"/>
        </w:rPr>
        <w:t> a été utilisée pour générer des intervalles de confiance robustes, comme recommandé par Hayes</w:t>
      </w:r>
      <w:r w:rsidRPr="00847F4A">
        <w:rPr>
          <w:rFonts w:asciiTheme="majorBidi" w:hAnsiTheme="majorBidi" w:cstheme="majorBidi"/>
          <w:color w:val="000000"/>
          <w:lang w:val="fr-FR"/>
        </w:rPr>
        <w:t>.</w:t>
      </w:r>
      <w:r>
        <w:rPr>
          <w:rStyle w:val="Appelnotedebasdep"/>
          <w:rFonts w:cstheme="majorBidi"/>
          <w:color w:val="000000"/>
        </w:rPr>
        <w:footnoteReference w:id="408"/>
      </w:r>
      <w:r w:rsidR="00E772DD" w:rsidRPr="00864729">
        <w:rPr>
          <w:rFonts w:asciiTheme="majorBidi" w:hAnsiTheme="majorBidi" w:cstheme="majorBidi"/>
          <w:color w:val="000000"/>
        </w:rPr>
        <w:br/>
        <w:t>• </w:t>
      </w:r>
      <w:r w:rsidR="00E772DD" w:rsidRPr="00864729">
        <w:rPr>
          <w:rFonts w:asciiTheme="majorBidi" w:hAnsiTheme="majorBidi" w:cstheme="majorBidi"/>
          <w:b/>
          <w:bCs/>
          <w:color w:val="000000"/>
        </w:rPr>
        <w:t>Tests indirects</w:t>
      </w:r>
      <w:r w:rsidR="00E772DD" w:rsidRPr="00864729">
        <w:rPr>
          <w:rFonts w:asciiTheme="majorBidi" w:hAnsiTheme="majorBidi" w:cstheme="majorBidi"/>
          <w:color w:val="000000"/>
        </w:rPr>
        <w:t> : PROCESS fournit automatiquement les </w:t>
      </w:r>
      <w:r w:rsidR="00E772DD" w:rsidRPr="00346EF7">
        <w:rPr>
          <w:rFonts w:asciiTheme="majorBidi" w:hAnsiTheme="majorBidi" w:cstheme="majorBidi"/>
          <w:color w:val="000000"/>
        </w:rPr>
        <w:t>effets directs, indirects et totaux</w:t>
      </w:r>
      <w:r w:rsidR="00E772DD" w:rsidRPr="00864729">
        <w:rPr>
          <w:rFonts w:asciiTheme="majorBidi" w:hAnsiTheme="majorBidi" w:cstheme="majorBidi"/>
          <w:color w:val="000000"/>
        </w:rPr>
        <w:t>, accompagnés de leurs </w:t>
      </w:r>
      <w:r w:rsidR="00E772DD" w:rsidRPr="00346EF7">
        <w:rPr>
          <w:rFonts w:asciiTheme="majorBidi" w:hAnsiTheme="majorBidi" w:cstheme="majorBidi"/>
          <w:color w:val="000000"/>
        </w:rPr>
        <w:t>niveaux de significativité</w:t>
      </w:r>
      <w:r w:rsidR="00E772DD" w:rsidRPr="00864729">
        <w:rPr>
          <w:rFonts w:asciiTheme="majorBidi" w:hAnsiTheme="majorBidi" w:cstheme="majorBidi"/>
          <w:color w:val="000000"/>
        </w:rPr>
        <w:t> et des intervalles de confiance associés.</w:t>
      </w:r>
    </w:p>
    <w:p w:rsidR="00A73794" w:rsidRDefault="00E772DD" w:rsidP="00A73794">
      <w:pPr>
        <w:spacing w:line="360" w:lineRule="auto"/>
        <w:jc w:val="both"/>
        <w:rPr>
          <w:rFonts w:asciiTheme="majorBidi" w:hAnsiTheme="majorBidi" w:cstheme="majorBidi"/>
          <w:color w:val="000000"/>
        </w:rPr>
      </w:pPr>
      <w:r w:rsidRPr="00864729">
        <w:rPr>
          <w:rFonts w:asciiTheme="majorBidi" w:hAnsiTheme="majorBidi" w:cstheme="majorBidi"/>
          <w:color w:val="000000"/>
        </w:rPr>
        <w:t>Le choix d’utiliser l’extension PROCESS repose sur plusieurs avantages méthodologiques :</w:t>
      </w:r>
    </w:p>
    <w:p w:rsidR="00A73794" w:rsidRDefault="00A73794" w:rsidP="004D32AC">
      <w:pPr>
        <w:pStyle w:val="Paragraphedeliste"/>
        <w:numPr>
          <w:ilvl w:val="0"/>
          <w:numId w:val="174"/>
        </w:numPr>
        <w:spacing w:line="360" w:lineRule="auto"/>
        <w:jc w:val="both"/>
        <w:rPr>
          <w:rFonts w:asciiTheme="majorBidi" w:hAnsiTheme="majorBidi" w:cstheme="majorBidi"/>
          <w:color w:val="000000"/>
        </w:rPr>
      </w:pPr>
      <w:r w:rsidRPr="00A73794">
        <w:rPr>
          <w:rFonts w:asciiTheme="majorBidi" w:hAnsiTheme="majorBidi" w:cstheme="majorBidi"/>
          <w:color w:val="000000"/>
        </w:rPr>
        <w:t>Elle automatise des calculs complexes liés aux modèles de médiation/modération, rendant les analyses avancées accessibles aux chercheurs non spécialistes des scripts.</w:t>
      </w:r>
    </w:p>
    <w:p w:rsidR="00A73794" w:rsidRDefault="00E772DD" w:rsidP="004D32AC">
      <w:pPr>
        <w:pStyle w:val="Paragraphedeliste"/>
        <w:numPr>
          <w:ilvl w:val="0"/>
          <w:numId w:val="174"/>
        </w:numPr>
        <w:spacing w:line="360" w:lineRule="auto"/>
        <w:jc w:val="both"/>
        <w:rPr>
          <w:rFonts w:asciiTheme="majorBidi" w:hAnsiTheme="majorBidi" w:cstheme="majorBidi"/>
          <w:color w:val="000000"/>
        </w:rPr>
      </w:pPr>
      <w:r w:rsidRPr="00A73794">
        <w:rPr>
          <w:rFonts w:asciiTheme="majorBidi" w:hAnsiTheme="majorBidi" w:cstheme="majorBidi"/>
          <w:color w:val="000000"/>
        </w:rPr>
        <w:t>Elle s’appuie sur le bootstrap pour estimer la précision des effets indirects, ce qui améliore la rigueur statistique par rapport à des méthodes plus anciennes comme le test de Sobel</w:t>
      </w:r>
      <w:r w:rsidR="00A73794" w:rsidRPr="00847F4A">
        <w:rPr>
          <w:rFonts w:asciiTheme="majorBidi" w:hAnsiTheme="majorBidi" w:cstheme="majorBidi"/>
          <w:color w:val="000000"/>
          <w:lang w:val="fr-FR"/>
        </w:rPr>
        <w:t>.</w:t>
      </w:r>
      <w:r>
        <w:rPr>
          <w:rStyle w:val="Appelnotedebasdep"/>
          <w:rFonts w:cstheme="majorBidi"/>
          <w:color w:val="000000"/>
        </w:rPr>
        <w:footnoteReference w:id="409"/>
      </w:r>
    </w:p>
    <w:p w:rsidR="00E772DD" w:rsidRPr="00A73794" w:rsidRDefault="00E772DD" w:rsidP="004D32AC">
      <w:pPr>
        <w:pStyle w:val="Paragraphedeliste"/>
        <w:numPr>
          <w:ilvl w:val="0"/>
          <w:numId w:val="174"/>
        </w:numPr>
        <w:spacing w:after="240" w:line="360" w:lineRule="auto"/>
        <w:jc w:val="both"/>
        <w:rPr>
          <w:rFonts w:asciiTheme="majorBidi" w:hAnsiTheme="majorBidi" w:cstheme="majorBidi"/>
          <w:color w:val="000000"/>
        </w:rPr>
      </w:pPr>
      <w:r w:rsidRPr="00A73794">
        <w:rPr>
          <w:rFonts w:asciiTheme="majorBidi" w:hAnsiTheme="majorBidi" w:cstheme="majorBidi"/>
          <w:color w:val="000000"/>
        </w:rPr>
        <w:t>Elle s’intègre parfaitement à SPSS, facilitant la transition entre les analyses classiques (descriptives, corrélation, régression) et les modèles de médiation complexes.</w:t>
      </w:r>
    </w:p>
    <w:p w:rsidR="00E772DD" w:rsidRDefault="00E772DD" w:rsidP="00864729">
      <w:pPr>
        <w:spacing w:after="240" w:line="360" w:lineRule="auto"/>
        <w:jc w:val="both"/>
        <w:rPr>
          <w:rFonts w:asciiTheme="majorBidi" w:hAnsiTheme="majorBidi" w:cstheme="majorBidi"/>
          <w:color w:val="000000"/>
        </w:rPr>
      </w:pPr>
      <w:r w:rsidRPr="00864729">
        <w:rPr>
          <w:rFonts w:asciiTheme="majorBidi" w:hAnsiTheme="majorBidi" w:cstheme="majorBidi"/>
          <w:color w:val="000000"/>
        </w:rPr>
        <w:t>L’outil PROCESS est donc particulièrement adapté à la structure conceptuelle de cette étude, dont l’objectif est de comprendre </w:t>
      </w:r>
      <w:r w:rsidRPr="00346EF7">
        <w:rPr>
          <w:rFonts w:asciiTheme="majorBidi" w:hAnsiTheme="majorBidi" w:cstheme="majorBidi"/>
          <w:color w:val="000000"/>
        </w:rPr>
        <w:t>l’effet indirect de la digitalisation RH sur la performance RH</w:t>
      </w:r>
      <w:r w:rsidRPr="00864729">
        <w:rPr>
          <w:rFonts w:asciiTheme="majorBidi" w:hAnsiTheme="majorBidi" w:cstheme="majorBidi"/>
          <w:color w:val="000000"/>
        </w:rPr>
        <w:t>, via deux processus médiateurs spécifiques : </w:t>
      </w:r>
      <w:r w:rsidRPr="00346EF7">
        <w:rPr>
          <w:rFonts w:asciiTheme="majorBidi" w:hAnsiTheme="majorBidi" w:cstheme="majorBidi"/>
          <w:color w:val="000000"/>
        </w:rPr>
        <w:t>le recrutement</w:t>
      </w:r>
      <w:r w:rsidRPr="00864729">
        <w:rPr>
          <w:rFonts w:asciiTheme="majorBidi" w:hAnsiTheme="majorBidi" w:cstheme="majorBidi"/>
          <w:color w:val="000000"/>
        </w:rPr>
        <w:t> et </w:t>
      </w:r>
      <w:r w:rsidRPr="00346EF7">
        <w:rPr>
          <w:rFonts w:asciiTheme="majorBidi" w:hAnsiTheme="majorBidi" w:cstheme="majorBidi"/>
          <w:color w:val="000000"/>
        </w:rPr>
        <w:t>la formation digitalisés</w:t>
      </w:r>
      <w:r w:rsidRPr="00864729">
        <w:rPr>
          <w:rFonts w:asciiTheme="majorBidi" w:hAnsiTheme="majorBidi" w:cstheme="majorBidi"/>
          <w:color w:val="000000"/>
        </w:rPr>
        <w:t>.</w:t>
      </w:r>
    </w:p>
    <w:p w:rsidR="00E772DD" w:rsidRPr="00864729" w:rsidRDefault="00E772DD" w:rsidP="000E0E7D">
      <w:pPr>
        <w:spacing w:after="240" w:line="360" w:lineRule="auto"/>
        <w:jc w:val="both"/>
        <w:rPr>
          <w:rFonts w:asciiTheme="majorBidi" w:hAnsiTheme="majorBidi" w:cstheme="majorBidi"/>
          <w:color w:val="000000"/>
        </w:rPr>
      </w:pPr>
      <w:r w:rsidRPr="000E0E7D">
        <w:rPr>
          <w:rFonts w:asciiTheme="majorBidi" w:hAnsiTheme="majorBidi" w:cstheme="majorBidi"/>
          <w:color w:val="000000"/>
        </w:rPr>
        <w:t>Ainsi, la méthodologie adoptée dans cette étude repose sur une démarche rigoureuse alliant cadre conceptuel et collecte de données quantitatives à travers un questionnaire structuré. Le recours à un échantillonnage raisonné et à des outils d’analyse statistique comme</w:t>
      </w:r>
      <w:r>
        <w:rPr>
          <w:rFonts w:asciiTheme="majorBidi" w:hAnsiTheme="majorBidi" w:cstheme="majorBidi"/>
          <w:color w:val="000000"/>
          <w:lang w:val="fr-FR"/>
        </w:rPr>
        <w:t xml:space="preserve"> Python,</w:t>
      </w:r>
      <w:r w:rsidRPr="000E0E7D">
        <w:rPr>
          <w:rFonts w:asciiTheme="majorBidi" w:hAnsiTheme="majorBidi" w:cstheme="majorBidi"/>
          <w:color w:val="000000"/>
        </w:rPr>
        <w:t xml:space="preserve"> SPSS et SmartPLS a permis de garantir la pertinence et la fiabilité des résultats. </w:t>
      </w:r>
    </w:p>
    <w:p w:rsidR="00E772DD" w:rsidRDefault="00E772DD" w:rsidP="0024578E">
      <w:pPr>
        <w:spacing w:after="240" w:line="360" w:lineRule="auto"/>
        <w:jc w:val="both"/>
        <w:rPr>
          <w:rFonts w:asciiTheme="majorBidi" w:hAnsiTheme="majorBidi" w:cstheme="majorBidi"/>
          <w:color w:val="000000"/>
        </w:rPr>
      </w:pPr>
    </w:p>
    <w:p w:rsidR="00A73794" w:rsidRDefault="00A73794" w:rsidP="0024578E">
      <w:pPr>
        <w:spacing w:after="240" w:line="360" w:lineRule="auto"/>
        <w:jc w:val="both"/>
        <w:rPr>
          <w:rFonts w:asciiTheme="majorBidi" w:hAnsiTheme="majorBidi" w:cstheme="majorBidi"/>
          <w:color w:val="000000"/>
        </w:rPr>
      </w:pPr>
    </w:p>
    <w:p w:rsidR="00321B2D" w:rsidRDefault="00321B2D" w:rsidP="0024578E">
      <w:pPr>
        <w:spacing w:after="240" w:line="360" w:lineRule="auto"/>
        <w:jc w:val="both"/>
        <w:rPr>
          <w:rFonts w:asciiTheme="majorBidi" w:hAnsiTheme="majorBidi" w:cstheme="majorBidi"/>
          <w:color w:val="000000"/>
        </w:rPr>
      </w:pPr>
    </w:p>
    <w:p w:rsidR="00E772DD" w:rsidRDefault="00E772DD" w:rsidP="00F941C0">
      <w:pPr>
        <w:rPr>
          <w:sz w:val="18"/>
          <w:szCs w:val="18"/>
        </w:rPr>
      </w:pPr>
    </w:p>
    <w:p w:rsidR="00E772DD" w:rsidRPr="00194E42" w:rsidRDefault="00E772DD" w:rsidP="00194E42">
      <w:pPr>
        <w:pStyle w:val="Titre3"/>
        <w:rPr>
          <w:rStyle w:val="lev"/>
          <w:b/>
          <w:bCs/>
          <w:sz w:val="28"/>
          <w:szCs w:val="28"/>
        </w:rPr>
      </w:pPr>
      <w:bookmarkStart w:id="2173" w:name="_Toc200486829"/>
      <w:bookmarkStart w:id="2174" w:name="_Toc200635607"/>
      <w:bookmarkStart w:id="2175" w:name="_Toc200635995"/>
      <w:bookmarkStart w:id="2176" w:name="_Toc200636384"/>
      <w:bookmarkStart w:id="2177" w:name="_Toc200756125"/>
      <w:r w:rsidRPr="00194E42">
        <w:rPr>
          <w:rStyle w:val="lev"/>
          <w:b/>
          <w:bCs/>
          <w:sz w:val="28"/>
          <w:szCs w:val="28"/>
        </w:rPr>
        <w:lastRenderedPageBreak/>
        <w:t>Section 3 : Présentation, analyse et interprétation des résultats</w:t>
      </w:r>
      <w:bookmarkEnd w:id="2173"/>
      <w:bookmarkEnd w:id="2174"/>
      <w:bookmarkEnd w:id="2175"/>
      <w:bookmarkEnd w:id="2176"/>
      <w:bookmarkEnd w:id="2177"/>
    </w:p>
    <w:p w:rsidR="00E772DD" w:rsidRPr="008764AA" w:rsidRDefault="00E772DD" w:rsidP="00DE2041">
      <w:pPr>
        <w:spacing w:line="360" w:lineRule="auto"/>
        <w:jc w:val="both"/>
        <w:rPr>
          <w:rFonts w:asciiTheme="majorBidi" w:hAnsiTheme="majorBidi" w:cstheme="majorBidi"/>
          <w:lang w:val="fr-FR"/>
        </w:rPr>
      </w:pPr>
      <w:r w:rsidRPr="008764AA">
        <w:rPr>
          <w:rFonts w:asciiTheme="majorBidi" w:hAnsiTheme="majorBidi" w:cstheme="majorBidi"/>
          <w:lang w:val="fr-FR"/>
        </w:rPr>
        <w:t xml:space="preserve">Après avoir détaillé les méthodologies mises en œuvre dans le cadre de cette étude, les résultats obtenus sont analysés en utilisant les outils statistiques et informatiques, notamment Anaconda (Python), SPSS et </w:t>
      </w:r>
      <w:proofErr w:type="spellStart"/>
      <w:r w:rsidRPr="008764AA">
        <w:rPr>
          <w:rFonts w:asciiTheme="majorBidi" w:hAnsiTheme="majorBidi" w:cstheme="majorBidi"/>
          <w:lang w:val="fr-FR"/>
        </w:rPr>
        <w:t>SmartPLS</w:t>
      </w:r>
      <w:proofErr w:type="spellEnd"/>
      <w:r w:rsidRPr="008764AA">
        <w:rPr>
          <w:rFonts w:asciiTheme="majorBidi" w:hAnsiTheme="majorBidi" w:cstheme="majorBidi"/>
          <w:lang w:val="fr-FR"/>
        </w:rPr>
        <w:t>. Cette analyse est ensuite suivie d’une interprétation rigoureuse des données, permettant de confirmer ou d’infirmer les hypothèses préalablement formulées.</w:t>
      </w:r>
    </w:p>
    <w:p w:rsidR="00A73794" w:rsidRPr="009B4086" w:rsidRDefault="00E772DD" w:rsidP="004D32AC">
      <w:pPr>
        <w:pStyle w:val="Titre3"/>
        <w:numPr>
          <w:ilvl w:val="0"/>
          <w:numId w:val="193"/>
        </w:numPr>
        <w:spacing w:after="0" w:afterAutospacing="0" w:line="360" w:lineRule="auto"/>
        <w:rPr>
          <w:sz w:val="24"/>
          <w:szCs w:val="24"/>
        </w:rPr>
      </w:pPr>
      <w:bookmarkStart w:id="2178" w:name="_Toc199714554"/>
      <w:bookmarkStart w:id="2179" w:name="_Toc200486830"/>
      <w:bookmarkStart w:id="2180" w:name="_Toc200635608"/>
      <w:bookmarkStart w:id="2181" w:name="_Toc200635996"/>
      <w:bookmarkStart w:id="2182" w:name="_Toc200636385"/>
      <w:bookmarkStart w:id="2183" w:name="_Toc200756126"/>
      <w:r w:rsidRPr="009B4086">
        <w:rPr>
          <w:sz w:val="24"/>
          <w:szCs w:val="24"/>
        </w:rPr>
        <w:t>Tests de fiabilités du modèle de mesure de l’étude :</w:t>
      </w:r>
      <w:bookmarkEnd w:id="2178"/>
      <w:bookmarkEnd w:id="2179"/>
      <w:bookmarkEnd w:id="2180"/>
      <w:bookmarkEnd w:id="2181"/>
      <w:bookmarkEnd w:id="2182"/>
      <w:bookmarkEnd w:id="2183"/>
    </w:p>
    <w:p w:rsidR="00E772DD" w:rsidRPr="008764AA" w:rsidRDefault="00E772DD" w:rsidP="004D32AC">
      <w:pPr>
        <w:pStyle w:val="Titre3"/>
        <w:numPr>
          <w:ilvl w:val="1"/>
          <w:numId w:val="163"/>
        </w:numPr>
        <w:spacing w:before="0" w:beforeAutospacing="0" w:after="0" w:afterAutospacing="0" w:line="360" w:lineRule="auto"/>
      </w:pPr>
      <w:bookmarkStart w:id="2184" w:name="_Toc199714555"/>
      <w:bookmarkStart w:id="2185" w:name="_Toc200486831"/>
      <w:bookmarkStart w:id="2186" w:name="_Toc200635609"/>
      <w:bookmarkStart w:id="2187" w:name="_Toc200635997"/>
      <w:bookmarkStart w:id="2188" w:name="_Toc200636386"/>
      <w:bookmarkStart w:id="2189" w:name="_Toc200756127"/>
      <w:r w:rsidRPr="00E24884">
        <w:rPr>
          <w:sz w:val="24"/>
          <w:szCs w:val="24"/>
        </w:rPr>
        <w:t>Coefficient de charge / Factor Loading :</w:t>
      </w:r>
      <w:bookmarkEnd w:id="2184"/>
      <w:bookmarkEnd w:id="2185"/>
      <w:bookmarkEnd w:id="2186"/>
      <w:bookmarkEnd w:id="2187"/>
      <w:bookmarkEnd w:id="2188"/>
      <w:bookmarkEnd w:id="2189"/>
    </w:p>
    <w:p w:rsidR="00E772DD" w:rsidRPr="008764AA" w:rsidRDefault="00E772DD" w:rsidP="00492817">
      <w:pPr>
        <w:spacing w:after="240" w:line="360" w:lineRule="auto"/>
        <w:jc w:val="both"/>
        <w:rPr>
          <w:rFonts w:asciiTheme="majorBidi" w:hAnsiTheme="majorBidi" w:cstheme="majorBidi"/>
          <w:lang w:val="fr-FR"/>
        </w:rPr>
      </w:pPr>
      <w:r w:rsidRPr="008764AA">
        <w:rPr>
          <w:rFonts w:asciiTheme="majorBidi" w:hAnsiTheme="majorBidi" w:cstheme="majorBidi"/>
          <w:lang w:val="fr-FR"/>
        </w:rPr>
        <w:t>Le coefficient de charge est utilisé pour évaluer la capacité des items (questions) à mesurer efficacement les construits visés ainsi que leur pertinence dans la représentation de la variable latente. Pour être considéré comme acceptable, ce coefficient doit être statistiquement significatif et présenter une valeur supérieure ou égale à 0,70. Lorsqu’il se situe entre 0,40 et 0,70, une évaluation de son influence sur la fiabilité et la cohérence interne du modèle s’impose. En revanche, si la valeur est inférieure à 0,40, l’item correspondant doit être éliminé. Le tableau ci-dessous présente les résultats de ces tests.</w:t>
      </w:r>
    </w:p>
    <w:p w:rsidR="00E772DD" w:rsidRPr="008764AA" w:rsidRDefault="00E772DD" w:rsidP="00A73794">
      <w:pPr>
        <w:spacing w:after="240"/>
        <w:jc w:val="center"/>
        <w:rPr>
          <w:rFonts w:asciiTheme="majorBidi" w:hAnsiTheme="majorBidi" w:cstheme="majorBidi"/>
          <w:b/>
          <w:bCs/>
          <w:lang w:val="fr-FR"/>
        </w:rPr>
      </w:pPr>
      <w:r w:rsidRPr="008764AA">
        <w:rPr>
          <w:rFonts w:asciiTheme="majorBidi" w:hAnsiTheme="majorBidi" w:cstheme="majorBidi"/>
          <w:b/>
          <w:bCs/>
          <w:lang w:val="fr-FR"/>
        </w:rPr>
        <w:t>Tableau</w:t>
      </w:r>
      <w:r>
        <w:rPr>
          <w:rFonts w:asciiTheme="majorBidi" w:hAnsiTheme="majorBidi" w:cstheme="majorBidi"/>
          <w:b/>
          <w:bCs/>
          <w:lang w:val="fr-FR"/>
        </w:rPr>
        <w:t xml:space="preserve"> N°14</w:t>
      </w:r>
      <w:r w:rsidRPr="008764AA">
        <w:rPr>
          <w:rFonts w:asciiTheme="majorBidi" w:hAnsiTheme="majorBidi" w:cstheme="majorBidi"/>
          <w:b/>
          <w:bCs/>
          <w:lang w:val="fr-FR"/>
        </w:rPr>
        <w:t xml:space="preserve"> :</w:t>
      </w:r>
      <w:r w:rsidRPr="008764AA">
        <w:rPr>
          <w:rFonts w:asciiTheme="majorBidi" w:hAnsiTheme="majorBidi" w:cstheme="majorBidi"/>
          <w:lang w:val="fr-FR"/>
        </w:rPr>
        <w:t xml:space="preserve"> </w:t>
      </w:r>
      <w:r w:rsidRPr="00381B81">
        <w:rPr>
          <w:rFonts w:asciiTheme="majorBidi" w:hAnsiTheme="majorBidi" w:cstheme="majorBidi"/>
          <w:lang w:val="fr-FR"/>
        </w:rPr>
        <w:t>Facteurs de chargement pour les indicateurs de construction liés au modèle d'étude</w:t>
      </w:r>
    </w:p>
    <w:tbl>
      <w:tblPr>
        <w:tblStyle w:val="Grilledutableau"/>
        <w:tblW w:w="9209" w:type="dxa"/>
        <w:tblLook w:val="04A0" w:firstRow="1" w:lastRow="0" w:firstColumn="1" w:lastColumn="0" w:noHBand="0" w:noVBand="1"/>
      </w:tblPr>
      <w:tblGrid>
        <w:gridCol w:w="2254"/>
        <w:gridCol w:w="2255"/>
        <w:gridCol w:w="2254"/>
        <w:gridCol w:w="2446"/>
      </w:tblGrid>
      <w:tr w:rsidR="00E772DD" w:rsidRPr="008764AA" w:rsidTr="00AE378F">
        <w:tc>
          <w:tcPr>
            <w:tcW w:w="4509" w:type="dxa"/>
            <w:gridSpan w:val="2"/>
            <w:shd w:val="clear" w:color="auto" w:fill="D8DCD1"/>
          </w:tcPr>
          <w:p w:rsidR="00E772DD" w:rsidRPr="008764AA" w:rsidRDefault="00E772DD" w:rsidP="00492817">
            <w:pPr>
              <w:spacing w:after="240" w:line="360" w:lineRule="auto"/>
              <w:jc w:val="both"/>
              <w:rPr>
                <w:rFonts w:asciiTheme="majorBidi" w:hAnsiTheme="majorBidi" w:cstheme="majorBidi"/>
                <w:lang w:val="fr-FR"/>
              </w:rPr>
            </w:pPr>
            <w:r w:rsidRPr="008764AA">
              <w:rPr>
                <w:rFonts w:asciiTheme="majorBidi" w:hAnsiTheme="majorBidi" w:cstheme="majorBidi"/>
                <w:lang w:val="fr-FR"/>
              </w:rPr>
              <w:t>Variables </w:t>
            </w:r>
          </w:p>
        </w:tc>
        <w:tc>
          <w:tcPr>
            <w:tcW w:w="2254" w:type="dxa"/>
            <w:shd w:val="clear" w:color="auto" w:fill="D8DCD1"/>
          </w:tcPr>
          <w:p w:rsidR="00E772DD" w:rsidRPr="008764AA" w:rsidRDefault="00E772DD" w:rsidP="00492817">
            <w:pPr>
              <w:spacing w:after="240" w:line="360" w:lineRule="auto"/>
              <w:jc w:val="both"/>
              <w:rPr>
                <w:rFonts w:asciiTheme="majorBidi" w:hAnsiTheme="majorBidi" w:cstheme="majorBidi"/>
                <w:lang w:val="fr-FR"/>
              </w:rPr>
            </w:pPr>
            <w:r w:rsidRPr="008764AA">
              <w:rPr>
                <w:rFonts w:asciiTheme="majorBidi" w:hAnsiTheme="majorBidi" w:cstheme="majorBidi"/>
                <w:lang w:val="fr-FR"/>
              </w:rPr>
              <w:t>Items</w:t>
            </w:r>
          </w:p>
        </w:tc>
        <w:tc>
          <w:tcPr>
            <w:tcW w:w="2446" w:type="dxa"/>
            <w:shd w:val="clear" w:color="auto" w:fill="D8DCD1"/>
          </w:tcPr>
          <w:p w:rsidR="00E772DD" w:rsidRPr="008764AA" w:rsidRDefault="00E772DD" w:rsidP="00492817">
            <w:pPr>
              <w:pStyle w:val="p1"/>
            </w:pPr>
            <w:r w:rsidRPr="00D325CF">
              <w:rPr>
                <w:sz w:val="24"/>
                <w:szCs w:val="24"/>
              </w:rPr>
              <w:t>Coefficien</w:t>
            </w:r>
            <w:r w:rsidRPr="008764AA">
              <w:rPr>
                <w:sz w:val="24"/>
                <w:szCs w:val="24"/>
              </w:rPr>
              <w:t>t de charge</w:t>
            </w:r>
          </w:p>
        </w:tc>
      </w:tr>
      <w:tr w:rsidR="00E772DD" w:rsidRPr="008764AA" w:rsidTr="00AE378F">
        <w:trPr>
          <w:trHeight w:val="191"/>
        </w:trPr>
        <w:tc>
          <w:tcPr>
            <w:tcW w:w="2254" w:type="dxa"/>
            <w:vMerge w:val="restart"/>
            <w:shd w:val="clear" w:color="auto" w:fill="D8DCD1"/>
          </w:tcPr>
          <w:p w:rsidR="00E772DD" w:rsidRPr="008764AA" w:rsidRDefault="00E772DD" w:rsidP="00494650">
            <w:pPr>
              <w:spacing w:after="240" w:line="360" w:lineRule="auto"/>
              <w:rPr>
                <w:rFonts w:asciiTheme="majorBidi" w:hAnsiTheme="majorBidi" w:cstheme="majorBidi"/>
                <w:lang w:val="fr-FR"/>
              </w:rPr>
            </w:pPr>
            <w:r w:rsidRPr="008764AA">
              <w:rPr>
                <w:rFonts w:asciiTheme="majorBidi" w:hAnsiTheme="majorBidi" w:cstheme="majorBidi"/>
                <w:lang w:val="fr-FR"/>
              </w:rPr>
              <w:t>la digitalisation des processus RH</w:t>
            </w:r>
          </w:p>
        </w:tc>
        <w:tc>
          <w:tcPr>
            <w:tcW w:w="2255" w:type="dxa"/>
            <w:vMerge w:val="restart"/>
            <w:shd w:val="clear" w:color="auto" w:fill="D8DCD1"/>
          </w:tcPr>
          <w:p w:rsidR="00E772DD" w:rsidRPr="008764AA" w:rsidRDefault="00E772DD" w:rsidP="00494650">
            <w:pPr>
              <w:spacing w:after="240" w:line="360" w:lineRule="auto"/>
              <w:rPr>
                <w:rFonts w:asciiTheme="majorBidi" w:hAnsiTheme="majorBidi" w:cstheme="majorBidi"/>
                <w:lang w:val="fr-FR"/>
              </w:rPr>
            </w:pPr>
            <w:r w:rsidRPr="008764AA">
              <w:rPr>
                <w:rStyle w:val="lev"/>
                <w:rFonts w:asciiTheme="majorBidi" w:hAnsiTheme="majorBidi" w:cstheme="majorBidi"/>
                <w:lang w:val="fr-FR"/>
              </w:rPr>
              <w:t>Accessibilité numérique</w:t>
            </w: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Acces1</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0,918</w:t>
            </w:r>
          </w:p>
        </w:tc>
      </w:tr>
      <w:tr w:rsidR="00E772DD" w:rsidRPr="008764AA" w:rsidTr="00AE378F">
        <w:trPr>
          <w:trHeight w:val="229"/>
        </w:trPr>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Acces2</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0,902</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Acces3</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0,753</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Acces4</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0,794</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Acces5</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0,876</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Acces6</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0,911</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Acces7</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0,877</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val="restart"/>
            <w:shd w:val="clear" w:color="auto" w:fill="D8DCD1"/>
          </w:tcPr>
          <w:p w:rsidR="00E772DD" w:rsidRPr="008764AA" w:rsidRDefault="00E772DD" w:rsidP="00494650">
            <w:pPr>
              <w:spacing w:after="240" w:line="360" w:lineRule="auto"/>
              <w:rPr>
                <w:rStyle w:val="lev"/>
                <w:rFonts w:asciiTheme="majorBidi" w:hAnsiTheme="majorBidi" w:cstheme="majorBidi"/>
                <w:b w:val="0"/>
                <w:bCs w:val="0"/>
                <w:lang w:val="fr-FR"/>
              </w:rPr>
            </w:pPr>
            <w:r w:rsidRPr="008764AA">
              <w:rPr>
                <w:rStyle w:val="lev"/>
                <w:rFonts w:asciiTheme="majorBidi" w:hAnsiTheme="majorBidi" w:cstheme="majorBidi"/>
                <w:lang w:val="fr-FR"/>
              </w:rPr>
              <w:t>Automatisation</w:t>
            </w:r>
          </w:p>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Auto1</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0,898</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Auto2</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0,878</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Auto3</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0,818</w:t>
            </w:r>
          </w:p>
        </w:tc>
      </w:tr>
      <w:tr w:rsidR="00E772DD" w:rsidRPr="008764AA" w:rsidTr="00AE378F">
        <w:tc>
          <w:tcPr>
            <w:tcW w:w="2254" w:type="dxa"/>
            <w:vMerge w:val="restart"/>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val="restart"/>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Auto4</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0,768</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Auto5</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0,893</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Auto6</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0,905</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Auto7</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0,792</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Auto8</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0,816</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val="restart"/>
            <w:shd w:val="clear" w:color="auto" w:fill="D8DCD1"/>
          </w:tcPr>
          <w:p w:rsidR="00E772DD" w:rsidRPr="008764AA" w:rsidRDefault="00E772DD" w:rsidP="00494650">
            <w:pPr>
              <w:spacing w:after="240" w:line="360" w:lineRule="auto"/>
              <w:rPr>
                <w:rFonts w:asciiTheme="majorBidi" w:hAnsiTheme="majorBidi" w:cstheme="majorBidi"/>
                <w:lang w:val="fr-FR"/>
              </w:rPr>
            </w:pPr>
            <w:r w:rsidRPr="008764AA">
              <w:rPr>
                <w:rStyle w:val="lev"/>
                <w:rFonts w:asciiTheme="majorBidi" w:hAnsiTheme="majorBidi" w:cstheme="majorBidi"/>
                <w:lang w:val="fr-FR"/>
              </w:rPr>
              <w:t>Numérisation</w:t>
            </w: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Num1</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0,870</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Num2</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0,871</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Num3</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0,877</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Num4</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0,872</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Num5</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0,898</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Num6</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0,869</w:t>
            </w:r>
          </w:p>
        </w:tc>
      </w:tr>
      <w:tr w:rsidR="00E772DD" w:rsidRPr="008764AA" w:rsidTr="00AE378F">
        <w:tc>
          <w:tcPr>
            <w:tcW w:w="2254"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5" w:type="dxa"/>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Num7</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0,848</w:t>
            </w:r>
          </w:p>
        </w:tc>
      </w:tr>
      <w:tr w:rsidR="00E772DD" w:rsidRPr="008764AA" w:rsidTr="00AE378F">
        <w:tc>
          <w:tcPr>
            <w:tcW w:w="4509" w:type="dxa"/>
            <w:gridSpan w:val="2"/>
            <w:vMerge w:val="restart"/>
            <w:shd w:val="clear" w:color="auto" w:fill="D8DCD1"/>
          </w:tcPr>
          <w:p w:rsidR="00E772DD" w:rsidRPr="008764AA" w:rsidRDefault="00E772DD" w:rsidP="00494650">
            <w:pPr>
              <w:spacing w:after="240" w:line="360" w:lineRule="auto"/>
              <w:rPr>
                <w:rFonts w:asciiTheme="majorBidi" w:hAnsiTheme="majorBidi" w:cstheme="majorBidi"/>
                <w:lang w:val="fr-FR"/>
              </w:rPr>
            </w:pPr>
          </w:p>
          <w:p w:rsidR="00E772DD" w:rsidRPr="008764AA" w:rsidRDefault="00E772DD" w:rsidP="00494650">
            <w:pPr>
              <w:rPr>
                <w:rFonts w:asciiTheme="majorBidi" w:hAnsiTheme="majorBidi" w:cstheme="majorBidi"/>
                <w:lang w:val="fr-FR"/>
              </w:rPr>
            </w:pPr>
          </w:p>
          <w:p w:rsidR="00E772DD" w:rsidRPr="008764AA" w:rsidRDefault="00E772DD" w:rsidP="00494650">
            <w:pPr>
              <w:rPr>
                <w:rFonts w:asciiTheme="majorBidi" w:hAnsiTheme="majorBidi" w:cstheme="majorBidi"/>
                <w:lang w:val="fr-FR"/>
              </w:rPr>
            </w:pPr>
          </w:p>
          <w:p w:rsidR="00E772DD" w:rsidRPr="008764AA" w:rsidRDefault="00E772DD" w:rsidP="00494650">
            <w:pPr>
              <w:rPr>
                <w:rFonts w:asciiTheme="majorBidi" w:hAnsiTheme="majorBidi" w:cstheme="majorBidi"/>
                <w:lang w:val="fr-FR"/>
              </w:rPr>
            </w:pPr>
          </w:p>
          <w:p w:rsidR="00E772DD" w:rsidRPr="008764AA" w:rsidRDefault="00E772DD" w:rsidP="00494650">
            <w:pPr>
              <w:rPr>
                <w:rFonts w:asciiTheme="majorBidi" w:hAnsiTheme="majorBidi" w:cstheme="majorBidi"/>
                <w:lang w:val="fr-FR"/>
              </w:rPr>
            </w:pPr>
          </w:p>
          <w:p w:rsidR="00E772DD" w:rsidRPr="008764AA" w:rsidRDefault="00E772DD" w:rsidP="00494650">
            <w:pPr>
              <w:tabs>
                <w:tab w:val="left" w:pos="3309"/>
              </w:tabs>
              <w:rPr>
                <w:rFonts w:asciiTheme="majorBidi" w:hAnsiTheme="majorBidi" w:cstheme="majorBidi"/>
                <w:lang w:val="fr-FR"/>
              </w:rPr>
            </w:pPr>
            <w:r w:rsidRPr="008764AA">
              <w:rPr>
                <w:rStyle w:val="lev"/>
                <w:rFonts w:asciiTheme="majorBidi" w:hAnsiTheme="majorBidi" w:cstheme="majorBidi"/>
                <w:lang w:val="fr-FR"/>
              </w:rPr>
              <w:t>Performance de la fonction RH</w:t>
            </w: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PerfRH1</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0,775</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PerfRH2</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0,868</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PerfRH3</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0,741</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PerfRH4</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0,883</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PerfRH5</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0,834</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PerfRH6</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0,823</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PerfRH7</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0,807</w:t>
            </w:r>
          </w:p>
        </w:tc>
      </w:tr>
      <w:tr w:rsidR="00E772DD" w:rsidRPr="008764AA" w:rsidTr="00AE378F">
        <w:tc>
          <w:tcPr>
            <w:tcW w:w="4509" w:type="dxa"/>
            <w:gridSpan w:val="2"/>
            <w:vMerge w:val="restart"/>
            <w:shd w:val="clear" w:color="auto" w:fill="D8DCD1"/>
          </w:tcPr>
          <w:p w:rsidR="00E772DD" w:rsidRPr="008764AA" w:rsidRDefault="00E772DD" w:rsidP="00494650">
            <w:pPr>
              <w:spacing w:after="240" w:line="360" w:lineRule="auto"/>
              <w:rPr>
                <w:rFonts w:asciiTheme="majorBidi" w:hAnsiTheme="majorBidi" w:cstheme="majorBidi"/>
                <w:b/>
                <w:bCs/>
                <w:lang w:val="fr-FR"/>
              </w:rPr>
            </w:pPr>
            <w:r w:rsidRPr="008764AA">
              <w:rPr>
                <w:rStyle w:val="lev"/>
                <w:rFonts w:asciiTheme="majorBidi" w:hAnsiTheme="majorBidi" w:cstheme="majorBidi"/>
                <w:lang w:val="fr-FR"/>
              </w:rPr>
              <w:t>Processus de formation digitalisée</w:t>
            </w: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ProFD1</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0,848</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ProFD2</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0,714</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ProFD3</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0,768</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ProFD4</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0,853</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ProFD5</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0,863</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ProFD6</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0,810</w:t>
            </w:r>
          </w:p>
        </w:tc>
      </w:tr>
      <w:tr w:rsidR="00E772DD" w:rsidRPr="008764AA" w:rsidTr="00AE378F">
        <w:tc>
          <w:tcPr>
            <w:tcW w:w="4509" w:type="dxa"/>
            <w:gridSpan w:val="2"/>
            <w:vMerge/>
            <w:shd w:val="clear" w:color="auto" w:fill="D8DCD1"/>
          </w:tcPr>
          <w:p w:rsidR="00E772DD" w:rsidRPr="008764AA" w:rsidRDefault="00E772DD" w:rsidP="00494650">
            <w:pPr>
              <w:spacing w:after="240" w:line="360" w:lineRule="auto"/>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ProFD7</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0,802</w:t>
            </w:r>
          </w:p>
        </w:tc>
      </w:tr>
      <w:tr w:rsidR="00E772DD" w:rsidRPr="008764AA" w:rsidTr="00AE378F">
        <w:tc>
          <w:tcPr>
            <w:tcW w:w="4509" w:type="dxa"/>
            <w:gridSpan w:val="2"/>
            <w:vMerge w:val="restart"/>
            <w:shd w:val="clear" w:color="auto" w:fill="D8DCD1"/>
          </w:tcPr>
          <w:p w:rsidR="00E772DD" w:rsidRPr="008764AA" w:rsidRDefault="00E772DD" w:rsidP="00494650">
            <w:pPr>
              <w:spacing w:after="240" w:line="360" w:lineRule="auto"/>
              <w:rPr>
                <w:rFonts w:asciiTheme="majorBidi" w:hAnsiTheme="majorBidi" w:cstheme="majorBidi"/>
                <w:lang w:val="fr-FR"/>
              </w:rPr>
            </w:pPr>
            <w:r w:rsidRPr="008764AA">
              <w:rPr>
                <w:rFonts w:asciiTheme="majorBidi" w:hAnsiTheme="majorBidi" w:cstheme="majorBidi"/>
                <w:lang w:val="fr-FR"/>
              </w:rPr>
              <w:t>Processus de recrutement digitalisé</w:t>
            </w: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ProRD1</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0,840</w:t>
            </w:r>
          </w:p>
        </w:tc>
      </w:tr>
      <w:tr w:rsidR="00E772DD" w:rsidRPr="008764AA" w:rsidTr="00AE378F">
        <w:tc>
          <w:tcPr>
            <w:tcW w:w="4509" w:type="dxa"/>
            <w:gridSpan w:val="2"/>
            <w:vMerge/>
            <w:shd w:val="clear" w:color="auto" w:fill="D8DCD1"/>
          </w:tcPr>
          <w:p w:rsidR="00E772DD" w:rsidRPr="008764AA" w:rsidRDefault="00E772DD" w:rsidP="00492817">
            <w:pPr>
              <w:spacing w:after="240" w:line="360" w:lineRule="auto"/>
              <w:jc w:val="both"/>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ProRD2</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0,784</w:t>
            </w:r>
          </w:p>
        </w:tc>
      </w:tr>
      <w:tr w:rsidR="00E772DD" w:rsidRPr="008764AA" w:rsidTr="00AE378F">
        <w:tc>
          <w:tcPr>
            <w:tcW w:w="4509" w:type="dxa"/>
            <w:gridSpan w:val="2"/>
            <w:vMerge/>
            <w:shd w:val="clear" w:color="auto" w:fill="D8DCD1"/>
          </w:tcPr>
          <w:p w:rsidR="00E772DD" w:rsidRPr="008764AA" w:rsidRDefault="00E772DD" w:rsidP="00492817">
            <w:pPr>
              <w:spacing w:after="240" w:line="360" w:lineRule="auto"/>
              <w:jc w:val="both"/>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ProRD3</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0,869</w:t>
            </w:r>
          </w:p>
        </w:tc>
      </w:tr>
      <w:tr w:rsidR="00E772DD" w:rsidRPr="008764AA" w:rsidTr="00AE378F">
        <w:tc>
          <w:tcPr>
            <w:tcW w:w="4509" w:type="dxa"/>
            <w:gridSpan w:val="2"/>
            <w:vMerge/>
            <w:shd w:val="clear" w:color="auto" w:fill="D8DCD1"/>
          </w:tcPr>
          <w:p w:rsidR="00E772DD" w:rsidRPr="008764AA" w:rsidRDefault="00E772DD" w:rsidP="00492817">
            <w:pPr>
              <w:spacing w:after="240" w:line="360" w:lineRule="auto"/>
              <w:jc w:val="both"/>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ProRD4</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0,864</w:t>
            </w:r>
          </w:p>
        </w:tc>
      </w:tr>
      <w:tr w:rsidR="00E772DD" w:rsidRPr="008764AA" w:rsidTr="00AE378F">
        <w:tc>
          <w:tcPr>
            <w:tcW w:w="4509" w:type="dxa"/>
            <w:gridSpan w:val="2"/>
            <w:vMerge/>
            <w:shd w:val="clear" w:color="auto" w:fill="D8DCD1"/>
          </w:tcPr>
          <w:p w:rsidR="00E772DD" w:rsidRPr="008764AA" w:rsidRDefault="00E772DD" w:rsidP="00492817">
            <w:pPr>
              <w:spacing w:after="240" w:line="360" w:lineRule="auto"/>
              <w:jc w:val="both"/>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ProRD5</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0,842</w:t>
            </w:r>
          </w:p>
        </w:tc>
      </w:tr>
      <w:tr w:rsidR="00E772DD" w:rsidRPr="008764AA" w:rsidTr="00AE378F">
        <w:tc>
          <w:tcPr>
            <w:tcW w:w="4509" w:type="dxa"/>
            <w:gridSpan w:val="2"/>
            <w:vMerge/>
            <w:shd w:val="clear" w:color="auto" w:fill="D8DCD1"/>
          </w:tcPr>
          <w:p w:rsidR="00E772DD" w:rsidRPr="008764AA" w:rsidRDefault="00E772DD" w:rsidP="00492817">
            <w:pPr>
              <w:spacing w:after="240" w:line="360" w:lineRule="auto"/>
              <w:jc w:val="both"/>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ProRD6</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0,809</w:t>
            </w:r>
          </w:p>
        </w:tc>
      </w:tr>
      <w:tr w:rsidR="00E772DD" w:rsidRPr="008764AA" w:rsidTr="00AE378F">
        <w:tc>
          <w:tcPr>
            <w:tcW w:w="4509" w:type="dxa"/>
            <w:gridSpan w:val="2"/>
            <w:vMerge/>
            <w:shd w:val="clear" w:color="auto" w:fill="D8DCD1"/>
          </w:tcPr>
          <w:p w:rsidR="00E772DD" w:rsidRPr="008764AA" w:rsidRDefault="00E772DD" w:rsidP="00492817">
            <w:pPr>
              <w:spacing w:after="240" w:line="360" w:lineRule="auto"/>
              <w:jc w:val="both"/>
              <w:rPr>
                <w:rFonts w:asciiTheme="majorBidi" w:hAnsiTheme="majorBidi" w:cstheme="majorBidi"/>
                <w:lang w:val="fr-FR"/>
              </w:rPr>
            </w:pPr>
          </w:p>
        </w:tc>
        <w:tc>
          <w:tcPr>
            <w:tcW w:w="2254"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ProRD7</w:t>
            </w:r>
          </w:p>
        </w:tc>
        <w:tc>
          <w:tcPr>
            <w:tcW w:w="2446" w:type="dxa"/>
            <w:vAlign w:val="center"/>
          </w:tcPr>
          <w:p w:rsidR="00E772DD" w:rsidRPr="008764AA" w:rsidRDefault="00E772DD" w:rsidP="00494650">
            <w:pPr>
              <w:spacing w:after="240"/>
              <w:jc w:val="center"/>
              <w:rPr>
                <w:rFonts w:asciiTheme="majorBidi" w:hAnsiTheme="majorBidi" w:cstheme="majorBidi"/>
                <w:lang w:val="fr-FR"/>
              </w:rPr>
            </w:pPr>
            <w:r w:rsidRPr="008764AA">
              <w:rPr>
                <w:rFonts w:asciiTheme="majorBidi" w:hAnsiTheme="majorBidi" w:cstheme="majorBidi"/>
                <w:lang w:val="fr-FR"/>
              </w:rPr>
              <w:t>0,794</w:t>
            </w:r>
          </w:p>
        </w:tc>
      </w:tr>
    </w:tbl>
    <w:p w:rsidR="00E772DD" w:rsidRPr="008764AA" w:rsidRDefault="00E772DD" w:rsidP="0024578E">
      <w:pPr>
        <w:spacing w:after="240" w:line="360" w:lineRule="auto"/>
        <w:jc w:val="center"/>
        <w:rPr>
          <w:rFonts w:asciiTheme="majorBidi" w:hAnsiTheme="majorBidi" w:cstheme="majorBidi"/>
          <w:lang w:val="fr-FR"/>
        </w:rPr>
      </w:pPr>
      <w:r w:rsidRPr="008764AA">
        <w:rPr>
          <w:rFonts w:asciiTheme="majorBidi" w:hAnsiTheme="majorBidi" w:cstheme="majorBidi"/>
          <w:b/>
          <w:bCs/>
          <w:lang w:val="fr-FR"/>
        </w:rPr>
        <w:t>Source :</w:t>
      </w:r>
      <w:r w:rsidRPr="008764AA">
        <w:rPr>
          <w:rFonts w:asciiTheme="majorBidi" w:hAnsiTheme="majorBidi" w:cstheme="majorBidi"/>
          <w:lang w:val="fr-FR"/>
        </w:rPr>
        <w:t xml:space="preserve"> </w:t>
      </w:r>
      <w:r w:rsidR="00982387">
        <w:rPr>
          <w:rFonts w:asciiTheme="majorBidi" w:hAnsiTheme="majorBidi" w:cstheme="majorBidi"/>
          <w:lang w:val="fr-FR"/>
        </w:rPr>
        <w:t>Résultat de l’étude - SmartPLS4 - 2025</w:t>
      </w:r>
    </w:p>
    <w:p w:rsidR="00E772DD" w:rsidRPr="005C3071" w:rsidRDefault="00E772DD" w:rsidP="00A73794">
      <w:pPr>
        <w:spacing w:after="240" w:line="360" w:lineRule="auto"/>
        <w:jc w:val="both"/>
        <w:rPr>
          <w:rFonts w:asciiTheme="majorBidi" w:hAnsiTheme="majorBidi" w:cstheme="majorBidi"/>
          <w:color w:val="000000"/>
        </w:rPr>
      </w:pPr>
      <w:r w:rsidRPr="005C3071">
        <w:rPr>
          <w:rFonts w:asciiTheme="majorBidi" w:hAnsiTheme="majorBidi" w:cstheme="majorBidi"/>
          <w:color w:val="000000"/>
        </w:rPr>
        <w:t>Le tableau présenté met en évidence les coefficients de chargement des indicateurs pour chaque construit du modèle. La majorité de ces coefficients dépassent la valeur seuil de 0,7, ce qui témoigne d'une bonne validité convergente ainsi que d'une fiabilité interne satisfaisante des construits. Cela signifie que les indicateurs sélectionnés reflètent correctement les concepts théoriques visés, ce qui renforce la solidité méthodologique et la crédibilité des conclusions de l’étude.</w:t>
      </w:r>
    </w:p>
    <w:p w:rsidR="00E772DD" w:rsidRPr="00E24884" w:rsidRDefault="00E24884" w:rsidP="004D32AC">
      <w:pPr>
        <w:pStyle w:val="Titre3"/>
        <w:numPr>
          <w:ilvl w:val="1"/>
          <w:numId w:val="193"/>
        </w:numPr>
        <w:spacing w:after="0" w:afterAutospacing="0" w:line="360" w:lineRule="auto"/>
        <w:rPr>
          <w:sz w:val="24"/>
          <w:szCs w:val="24"/>
          <w:lang w:val="fr-FR"/>
        </w:rPr>
      </w:pPr>
      <w:r>
        <w:rPr>
          <w:sz w:val="24"/>
          <w:szCs w:val="24"/>
          <w:lang w:val="fr-FR"/>
        </w:rPr>
        <w:t xml:space="preserve"> </w:t>
      </w:r>
      <w:bookmarkStart w:id="2190" w:name="_Toc199714556"/>
      <w:bookmarkStart w:id="2191" w:name="_Toc200486832"/>
      <w:bookmarkStart w:id="2192" w:name="_Toc200635610"/>
      <w:bookmarkStart w:id="2193" w:name="_Toc200635998"/>
      <w:bookmarkStart w:id="2194" w:name="_Toc200636387"/>
      <w:bookmarkStart w:id="2195" w:name="_Toc200756128"/>
      <w:r w:rsidR="00E772DD" w:rsidRPr="00E24884">
        <w:rPr>
          <w:sz w:val="24"/>
          <w:szCs w:val="24"/>
          <w:lang w:val="fr-FR"/>
        </w:rPr>
        <w:t>Fiabilité de la Consistance Interne :</w:t>
      </w:r>
      <w:bookmarkEnd w:id="2190"/>
      <w:bookmarkEnd w:id="2191"/>
      <w:bookmarkEnd w:id="2192"/>
      <w:bookmarkEnd w:id="2193"/>
      <w:bookmarkEnd w:id="2194"/>
      <w:bookmarkEnd w:id="2195"/>
    </w:p>
    <w:p w:rsidR="00E772DD" w:rsidRPr="008764AA" w:rsidRDefault="00E772DD" w:rsidP="00FE7672">
      <w:pPr>
        <w:spacing w:after="240" w:line="360" w:lineRule="auto"/>
        <w:jc w:val="both"/>
        <w:rPr>
          <w:rFonts w:asciiTheme="majorBidi" w:hAnsiTheme="majorBidi" w:cstheme="majorBidi"/>
          <w:lang w:val="fr-FR"/>
        </w:rPr>
      </w:pPr>
      <w:r w:rsidRPr="00FE7672">
        <w:rPr>
          <w:rFonts w:asciiTheme="majorBidi" w:hAnsiTheme="majorBidi" w:cstheme="majorBidi"/>
        </w:rPr>
        <w:t>La cohérence interne est généralement vérifiée à l’aide de deux critères essentiels. Ces indicateurs jouent un rôle clé pour garantir la fiabilité des outils de mesure utilisés dans l’étude, en assurant que les résultats obtenus sont à la fois stables et reproductibles.</w:t>
      </w:r>
    </w:p>
    <w:p w:rsidR="00E772DD" w:rsidRPr="00A53242" w:rsidRDefault="00E772DD" w:rsidP="004D32AC">
      <w:pPr>
        <w:pStyle w:val="Titre3"/>
        <w:numPr>
          <w:ilvl w:val="2"/>
          <w:numId w:val="193"/>
        </w:numPr>
        <w:rPr>
          <w:sz w:val="24"/>
          <w:szCs w:val="24"/>
          <w:lang w:val="fr-FR"/>
        </w:rPr>
      </w:pPr>
      <w:bookmarkStart w:id="2196" w:name="_Toc199714557"/>
      <w:bookmarkStart w:id="2197" w:name="_Toc200486833"/>
      <w:bookmarkStart w:id="2198" w:name="_Toc200635611"/>
      <w:bookmarkStart w:id="2199" w:name="_Toc200635999"/>
      <w:bookmarkStart w:id="2200" w:name="_Toc200636388"/>
      <w:bookmarkStart w:id="2201" w:name="_Toc200756129"/>
      <w:r w:rsidRPr="00A53242">
        <w:rPr>
          <w:sz w:val="24"/>
          <w:szCs w:val="24"/>
          <w:lang w:val="fr-FR"/>
        </w:rPr>
        <w:t>Le Coefficient Alpha de Cronbach (Alpha de Cronbach)</w:t>
      </w:r>
      <w:bookmarkEnd w:id="2196"/>
      <w:bookmarkEnd w:id="2197"/>
      <w:bookmarkEnd w:id="2198"/>
      <w:bookmarkEnd w:id="2199"/>
      <w:bookmarkEnd w:id="2200"/>
      <w:bookmarkEnd w:id="2201"/>
    </w:p>
    <w:p w:rsidR="00E772DD" w:rsidRPr="008764AA" w:rsidRDefault="00E772DD" w:rsidP="0024578E">
      <w:pPr>
        <w:spacing w:after="240" w:line="360" w:lineRule="auto"/>
        <w:jc w:val="both"/>
        <w:rPr>
          <w:rFonts w:asciiTheme="majorBidi" w:hAnsiTheme="majorBidi" w:cstheme="majorBidi"/>
          <w:lang w:val="fr-FR"/>
        </w:rPr>
      </w:pPr>
      <w:r w:rsidRPr="008764AA">
        <w:rPr>
          <w:rFonts w:asciiTheme="majorBidi" w:hAnsiTheme="majorBidi" w:cstheme="majorBidi"/>
          <w:lang w:val="fr-FR"/>
        </w:rPr>
        <w:t>Le coefficient de fiabilité, connu sous le nom d’alpha de Cronbach, permet d’évaluer la cohérence interne entre les variables d’un instrument de mesure. Il s’agit de l’un des tests statistiques les plus couramment utilisés pour analyser les données issues de questionnaires, en vue d’en vérifier la validité et la légitimité. Un coefficient alpha supérieur à 0,60 indique un niveau acceptable de fiabilité entre les items du questionnaire</w:t>
      </w:r>
    </w:p>
    <w:p w:rsidR="00E772DD" w:rsidRPr="008764AA" w:rsidRDefault="00E772DD" w:rsidP="00D914C6">
      <w:pPr>
        <w:spacing w:after="240"/>
        <w:jc w:val="center"/>
        <w:rPr>
          <w:lang w:val="fr-FR"/>
        </w:rPr>
      </w:pPr>
      <w:r w:rsidRPr="008764AA">
        <w:rPr>
          <w:b/>
          <w:bCs/>
          <w:lang w:val="fr-FR"/>
        </w:rPr>
        <w:t>Tableau</w:t>
      </w:r>
      <w:r>
        <w:rPr>
          <w:b/>
          <w:bCs/>
          <w:lang w:val="fr-FR"/>
        </w:rPr>
        <w:t xml:space="preserve"> N°15</w:t>
      </w:r>
      <w:r w:rsidRPr="008764AA">
        <w:rPr>
          <w:b/>
          <w:bCs/>
          <w:lang w:val="fr-FR"/>
        </w:rPr>
        <w:t xml:space="preserve"> : </w:t>
      </w:r>
      <w:r w:rsidRPr="00381B81">
        <w:rPr>
          <w:lang w:val="fr-FR"/>
        </w:rPr>
        <w:t>Coefficients de Alpha de Cronbach</w:t>
      </w:r>
    </w:p>
    <w:tbl>
      <w:tblPr>
        <w:tblStyle w:val="Grilledutableau"/>
        <w:tblW w:w="0" w:type="auto"/>
        <w:jc w:val="center"/>
        <w:tblLook w:val="04A0" w:firstRow="1" w:lastRow="0" w:firstColumn="1" w:lastColumn="0" w:noHBand="0" w:noVBand="1"/>
      </w:tblPr>
      <w:tblGrid>
        <w:gridCol w:w="2405"/>
        <w:gridCol w:w="2311"/>
        <w:gridCol w:w="796"/>
        <w:gridCol w:w="900"/>
      </w:tblGrid>
      <w:tr w:rsidR="00E772DD" w:rsidRPr="008764AA" w:rsidTr="00AE378F">
        <w:trPr>
          <w:trHeight w:val="534"/>
          <w:jc w:val="center"/>
        </w:trPr>
        <w:tc>
          <w:tcPr>
            <w:tcW w:w="4716" w:type="dxa"/>
            <w:gridSpan w:val="2"/>
            <w:shd w:val="clear" w:color="auto" w:fill="D8DCD1"/>
          </w:tcPr>
          <w:p w:rsidR="00E772DD" w:rsidRPr="00AE378F" w:rsidRDefault="00E772DD" w:rsidP="00773950">
            <w:pPr>
              <w:pStyle w:val="p1"/>
              <w:rPr>
                <w:b/>
                <w:bCs/>
                <w:sz w:val="24"/>
                <w:szCs w:val="24"/>
              </w:rPr>
            </w:pPr>
            <w:r w:rsidRPr="00AE378F">
              <w:rPr>
                <w:b/>
                <w:bCs/>
                <w:sz w:val="24"/>
                <w:szCs w:val="24"/>
              </w:rPr>
              <w:t>Variables</w:t>
            </w:r>
            <w:r w:rsidRPr="00AE378F">
              <w:rPr>
                <w:rStyle w:val="apple-converted-space"/>
                <w:b/>
                <w:bCs/>
                <w:sz w:val="24"/>
                <w:szCs w:val="24"/>
              </w:rPr>
              <w:t> </w:t>
            </w:r>
          </w:p>
        </w:tc>
        <w:tc>
          <w:tcPr>
            <w:tcW w:w="1696" w:type="dxa"/>
            <w:gridSpan w:val="2"/>
            <w:shd w:val="clear" w:color="auto" w:fill="D8DCD1"/>
          </w:tcPr>
          <w:p w:rsidR="00E772DD" w:rsidRPr="00AE378F" w:rsidRDefault="00E772DD" w:rsidP="00773950">
            <w:pPr>
              <w:pStyle w:val="p1"/>
              <w:rPr>
                <w:b/>
                <w:bCs/>
                <w:sz w:val="24"/>
                <w:szCs w:val="24"/>
              </w:rPr>
            </w:pPr>
            <w:r w:rsidRPr="00AE378F">
              <w:rPr>
                <w:b/>
                <w:bCs/>
                <w:sz w:val="24"/>
                <w:szCs w:val="24"/>
              </w:rPr>
              <w:t>Alpha Cronbach</w:t>
            </w:r>
            <w:r w:rsidRPr="00AE378F">
              <w:rPr>
                <w:rStyle w:val="apple-converted-space"/>
                <w:b/>
                <w:bCs/>
                <w:sz w:val="24"/>
                <w:szCs w:val="24"/>
              </w:rPr>
              <w:t> </w:t>
            </w:r>
          </w:p>
        </w:tc>
      </w:tr>
      <w:tr w:rsidR="00E772DD" w:rsidRPr="008764AA" w:rsidTr="00AE378F">
        <w:trPr>
          <w:trHeight w:val="663"/>
          <w:jc w:val="center"/>
        </w:trPr>
        <w:tc>
          <w:tcPr>
            <w:tcW w:w="2405" w:type="dxa"/>
            <w:vMerge w:val="restart"/>
            <w:shd w:val="clear" w:color="auto" w:fill="D8DCD1"/>
          </w:tcPr>
          <w:p w:rsidR="00E772DD" w:rsidRPr="00AE378F" w:rsidRDefault="00E772DD" w:rsidP="004D0E2C">
            <w:pPr>
              <w:spacing w:after="240" w:line="360" w:lineRule="auto"/>
              <w:rPr>
                <w:rFonts w:asciiTheme="majorBidi" w:hAnsiTheme="majorBidi" w:cstheme="majorBidi"/>
                <w:b/>
                <w:bCs/>
                <w:lang w:val="fr-FR"/>
              </w:rPr>
            </w:pPr>
            <w:r w:rsidRPr="00AE378F">
              <w:rPr>
                <w:rFonts w:asciiTheme="majorBidi" w:hAnsiTheme="majorBidi" w:cstheme="majorBidi"/>
                <w:b/>
                <w:bCs/>
                <w:lang w:val="fr-FR"/>
              </w:rPr>
              <w:t>la digitalisation des processus RH</w:t>
            </w:r>
          </w:p>
        </w:tc>
        <w:tc>
          <w:tcPr>
            <w:tcW w:w="2311" w:type="dxa"/>
            <w:shd w:val="clear" w:color="auto" w:fill="D8DCD1"/>
          </w:tcPr>
          <w:p w:rsidR="00E772DD" w:rsidRPr="008764AA" w:rsidRDefault="00E772DD" w:rsidP="0024578E">
            <w:pPr>
              <w:rPr>
                <w:rFonts w:asciiTheme="majorBidi" w:hAnsiTheme="majorBidi" w:cstheme="majorBidi"/>
                <w:lang w:val="fr-FR"/>
              </w:rPr>
            </w:pPr>
            <w:r w:rsidRPr="008764AA">
              <w:rPr>
                <w:rStyle w:val="lev"/>
                <w:rFonts w:asciiTheme="majorBidi" w:hAnsiTheme="majorBidi" w:cstheme="majorBidi"/>
                <w:lang w:val="fr-FR"/>
              </w:rPr>
              <w:t>Accessibilité numérique</w:t>
            </w:r>
          </w:p>
        </w:tc>
        <w:tc>
          <w:tcPr>
            <w:tcW w:w="796" w:type="dxa"/>
          </w:tcPr>
          <w:p w:rsidR="00E772DD" w:rsidRPr="008764AA" w:rsidRDefault="00E772DD" w:rsidP="00494650">
            <w:pPr>
              <w:pStyle w:val="p1"/>
              <w:rPr>
                <w:sz w:val="24"/>
                <w:szCs w:val="24"/>
              </w:rPr>
            </w:pPr>
            <w:r w:rsidRPr="008764AA">
              <w:rPr>
                <w:sz w:val="24"/>
                <w:szCs w:val="24"/>
              </w:rPr>
              <w:t>0,943</w:t>
            </w:r>
          </w:p>
        </w:tc>
        <w:tc>
          <w:tcPr>
            <w:tcW w:w="900" w:type="dxa"/>
            <w:vMerge w:val="restart"/>
          </w:tcPr>
          <w:p w:rsidR="00E772DD" w:rsidRPr="008764AA" w:rsidRDefault="00E772DD" w:rsidP="004D0E2C">
            <w:pPr>
              <w:pStyle w:val="p1"/>
              <w:rPr>
                <w:sz w:val="24"/>
                <w:szCs w:val="24"/>
              </w:rPr>
            </w:pPr>
            <w:r w:rsidRPr="008764AA">
              <w:rPr>
                <w:sz w:val="24"/>
                <w:szCs w:val="24"/>
              </w:rPr>
              <w:t>0,837</w:t>
            </w:r>
          </w:p>
        </w:tc>
      </w:tr>
      <w:tr w:rsidR="00E772DD" w:rsidRPr="008764AA" w:rsidTr="00AE378F">
        <w:trPr>
          <w:jc w:val="center"/>
        </w:trPr>
        <w:tc>
          <w:tcPr>
            <w:tcW w:w="2405" w:type="dxa"/>
            <w:vMerge/>
            <w:shd w:val="clear" w:color="auto" w:fill="D8DCD1"/>
          </w:tcPr>
          <w:p w:rsidR="00E772DD" w:rsidRPr="008764AA" w:rsidRDefault="00E772DD" w:rsidP="00494650">
            <w:pPr>
              <w:spacing w:after="240" w:line="360" w:lineRule="auto"/>
              <w:jc w:val="both"/>
              <w:rPr>
                <w:rFonts w:asciiTheme="majorBidi" w:hAnsiTheme="majorBidi" w:cstheme="majorBidi"/>
                <w:lang w:val="fr-FR"/>
              </w:rPr>
            </w:pPr>
          </w:p>
        </w:tc>
        <w:tc>
          <w:tcPr>
            <w:tcW w:w="2311" w:type="dxa"/>
            <w:shd w:val="clear" w:color="auto" w:fill="D8DCD1"/>
          </w:tcPr>
          <w:p w:rsidR="00E772DD" w:rsidRPr="008764AA" w:rsidRDefault="00E772DD" w:rsidP="00773950">
            <w:pPr>
              <w:spacing w:after="240" w:line="360" w:lineRule="auto"/>
              <w:rPr>
                <w:rFonts w:asciiTheme="majorBidi" w:hAnsiTheme="majorBidi" w:cstheme="majorBidi"/>
                <w:lang w:val="fr-FR"/>
              </w:rPr>
            </w:pPr>
            <w:r w:rsidRPr="008764AA">
              <w:rPr>
                <w:rStyle w:val="lev"/>
                <w:rFonts w:asciiTheme="majorBidi" w:hAnsiTheme="majorBidi" w:cstheme="majorBidi"/>
                <w:lang w:val="fr-FR"/>
              </w:rPr>
              <w:t>Automatisation</w:t>
            </w:r>
          </w:p>
        </w:tc>
        <w:tc>
          <w:tcPr>
            <w:tcW w:w="796" w:type="dxa"/>
          </w:tcPr>
          <w:p w:rsidR="00E772DD" w:rsidRPr="008764AA" w:rsidRDefault="00E772DD" w:rsidP="00773950">
            <w:pPr>
              <w:spacing w:after="240" w:line="360" w:lineRule="auto"/>
              <w:rPr>
                <w:rFonts w:asciiTheme="majorBidi" w:hAnsiTheme="majorBidi" w:cstheme="majorBidi"/>
                <w:lang w:val="fr-FR"/>
              </w:rPr>
            </w:pPr>
            <w:r w:rsidRPr="008764AA">
              <w:rPr>
                <w:rFonts w:asciiTheme="majorBidi" w:hAnsiTheme="majorBidi" w:cstheme="majorBidi"/>
                <w:lang w:val="fr-FR"/>
              </w:rPr>
              <w:t>0,943</w:t>
            </w:r>
          </w:p>
        </w:tc>
        <w:tc>
          <w:tcPr>
            <w:tcW w:w="900" w:type="dxa"/>
            <w:vMerge/>
          </w:tcPr>
          <w:p w:rsidR="00E772DD" w:rsidRPr="008764AA" w:rsidRDefault="00E772DD" w:rsidP="00773950">
            <w:pPr>
              <w:spacing w:after="240" w:line="360" w:lineRule="auto"/>
              <w:rPr>
                <w:rFonts w:asciiTheme="majorBidi" w:hAnsiTheme="majorBidi" w:cstheme="majorBidi"/>
                <w:lang w:val="fr-FR"/>
              </w:rPr>
            </w:pPr>
          </w:p>
        </w:tc>
      </w:tr>
      <w:tr w:rsidR="00E772DD" w:rsidRPr="008764AA" w:rsidTr="00AE378F">
        <w:trPr>
          <w:jc w:val="center"/>
        </w:trPr>
        <w:tc>
          <w:tcPr>
            <w:tcW w:w="2405" w:type="dxa"/>
            <w:vMerge/>
            <w:shd w:val="clear" w:color="auto" w:fill="D8DCD1"/>
          </w:tcPr>
          <w:p w:rsidR="00E772DD" w:rsidRPr="008764AA" w:rsidRDefault="00E772DD" w:rsidP="00494650">
            <w:pPr>
              <w:spacing w:after="240" w:line="360" w:lineRule="auto"/>
              <w:jc w:val="both"/>
              <w:rPr>
                <w:rFonts w:asciiTheme="majorBidi" w:hAnsiTheme="majorBidi" w:cstheme="majorBidi"/>
                <w:lang w:val="fr-FR"/>
              </w:rPr>
            </w:pPr>
          </w:p>
        </w:tc>
        <w:tc>
          <w:tcPr>
            <w:tcW w:w="2311" w:type="dxa"/>
            <w:shd w:val="clear" w:color="auto" w:fill="D8DCD1"/>
          </w:tcPr>
          <w:p w:rsidR="00E772DD" w:rsidRPr="008764AA" w:rsidRDefault="00E772DD" w:rsidP="00494650">
            <w:pPr>
              <w:spacing w:after="240" w:line="360" w:lineRule="auto"/>
              <w:jc w:val="both"/>
              <w:rPr>
                <w:rFonts w:asciiTheme="majorBidi" w:hAnsiTheme="majorBidi" w:cstheme="majorBidi"/>
                <w:lang w:val="fr-FR"/>
              </w:rPr>
            </w:pPr>
            <w:r w:rsidRPr="008764AA">
              <w:rPr>
                <w:rStyle w:val="lev"/>
                <w:rFonts w:asciiTheme="majorBidi" w:hAnsiTheme="majorBidi" w:cstheme="majorBidi"/>
                <w:lang w:val="fr-FR"/>
              </w:rPr>
              <w:t>Numérisation</w:t>
            </w:r>
          </w:p>
        </w:tc>
        <w:tc>
          <w:tcPr>
            <w:tcW w:w="796" w:type="dxa"/>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0,948</w:t>
            </w:r>
          </w:p>
        </w:tc>
        <w:tc>
          <w:tcPr>
            <w:tcW w:w="900" w:type="dxa"/>
            <w:vMerge/>
          </w:tcPr>
          <w:p w:rsidR="00E772DD" w:rsidRPr="008764AA" w:rsidRDefault="00E772DD" w:rsidP="00494650">
            <w:pPr>
              <w:spacing w:after="240" w:line="360" w:lineRule="auto"/>
              <w:jc w:val="both"/>
              <w:rPr>
                <w:rFonts w:asciiTheme="majorBidi" w:hAnsiTheme="majorBidi" w:cstheme="majorBidi"/>
                <w:lang w:val="fr-FR"/>
              </w:rPr>
            </w:pPr>
          </w:p>
        </w:tc>
      </w:tr>
      <w:tr w:rsidR="00E772DD" w:rsidRPr="008764AA" w:rsidTr="00AE378F">
        <w:trPr>
          <w:jc w:val="center"/>
        </w:trPr>
        <w:tc>
          <w:tcPr>
            <w:tcW w:w="4716" w:type="dxa"/>
            <w:gridSpan w:val="2"/>
            <w:shd w:val="clear" w:color="auto" w:fill="D8DCD1"/>
          </w:tcPr>
          <w:p w:rsidR="00E772DD" w:rsidRPr="008764AA" w:rsidRDefault="00E772DD" w:rsidP="00494650">
            <w:pPr>
              <w:spacing w:after="240" w:line="360" w:lineRule="auto"/>
              <w:jc w:val="both"/>
              <w:rPr>
                <w:rFonts w:asciiTheme="majorBidi" w:hAnsiTheme="majorBidi" w:cstheme="majorBidi"/>
                <w:lang w:val="fr-FR"/>
              </w:rPr>
            </w:pPr>
            <w:r w:rsidRPr="008764AA">
              <w:rPr>
                <w:rStyle w:val="lev"/>
                <w:rFonts w:asciiTheme="majorBidi" w:hAnsiTheme="majorBidi" w:cstheme="majorBidi"/>
                <w:lang w:val="fr-FR"/>
              </w:rPr>
              <w:t>Performance de la fonction RH</w:t>
            </w:r>
          </w:p>
        </w:tc>
        <w:tc>
          <w:tcPr>
            <w:tcW w:w="1696" w:type="dxa"/>
            <w:gridSpan w:val="2"/>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0,918</w:t>
            </w:r>
          </w:p>
        </w:tc>
      </w:tr>
      <w:tr w:rsidR="00E772DD" w:rsidRPr="008764AA" w:rsidTr="00AE378F">
        <w:trPr>
          <w:jc w:val="center"/>
        </w:trPr>
        <w:tc>
          <w:tcPr>
            <w:tcW w:w="4716" w:type="dxa"/>
            <w:gridSpan w:val="2"/>
            <w:shd w:val="clear" w:color="auto" w:fill="D8DCD1"/>
          </w:tcPr>
          <w:p w:rsidR="00E772DD" w:rsidRPr="008764AA" w:rsidRDefault="00E772DD" w:rsidP="00494650">
            <w:pPr>
              <w:spacing w:after="240" w:line="360" w:lineRule="auto"/>
              <w:jc w:val="both"/>
              <w:rPr>
                <w:rFonts w:asciiTheme="majorBidi" w:hAnsiTheme="majorBidi" w:cstheme="majorBidi"/>
                <w:lang w:val="fr-FR"/>
              </w:rPr>
            </w:pPr>
            <w:r w:rsidRPr="008764AA">
              <w:rPr>
                <w:rStyle w:val="lev"/>
                <w:rFonts w:asciiTheme="majorBidi" w:hAnsiTheme="majorBidi" w:cstheme="majorBidi"/>
                <w:lang w:val="fr-FR"/>
              </w:rPr>
              <w:t>Processus de formation digitalisée</w:t>
            </w:r>
          </w:p>
        </w:tc>
        <w:tc>
          <w:tcPr>
            <w:tcW w:w="1696" w:type="dxa"/>
            <w:gridSpan w:val="2"/>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0,912</w:t>
            </w:r>
          </w:p>
        </w:tc>
      </w:tr>
      <w:tr w:rsidR="00E772DD" w:rsidRPr="008764AA" w:rsidTr="00AE378F">
        <w:trPr>
          <w:jc w:val="center"/>
        </w:trPr>
        <w:tc>
          <w:tcPr>
            <w:tcW w:w="4716" w:type="dxa"/>
            <w:gridSpan w:val="2"/>
            <w:shd w:val="clear" w:color="auto" w:fill="D8DCD1"/>
          </w:tcPr>
          <w:p w:rsidR="00E772DD" w:rsidRPr="00AE378F" w:rsidRDefault="00E772DD" w:rsidP="00494650">
            <w:pPr>
              <w:spacing w:after="240" w:line="360" w:lineRule="auto"/>
              <w:jc w:val="both"/>
              <w:rPr>
                <w:rFonts w:asciiTheme="majorBidi" w:hAnsiTheme="majorBidi" w:cstheme="majorBidi"/>
                <w:b/>
                <w:bCs/>
                <w:lang w:val="fr-FR"/>
              </w:rPr>
            </w:pPr>
            <w:r w:rsidRPr="00AE378F">
              <w:rPr>
                <w:rFonts w:asciiTheme="majorBidi" w:hAnsiTheme="majorBidi" w:cstheme="majorBidi"/>
                <w:b/>
                <w:bCs/>
                <w:lang w:val="fr-FR"/>
              </w:rPr>
              <w:t>Processus de recrutement digitalisé</w:t>
            </w:r>
          </w:p>
        </w:tc>
        <w:tc>
          <w:tcPr>
            <w:tcW w:w="1696" w:type="dxa"/>
            <w:gridSpan w:val="2"/>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0,924</w:t>
            </w:r>
          </w:p>
        </w:tc>
      </w:tr>
    </w:tbl>
    <w:p w:rsidR="00E772DD" w:rsidRPr="008764AA" w:rsidRDefault="00E772DD" w:rsidP="0024578E">
      <w:pPr>
        <w:spacing w:after="240"/>
        <w:jc w:val="center"/>
        <w:rPr>
          <w:lang w:val="fr-FR"/>
        </w:rPr>
      </w:pPr>
      <w:r w:rsidRPr="008764AA">
        <w:rPr>
          <w:b/>
          <w:bCs/>
          <w:lang w:val="fr-FR"/>
        </w:rPr>
        <w:t xml:space="preserve">Source </w:t>
      </w:r>
      <w:r w:rsidRPr="008764AA">
        <w:rPr>
          <w:lang w:val="fr-FR"/>
        </w:rPr>
        <w:t xml:space="preserve">: </w:t>
      </w:r>
      <w:r w:rsidR="00982387">
        <w:rPr>
          <w:lang w:val="fr-FR"/>
        </w:rPr>
        <w:t>Résultat de l’étude - SmartPLS4 - 2025</w:t>
      </w:r>
    </w:p>
    <w:p w:rsidR="00E772DD" w:rsidRPr="00226CE1" w:rsidRDefault="00E772DD" w:rsidP="00776107">
      <w:pPr>
        <w:spacing w:after="240" w:line="360" w:lineRule="auto"/>
        <w:jc w:val="both"/>
        <w:rPr>
          <w:lang w:val="fr-FR"/>
        </w:rPr>
      </w:pPr>
      <w:r w:rsidRPr="00FE7672">
        <w:t xml:space="preserve">Le tableau précédent montre que les coefficients d’Alpha de Cronbach pour l’ensemble des variables dépassent la valeur de 0,8. Cela traduit </w:t>
      </w:r>
      <w:r w:rsidRPr="00FE7672">
        <w:rPr>
          <w:b/>
          <w:bCs/>
        </w:rPr>
        <w:t xml:space="preserve">une forte corrélation </w:t>
      </w:r>
      <w:r w:rsidRPr="00FE7672">
        <w:t xml:space="preserve">entre les </w:t>
      </w:r>
      <w:r w:rsidRPr="00226CE1">
        <w:rPr>
          <w:lang w:val="fr-FR"/>
        </w:rPr>
        <w:t xml:space="preserve">variables. </w:t>
      </w:r>
      <w:r w:rsidRPr="00FE7672">
        <w:t xml:space="preserve">Cela suggère également </w:t>
      </w:r>
      <w:r w:rsidRPr="008764AA">
        <w:rPr>
          <w:lang w:val="fr-FR"/>
        </w:rPr>
        <w:t xml:space="preserve">qu’il y a une fiabilité entre les expressions de questionnaire  </w:t>
      </w:r>
      <w:r w:rsidRPr="00226CE1">
        <w:rPr>
          <w:lang w:val="fr-FR"/>
        </w:rPr>
        <w:t>c</w:t>
      </w:r>
      <w:r w:rsidRPr="00FE7672">
        <w:t>e qui atteste de la fiabilité générale du questionnaire élaboré pour cette étude</w:t>
      </w:r>
      <w:r w:rsidRPr="00226CE1">
        <w:rPr>
          <w:lang w:val="fr-FR"/>
        </w:rPr>
        <w:t>.</w:t>
      </w:r>
    </w:p>
    <w:p w:rsidR="00E772DD" w:rsidRPr="00A53242" w:rsidRDefault="00E772DD" w:rsidP="004D32AC">
      <w:pPr>
        <w:pStyle w:val="Titre3"/>
        <w:numPr>
          <w:ilvl w:val="2"/>
          <w:numId w:val="193"/>
        </w:numPr>
        <w:spacing w:after="0" w:afterAutospacing="0" w:line="360" w:lineRule="auto"/>
        <w:rPr>
          <w:sz w:val="24"/>
          <w:szCs w:val="24"/>
          <w:lang w:val="fr-FR"/>
        </w:rPr>
      </w:pPr>
      <w:bookmarkStart w:id="2202" w:name="_Toc199714558"/>
      <w:bookmarkStart w:id="2203" w:name="_Toc200486834"/>
      <w:bookmarkStart w:id="2204" w:name="_Toc200635612"/>
      <w:bookmarkStart w:id="2205" w:name="_Toc200636000"/>
      <w:bookmarkStart w:id="2206" w:name="_Toc200636389"/>
      <w:bookmarkStart w:id="2207" w:name="_Toc200756130"/>
      <w:r w:rsidRPr="00A53242">
        <w:rPr>
          <w:sz w:val="24"/>
          <w:szCs w:val="24"/>
          <w:lang w:val="fr-FR"/>
        </w:rPr>
        <w:t xml:space="preserve">Fiabilité composite / Composite </w:t>
      </w:r>
      <w:proofErr w:type="spellStart"/>
      <w:r w:rsidRPr="00A53242">
        <w:rPr>
          <w:sz w:val="24"/>
          <w:szCs w:val="24"/>
          <w:lang w:val="fr-FR"/>
        </w:rPr>
        <w:t>Reliability</w:t>
      </w:r>
      <w:bookmarkEnd w:id="2202"/>
      <w:bookmarkEnd w:id="2203"/>
      <w:bookmarkEnd w:id="2204"/>
      <w:bookmarkEnd w:id="2205"/>
      <w:bookmarkEnd w:id="2206"/>
      <w:bookmarkEnd w:id="2207"/>
      <w:proofErr w:type="spellEnd"/>
    </w:p>
    <w:p w:rsidR="00E772DD" w:rsidRPr="008764AA" w:rsidRDefault="00E772DD" w:rsidP="00776107">
      <w:pPr>
        <w:spacing w:after="240" w:line="360" w:lineRule="auto"/>
        <w:jc w:val="both"/>
        <w:rPr>
          <w:rFonts w:asciiTheme="majorBidi" w:hAnsiTheme="majorBidi" w:cstheme="majorBidi"/>
          <w:lang w:val="fr-FR"/>
        </w:rPr>
      </w:pPr>
      <w:r w:rsidRPr="00776107">
        <w:rPr>
          <w:rFonts w:asciiTheme="majorBidi" w:hAnsiTheme="majorBidi" w:cstheme="majorBidi"/>
        </w:rPr>
        <w:t>La fiabilité composite est un indicateur utilisé pour évaluer la cohérence interne des éléments composant le modèle. Même si les seuils d’acceptabilité varient selon les auteurs, une valeur supérieure à 0,6 est souvent considérée comme adéquate. Cet indice permet notamment de mesurer le niveau de corrélation entre les différentes variables observées au sein du modèle analysé.</w:t>
      </w:r>
    </w:p>
    <w:p w:rsidR="00E772DD" w:rsidRDefault="00E772DD" w:rsidP="0024578E">
      <w:pPr>
        <w:jc w:val="center"/>
        <w:rPr>
          <w:lang w:val="fr-FR"/>
        </w:rPr>
      </w:pPr>
      <w:r w:rsidRPr="008764AA">
        <w:rPr>
          <w:b/>
          <w:bCs/>
          <w:lang w:val="fr-FR"/>
        </w:rPr>
        <w:t xml:space="preserve">Tableau </w:t>
      </w:r>
      <w:r>
        <w:rPr>
          <w:b/>
          <w:bCs/>
          <w:lang w:val="fr-FR"/>
        </w:rPr>
        <w:t>N°16</w:t>
      </w:r>
      <w:r w:rsidRPr="008764AA">
        <w:rPr>
          <w:b/>
          <w:bCs/>
          <w:lang w:val="fr-FR"/>
        </w:rPr>
        <w:t xml:space="preserve"> :</w:t>
      </w:r>
      <w:r w:rsidRPr="008764AA">
        <w:rPr>
          <w:lang w:val="fr-FR"/>
        </w:rPr>
        <w:t xml:space="preserve"> </w:t>
      </w:r>
      <w:r>
        <w:rPr>
          <w:lang w:val="fr-FR"/>
        </w:rPr>
        <w:t>L</w:t>
      </w:r>
      <w:r w:rsidRPr="00381B81">
        <w:rPr>
          <w:lang w:val="fr-FR"/>
        </w:rPr>
        <w:t>es valeurs de l'indicateur de fiabilité composite</w:t>
      </w:r>
    </w:p>
    <w:p w:rsidR="00E772DD" w:rsidRPr="008764AA" w:rsidRDefault="00E772DD" w:rsidP="0024578E">
      <w:pPr>
        <w:jc w:val="center"/>
        <w:rPr>
          <w:lang w:val="fr-FR"/>
        </w:rPr>
      </w:pPr>
    </w:p>
    <w:tbl>
      <w:tblPr>
        <w:tblStyle w:val="Grilledutableau"/>
        <w:tblW w:w="0" w:type="auto"/>
        <w:tblLook w:val="04A0" w:firstRow="1" w:lastRow="0" w:firstColumn="1" w:lastColumn="0" w:noHBand="0" w:noVBand="1"/>
      </w:tblPr>
      <w:tblGrid>
        <w:gridCol w:w="4505"/>
        <w:gridCol w:w="4505"/>
      </w:tblGrid>
      <w:tr w:rsidR="00E772DD" w:rsidRPr="008764AA" w:rsidTr="00AE378F">
        <w:trPr>
          <w:trHeight w:val="485"/>
        </w:trPr>
        <w:tc>
          <w:tcPr>
            <w:tcW w:w="4508" w:type="dxa"/>
            <w:shd w:val="clear" w:color="auto" w:fill="D8DCD1"/>
          </w:tcPr>
          <w:p w:rsidR="00E772DD" w:rsidRPr="00AE378F" w:rsidRDefault="00E772DD" w:rsidP="00265F67">
            <w:pPr>
              <w:pStyle w:val="p1"/>
              <w:rPr>
                <w:b/>
                <w:bCs/>
                <w:sz w:val="24"/>
                <w:szCs w:val="24"/>
              </w:rPr>
            </w:pPr>
            <w:r w:rsidRPr="00AE378F">
              <w:rPr>
                <w:b/>
                <w:bCs/>
                <w:sz w:val="24"/>
                <w:szCs w:val="24"/>
              </w:rPr>
              <w:t>Variables</w:t>
            </w:r>
            <w:r w:rsidRPr="00AE378F">
              <w:rPr>
                <w:rStyle w:val="apple-converted-space"/>
                <w:b/>
                <w:bCs/>
                <w:sz w:val="24"/>
                <w:szCs w:val="24"/>
              </w:rPr>
              <w:t> </w:t>
            </w:r>
          </w:p>
        </w:tc>
        <w:tc>
          <w:tcPr>
            <w:tcW w:w="4508" w:type="dxa"/>
            <w:shd w:val="clear" w:color="auto" w:fill="D8DCD1"/>
          </w:tcPr>
          <w:p w:rsidR="00E772DD" w:rsidRPr="00AE378F" w:rsidRDefault="00E772DD" w:rsidP="00265F67">
            <w:pPr>
              <w:pStyle w:val="p1"/>
              <w:rPr>
                <w:b/>
                <w:bCs/>
                <w:sz w:val="24"/>
                <w:szCs w:val="24"/>
              </w:rPr>
            </w:pPr>
            <w:r w:rsidRPr="00AE378F">
              <w:rPr>
                <w:b/>
                <w:bCs/>
                <w:sz w:val="24"/>
                <w:szCs w:val="24"/>
              </w:rPr>
              <w:t>Fiabilité composite</w:t>
            </w:r>
          </w:p>
        </w:tc>
      </w:tr>
      <w:tr w:rsidR="00E772DD" w:rsidRPr="008764AA" w:rsidTr="00265F67">
        <w:trPr>
          <w:trHeight w:val="53"/>
        </w:trPr>
        <w:tc>
          <w:tcPr>
            <w:tcW w:w="4508" w:type="dxa"/>
          </w:tcPr>
          <w:p w:rsidR="00E772DD" w:rsidRPr="00A73794" w:rsidRDefault="00E772DD" w:rsidP="004D0E2C">
            <w:pPr>
              <w:spacing w:after="240" w:line="360" w:lineRule="auto"/>
              <w:jc w:val="both"/>
              <w:rPr>
                <w:rFonts w:asciiTheme="majorBidi" w:hAnsiTheme="majorBidi" w:cstheme="majorBidi"/>
                <w:b/>
                <w:bCs/>
                <w:lang w:val="fr-FR"/>
              </w:rPr>
            </w:pPr>
            <w:r w:rsidRPr="00A73794">
              <w:rPr>
                <w:rStyle w:val="lev"/>
                <w:rFonts w:asciiTheme="majorBidi" w:hAnsiTheme="majorBidi" w:cstheme="majorBidi"/>
                <w:b w:val="0"/>
                <w:bCs w:val="0"/>
                <w:lang w:val="fr-FR"/>
              </w:rPr>
              <w:t>Accessibilité numérique</w:t>
            </w:r>
          </w:p>
        </w:tc>
        <w:tc>
          <w:tcPr>
            <w:tcW w:w="4508" w:type="dxa"/>
          </w:tcPr>
          <w:p w:rsidR="00E772DD" w:rsidRPr="008764AA" w:rsidRDefault="00E772DD" w:rsidP="004D0E2C">
            <w:pPr>
              <w:spacing w:after="240" w:line="360" w:lineRule="auto"/>
              <w:jc w:val="both"/>
              <w:rPr>
                <w:rFonts w:asciiTheme="majorBidi" w:hAnsiTheme="majorBidi" w:cstheme="majorBidi"/>
                <w:lang w:val="fr-FR"/>
              </w:rPr>
            </w:pPr>
            <w:r w:rsidRPr="008764AA">
              <w:rPr>
                <w:rFonts w:asciiTheme="majorBidi" w:hAnsiTheme="majorBidi" w:cstheme="majorBidi"/>
                <w:lang w:val="fr-FR"/>
              </w:rPr>
              <w:t>0,980</w:t>
            </w:r>
          </w:p>
        </w:tc>
      </w:tr>
      <w:tr w:rsidR="00E772DD" w:rsidRPr="008764AA" w:rsidTr="00265F67">
        <w:tc>
          <w:tcPr>
            <w:tcW w:w="4508" w:type="dxa"/>
          </w:tcPr>
          <w:p w:rsidR="00E772DD" w:rsidRPr="00A73794" w:rsidRDefault="00E772DD" w:rsidP="004D0E2C">
            <w:pPr>
              <w:spacing w:after="240" w:line="360" w:lineRule="auto"/>
              <w:jc w:val="both"/>
              <w:rPr>
                <w:rFonts w:asciiTheme="majorBidi" w:hAnsiTheme="majorBidi" w:cstheme="majorBidi"/>
                <w:b/>
                <w:bCs/>
                <w:lang w:val="fr-FR"/>
              </w:rPr>
            </w:pPr>
            <w:r w:rsidRPr="00A73794">
              <w:rPr>
                <w:rStyle w:val="lev"/>
                <w:rFonts w:asciiTheme="majorBidi" w:hAnsiTheme="majorBidi" w:cstheme="majorBidi"/>
                <w:b w:val="0"/>
                <w:bCs w:val="0"/>
                <w:lang w:val="fr-FR"/>
              </w:rPr>
              <w:t>Automatisation</w:t>
            </w:r>
          </w:p>
        </w:tc>
        <w:tc>
          <w:tcPr>
            <w:tcW w:w="4508" w:type="dxa"/>
          </w:tcPr>
          <w:p w:rsidR="00E772DD" w:rsidRPr="008764AA" w:rsidRDefault="00E772DD" w:rsidP="004D0E2C">
            <w:pPr>
              <w:spacing w:after="240" w:line="360" w:lineRule="auto"/>
              <w:jc w:val="both"/>
              <w:rPr>
                <w:rFonts w:asciiTheme="majorBidi" w:hAnsiTheme="majorBidi" w:cstheme="majorBidi"/>
                <w:lang w:val="fr-FR"/>
              </w:rPr>
            </w:pPr>
            <w:r w:rsidRPr="008764AA">
              <w:rPr>
                <w:rFonts w:asciiTheme="majorBidi" w:hAnsiTheme="majorBidi" w:cstheme="majorBidi"/>
                <w:lang w:val="fr-FR"/>
              </w:rPr>
              <w:t>0,948</w:t>
            </w:r>
          </w:p>
        </w:tc>
      </w:tr>
      <w:tr w:rsidR="00E772DD" w:rsidRPr="008764AA" w:rsidTr="00265F67">
        <w:tc>
          <w:tcPr>
            <w:tcW w:w="4508" w:type="dxa"/>
          </w:tcPr>
          <w:p w:rsidR="00E772DD" w:rsidRPr="00A73794" w:rsidRDefault="00E772DD" w:rsidP="004D0E2C">
            <w:pPr>
              <w:spacing w:after="240" w:line="360" w:lineRule="auto"/>
              <w:jc w:val="both"/>
              <w:rPr>
                <w:rFonts w:asciiTheme="majorBidi" w:hAnsiTheme="majorBidi" w:cstheme="majorBidi"/>
                <w:b/>
                <w:bCs/>
                <w:lang w:val="fr-FR"/>
              </w:rPr>
            </w:pPr>
            <w:r w:rsidRPr="00A73794">
              <w:rPr>
                <w:rStyle w:val="lev"/>
                <w:rFonts w:asciiTheme="majorBidi" w:hAnsiTheme="majorBidi" w:cstheme="majorBidi"/>
                <w:b w:val="0"/>
                <w:bCs w:val="0"/>
                <w:lang w:val="fr-FR"/>
              </w:rPr>
              <w:t>Numérisation</w:t>
            </w:r>
          </w:p>
        </w:tc>
        <w:tc>
          <w:tcPr>
            <w:tcW w:w="4508" w:type="dxa"/>
          </w:tcPr>
          <w:p w:rsidR="00E772DD" w:rsidRPr="008764AA" w:rsidRDefault="00E772DD" w:rsidP="004D0E2C">
            <w:pPr>
              <w:spacing w:after="240" w:line="360" w:lineRule="auto"/>
              <w:jc w:val="both"/>
              <w:rPr>
                <w:rFonts w:asciiTheme="majorBidi" w:hAnsiTheme="majorBidi" w:cstheme="majorBidi"/>
                <w:lang w:val="fr-FR"/>
              </w:rPr>
            </w:pPr>
            <w:r w:rsidRPr="008764AA">
              <w:rPr>
                <w:rFonts w:asciiTheme="majorBidi" w:hAnsiTheme="majorBidi" w:cstheme="majorBidi"/>
                <w:lang w:val="fr-FR"/>
              </w:rPr>
              <w:t>0,950</w:t>
            </w:r>
          </w:p>
        </w:tc>
      </w:tr>
      <w:tr w:rsidR="00E772DD" w:rsidRPr="008764AA" w:rsidTr="00265F67">
        <w:tc>
          <w:tcPr>
            <w:tcW w:w="4508" w:type="dxa"/>
          </w:tcPr>
          <w:p w:rsidR="00E772DD" w:rsidRPr="00A73794" w:rsidRDefault="00E772DD" w:rsidP="004D0E2C">
            <w:pPr>
              <w:spacing w:after="240" w:line="360" w:lineRule="auto"/>
              <w:jc w:val="both"/>
              <w:rPr>
                <w:rFonts w:asciiTheme="majorBidi" w:hAnsiTheme="majorBidi" w:cstheme="majorBidi"/>
                <w:b/>
                <w:bCs/>
                <w:lang w:val="fr-FR"/>
              </w:rPr>
            </w:pPr>
            <w:r w:rsidRPr="00A73794">
              <w:rPr>
                <w:rStyle w:val="lev"/>
                <w:rFonts w:asciiTheme="majorBidi" w:hAnsiTheme="majorBidi" w:cstheme="majorBidi"/>
                <w:b w:val="0"/>
                <w:bCs w:val="0"/>
                <w:lang w:val="fr-FR"/>
              </w:rPr>
              <w:t>Performance de la fonction RH</w:t>
            </w:r>
          </w:p>
        </w:tc>
        <w:tc>
          <w:tcPr>
            <w:tcW w:w="4508" w:type="dxa"/>
          </w:tcPr>
          <w:p w:rsidR="00E772DD" w:rsidRPr="008764AA" w:rsidRDefault="00E772DD" w:rsidP="004D0E2C">
            <w:pPr>
              <w:spacing w:after="240" w:line="360" w:lineRule="auto"/>
              <w:jc w:val="both"/>
              <w:rPr>
                <w:rFonts w:asciiTheme="majorBidi" w:hAnsiTheme="majorBidi" w:cstheme="majorBidi"/>
                <w:lang w:val="fr-FR"/>
              </w:rPr>
            </w:pPr>
            <w:r w:rsidRPr="008764AA">
              <w:rPr>
                <w:rFonts w:asciiTheme="majorBidi" w:hAnsiTheme="majorBidi" w:cstheme="majorBidi"/>
                <w:lang w:val="fr-FR"/>
              </w:rPr>
              <w:t>0,922</w:t>
            </w:r>
          </w:p>
        </w:tc>
      </w:tr>
      <w:tr w:rsidR="00E772DD" w:rsidRPr="008764AA" w:rsidTr="00265F67">
        <w:tc>
          <w:tcPr>
            <w:tcW w:w="4508" w:type="dxa"/>
          </w:tcPr>
          <w:p w:rsidR="00E772DD" w:rsidRPr="00A73794" w:rsidRDefault="00E772DD" w:rsidP="004D0E2C">
            <w:pPr>
              <w:spacing w:after="240" w:line="360" w:lineRule="auto"/>
              <w:jc w:val="both"/>
              <w:rPr>
                <w:rFonts w:asciiTheme="majorBidi" w:hAnsiTheme="majorBidi" w:cstheme="majorBidi"/>
                <w:b/>
                <w:bCs/>
                <w:lang w:val="fr-FR"/>
              </w:rPr>
            </w:pPr>
            <w:r w:rsidRPr="00A73794">
              <w:rPr>
                <w:rStyle w:val="lev"/>
                <w:rFonts w:asciiTheme="majorBidi" w:hAnsiTheme="majorBidi" w:cstheme="majorBidi"/>
                <w:b w:val="0"/>
                <w:bCs w:val="0"/>
                <w:lang w:val="fr-FR"/>
              </w:rPr>
              <w:t>Processus de formation digitalisée</w:t>
            </w:r>
          </w:p>
        </w:tc>
        <w:tc>
          <w:tcPr>
            <w:tcW w:w="4508" w:type="dxa"/>
          </w:tcPr>
          <w:p w:rsidR="00E772DD" w:rsidRPr="008764AA" w:rsidRDefault="00E772DD" w:rsidP="004D0E2C">
            <w:pPr>
              <w:spacing w:after="240" w:line="360" w:lineRule="auto"/>
              <w:jc w:val="both"/>
              <w:rPr>
                <w:rFonts w:asciiTheme="majorBidi" w:hAnsiTheme="majorBidi" w:cstheme="majorBidi"/>
                <w:lang w:val="fr-FR"/>
              </w:rPr>
            </w:pPr>
            <w:r w:rsidRPr="008764AA">
              <w:rPr>
                <w:rFonts w:asciiTheme="majorBidi" w:hAnsiTheme="majorBidi" w:cstheme="majorBidi"/>
                <w:lang w:val="fr-FR"/>
              </w:rPr>
              <w:t>0,924</w:t>
            </w:r>
          </w:p>
        </w:tc>
      </w:tr>
      <w:tr w:rsidR="00E772DD" w:rsidRPr="008764AA" w:rsidTr="00265F67">
        <w:tc>
          <w:tcPr>
            <w:tcW w:w="4508" w:type="dxa"/>
          </w:tcPr>
          <w:p w:rsidR="00E772DD" w:rsidRPr="008764AA" w:rsidRDefault="00E772DD" w:rsidP="004D0E2C">
            <w:pPr>
              <w:spacing w:after="240" w:line="360" w:lineRule="auto"/>
              <w:jc w:val="both"/>
              <w:rPr>
                <w:rFonts w:asciiTheme="majorBidi" w:hAnsiTheme="majorBidi" w:cstheme="majorBidi"/>
                <w:lang w:val="fr-FR"/>
              </w:rPr>
            </w:pPr>
            <w:r w:rsidRPr="008764AA">
              <w:rPr>
                <w:rFonts w:asciiTheme="majorBidi" w:hAnsiTheme="majorBidi" w:cstheme="majorBidi"/>
                <w:lang w:val="fr-FR"/>
              </w:rPr>
              <w:t>Processus de recrutement digitalisé</w:t>
            </w:r>
          </w:p>
        </w:tc>
        <w:tc>
          <w:tcPr>
            <w:tcW w:w="4508" w:type="dxa"/>
          </w:tcPr>
          <w:p w:rsidR="00E772DD" w:rsidRPr="008764AA" w:rsidRDefault="00E772DD" w:rsidP="004D0E2C">
            <w:pPr>
              <w:spacing w:after="240" w:line="360" w:lineRule="auto"/>
              <w:jc w:val="both"/>
              <w:rPr>
                <w:rFonts w:asciiTheme="majorBidi" w:hAnsiTheme="majorBidi" w:cstheme="majorBidi"/>
                <w:lang w:val="fr-FR"/>
              </w:rPr>
            </w:pPr>
            <w:r w:rsidRPr="008764AA">
              <w:rPr>
                <w:rFonts w:asciiTheme="majorBidi" w:hAnsiTheme="majorBidi" w:cstheme="majorBidi"/>
                <w:lang w:val="fr-FR"/>
              </w:rPr>
              <w:t>0,926</w:t>
            </w:r>
          </w:p>
        </w:tc>
      </w:tr>
    </w:tbl>
    <w:p w:rsidR="00E772DD" w:rsidRPr="008764AA" w:rsidRDefault="00E772DD" w:rsidP="00A73794">
      <w:pPr>
        <w:spacing w:after="240" w:line="360" w:lineRule="auto"/>
        <w:jc w:val="center"/>
        <w:rPr>
          <w:lang w:val="fr-FR"/>
        </w:rPr>
      </w:pPr>
      <w:r w:rsidRPr="008764AA">
        <w:rPr>
          <w:b/>
          <w:bCs/>
          <w:lang w:val="fr-FR"/>
        </w:rPr>
        <w:t>Source :</w:t>
      </w:r>
      <w:r w:rsidRPr="008764AA">
        <w:rPr>
          <w:lang w:val="fr-FR"/>
        </w:rPr>
        <w:t xml:space="preserve"> </w:t>
      </w:r>
      <w:r w:rsidR="00982387">
        <w:rPr>
          <w:lang w:val="fr-FR"/>
        </w:rPr>
        <w:t>Résultat de l’étude - SmartPLS4 - 2025</w:t>
      </w:r>
      <w:r w:rsidRPr="008764AA">
        <w:rPr>
          <w:lang w:val="fr-FR"/>
        </w:rPr>
        <w:t>.</w:t>
      </w:r>
    </w:p>
    <w:p w:rsidR="00E772DD" w:rsidRPr="008764AA" w:rsidRDefault="00E772DD" w:rsidP="00D914C6">
      <w:pPr>
        <w:spacing w:after="240" w:line="360" w:lineRule="auto"/>
        <w:jc w:val="both"/>
        <w:rPr>
          <w:lang w:val="fr-FR"/>
        </w:rPr>
      </w:pPr>
      <w:r w:rsidRPr="00776107">
        <w:lastRenderedPageBreak/>
        <w:t>Le tableau ci-dessus, présentant les valeurs de la fiabilité composite pour les variables de l’étude, montre que toutes ces valeurs dépassent le seuil de 0,90. Cela reflète une forte corrélation entre les indicateurs utilisés pour mesurer chaque variable, ce qui atteste d’une grande fiabilité dans l’évaluation de ces dernières.</w:t>
      </w:r>
    </w:p>
    <w:p w:rsidR="00E772DD" w:rsidRPr="00A53242" w:rsidRDefault="00A53242" w:rsidP="004D32AC">
      <w:pPr>
        <w:pStyle w:val="Titre3"/>
        <w:numPr>
          <w:ilvl w:val="1"/>
          <w:numId w:val="193"/>
        </w:numPr>
        <w:spacing w:after="0" w:afterAutospacing="0" w:line="360" w:lineRule="auto"/>
        <w:rPr>
          <w:sz w:val="24"/>
          <w:szCs w:val="24"/>
          <w:lang w:val="fr-FR"/>
        </w:rPr>
      </w:pPr>
      <w:r>
        <w:rPr>
          <w:sz w:val="24"/>
          <w:szCs w:val="24"/>
          <w:lang w:val="fr-FR"/>
        </w:rPr>
        <w:t xml:space="preserve"> </w:t>
      </w:r>
      <w:bookmarkStart w:id="2208" w:name="_Toc199714559"/>
      <w:bookmarkStart w:id="2209" w:name="_Toc200486835"/>
      <w:bookmarkStart w:id="2210" w:name="_Toc200635613"/>
      <w:bookmarkStart w:id="2211" w:name="_Toc200636001"/>
      <w:bookmarkStart w:id="2212" w:name="_Toc200636390"/>
      <w:bookmarkStart w:id="2213" w:name="_Toc200756131"/>
      <w:r w:rsidR="00E772DD" w:rsidRPr="00A53242">
        <w:rPr>
          <w:sz w:val="24"/>
          <w:szCs w:val="24"/>
          <w:lang w:val="fr-FR"/>
        </w:rPr>
        <w:t xml:space="preserve">Variance Moyenne Extraite / </w:t>
      </w:r>
      <w:proofErr w:type="spellStart"/>
      <w:r w:rsidR="00E772DD" w:rsidRPr="00A53242">
        <w:rPr>
          <w:sz w:val="24"/>
          <w:szCs w:val="24"/>
          <w:lang w:val="fr-FR"/>
        </w:rPr>
        <w:t>Average</w:t>
      </w:r>
      <w:proofErr w:type="spellEnd"/>
      <w:r w:rsidR="00E772DD" w:rsidRPr="00A53242">
        <w:rPr>
          <w:sz w:val="24"/>
          <w:szCs w:val="24"/>
          <w:lang w:val="fr-FR"/>
        </w:rPr>
        <w:t xml:space="preserve"> Variance </w:t>
      </w:r>
      <w:proofErr w:type="spellStart"/>
      <w:r w:rsidR="00E772DD" w:rsidRPr="00A53242">
        <w:rPr>
          <w:sz w:val="24"/>
          <w:szCs w:val="24"/>
          <w:lang w:val="fr-FR"/>
        </w:rPr>
        <w:t>Extracted</w:t>
      </w:r>
      <w:proofErr w:type="spellEnd"/>
      <w:r w:rsidR="00E772DD" w:rsidRPr="00A53242">
        <w:rPr>
          <w:sz w:val="24"/>
          <w:szCs w:val="24"/>
          <w:lang w:val="fr-FR"/>
        </w:rPr>
        <w:t xml:space="preserve"> (AVE)</w:t>
      </w:r>
      <w:bookmarkEnd w:id="2208"/>
      <w:bookmarkEnd w:id="2209"/>
      <w:bookmarkEnd w:id="2210"/>
      <w:bookmarkEnd w:id="2211"/>
      <w:bookmarkEnd w:id="2212"/>
      <w:bookmarkEnd w:id="2213"/>
    </w:p>
    <w:p w:rsidR="00E772DD" w:rsidRPr="00A73794" w:rsidRDefault="00E772DD" w:rsidP="00A73794">
      <w:pPr>
        <w:spacing w:after="240" w:line="360" w:lineRule="auto"/>
        <w:jc w:val="both"/>
      </w:pPr>
      <w:r w:rsidRPr="00776107">
        <w:t>La Variance Moyenne Extraite (AVE) sert à évaluer la part de variance captée par un construit, en comparaison à celle attribuable à l’erreur de mesure. Elle est obtenue en calculant la moyenne des parts de variance expliquée par chacun des indicateurs liés au construit. Cet indicateur est principalement mobilisé pour apprécier la validité convergente d’un modèle.</w:t>
      </w:r>
      <w:r w:rsidRPr="00776107">
        <w:br/>
        <w:t>Une valeur d’AVE est considérée comme satisfaisante lorsqu’elle est égale ou supérieure à 0,5, ce qui signifie que le construit rend compte d’au moins 50 % de la variance de ses indicateurs, indiquant ainsi une bonne validité convergente.</w:t>
      </w:r>
    </w:p>
    <w:p w:rsidR="00E772DD" w:rsidRPr="008764AA" w:rsidRDefault="00E772DD" w:rsidP="00D914C6">
      <w:pPr>
        <w:spacing w:after="240" w:line="360" w:lineRule="auto"/>
        <w:jc w:val="center"/>
        <w:rPr>
          <w:lang w:val="fr-FR"/>
        </w:rPr>
      </w:pPr>
      <w:r w:rsidRPr="008764AA">
        <w:rPr>
          <w:b/>
          <w:bCs/>
          <w:lang w:val="fr-FR"/>
        </w:rPr>
        <w:t xml:space="preserve">Tableau </w:t>
      </w:r>
      <w:r>
        <w:rPr>
          <w:b/>
          <w:bCs/>
          <w:lang w:val="fr-FR"/>
        </w:rPr>
        <w:t xml:space="preserve">N°17 </w:t>
      </w:r>
      <w:r w:rsidRPr="008764AA">
        <w:rPr>
          <w:b/>
          <w:bCs/>
          <w:lang w:val="fr-FR"/>
        </w:rPr>
        <w:t xml:space="preserve">: </w:t>
      </w:r>
      <w:r w:rsidRPr="00381B81">
        <w:rPr>
          <w:lang w:val="fr-FR"/>
        </w:rPr>
        <w:t>Variances Moyennes Extraite (AVE)</w:t>
      </w:r>
    </w:p>
    <w:tbl>
      <w:tblPr>
        <w:tblStyle w:val="Grilledutableau"/>
        <w:tblW w:w="0" w:type="auto"/>
        <w:tblLook w:val="04A0" w:firstRow="1" w:lastRow="0" w:firstColumn="1" w:lastColumn="0" w:noHBand="0" w:noVBand="1"/>
      </w:tblPr>
      <w:tblGrid>
        <w:gridCol w:w="4505"/>
        <w:gridCol w:w="4505"/>
      </w:tblGrid>
      <w:tr w:rsidR="00E772DD" w:rsidRPr="008764AA" w:rsidTr="00AE378F">
        <w:trPr>
          <w:trHeight w:val="485"/>
        </w:trPr>
        <w:tc>
          <w:tcPr>
            <w:tcW w:w="4508" w:type="dxa"/>
            <w:shd w:val="clear" w:color="auto" w:fill="D8DCD1"/>
          </w:tcPr>
          <w:p w:rsidR="00E772DD" w:rsidRPr="00AE378F" w:rsidRDefault="00E772DD" w:rsidP="00544ED0">
            <w:pPr>
              <w:pStyle w:val="p1"/>
              <w:spacing w:line="360" w:lineRule="auto"/>
              <w:rPr>
                <w:b/>
                <w:bCs/>
                <w:sz w:val="24"/>
                <w:szCs w:val="24"/>
              </w:rPr>
            </w:pPr>
            <w:r w:rsidRPr="00AE378F">
              <w:rPr>
                <w:b/>
                <w:bCs/>
                <w:sz w:val="24"/>
                <w:szCs w:val="24"/>
              </w:rPr>
              <w:t>Variables</w:t>
            </w:r>
            <w:r w:rsidRPr="00AE378F">
              <w:rPr>
                <w:rStyle w:val="apple-converted-space"/>
                <w:b/>
                <w:bCs/>
                <w:sz w:val="24"/>
                <w:szCs w:val="24"/>
              </w:rPr>
              <w:t> </w:t>
            </w:r>
          </w:p>
        </w:tc>
        <w:tc>
          <w:tcPr>
            <w:tcW w:w="4508" w:type="dxa"/>
            <w:shd w:val="clear" w:color="auto" w:fill="D8DCD1"/>
          </w:tcPr>
          <w:p w:rsidR="00E772DD" w:rsidRPr="00AE378F" w:rsidRDefault="00E772DD" w:rsidP="00544ED0">
            <w:pPr>
              <w:pStyle w:val="p1"/>
              <w:spacing w:line="360" w:lineRule="auto"/>
              <w:rPr>
                <w:b/>
                <w:bCs/>
                <w:sz w:val="24"/>
                <w:szCs w:val="24"/>
              </w:rPr>
            </w:pPr>
            <w:r w:rsidRPr="00AE378F">
              <w:rPr>
                <w:b/>
                <w:bCs/>
                <w:sz w:val="24"/>
                <w:szCs w:val="24"/>
              </w:rPr>
              <w:t>AVE</w:t>
            </w:r>
          </w:p>
        </w:tc>
      </w:tr>
      <w:tr w:rsidR="00E772DD" w:rsidRPr="008764AA" w:rsidTr="003A1FB8">
        <w:trPr>
          <w:trHeight w:val="53"/>
        </w:trPr>
        <w:tc>
          <w:tcPr>
            <w:tcW w:w="4508" w:type="dxa"/>
          </w:tcPr>
          <w:p w:rsidR="00E772DD" w:rsidRPr="00AE378F" w:rsidRDefault="00E772DD" w:rsidP="00544ED0">
            <w:pPr>
              <w:spacing w:after="240" w:line="360" w:lineRule="auto"/>
              <w:jc w:val="both"/>
              <w:rPr>
                <w:rFonts w:asciiTheme="majorBidi" w:hAnsiTheme="majorBidi" w:cstheme="majorBidi"/>
                <w:b/>
                <w:bCs/>
                <w:lang w:val="fr-FR"/>
              </w:rPr>
            </w:pPr>
            <w:r w:rsidRPr="00AE378F">
              <w:rPr>
                <w:rStyle w:val="lev"/>
                <w:rFonts w:asciiTheme="majorBidi" w:hAnsiTheme="majorBidi" w:cstheme="majorBidi"/>
                <w:b w:val="0"/>
                <w:bCs w:val="0"/>
                <w:lang w:val="fr-FR"/>
              </w:rPr>
              <w:t>Accessibilité numérique</w:t>
            </w:r>
          </w:p>
        </w:tc>
        <w:tc>
          <w:tcPr>
            <w:tcW w:w="4508" w:type="dxa"/>
          </w:tcPr>
          <w:p w:rsidR="00E772DD" w:rsidRPr="008764AA" w:rsidRDefault="00E772DD" w:rsidP="00544ED0">
            <w:pPr>
              <w:spacing w:after="240" w:line="360" w:lineRule="auto"/>
              <w:jc w:val="both"/>
              <w:rPr>
                <w:rFonts w:asciiTheme="majorBidi" w:hAnsiTheme="majorBidi" w:cstheme="majorBidi"/>
                <w:lang w:val="fr-FR"/>
              </w:rPr>
            </w:pPr>
            <w:r w:rsidRPr="008764AA">
              <w:rPr>
                <w:rFonts w:asciiTheme="majorBidi" w:hAnsiTheme="majorBidi" w:cstheme="majorBidi"/>
                <w:lang w:val="fr-FR"/>
              </w:rPr>
              <w:t>0,735</w:t>
            </w:r>
          </w:p>
        </w:tc>
      </w:tr>
      <w:tr w:rsidR="00E772DD" w:rsidRPr="008764AA" w:rsidTr="003A1FB8">
        <w:tc>
          <w:tcPr>
            <w:tcW w:w="4508" w:type="dxa"/>
          </w:tcPr>
          <w:p w:rsidR="00E772DD" w:rsidRPr="00AE378F" w:rsidRDefault="00E772DD" w:rsidP="00544ED0">
            <w:pPr>
              <w:spacing w:after="240" w:line="360" w:lineRule="auto"/>
              <w:jc w:val="both"/>
              <w:rPr>
                <w:rFonts w:asciiTheme="majorBidi" w:hAnsiTheme="majorBidi" w:cstheme="majorBidi"/>
                <w:b/>
                <w:bCs/>
                <w:lang w:val="fr-FR"/>
              </w:rPr>
            </w:pPr>
            <w:r w:rsidRPr="00AE378F">
              <w:rPr>
                <w:rStyle w:val="lev"/>
                <w:rFonts w:asciiTheme="majorBidi" w:hAnsiTheme="majorBidi" w:cstheme="majorBidi"/>
                <w:b w:val="0"/>
                <w:bCs w:val="0"/>
                <w:lang w:val="fr-FR"/>
              </w:rPr>
              <w:t>Automatisation</w:t>
            </w:r>
          </w:p>
        </w:tc>
        <w:tc>
          <w:tcPr>
            <w:tcW w:w="4508" w:type="dxa"/>
          </w:tcPr>
          <w:p w:rsidR="00E772DD" w:rsidRPr="008764AA" w:rsidRDefault="00E772DD" w:rsidP="00544ED0">
            <w:pPr>
              <w:spacing w:after="240" w:line="360" w:lineRule="auto"/>
              <w:jc w:val="both"/>
              <w:rPr>
                <w:rFonts w:asciiTheme="majorBidi" w:hAnsiTheme="majorBidi" w:cstheme="majorBidi"/>
                <w:lang w:val="fr-FR"/>
              </w:rPr>
            </w:pPr>
            <w:r w:rsidRPr="008764AA">
              <w:rPr>
                <w:rFonts w:asciiTheme="majorBidi" w:hAnsiTheme="majorBidi" w:cstheme="majorBidi"/>
                <w:lang w:val="fr-FR"/>
              </w:rPr>
              <w:t>0,718</w:t>
            </w:r>
          </w:p>
        </w:tc>
      </w:tr>
      <w:tr w:rsidR="00E772DD" w:rsidRPr="008764AA" w:rsidTr="003A1FB8">
        <w:tc>
          <w:tcPr>
            <w:tcW w:w="4508" w:type="dxa"/>
          </w:tcPr>
          <w:p w:rsidR="00E772DD" w:rsidRPr="00AE378F" w:rsidRDefault="00E772DD" w:rsidP="003A1FB8">
            <w:pPr>
              <w:spacing w:after="240" w:line="360" w:lineRule="auto"/>
              <w:jc w:val="both"/>
              <w:rPr>
                <w:rFonts w:asciiTheme="majorBidi" w:hAnsiTheme="majorBidi" w:cstheme="majorBidi"/>
                <w:b/>
                <w:bCs/>
                <w:lang w:val="fr-FR"/>
              </w:rPr>
            </w:pPr>
            <w:r w:rsidRPr="00AE378F">
              <w:rPr>
                <w:rStyle w:val="lev"/>
                <w:rFonts w:asciiTheme="majorBidi" w:hAnsiTheme="majorBidi" w:cstheme="majorBidi"/>
                <w:b w:val="0"/>
                <w:bCs w:val="0"/>
                <w:lang w:val="fr-FR"/>
              </w:rPr>
              <w:t>Numérisation</w:t>
            </w:r>
          </w:p>
        </w:tc>
        <w:tc>
          <w:tcPr>
            <w:tcW w:w="4508" w:type="dxa"/>
          </w:tcPr>
          <w:p w:rsidR="00E772DD" w:rsidRPr="008764AA" w:rsidRDefault="00E772DD" w:rsidP="003A1FB8">
            <w:pPr>
              <w:spacing w:after="240" w:line="360" w:lineRule="auto"/>
              <w:jc w:val="both"/>
              <w:rPr>
                <w:rFonts w:asciiTheme="majorBidi" w:hAnsiTheme="majorBidi" w:cstheme="majorBidi"/>
                <w:lang w:val="fr-FR"/>
              </w:rPr>
            </w:pPr>
            <w:r w:rsidRPr="008764AA">
              <w:rPr>
                <w:rFonts w:asciiTheme="majorBidi" w:hAnsiTheme="majorBidi" w:cstheme="majorBidi"/>
                <w:lang w:val="fr-FR"/>
              </w:rPr>
              <w:t>0,761</w:t>
            </w:r>
          </w:p>
        </w:tc>
      </w:tr>
      <w:tr w:rsidR="00E772DD" w:rsidRPr="008764AA" w:rsidTr="003A1FB8">
        <w:tc>
          <w:tcPr>
            <w:tcW w:w="4508" w:type="dxa"/>
          </w:tcPr>
          <w:p w:rsidR="00E772DD" w:rsidRPr="00AE378F" w:rsidRDefault="00E772DD" w:rsidP="003A1FB8">
            <w:pPr>
              <w:spacing w:after="240" w:line="360" w:lineRule="auto"/>
              <w:jc w:val="both"/>
              <w:rPr>
                <w:rFonts w:asciiTheme="majorBidi" w:hAnsiTheme="majorBidi" w:cstheme="majorBidi"/>
                <w:b/>
                <w:bCs/>
                <w:lang w:val="fr-FR"/>
              </w:rPr>
            </w:pPr>
            <w:r w:rsidRPr="00AE378F">
              <w:rPr>
                <w:rStyle w:val="lev"/>
                <w:rFonts w:asciiTheme="majorBidi" w:hAnsiTheme="majorBidi" w:cstheme="majorBidi"/>
                <w:b w:val="0"/>
                <w:bCs w:val="0"/>
                <w:lang w:val="fr-FR"/>
              </w:rPr>
              <w:t>Performance de la fonction RH</w:t>
            </w:r>
          </w:p>
        </w:tc>
        <w:tc>
          <w:tcPr>
            <w:tcW w:w="4508" w:type="dxa"/>
          </w:tcPr>
          <w:p w:rsidR="00E772DD" w:rsidRPr="008764AA" w:rsidRDefault="00E772DD" w:rsidP="003A1FB8">
            <w:pPr>
              <w:spacing w:after="240" w:line="360" w:lineRule="auto"/>
              <w:jc w:val="both"/>
              <w:rPr>
                <w:rFonts w:asciiTheme="majorBidi" w:hAnsiTheme="majorBidi" w:cstheme="majorBidi"/>
                <w:lang w:val="fr-FR"/>
              </w:rPr>
            </w:pPr>
            <w:r w:rsidRPr="008764AA">
              <w:rPr>
                <w:rFonts w:asciiTheme="majorBidi" w:hAnsiTheme="majorBidi" w:cstheme="majorBidi"/>
                <w:lang w:val="fr-FR"/>
              </w:rPr>
              <w:t>0,672</w:t>
            </w:r>
          </w:p>
        </w:tc>
      </w:tr>
      <w:tr w:rsidR="00E772DD" w:rsidRPr="008764AA" w:rsidTr="003A1FB8">
        <w:tc>
          <w:tcPr>
            <w:tcW w:w="4508" w:type="dxa"/>
          </w:tcPr>
          <w:p w:rsidR="00E772DD" w:rsidRPr="00AE378F" w:rsidRDefault="00E772DD" w:rsidP="003A1FB8">
            <w:pPr>
              <w:spacing w:after="240" w:line="360" w:lineRule="auto"/>
              <w:jc w:val="both"/>
              <w:rPr>
                <w:rFonts w:asciiTheme="majorBidi" w:hAnsiTheme="majorBidi" w:cstheme="majorBidi"/>
                <w:b/>
                <w:bCs/>
                <w:lang w:val="fr-FR"/>
              </w:rPr>
            </w:pPr>
            <w:r w:rsidRPr="00AE378F">
              <w:rPr>
                <w:rStyle w:val="lev"/>
                <w:rFonts w:asciiTheme="majorBidi" w:hAnsiTheme="majorBidi" w:cstheme="majorBidi"/>
                <w:b w:val="0"/>
                <w:bCs w:val="0"/>
                <w:lang w:val="fr-FR"/>
              </w:rPr>
              <w:t>Processus de formation digitalisée</w:t>
            </w:r>
          </w:p>
        </w:tc>
        <w:tc>
          <w:tcPr>
            <w:tcW w:w="4508" w:type="dxa"/>
          </w:tcPr>
          <w:p w:rsidR="00E772DD" w:rsidRPr="008764AA" w:rsidRDefault="00E772DD" w:rsidP="003A1FB8">
            <w:pPr>
              <w:spacing w:after="240" w:line="360" w:lineRule="auto"/>
              <w:jc w:val="both"/>
              <w:rPr>
                <w:rFonts w:asciiTheme="majorBidi" w:hAnsiTheme="majorBidi" w:cstheme="majorBidi"/>
                <w:lang w:val="fr-FR"/>
              </w:rPr>
            </w:pPr>
            <w:r w:rsidRPr="008764AA">
              <w:rPr>
                <w:rFonts w:asciiTheme="majorBidi" w:hAnsiTheme="majorBidi" w:cstheme="majorBidi"/>
                <w:lang w:val="fr-FR"/>
              </w:rPr>
              <w:t>0,655</w:t>
            </w:r>
          </w:p>
        </w:tc>
      </w:tr>
      <w:tr w:rsidR="00E772DD" w:rsidRPr="008764AA" w:rsidTr="003A1FB8">
        <w:tc>
          <w:tcPr>
            <w:tcW w:w="4508" w:type="dxa"/>
          </w:tcPr>
          <w:p w:rsidR="00E772DD" w:rsidRPr="00AE378F" w:rsidRDefault="00E772DD" w:rsidP="00544ED0">
            <w:pPr>
              <w:spacing w:after="240" w:line="360" w:lineRule="auto"/>
              <w:jc w:val="both"/>
              <w:rPr>
                <w:rFonts w:asciiTheme="majorBidi" w:hAnsiTheme="majorBidi" w:cstheme="majorBidi"/>
                <w:lang w:val="fr-FR"/>
              </w:rPr>
            </w:pPr>
            <w:r w:rsidRPr="00AE378F">
              <w:rPr>
                <w:rFonts w:asciiTheme="majorBidi" w:hAnsiTheme="majorBidi" w:cstheme="majorBidi"/>
                <w:lang w:val="fr-FR"/>
              </w:rPr>
              <w:t>Processus de recrutement digitalisé</w:t>
            </w:r>
          </w:p>
        </w:tc>
        <w:tc>
          <w:tcPr>
            <w:tcW w:w="4508" w:type="dxa"/>
          </w:tcPr>
          <w:p w:rsidR="00E772DD" w:rsidRPr="008764AA" w:rsidRDefault="00E772DD" w:rsidP="00544ED0">
            <w:pPr>
              <w:spacing w:after="240" w:line="360" w:lineRule="auto"/>
              <w:jc w:val="both"/>
              <w:rPr>
                <w:rFonts w:asciiTheme="majorBidi" w:hAnsiTheme="majorBidi" w:cstheme="majorBidi"/>
                <w:lang w:val="fr-FR"/>
              </w:rPr>
            </w:pPr>
            <w:r w:rsidRPr="008764AA">
              <w:rPr>
                <w:rFonts w:asciiTheme="majorBidi" w:hAnsiTheme="majorBidi" w:cstheme="majorBidi"/>
                <w:lang w:val="fr-FR"/>
              </w:rPr>
              <w:t>0,688</w:t>
            </w:r>
          </w:p>
        </w:tc>
      </w:tr>
    </w:tbl>
    <w:p w:rsidR="00E772DD" w:rsidRPr="008764AA" w:rsidRDefault="00E772DD" w:rsidP="00A73794">
      <w:pPr>
        <w:spacing w:before="240" w:after="240" w:line="360" w:lineRule="auto"/>
        <w:jc w:val="center"/>
        <w:rPr>
          <w:lang w:val="fr-FR"/>
        </w:rPr>
      </w:pPr>
      <w:r w:rsidRPr="008764AA">
        <w:rPr>
          <w:b/>
          <w:bCs/>
          <w:lang w:val="fr-FR"/>
        </w:rPr>
        <w:t>Source :</w:t>
      </w:r>
      <w:r w:rsidRPr="008764AA">
        <w:rPr>
          <w:lang w:val="fr-FR"/>
        </w:rPr>
        <w:t xml:space="preserve"> </w:t>
      </w:r>
      <w:r w:rsidR="00982387">
        <w:rPr>
          <w:lang w:val="fr-FR"/>
        </w:rPr>
        <w:t>Résultat de l’étude - SmartPLS4 - 2025</w:t>
      </w:r>
      <w:r w:rsidR="00A73794">
        <w:rPr>
          <w:lang w:val="fr-FR"/>
        </w:rPr>
        <w:t>.</w:t>
      </w:r>
    </w:p>
    <w:p w:rsidR="00E772DD" w:rsidRPr="00A73794" w:rsidRDefault="00E772DD" w:rsidP="00A73794">
      <w:pPr>
        <w:spacing w:after="240" w:line="360" w:lineRule="auto"/>
        <w:jc w:val="both"/>
      </w:pPr>
      <w:r w:rsidRPr="008764AA">
        <w:rPr>
          <w:lang w:val="fr-FR"/>
        </w:rPr>
        <w:t xml:space="preserve">D'après ce tableau </w:t>
      </w:r>
      <w:r w:rsidRPr="00544ED0">
        <w:t>présentant les valeurs de la Variance Moyenne Extraite (AVE) pour les données de l’étude, on constate que toutes les valeurs dépassent le seuil de 0,6. Ces résultats sont statistiquement satisfaisants et indiquent que</w:t>
      </w:r>
      <w:r w:rsidRPr="00226CE1">
        <w:rPr>
          <w:lang w:val="fr-FR"/>
        </w:rPr>
        <w:t xml:space="preserve"> </w:t>
      </w:r>
      <w:r w:rsidRPr="00544ED0">
        <w:t xml:space="preserve">pour chaque construit, plus de la moitié de la variance de ses indicateurs est expliquée. Cela confirme que le modèle étudié présente une </w:t>
      </w:r>
      <w:r w:rsidRPr="008764AA">
        <w:rPr>
          <w:b/>
          <w:bCs/>
          <w:lang w:val="fr-FR"/>
        </w:rPr>
        <w:t>une bonne validité</w:t>
      </w:r>
      <w:r w:rsidRPr="008764AA">
        <w:rPr>
          <w:lang w:val="fr-FR"/>
        </w:rPr>
        <w:t xml:space="preserve"> convergente</w:t>
      </w:r>
      <w:r w:rsidRPr="00544ED0">
        <w:t>.</w:t>
      </w:r>
    </w:p>
    <w:p w:rsidR="00E772DD" w:rsidRPr="00A53242" w:rsidRDefault="00A53242" w:rsidP="004D32AC">
      <w:pPr>
        <w:pStyle w:val="Titre3"/>
        <w:numPr>
          <w:ilvl w:val="1"/>
          <w:numId w:val="193"/>
        </w:numPr>
        <w:spacing w:after="0" w:afterAutospacing="0" w:line="360" w:lineRule="auto"/>
        <w:rPr>
          <w:sz w:val="24"/>
          <w:szCs w:val="24"/>
          <w:lang w:val="fr-FR"/>
        </w:rPr>
      </w:pPr>
      <w:r>
        <w:rPr>
          <w:sz w:val="24"/>
          <w:szCs w:val="24"/>
          <w:lang w:val="fr-FR"/>
        </w:rPr>
        <w:lastRenderedPageBreak/>
        <w:t xml:space="preserve"> </w:t>
      </w:r>
      <w:bookmarkStart w:id="2214" w:name="_Toc199714560"/>
      <w:bookmarkStart w:id="2215" w:name="_Toc200486836"/>
      <w:bookmarkStart w:id="2216" w:name="_Toc200635614"/>
      <w:bookmarkStart w:id="2217" w:name="_Toc200636002"/>
      <w:bookmarkStart w:id="2218" w:name="_Toc200636391"/>
      <w:bookmarkStart w:id="2219" w:name="_Toc200756132"/>
      <w:r w:rsidR="00E772DD" w:rsidRPr="00A53242">
        <w:rPr>
          <w:sz w:val="24"/>
          <w:szCs w:val="24"/>
          <w:lang w:val="fr-FR"/>
        </w:rPr>
        <w:t>Évaluation de la colinéarité (Facteur de Gonflement de la Variance / Variance</w:t>
      </w:r>
      <w:bookmarkEnd w:id="2214"/>
      <w:bookmarkEnd w:id="2215"/>
      <w:bookmarkEnd w:id="2216"/>
      <w:bookmarkEnd w:id="2217"/>
      <w:bookmarkEnd w:id="2218"/>
      <w:bookmarkEnd w:id="2219"/>
    </w:p>
    <w:p w:rsidR="00E772DD" w:rsidRPr="00A73794" w:rsidRDefault="00E772DD" w:rsidP="0037381B">
      <w:pPr>
        <w:spacing w:line="360" w:lineRule="auto"/>
        <w:jc w:val="both"/>
        <w:rPr>
          <w:rFonts w:asciiTheme="majorBidi" w:hAnsiTheme="majorBidi" w:cstheme="majorBidi"/>
          <w:b/>
          <w:bCs/>
          <w:lang w:val="fr-FR"/>
        </w:rPr>
      </w:pPr>
      <w:r w:rsidRPr="00A73794">
        <w:rPr>
          <w:rFonts w:asciiTheme="majorBidi" w:hAnsiTheme="majorBidi" w:cstheme="majorBidi"/>
          <w:b/>
          <w:bCs/>
          <w:lang w:val="fr-FR"/>
        </w:rPr>
        <w:t>Inflation Factor, VIF)</w:t>
      </w:r>
    </w:p>
    <w:p w:rsidR="00E772DD" w:rsidRDefault="00E772DD" w:rsidP="00102D12">
      <w:pPr>
        <w:spacing w:line="360" w:lineRule="auto"/>
        <w:jc w:val="both"/>
        <w:rPr>
          <w:rFonts w:asciiTheme="majorBidi" w:hAnsiTheme="majorBidi" w:cstheme="majorBidi"/>
          <w:color w:val="000000"/>
        </w:rPr>
      </w:pPr>
      <w:r w:rsidRPr="00773FFD">
        <w:rPr>
          <w:rFonts w:asciiTheme="majorBidi" w:hAnsiTheme="majorBidi" w:cstheme="majorBidi"/>
          <w:color w:val="000000"/>
        </w:rPr>
        <w:t>L’analyse de la colinéarité vise</w:t>
      </w:r>
      <w:r w:rsidRPr="00226CE1">
        <w:rPr>
          <w:rFonts w:asciiTheme="majorBidi" w:hAnsiTheme="majorBidi" w:cstheme="majorBidi"/>
          <w:color w:val="000000"/>
          <w:lang w:val="fr-FR"/>
        </w:rPr>
        <w:t xml:space="preserve"> à </w:t>
      </w:r>
      <w:proofErr w:type="spellStart"/>
      <w:r w:rsidRPr="00226CE1">
        <w:rPr>
          <w:rFonts w:asciiTheme="majorBidi" w:hAnsiTheme="majorBidi" w:cstheme="majorBidi"/>
          <w:color w:val="000000"/>
          <w:lang w:val="fr-FR"/>
        </w:rPr>
        <w:t>verifier</w:t>
      </w:r>
      <w:proofErr w:type="spellEnd"/>
      <w:r w:rsidRPr="00773FFD">
        <w:rPr>
          <w:rFonts w:asciiTheme="majorBidi" w:hAnsiTheme="majorBidi" w:cstheme="majorBidi"/>
          <w:color w:val="000000"/>
        </w:rPr>
        <w:t xml:space="preserve"> </w:t>
      </w:r>
      <w:r w:rsidRPr="00773FFD">
        <w:rPr>
          <w:rFonts w:asciiTheme="majorBidi" w:hAnsiTheme="majorBidi" w:cstheme="majorBidi"/>
          <w:lang w:val="fr-FR"/>
        </w:rPr>
        <w:t>s'il existe un problème de colinéarité entre les variables</w:t>
      </w:r>
      <w:r w:rsidRPr="00773FFD">
        <w:rPr>
          <w:rFonts w:asciiTheme="majorBidi" w:hAnsiTheme="majorBidi" w:cstheme="majorBidi"/>
          <w:color w:val="000000"/>
        </w:rPr>
        <w:t>. Cette étape est cruciale, car les liens entre les variables latentes et leurs indicateurs peuvent impacter directement la fiabilité des résultats obtenus.</w:t>
      </w:r>
    </w:p>
    <w:p w:rsidR="00E772DD" w:rsidRPr="00102D12" w:rsidRDefault="00E772DD" w:rsidP="00102D12">
      <w:pPr>
        <w:spacing w:line="360" w:lineRule="auto"/>
        <w:jc w:val="both"/>
        <w:rPr>
          <w:rFonts w:asciiTheme="majorBidi" w:hAnsiTheme="majorBidi" w:cstheme="majorBidi"/>
          <w:color w:val="000000"/>
        </w:rPr>
      </w:pPr>
      <w:r w:rsidRPr="00773FFD">
        <w:rPr>
          <w:rFonts w:asciiTheme="majorBidi" w:hAnsiTheme="majorBidi" w:cstheme="majorBidi"/>
          <w:color w:val="000000"/>
        </w:rPr>
        <w:t xml:space="preserve">Le principal indicateur utilisé pour identifier ce phénomène est </w:t>
      </w:r>
      <w:r w:rsidRPr="00773FFD">
        <w:rPr>
          <w:rFonts w:asciiTheme="majorBidi" w:hAnsiTheme="majorBidi" w:cstheme="majorBidi"/>
          <w:b/>
          <w:bCs/>
          <w:lang w:val="fr-FR"/>
        </w:rPr>
        <w:t>le </w:t>
      </w:r>
      <w:r w:rsidR="00A73794">
        <w:rPr>
          <w:rFonts w:asciiTheme="majorBidi" w:hAnsiTheme="majorBidi" w:cstheme="majorBidi"/>
          <w:b/>
          <w:bCs/>
          <w:lang w:val="fr-FR"/>
        </w:rPr>
        <w:t>f</w:t>
      </w:r>
      <w:r w:rsidRPr="00773FFD">
        <w:rPr>
          <w:rFonts w:asciiTheme="majorBidi" w:hAnsiTheme="majorBidi" w:cstheme="majorBidi"/>
          <w:b/>
          <w:bCs/>
          <w:lang w:val="fr-FR"/>
        </w:rPr>
        <w:t xml:space="preserve">acteur de </w:t>
      </w:r>
      <w:r w:rsidR="00A73794">
        <w:rPr>
          <w:rFonts w:asciiTheme="majorBidi" w:hAnsiTheme="majorBidi" w:cstheme="majorBidi"/>
          <w:b/>
          <w:bCs/>
          <w:lang w:val="fr-FR"/>
        </w:rPr>
        <w:t>g</w:t>
      </w:r>
      <w:r w:rsidRPr="00773FFD">
        <w:rPr>
          <w:rFonts w:asciiTheme="majorBidi" w:hAnsiTheme="majorBidi" w:cstheme="majorBidi"/>
          <w:b/>
          <w:bCs/>
          <w:lang w:val="fr-FR"/>
        </w:rPr>
        <w:t xml:space="preserve">onflement de la </w:t>
      </w:r>
      <w:r w:rsidR="00A73794">
        <w:rPr>
          <w:rFonts w:asciiTheme="majorBidi" w:hAnsiTheme="majorBidi" w:cstheme="majorBidi"/>
          <w:b/>
          <w:bCs/>
          <w:lang w:val="fr-FR"/>
        </w:rPr>
        <w:t>v</w:t>
      </w:r>
      <w:r w:rsidRPr="00773FFD">
        <w:rPr>
          <w:rFonts w:asciiTheme="majorBidi" w:hAnsiTheme="majorBidi" w:cstheme="majorBidi"/>
          <w:b/>
          <w:bCs/>
          <w:lang w:val="fr-FR"/>
        </w:rPr>
        <w:t>ariance (VIF)</w:t>
      </w:r>
      <w:r w:rsidRPr="00773FFD">
        <w:rPr>
          <w:rFonts w:asciiTheme="majorBidi" w:hAnsiTheme="majorBidi" w:cstheme="majorBidi"/>
          <w:lang w:val="fr-FR"/>
        </w:rPr>
        <w:t>.</w:t>
      </w:r>
    </w:p>
    <w:p w:rsidR="00E772DD" w:rsidRPr="00773FFD" w:rsidRDefault="00E772DD" w:rsidP="004D32AC">
      <w:pPr>
        <w:numPr>
          <w:ilvl w:val="0"/>
          <w:numId w:val="169"/>
        </w:numPr>
        <w:spacing w:after="100" w:afterAutospacing="1" w:line="360" w:lineRule="auto"/>
        <w:jc w:val="both"/>
        <w:rPr>
          <w:rFonts w:asciiTheme="majorBidi" w:hAnsiTheme="majorBidi" w:cstheme="majorBidi"/>
          <w:color w:val="000000"/>
        </w:rPr>
      </w:pPr>
      <w:r w:rsidRPr="00773FFD">
        <w:rPr>
          <w:rFonts w:asciiTheme="majorBidi" w:hAnsiTheme="majorBidi" w:cstheme="majorBidi"/>
          <w:color w:val="000000"/>
        </w:rPr>
        <w:t>VIF &lt; 5 : Cela signifie que la colinéarité ne constitue probablement pas un problème important dans le modèle. Les variables indépendantes présentent une faible corrélation entre elles, ce qui permet d’obtenir des estimations de coefficients fiables.</w:t>
      </w:r>
    </w:p>
    <w:p w:rsidR="00E772DD" w:rsidRPr="00773FFD" w:rsidRDefault="00E772DD" w:rsidP="004D32AC">
      <w:pPr>
        <w:numPr>
          <w:ilvl w:val="0"/>
          <w:numId w:val="169"/>
        </w:numPr>
        <w:spacing w:before="100" w:beforeAutospacing="1" w:after="100" w:afterAutospacing="1" w:line="360" w:lineRule="auto"/>
        <w:jc w:val="both"/>
        <w:rPr>
          <w:rFonts w:asciiTheme="majorBidi" w:hAnsiTheme="majorBidi" w:cstheme="majorBidi"/>
          <w:color w:val="000000"/>
        </w:rPr>
      </w:pPr>
      <w:r w:rsidRPr="00773FFD">
        <w:rPr>
          <w:rFonts w:asciiTheme="majorBidi" w:hAnsiTheme="majorBidi" w:cstheme="majorBidi"/>
        </w:rPr>
        <w:t xml:space="preserve">VIF≥ 5 </w:t>
      </w:r>
      <w:r w:rsidRPr="00226CE1">
        <w:rPr>
          <w:rFonts w:asciiTheme="majorBidi" w:hAnsiTheme="majorBidi" w:cstheme="majorBidi"/>
          <w:lang w:val="fr-FR"/>
        </w:rPr>
        <w:t xml:space="preserve">: </w:t>
      </w:r>
      <w:r w:rsidRPr="00226CE1">
        <w:rPr>
          <w:rFonts w:asciiTheme="majorBidi" w:hAnsiTheme="majorBidi" w:cstheme="majorBidi"/>
          <w:color w:val="000000"/>
          <w:lang w:val="fr-FR"/>
        </w:rPr>
        <w:t>Indique</w:t>
      </w:r>
      <w:r w:rsidRPr="00773FFD">
        <w:rPr>
          <w:rFonts w:asciiTheme="majorBidi" w:hAnsiTheme="majorBidi" w:cstheme="majorBidi"/>
          <w:color w:val="000000"/>
        </w:rPr>
        <w:t xml:space="preserve"> une colinéarité importante entre les variables, ce qui peut provoquer une augmentation des erreurs standards des coefficients de régression et compromettre la fiabilité des estimations.</w:t>
      </w:r>
    </w:p>
    <w:p w:rsidR="00E772DD" w:rsidRPr="00102D12" w:rsidRDefault="00E772DD" w:rsidP="00102D12">
      <w:pPr>
        <w:spacing w:line="360" w:lineRule="auto"/>
        <w:jc w:val="center"/>
        <w:rPr>
          <w:lang w:val="fr-FR"/>
        </w:rPr>
      </w:pPr>
      <w:r w:rsidRPr="008764AA">
        <w:rPr>
          <w:b/>
          <w:bCs/>
          <w:lang w:val="fr-FR"/>
        </w:rPr>
        <w:t>Tableau</w:t>
      </w:r>
      <w:r>
        <w:rPr>
          <w:b/>
          <w:bCs/>
          <w:lang w:val="fr-FR"/>
        </w:rPr>
        <w:t xml:space="preserve"> N°18</w:t>
      </w:r>
      <w:r w:rsidRPr="008764AA">
        <w:rPr>
          <w:b/>
          <w:bCs/>
          <w:lang w:val="fr-FR"/>
        </w:rPr>
        <w:t xml:space="preserve"> :</w:t>
      </w:r>
      <w:r w:rsidRPr="008764AA">
        <w:rPr>
          <w:lang w:val="fr-FR"/>
        </w:rPr>
        <w:t xml:space="preserve"> </w:t>
      </w:r>
      <w:r w:rsidRPr="00381B81">
        <w:rPr>
          <w:lang w:val="fr-FR"/>
        </w:rPr>
        <w:t>Facteur de Gonflement de la Variance (VIF)</w:t>
      </w:r>
    </w:p>
    <w:tbl>
      <w:tblPr>
        <w:tblW w:w="5000" w:type="pct"/>
        <w:tblCellMar>
          <w:top w:w="15" w:type="dxa"/>
          <w:left w:w="15" w:type="dxa"/>
          <w:bottom w:w="15" w:type="dxa"/>
          <w:right w:w="15" w:type="dxa"/>
        </w:tblCellMar>
        <w:tblLook w:val="04A0" w:firstRow="1" w:lastRow="0" w:firstColumn="1" w:lastColumn="0" w:noHBand="0" w:noVBand="1"/>
      </w:tblPr>
      <w:tblGrid>
        <w:gridCol w:w="1653"/>
        <w:gridCol w:w="915"/>
        <w:gridCol w:w="863"/>
        <w:gridCol w:w="863"/>
        <w:gridCol w:w="1078"/>
        <w:gridCol w:w="975"/>
        <w:gridCol w:w="1004"/>
        <w:gridCol w:w="1653"/>
      </w:tblGrid>
      <w:tr w:rsidR="00E772DD" w:rsidRPr="008764AA" w:rsidTr="00AE378F">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rPr>
                <w:rFonts w:asciiTheme="majorBidi" w:hAnsiTheme="majorBidi" w:cstheme="majorBidi"/>
                <w:lang w:val="fr-FR"/>
              </w:rPr>
            </w:pPr>
          </w:p>
        </w:tc>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proofErr w:type="spellStart"/>
            <w:r w:rsidRPr="008764AA">
              <w:rPr>
                <w:rFonts w:asciiTheme="majorBidi" w:hAnsiTheme="majorBidi" w:cstheme="majorBidi"/>
                <w:lang w:val="fr-FR"/>
              </w:rPr>
              <w:t>Acces</w:t>
            </w:r>
            <w:proofErr w:type="spellEnd"/>
            <w:r w:rsidRPr="008764AA">
              <w:rPr>
                <w:rFonts w:asciiTheme="majorBidi" w:hAnsiTheme="majorBidi" w:cstheme="majorBidi"/>
                <w:lang w:val="fr-FR"/>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r w:rsidRPr="008764AA">
              <w:rPr>
                <w:rFonts w:asciiTheme="majorBidi" w:hAnsiTheme="majorBidi" w:cstheme="majorBidi"/>
                <w:lang w:val="fr-FR"/>
              </w:rPr>
              <w:t xml:space="preserve">Auto </w:t>
            </w:r>
          </w:p>
        </w:tc>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proofErr w:type="spellStart"/>
            <w:r w:rsidRPr="008764AA">
              <w:rPr>
                <w:rFonts w:asciiTheme="majorBidi" w:hAnsiTheme="majorBidi" w:cstheme="majorBidi"/>
                <w:lang w:val="fr-FR"/>
              </w:rPr>
              <w:t>Num</w:t>
            </w:r>
            <w:proofErr w:type="spellEnd"/>
            <w:r w:rsidRPr="008764AA">
              <w:rPr>
                <w:rFonts w:asciiTheme="majorBidi" w:hAnsiTheme="majorBidi" w:cstheme="majorBidi"/>
                <w:lang w:val="fr-FR"/>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proofErr w:type="spellStart"/>
            <w:r w:rsidRPr="008764AA">
              <w:rPr>
                <w:rFonts w:asciiTheme="majorBidi" w:hAnsiTheme="majorBidi" w:cstheme="majorBidi"/>
                <w:lang w:val="fr-FR"/>
              </w:rPr>
              <w:t>PerfRH</w:t>
            </w:r>
            <w:proofErr w:type="spellEnd"/>
            <w:r w:rsidRPr="008764AA">
              <w:rPr>
                <w:rFonts w:asciiTheme="majorBidi" w:hAnsiTheme="majorBidi" w:cstheme="majorBidi"/>
                <w:lang w:val="fr-FR"/>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proofErr w:type="spellStart"/>
            <w:r w:rsidRPr="008764AA">
              <w:rPr>
                <w:rFonts w:asciiTheme="majorBidi" w:hAnsiTheme="majorBidi" w:cstheme="majorBidi"/>
                <w:lang w:val="fr-FR"/>
              </w:rPr>
              <w:t>ProFD</w:t>
            </w:r>
            <w:proofErr w:type="spellEnd"/>
            <w:r w:rsidRPr="008764AA">
              <w:rPr>
                <w:rFonts w:asciiTheme="majorBidi" w:hAnsiTheme="majorBidi" w:cstheme="majorBidi"/>
                <w:lang w:val="fr-FR"/>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proofErr w:type="spellStart"/>
            <w:r w:rsidRPr="008764AA">
              <w:rPr>
                <w:rFonts w:asciiTheme="majorBidi" w:hAnsiTheme="majorBidi" w:cstheme="majorBidi"/>
                <w:lang w:val="fr-FR"/>
              </w:rPr>
              <w:t>ProRD</w:t>
            </w:r>
            <w:proofErr w:type="spellEnd"/>
            <w:r w:rsidRPr="008764AA">
              <w:rPr>
                <w:rFonts w:asciiTheme="majorBidi" w:hAnsiTheme="majorBidi" w:cstheme="majorBidi"/>
                <w:lang w:val="fr-FR"/>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r w:rsidRPr="008764AA">
              <w:rPr>
                <w:rFonts w:asciiTheme="majorBidi" w:hAnsiTheme="majorBidi" w:cstheme="majorBidi"/>
                <w:lang w:val="fr-FR"/>
              </w:rPr>
              <w:t xml:space="preserve">digitalisation </w:t>
            </w:r>
          </w:p>
        </w:tc>
      </w:tr>
      <w:tr w:rsidR="00E772DD" w:rsidRPr="008764AA" w:rsidTr="00AE378F">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rPr>
                <w:rFonts w:asciiTheme="majorBidi" w:hAnsiTheme="majorBidi" w:cstheme="majorBidi"/>
                <w:lang w:val="fr-FR"/>
              </w:rPr>
            </w:pPr>
            <w:proofErr w:type="spellStart"/>
            <w:r w:rsidRPr="008764AA">
              <w:rPr>
                <w:rFonts w:asciiTheme="majorBidi" w:hAnsiTheme="majorBidi" w:cstheme="majorBidi"/>
                <w:lang w:val="fr-FR"/>
              </w:rPr>
              <w:t>ProFD</w:t>
            </w:r>
            <w:proofErr w:type="spellEnd"/>
            <w:r w:rsidRPr="008764AA">
              <w:rPr>
                <w:rFonts w:asciiTheme="majorBidi" w:hAnsiTheme="majorBidi" w:cstheme="majorBidi"/>
                <w:lang w:val="fr-FR"/>
              </w:rPr>
              <w:t xml:space="preserve">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rPr>
                <w:rFonts w:asciiTheme="majorBidi" w:hAnsiTheme="majorBidi" w:cstheme="majorBidi"/>
                <w:b/>
                <w:bCs/>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1.408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p>
        </w:tc>
      </w:tr>
      <w:tr w:rsidR="00E772DD" w:rsidRPr="008764AA" w:rsidTr="00AE378F">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rPr>
                <w:rFonts w:asciiTheme="majorBidi" w:hAnsiTheme="majorBidi" w:cstheme="majorBidi"/>
                <w:lang w:val="fr-FR"/>
              </w:rPr>
            </w:pPr>
            <w:proofErr w:type="spellStart"/>
            <w:r w:rsidRPr="008764AA">
              <w:rPr>
                <w:rFonts w:asciiTheme="majorBidi" w:hAnsiTheme="majorBidi" w:cstheme="majorBidi"/>
                <w:lang w:val="fr-FR"/>
              </w:rPr>
              <w:t>ProRD</w:t>
            </w:r>
            <w:proofErr w:type="spellEnd"/>
            <w:r w:rsidRPr="008764AA">
              <w:rPr>
                <w:rFonts w:asciiTheme="majorBidi" w:hAnsiTheme="majorBidi" w:cstheme="majorBidi"/>
                <w:lang w:val="fr-FR"/>
              </w:rPr>
              <w:t xml:space="preserve">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rPr>
                <w:rFonts w:asciiTheme="majorBidi" w:hAnsiTheme="majorBidi" w:cstheme="majorBidi"/>
                <w:b/>
                <w:bCs/>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2.669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lang w:val="fr-FR"/>
              </w:rPr>
            </w:pPr>
          </w:p>
        </w:tc>
      </w:tr>
      <w:tr w:rsidR="00E772DD" w:rsidRPr="008764AA" w:rsidTr="00AE378F">
        <w:tc>
          <w:tcPr>
            <w:tcW w:w="0" w:type="auto"/>
            <w:tcBorders>
              <w:top w:val="single" w:sz="6" w:space="0" w:color="000000"/>
              <w:left w:val="single" w:sz="6" w:space="0" w:color="000000"/>
              <w:bottom w:val="single" w:sz="6" w:space="0" w:color="000000"/>
              <w:right w:val="single" w:sz="6" w:space="0" w:color="000000"/>
            </w:tcBorders>
            <w:shd w:val="clear" w:color="auto" w:fill="D8DCD1"/>
            <w:tcMar>
              <w:top w:w="0" w:type="dxa"/>
              <w:left w:w="120" w:type="dxa"/>
              <w:bottom w:w="0" w:type="dxa"/>
              <w:right w:w="120" w:type="dxa"/>
            </w:tcMar>
            <w:vAlign w:val="center"/>
            <w:hideMark/>
          </w:tcPr>
          <w:p w:rsidR="00E772DD" w:rsidRPr="008764AA" w:rsidRDefault="00E772DD" w:rsidP="000A11CD">
            <w:pPr>
              <w:spacing w:line="360" w:lineRule="auto"/>
              <w:rPr>
                <w:rFonts w:asciiTheme="majorBidi" w:hAnsiTheme="majorBidi" w:cstheme="majorBidi"/>
                <w:lang w:val="fr-FR"/>
              </w:rPr>
            </w:pPr>
            <w:r w:rsidRPr="008764AA">
              <w:rPr>
                <w:rFonts w:asciiTheme="majorBidi" w:hAnsiTheme="majorBidi" w:cstheme="majorBidi"/>
                <w:lang w:val="fr-FR"/>
              </w:rPr>
              <w:t xml:space="preserve">digitalisation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1.000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1.000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1.000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3.052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1.000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1.000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E772DD" w:rsidRPr="008764AA" w:rsidRDefault="00E772DD" w:rsidP="000A11CD">
            <w:pPr>
              <w:spacing w:line="360" w:lineRule="auto"/>
              <w:jc w:val="right"/>
              <w:rPr>
                <w:rFonts w:asciiTheme="majorBidi" w:hAnsiTheme="majorBidi" w:cstheme="majorBidi"/>
                <w:color w:val="006400"/>
                <w:lang w:val="fr-FR"/>
              </w:rPr>
            </w:pPr>
          </w:p>
        </w:tc>
      </w:tr>
    </w:tbl>
    <w:p w:rsidR="00E772DD" w:rsidRPr="008764AA" w:rsidRDefault="00E772DD" w:rsidP="00773FFD">
      <w:pPr>
        <w:spacing w:before="240" w:after="240" w:line="360" w:lineRule="auto"/>
        <w:jc w:val="center"/>
        <w:rPr>
          <w:lang w:val="fr-FR"/>
        </w:rPr>
      </w:pPr>
      <w:r w:rsidRPr="008764AA">
        <w:rPr>
          <w:b/>
          <w:bCs/>
          <w:lang w:val="fr-FR"/>
        </w:rPr>
        <w:t xml:space="preserve">Source </w:t>
      </w:r>
      <w:r w:rsidRPr="008764AA">
        <w:rPr>
          <w:lang w:val="fr-FR"/>
        </w:rPr>
        <w:t>: établi par nous-même à partir des résultats du SmartPLS4</w:t>
      </w:r>
    </w:p>
    <w:p w:rsidR="00E772DD" w:rsidRPr="008764AA" w:rsidRDefault="00E772DD" w:rsidP="00773FFD">
      <w:pPr>
        <w:spacing w:after="240" w:line="360" w:lineRule="auto"/>
        <w:rPr>
          <w:rFonts w:asciiTheme="majorBidi" w:hAnsiTheme="majorBidi" w:cstheme="majorBidi"/>
          <w:lang w:val="fr-FR"/>
        </w:rPr>
      </w:pPr>
      <w:r w:rsidRPr="00773FFD">
        <w:rPr>
          <w:rFonts w:asciiTheme="majorBidi" w:hAnsiTheme="majorBidi" w:cstheme="majorBidi"/>
        </w:rPr>
        <w:t>En se référant au tableau des résultats du test du Facteur d</w:t>
      </w:r>
      <w:r>
        <w:rPr>
          <w:rFonts w:asciiTheme="majorBidi" w:hAnsiTheme="majorBidi" w:cstheme="majorBidi"/>
          <w:lang w:val="fr-FR"/>
        </w:rPr>
        <w:t xml:space="preserve">e </w:t>
      </w:r>
      <w:r w:rsidRPr="008764AA">
        <w:rPr>
          <w:rFonts w:asciiTheme="majorBidi" w:hAnsiTheme="majorBidi" w:cstheme="majorBidi"/>
          <w:lang w:val="fr-FR"/>
        </w:rPr>
        <w:t>Gonflement</w:t>
      </w:r>
      <w:r w:rsidRPr="00773FFD">
        <w:rPr>
          <w:rFonts w:asciiTheme="majorBidi" w:hAnsiTheme="majorBidi" w:cstheme="majorBidi"/>
        </w:rPr>
        <w:t xml:space="preserve"> de la Variance (VIF), on observe que tous les coefficients sont inférieurs au seuil critique de 5. Cela signifie que la colinéarité ne présente pas de problème majeur parmi les variables étudiées, ce qui permet de poursuivre sereinement l’estimation du modèle de chemin PLS.</w:t>
      </w:r>
    </w:p>
    <w:p w:rsidR="00E772DD" w:rsidRPr="00A53242" w:rsidRDefault="00A53242" w:rsidP="004D32AC">
      <w:pPr>
        <w:pStyle w:val="Titre3"/>
        <w:numPr>
          <w:ilvl w:val="1"/>
          <w:numId w:val="193"/>
        </w:numPr>
        <w:rPr>
          <w:sz w:val="24"/>
          <w:szCs w:val="24"/>
          <w:lang w:val="fr-FR"/>
        </w:rPr>
      </w:pPr>
      <w:r>
        <w:rPr>
          <w:sz w:val="24"/>
          <w:szCs w:val="24"/>
          <w:lang w:val="fr-FR"/>
        </w:rPr>
        <w:t xml:space="preserve"> </w:t>
      </w:r>
      <w:bookmarkStart w:id="2220" w:name="_Toc199714561"/>
      <w:bookmarkStart w:id="2221" w:name="_Toc200486837"/>
      <w:bookmarkStart w:id="2222" w:name="_Toc200635615"/>
      <w:bookmarkStart w:id="2223" w:name="_Toc200636003"/>
      <w:bookmarkStart w:id="2224" w:name="_Toc200636392"/>
      <w:bookmarkStart w:id="2225" w:name="_Toc200756133"/>
      <w:r w:rsidR="00E772DD" w:rsidRPr="00A53242">
        <w:rPr>
          <w:sz w:val="24"/>
          <w:szCs w:val="24"/>
          <w:lang w:val="fr-FR"/>
        </w:rPr>
        <w:t xml:space="preserve">Le </w:t>
      </w:r>
      <w:proofErr w:type="spellStart"/>
      <w:r w:rsidR="00E772DD" w:rsidRPr="00A53242">
        <w:rPr>
          <w:sz w:val="24"/>
          <w:szCs w:val="24"/>
          <w:lang w:val="fr-FR"/>
        </w:rPr>
        <w:t>Goodness</w:t>
      </w:r>
      <w:proofErr w:type="spellEnd"/>
      <w:r w:rsidR="00E772DD" w:rsidRPr="00A53242">
        <w:rPr>
          <w:sz w:val="24"/>
          <w:szCs w:val="24"/>
          <w:lang w:val="fr-FR"/>
        </w:rPr>
        <w:t xml:space="preserve"> of Fit (GOF) (qualité de l'ajustement) :</w:t>
      </w:r>
      <w:bookmarkEnd w:id="2220"/>
      <w:bookmarkEnd w:id="2221"/>
      <w:bookmarkEnd w:id="2222"/>
      <w:bookmarkEnd w:id="2223"/>
      <w:bookmarkEnd w:id="2224"/>
      <w:bookmarkEnd w:id="2225"/>
    </w:p>
    <w:p w:rsidR="00E772DD" w:rsidRPr="00773FFD" w:rsidRDefault="00E772DD" w:rsidP="001030E3">
      <w:pPr>
        <w:spacing w:line="360" w:lineRule="auto"/>
        <w:jc w:val="both"/>
      </w:pPr>
      <w:r w:rsidRPr="00773FFD">
        <w:t>L’indice Goodness of Fit (GOF) permet d’évaluer le degré global d’ajustement d’un modèle en mesurant dans quelle mesure les données observées correspondent aux prédictions formulées par ce dernier. Il intègre également la variabilité associée à la taille de l’échantillon. Cet indicateur joue un rôle clé dans l’appréciation de la robustesse et de la fiabilité du modèle présenté.</w:t>
      </w:r>
    </w:p>
    <w:p w:rsidR="00E772DD" w:rsidRPr="00773FFD" w:rsidRDefault="00E772DD" w:rsidP="001030E3">
      <w:pPr>
        <w:spacing w:line="360" w:lineRule="auto"/>
        <w:jc w:val="both"/>
      </w:pPr>
      <w:r w:rsidRPr="00773FFD">
        <w:t>Le GOF varie entre 0 et 1</w:t>
      </w:r>
      <w:r w:rsidRPr="00226CE1">
        <w:rPr>
          <w:lang w:val="fr-FR"/>
        </w:rPr>
        <w:t xml:space="preserve"> </w:t>
      </w:r>
      <w:r w:rsidRPr="00773FFD">
        <w:t>avec les interprétations suivantes :</w:t>
      </w:r>
    </w:p>
    <w:p w:rsidR="00E772DD" w:rsidRPr="00773FFD" w:rsidRDefault="00E772DD" w:rsidP="004D32AC">
      <w:pPr>
        <w:numPr>
          <w:ilvl w:val="0"/>
          <w:numId w:val="170"/>
        </w:numPr>
        <w:spacing w:line="360" w:lineRule="auto"/>
        <w:jc w:val="both"/>
      </w:pPr>
      <w:r w:rsidRPr="00773FFD">
        <w:t>Une valeur inférieure à 0,1 signale une qualité insuffisante.</w:t>
      </w:r>
    </w:p>
    <w:p w:rsidR="00E772DD" w:rsidRPr="00773FFD" w:rsidRDefault="00E772DD" w:rsidP="004D32AC">
      <w:pPr>
        <w:numPr>
          <w:ilvl w:val="0"/>
          <w:numId w:val="170"/>
        </w:numPr>
        <w:spacing w:line="360" w:lineRule="auto"/>
        <w:jc w:val="both"/>
      </w:pPr>
      <w:r w:rsidRPr="00773FFD">
        <w:lastRenderedPageBreak/>
        <w:t>Une valeur située entre 0,1 et 0,25 reflète une qualité faible.</w:t>
      </w:r>
    </w:p>
    <w:p w:rsidR="00E772DD" w:rsidRPr="00773FFD" w:rsidRDefault="00E772DD" w:rsidP="004D32AC">
      <w:pPr>
        <w:numPr>
          <w:ilvl w:val="0"/>
          <w:numId w:val="170"/>
        </w:numPr>
        <w:spacing w:line="360" w:lineRule="auto"/>
        <w:jc w:val="both"/>
      </w:pPr>
      <w:r w:rsidRPr="00773FFD">
        <w:t>Une valeur comprise entre 0,25 et 0,36 indique une qualité moyenne.</w:t>
      </w:r>
    </w:p>
    <w:p w:rsidR="00E772DD" w:rsidRPr="00773FFD" w:rsidRDefault="00E772DD" w:rsidP="004D32AC">
      <w:pPr>
        <w:numPr>
          <w:ilvl w:val="0"/>
          <w:numId w:val="170"/>
        </w:numPr>
        <w:spacing w:line="360" w:lineRule="auto"/>
        <w:jc w:val="both"/>
      </w:pPr>
      <w:r w:rsidRPr="00773FFD">
        <w:t>Une valeur supérieure à 0,36 traduit une qualité élevée.</w:t>
      </w:r>
    </w:p>
    <w:p w:rsidR="00E772DD" w:rsidRPr="00B527A6" w:rsidRDefault="00E772DD" w:rsidP="00B527A6">
      <w:pPr>
        <w:spacing w:after="240" w:line="360" w:lineRule="auto"/>
        <w:jc w:val="both"/>
        <w:rPr>
          <w:b/>
          <w:bCs/>
        </w:rPr>
      </w:pPr>
      <w:r w:rsidRPr="00773FFD">
        <w:t>Cet indice est particulièrement utile pour compenser les limitations des petits échantillons, qui peuvent ne pas représenter fidèlement la population étudiée. Il fournit ainsi une mesure plus fiable</w:t>
      </w:r>
      <w:r w:rsidRPr="00773FFD">
        <w:rPr>
          <w:b/>
          <w:bCs/>
        </w:rPr>
        <w:t xml:space="preserve"> </w:t>
      </w:r>
      <w:r w:rsidRPr="00773FFD">
        <w:t>de l’adéquation entre les données observées et les résultats prédits par le modèle.</w:t>
      </w:r>
    </w:p>
    <w:p w:rsidR="00E772DD" w:rsidRPr="008764AA" w:rsidRDefault="00E772DD" w:rsidP="000A11CD">
      <w:pPr>
        <w:jc w:val="center"/>
        <w:rPr>
          <w:b/>
          <w:bCs/>
          <w:lang w:val="fr-FR"/>
        </w:rPr>
      </w:pPr>
      <w:r w:rsidRPr="008764AA">
        <w:rPr>
          <w:b/>
          <w:bCs/>
          <w:lang w:val="fr-FR"/>
        </w:rPr>
        <w:t>Tableau</w:t>
      </w:r>
      <w:r>
        <w:rPr>
          <w:b/>
          <w:bCs/>
          <w:lang w:val="fr-FR"/>
        </w:rPr>
        <w:t xml:space="preserve"> N°19</w:t>
      </w:r>
      <w:r w:rsidRPr="008764AA">
        <w:rPr>
          <w:b/>
          <w:bCs/>
          <w:lang w:val="fr-FR"/>
        </w:rPr>
        <w:t xml:space="preserve"> :</w:t>
      </w:r>
      <w:r w:rsidRPr="008764AA">
        <w:rPr>
          <w:lang w:val="fr-FR"/>
        </w:rPr>
        <w:t xml:space="preserve"> </w:t>
      </w:r>
      <w:r w:rsidRPr="00381B81">
        <w:rPr>
          <w:lang w:val="fr-FR"/>
        </w:rPr>
        <w:t>Qualité de l'ajustement</w:t>
      </w:r>
    </w:p>
    <w:p w:rsidR="00E772DD" w:rsidRPr="008764AA" w:rsidRDefault="00E772DD" w:rsidP="005C76DF">
      <w:pPr>
        <w:rPr>
          <w:lang w:val="fr-FR"/>
        </w:rPr>
      </w:pPr>
    </w:p>
    <w:tbl>
      <w:tblPr>
        <w:tblStyle w:val="Grilledutableau"/>
        <w:tblW w:w="5000" w:type="pct"/>
        <w:tblLook w:val="04A0" w:firstRow="1" w:lastRow="0" w:firstColumn="1" w:lastColumn="0" w:noHBand="0" w:noVBand="1"/>
      </w:tblPr>
      <w:tblGrid>
        <w:gridCol w:w="1203"/>
        <w:gridCol w:w="2921"/>
        <w:gridCol w:w="4886"/>
      </w:tblGrid>
      <w:tr w:rsidR="00E772DD" w:rsidRPr="008764AA" w:rsidTr="00AE378F">
        <w:tc>
          <w:tcPr>
            <w:tcW w:w="0" w:type="auto"/>
            <w:shd w:val="clear" w:color="auto" w:fill="D8DCD1"/>
            <w:hideMark/>
          </w:tcPr>
          <w:p w:rsidR="00E772DD" w:rsidRPr="00D914C6" w:rsidRDefault="00E772DD" w:rsidP="005C76DF">
            <w:pPr>
              <w:spacing w:after="240" w:line="360" w:lineRule="auto"/>
              <w:jc w:val="both"/>
              <w:rPr>
                <w:rFonts w:asciiTheme="majorBidi" w:hAnsiTheme="majorBidi" w:cstheme="majorBidi"/>
                <w:b/>
                <w:bCs/>
                <w:lang w:val="fr-FR"/>
              </w:rPr>
            </w:pPr>
            <w:r w:rsidRPr="00D914C6">
              <w:rPr>
                <w:rFonts w:asciiTheme="majorBidi" w:hAnsiTheme="majorBidi" w:cstheme="majorBidi"/>
                <w:b/>
                <w:bCs/>
                <w:lang w:val="fr-FR"/>
              </w:rPr>
              <w:t>Variables</w:t>
            </w:r>
          </w:p>
          <w:p w:rsidR="00E772DD" w:rsidRPr="00D914C6" w:rsidRDefault="00E772DD" w:rsidP="005C76DF">
            <w:pPr>
              <w:spacing w:after="240" w:line="360" w:lineRule="auto"/>
              <w:jc w:val="both"/>
              <w:rPr>
                <w:rFonts w:asciiTheme="majorBidi" w:hAnsiTheme="majorBidi" w:cstheme="majorBidi"/>
                <w:b/>
                <w:bCs/>
                <w:lang w:val="fr-FR"/>
              </w:rPr>
            </w:pPr>
          </w:p>
        </w:tc>
        <w:tc>
          <w:tcPr>
            <w:tcW w:w="0" w:type="auto"/>
            <w:shd w:val="clear" w:color="auto" w:fill="D8DCD1"/>
            <w:hideMark/>
          </w:tcPr>
          <w:p w:rsidR="00E772DD" w:rsidRPr="00D914C6" w:rsidRDefault="00E772DD" w:rsidP="005C76DF">
            <w:pPr>
              <w:spacing w:after="240" w:line="360" w:lineRule="auto"/>
              <w:jc w:val="both"/>
              <w:rPr>
                <w:rFonts w:asciiTheme="majorBidi" w:hAnsiTheme="majorBidi" w:cstheme="majorBidi"/>
                <w:b/>
                <w:bCs/>
                <w:lang w:val="fr-FR"/>
              </w:rPr>
            </w:pPr>
            <w:r w:rsidRPr="00D914C6">
              <w:rPr>
                <w:rFonts w:asciiTheme="majorBidi" w:hAnsiTheme="majorBidi" w:cstheme="majorBidi"/>
                <w:b/>
                <w:bCs/>
                <w:lang w:val="fr-FR"/>
              </w:rPr>
              <w:t>R</w:t>
            </w:r>
            <w:r>
              <w:rPr>
                <w:rFonts w:asciiTheme="majorBidi" w:hAnsiTheme="majorBidi" w:cstheme="majorBidi"/>
                <w:b/>
                <w:bCs/>
                <w:vertAlign w:val="superscript"/>
                <w:lang w:val="fr-FR"/>
              </w:rPr>
              <w:t>2</w:t>
            </w:r>
            <w:r w:rsidRPr="00D914C6">
              <w:rPr>
                <w:rFonts w:asciiTheme="majorBidi" w:hAnsiTheme="majorBidi" w:cstheme="majorBidi"/>
                <w:b/>
                <w:bCs/>
                <w:lang w:val="fr-FR"/>
              </w:rPr>
              <w:t xml:space="preserve"> </w:t>
            </w:r>
          </w:p>
        </w:tc>
        <w:tc>
          <w:tcPr>
            <w:tcW w:w="0" w:type="auto"/>
            <w:shd w:val="clear" w:color="auto" w:fill="D8DCD1"/>
            <w:hideMark/>
          </w:tcPr>
          <w:p w:rsidR="00E772DD" w:rsidRPr="00D914C6" w:rsidRDefault="00E772DD" w:rsidP="005C76DF">
            <w:pPr>
              <w:pStyle w:val="p1"/>
              <w:rPr>
                <w:b/>
                <w:bCs/>
                <w:sz w:val="24"/>
                <w:szCs w:val="24"/>
              </w:rPr>
            </w:pPr>
            <w:r w:rsidRPr="00D914C6">
              <w:rPr>
                <w:b/>
                <w:bCs/>
                <w:sz w:val="24"/>
                <w:szCs w:val="24"/>
              </w:rPr>
              <w:t>Moyen de la Variance</w:t>
            </w:r>
          </w:p>
          <w:p w:rsidR="00E772DD" w:rsidRPr="00D914C6" w:rsidRDefault="00E772DD" w:rsidP="005C76DF">
            <w:pPr>
              <w:pStyle w:val="p1"/>
              <w:rPr>
                <w:b/>
                <w:bCs/>
                <w:sz w:val="24"/>
                <w:szCs w:val="24"/>
              </w:rPr>
            </w:pPr>
            <w:r w:rsidRPr="00D914C6">
              <w:rPr>
                <w:b/>
                <w:bCs/>
                <w:sz w:val="24"/>
                <w:szCs w:val="24"/>
              </w:rPr>
              <w:t>Extraite (AVE)</w:t>
            </w:r>
          </w:p>
        </w:tc>
      </w:tr>
      <w:tr w:rsidR="00E772DD" w:rsidRPr="008764AA" w:rsidTr="00AE378F">
        <w:tc>
          <w:tcPr>
            <w:tcW w:w="0" w:type="auto"/>
            <w:shd w:val="clear" w:color="auto" w:fill="D8DCD1"/>
            <w:hideMark/>
          </w:tcPr>
          <w:p w:rsidR="00E772DD" w:rsidRPr="008764AA" w:rsidRDefault="00E772DD" w:rsidP="005C76DF">
            <w:pPr>
              <w:spacing w:after="240" w:line="360" w:lineRule="auto"/>
              <w:jc w:val="both"/>
              <w:rPr>
                <w:rFonts w:asciiTheme="majorBidi" w:hAnsiTheme="majorBidi" w:cstheme="majorBidi"/>
                <w:b/>
                <w:bCs/>
                <w:lang w:val="fr-FR"/>
              </w:rPr>
            </w:pPr>
            <w:proofErr w:type="spellStart"/>
            <w:r w:rsidRPr="008764AA">
              <w:rPr>
                <w:rFonts w:asciiTheme="majorBidi" w:hAnsiTheme="majorBidi" w:cstheme="majorBidi"/>
                <w:b/>
                <w:bCs/>
                <w:lang w:val="fr-FR"/>
              </w:rPr>
              <w:t>Acces</w:t>
            </w:r>
            <w:proofErr w:type="spellEnd"/>
            <w:r w:rsidRPr="008764AA">
              <w:rPr>
                <w:rFonts w:asciiTheme="majorBidi" w:hAnsiTheme="majorBidi" w:cstheme="majorBidi"/>
                <w:b/>
                <w:bCs/>
                <w:lang w:val="fr-FR"/>
              </w:rPr>
              <w:t xml:space="preserve">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0,037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0,735</w:t>
            </w:r>
          </w:p>
        </w:tc>
      </w:tr>
      <w:tr w:rsidR="00E772DD" w:rsidRPr="008764AA" w:rsidTr="00AE378F">
        <w:tc>
          <w:tcPr>
            <w:tcW w:w="0" w:type="auto"/>
            <w:shd w:val="clear" w:color="auto" w:fill="D8DCD1"/>
            <w:hideMark/>
          </w:tcPr>
          <w:p w:rsidR="00E772DD" w:rsidRPr="008764AA" w:rsidRDefault="00E772DD" w:rsidP="005C76DF">
            <w:pPr>
              <w:spacing w:after="240" w:line="360" w:lineRule="auto"/>
              <w:jc w:val="both"/>
              <w:rPr>
                <w:rFonts w:asciiTheme="majorBidi" w:hAnsiTheme="majorBidi" w:cstheme="majorBidi"/>
                <w:b/>
                <w:bCs/>
                <w:lang w:val="fr-FR"/>
              </w:rPr>
            </w:pPr>
            <w:r w:rsidRPr="008764AA">
              <w:rPr>
                <w:rFonts w:asciiTheme="majorBidi" w:hAnsiTheme="majorBidi" w:cstheme="majorBidi"/>
                <w:b/>
                <w:bCs/>
                <w:lang w:val="fr-FR"/>
              </w:rPr>
              <w:t xml:space="preserve">Auto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0,553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0,718</w:t>
            </w:r>
          </w:p>
        </w:tc>
      </w:tr>
      <w:tr w:rsidR="00E772DD" w:rsidRPr="008764AA" w:rsidTr="00AE378F">
        <w:tc>
          <w:tcPr>
            <w:tcW w:w="0" w:type="auto"/>
            <w:shd w:val="clear" w:color="auto" w:fill="D8DCD1"/>
            <w:hideMark/>
          </w:tcPr>
          <w:p w:rsidR="00E772DD" w:rsidRPr="008764AA" w:rsidRDefault="00E772DD" w:rsidP="005C76DF">
            <w:pPr>
              <w:spacing w:after="240" w:line="360" w:lineRule="auto"/>
              <w:jc w:val="both"/>
              <w:rPr>
                <w:rFonts w:asciiTheme="majorBidi" w:hAnsiTheme="majorBidi" w:cstheme="majorBidi"/>
                <w:b/>
                <w:bCs/>
                <w:lang w:val="fr-FR"/>
              </w:rPr>
            </w:pPr>
            <w:proofErr w:type="spellStart"/>
            <w:r w:rsidRPr="008764AA">
              <w:rPr>
                <w:rFonts w:asciiTheme="majorBidi" w:hAnsiTheme="majorBidi" w:cstheme="majorBidi"/>
                <w:b/>
                <w:bCs/>
                <w:lang w:val="fr-FR"/>
              </w:rPr>
              <w:t>Num</w:t>
            </w:r>
            <w:proofErr w:type="spellEnd"/>
            <w:r w:rsidRPr="008764AA">
              <w:rPr>
                <w:rFonts w:asciiTheme="majorBidi" w:hAnsiTheme="majorBidi" w:cstheme="majorBidi"/>
                <w:b/>
                <w:bCs/>
                <w:lang w:val="fr-FR"/>
              </w:rPr>
              <w:t xml:space="preserve">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0,421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0,761</w:t>
            </w:r>
          </w:p>
        </w:tc>
      </w:tr>
      <w:tr w:rsidR="00E772DD" w:rsidRPr="008764AA" w:rsidTr="00AE378F">
        <w:tc>
          <w:tcPr>
            <w:tcW w:w="0" w:type="auto"/>
            <w:shd w:val="clear" w:color="auto" w:fill="D8DCD1"/>
            <w:hideMark/>
          </w:tcPr>
          <w:p w:rsidR="00E772DD" w:rsidRPr="008764AA" w:rsidRDefault="00E772DD" w:rsidP="005C76DF">
            <w:pPr>
              <w:spacing w:after="240" w:line="360" w:lineRule="auto"/>
              <w:jc w:val="both"/>
              <w:rPr>
                <w:rFonts w:asciiTheme="majorBidi" w:hAnsiTheme="majorBidi" w:cstheme="majorBidi"/>
                <w:b/>
                <w:bCs/>
                <w:lang w:val="fr-FR"/>
              </w:rPr>
            </w:pPr>
            <w:proofErr w:type="spellStart"/>
            <w:r w:rsidRPr="008764AA">
              <w:rPr>
                <w:rFonts w:asciiTheme="majorBidi" w:hAnsiTheme="majorBidi" w:cstheme="majorBidi"/>
                <w:b/>
                <w:bCs/>
                <w:lang w:val="fr-FR"/>
              </w:rPr>
              <w:t>PerfRH</w:t>
            </w:r>
            <w:proofErr w:type="spellEnd"/>
            <w:r w:rsidRPr="008764AA">
              <w:rPr>
                <w:rFonts w:asciiTheme="majorBidi" w:hAnsiTheme="majorBidi" w:cstheme="majorBidi"/>
                <w:b/>
                <w:bCs/>
                <w:lang w:val="fr-FR"/>
              </w:rPr>
              <w:t xml:space="preserve">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0,703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0</w:t>
            </w:r>
            <w:r>
              <w:rPr>
                <w:rFonts w:asciiTheme="majorBidi" w:hAnsiTheme="majorBidi" w:cstheme="majorBidi"/>
                <w:lang w:val="fr-FR"/>
              </w:rPr>
              <w:t>,</w:t>
            </w:r>
            <w:r w:rsidRPr="008764AA">
              <w:rPr>
                <w:rFonts w:asciiTheme="majorBidi" w:hAnsiTheme="majorBidi" w:cstheme="majorBidi"/>
                <w:lang w:val="fr-FR"/>
              </w:rPr>
              <w:t>672</w:t>
            </w:r>
          </w:p>
        </w:tc>
      </w:tr>
      <w:tr w:rsidR="00E772DD" w:rsidRPr="008764AA" w:rsidTr="00AE378F">
        <w:tc>
          <w:tcPr>
            <w:tcW w:w="0" w:type="auto"/>
            <w:shd w:val="clear" w:color="auto" w:fill="D8DCD1"/>
            <w:hideMark/>
          </w:tcPr>
          <w:p w:rsidR="00E772DD" w:rsidRPr="008764AA" w:rsidRDefault="00E772DD" w:rsidP="005C76DF">
            <w:pPr>
              <w:spacing w:after="240" w:line="360" w:lineRule="auto"/>
              <w:jc w:val="both"/>
              <w:rPr>
                <w:rFonts w:asciiTheme="majorBidi" w:hAnsiTheme="majorBidi" w:cstheme="majorBidi"/>
                <w:b/>
                <w:bCs/>
                <w:lang w:val="fr-FR"/>
              </w:rPr>
            </w:pPr>
            <w:proofErr w:type="spellStart"/>
            <w:r w:rsidRPr="008764AA">
              <w:rPr>
                <w:rFonts w:asciiTheme="majorBidi" w:hAnsiTheme="majorBidi" w:cstheme="majorBidi"/>
                <w:b/>
                <w:bCs/>
                <w:lang w:val="fr-FR"/>
              </w:rPr>
              <w:t>ProFD</w:t>
            </w:r>
            <w:proofErr w:type="spellEnd"/>
            <w:r w:rsidRPr="008764AA">
              <w:rPr>
                <w:rFonts w:asciiTheme="majorBidi" w:hAnsiTheme="majorBidi" w:cstheme="majorBidi"/>
                <w:b/>
                <w:bCs/>
                <w:lang w:val="fr-FR"/>
              </w:rPr>
              <w:t xml:space="preserve">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0,290 </w:t>
            </w:r>
          </w:p>
        </w:tc>
        <w:tc>
          <w:tcPr>
            <w:tcW w:w="0" w:type="auto"/>
            <w:hideMark/>
          </w:tcPr>
          <w:p w:rsidR="00E772DD" w:rsidRPr="008764AA" w:rsidRDefault="00E772DD" w:rsidP="005C76DF">
            <w:pPr>
              <w:spacing w:after="240" w:line="360" w:lineRule="auto"/>
              <w:jc w:val="both"/>
              <w:rPr>
                <w:rFonts w:asciiTheme="majorBidi" w:hAnsiTheme="majorBidi" w:cstheme="majorBidi"/>
                <w:lang w:val="fr-FR"/>
              </w:rPr>
            </w:pPr>
            <w:r w:rsidRPr="008764AA">
              <w:rPr>
                <w:rFonts w:asciiTheme="majorBidi" w:hAnsiTheme="majorBidi" w:cstheme="majorBidi"/>
                <w:lang w:val="fr-FR"/>
              </w:rPr>
              <w:t>0</w:t>
            </w:r>
            <w:r>
              <w:rPr>
                <w:rFonts w:asciiTheme="majorBidi" w:hAnsiTheme="majorBidi" w:cstheme="majorBidi"/>
                <w:lang w:val="fr-FR"/>
              </w:rPr>
              <w:t>,</w:t>
            </w:r>
            <w:r w:rsidRPr="008764AA">
              <w:rPr>
                <w:rFonts w:asciiTheme="majorBidi" w:hAnsiTheme="majorBidi" w:cstheme="majorBidi"/>
                <w:lang w:val="fr-FR"/>
              </w:rPr>
              <w:t>655</w:t>
            </w:r>
          </w:p>
        </w:tc>
      </w:tr>
      <w:tr w:rsidR="00E772DD" w:rsidRPr="008764AA" w:rsidTr="00AE378F">
        <w:tc>
          <w:tcPr>
            <w:tcW w:w="0" w:type="auto"/>
            <w:shd w:val="clear" w:color="auto" w:fill="D8DCD1"/>
            <w:hideMark/>
          </w:tcPr>
          <w:p w:rsidR="00E772DD" w:rsidRPr="008764AA" w:rsidRDefault="00E772DD" w:rsidP="008A783D">
            <w:pPr>
              <w:spacing w:after="240" w:line="360" w:lineRule="auto"/>
              <w:rPr>
                <w:rFonts w:asciiTheme="majorBidi" w:hAnsiTheme="majorBidi" w:cstheme="majorBidi"/>
                <w:b/>
                <w:bCs/>
                <w:lang w:val="fr-FR"/>
              </w:rPr>
            </w:pPr>
            <w:proofErr w:type="spellStart"/>
            <w:r w:rsidRPr="008764AA">
              <w:rPr>
                <w:rFonts w:asciiTheme="majorBidi" w:hAnsiTheme="majorBidi" w:cstheme="majorBidi"/>
                <w:b/>
                <w:bCs/>
                <w:lang w:val="fr-FR"/>
              </w:rPr>
              <w:t>ProRD</w:t>
            </w:r>
            <w:proofErr w:type="spellEnd"/>
          </w:p>
        </w:tc>
        <w:tc>
          <w:tcPr>
            <w:tcW w:w="0" w:type="auto"/>
            <w:hideMark/>
          </w:tcPr>
          <w:p w:rsidR="00E772DD" w:rsidRPr="008764AA" w:rsidRDefault="00E772DD" w:rsidP="008A783D">
            <w:pPr>
              <w:spacing w:after="240" w:line="360" w:lineRule="auto"/>
              <w:rPr>
                <w:rFonts w:asciiTheme="majorBidi" w:hAnsiTheme="majorBidi" w:cstheme="majorBidi"/>
                <w:lang w:val="fr-FR"/>
              </w:rPr>
            </w:pPr>
            <w:r w:rsidRPr="008764AA">
              <w:rPr>
                <w:rFonts w:asciiTheme="majorBidi" w:hAnsiTheme="majorBidi" w:cstheme="majorBidi"/>
                <w:lang w:val="fr-FR"/>
              </w:rPr>
              <w:t>0,625</w:t>
            </w:r>
          </w:p>
        </w:tc>
        <w:tc>
          <w:tcPr>
            <w:tcW w:w="0" w:type="auto"/>
            <w:hideMark/>
          </w:tcPr>
          <w:p w:rsidR="00E772DD" w:rsidRPr="008764AA" w:rsidRDefault="00E772DD" w:rsidP="008A783D">
            <w:pPr>
              <w:spacing w:after="240" w:line="360" w:lineRule="auto"/>
              <w:rPr>
                <w:rFonts w:asciiTheme="majorBidi" w:hAnsiTheme="majorBidi" w:cstheme="majorBidi"/>
                <w:lang w:val="fr-FR"/>
              </w:rPr>
            </w:pPr>
            <w:r w:rsidRPr="008764AA">
              <w:rPr>
                <w:rFonts w:asciiTheme="majorBidi" w:hAnsiTheme="majorBidi" w:cstheme="majorBidi"/>
                <w:lang w:val="fr-FR"/>
              </w:rPr>
              <w:t>0,688</w:t>
            </w:r>
          </w:p>
        </w:tc>
      </w:tr>
      <w:tr w:rsidR="00E772DD" w:rsidRPr="008764AA" w:rsidTr="008A783D">
        <w:trPr>
          <w:gridBefore w:val="1"/>
          <w:trHeight w:val="100"/>
        </w:trPr>
        <w:tc>
          <w:tcPr>
            <w:tcW w:w="2953" w:type="dxa"/>
            <w:vAlign w:val="center"/>
          </w:tcPr>
          <w:p w:rsidR="00E772DD" w:rsidRPr="008764AA" w:rsidRDefault="00E772DD" w:rsidP="008A783D">
            <w:pPr>
              <w:spacing w:after="240" w:line="360" w:lineRule="auto"/>
              <w:rPr>
                <w:rFonts w:asciiTheme="majorBidi" w:hAnsiTheme="majorBidi" w:cstheme="majorBidi"/>
                <w:lang w:val="fr-FR"/>
              </w:rPr>
            </w:pPr>
            <w:r w:rsidRPr="008764AA">
              <w:rPr>
                <w:rFonts w:asciiTheme="majorBidi" w:hAnsiTheme="majorBidi" w:cstheme="majorBidi"/>
                <w:lang w:val="fr-FR"/>
              </w:rPr>
              <w:t>0,438</w:t>
            </w:r>
          </w:p>
        </w:tc>
        <w:tc>
          <w:tcPr>
            <w:tcW w:w="4941" w:type="dxa"/>
          </w:tcPr>
          <w:p w:rsidR="00E772DD" w:rsidRPr="008764AA" w:rsidRDefault="00E772DD" w:rsidP="008A783D">
            <w:pPr>
              <w:spacing w:after="240" w:line="360" w:lineRule="auto"/>
              <w:rPr>
                <w:rFonts w:asciiTheme="majorBidi" w:hAnsiTheme="majorBidi" w:cstheme="majorBidi"/>
                <w:lang w:val="fr-FR"/>
              </w:rPr>
            </w:pPr>
            <w:r w:rsidRPr="008764AA">
              <w:rPr>
                <w:rFonts w:asciiTheme="majorBidi" w:hAnsiTheme="majorBidi" w:cstheme="majorBidi"/>
                <w:lang w:val="fr-FR"/>
              </w:rPr>
              <w:t>0,705</w:t>
            </w:r>
          </w:p>
        </w:tc>
      </w:tr>
    </w:tbl>
    <w:p w:rsidR="00E772DD" w:rsidRPr="008764AA" w:rsidRDefault="00E772DD" w:rsidP="004B5568">
      <w:pPr>
        <w:rPr>
          <w:b/>
          <w:bCs/>
          <w:sz w:val="18"/>
          <w:szCs w:val="18"/>
          <w:lang w:val="fr-FR"/>
        </w:rPr>
      </w:pPr>
    </w:p>
    <w:p w:rsidR="00E772DD" w:rsidRPr="008764AA" w:rsidRDefault="00E772DD" w:rsidP="000A11CD">
      <w:pPr>
        <w:spacing w:line="360" w:lineRule="auto"/>
        <w:jc w:val="center"/>
        <w:rPr>
          <w:lang w:val="fr-FR"/>
        </w:rPr>
      </w:pPr>
      <w:r w:rsidRPr="008764AA">
        <w:rPr>
          <w:b/>
          <w:bCs/>
          <w:lang w:val="fr-FR"/>
        </w:rPr>
        <w:t>Source :</w:t>
      </w:r>
      <w:r w:rsidRPr="008764AA">
        <w:rPr>
          <w:lang w:val="fr-FR"/>
        </w:rPr>
        <w:t xml:space="preserve"> Préparé par nous même à partir des documents du programme SmartPLS4</w:t>
      </w:r>
    </w:p>
    <w:p w:rsidR="00E772DD" w:rsidRPr="008764AA" w:rsidRDefault="00E772DD" w:rsidP="000E046B">
      <w:pPr>
        <w:spacing w:line="360" w:lineRule="auto"/>
        <w:rPr>
          <w:lang w:val="fr-FR"/>
        </w:rPr>
      </w:pPr>
      <w:r w:rsidRPr="008764AA">
        <w:rPr>
          <w:lang w:val="fr-FR"/>
        </w:rPr>
        <w:t>L'indice (GOF) est calculé à travers l'application de la loi suivante :</w:t>
      </w:r>
    </w:p>
    <w:p w:rsidR="00E772DD" w:rsidRPr="008764AA" w:rsidRDefault="00E772DD" w:rsidP="000E046B">
      <w:pPr>
        <w:rPr>
          <w:b/>
          <w:bCs/>
          <w:sz w:val="18"/>
          <w:szCs w:val="18"/>
          <w:lang w:val="fr-FR"/>
        </w:rPr>
      </w:pPr>
      <m:oMathPara>
        <m:oMathParaPr>
          <m:jc m:val="left"/>
        </m:oMathParaPr>
        <m:oMath>
          <m:r>
            <m:rPr>
              <m:sty m:val="bi"/>
            </m:rPr>
            <w:rPr>
              <w:rFonts w:ascii="Cambria Math" w:hAnsi="Cambria Math"/>
              <w:lang w:val="fr-FR"/>
            </w:rPr>
            <m:t xml:space="preserve">GOF = </m:t>
          </m:r>
          <m:rad>
            <m:radPr>
              <m:degHide m:val="1"/>
              <m:ctrlPr>
                <w:rPr>
                  <w:rFonts w:ascii="Cambria Math" w:hAnsi="Cambria Math"/>
                  <w:b/>
                  <w:bCs/>
                  <w:i/>
                  <w:lang w:val="fr-FR"/>
                </w:rPr>
              </m:ctrlPr>
            </m:radPr>
            <m:deg/>
            <m:e>
              <m:acc>
                <m:accPr>
                  <m:chr m:val="̅"/>
                  <m:ctrlPr>
                    <w:rPr>
                      <w:rFonts w:ascii="Cambria Math" w:hAnsi="Cambria Math"/>
                      <w:b/>
                      <w:bCs/>
                      <w:i/>
                      <w:lang w:val="fr-FR"/>
                    </w:rPr>
                  </m:ctrlPr>
                </m:accPr>
                <m:e>
                  <m:r>
                    <m:rPr>
                      <m:sty m:val="bi"/>
                    </m:rPr>
                    <w:rPr>
                      <w:rFonts w:ascii="Cambria Math" w:hAnsi="Cambria Math"/>
                      <w:lang w:val="fr-FR"/>
                    </w:rPr>
                    <m:t>AVE</m:t>
                  </m:r>
                </m:e>
              </m:acc>
              <m:r>
                <m:rPr>
                  <m:sty m:val="bi"/>
                </m:rPr>
                <w:rPr>
                  <w:rFonts w:ascii="Cambria Math" w:hAnsi="Cambria Math"/>
                  <w:lang w:val="fr-FR"/>
                </w:rPr>
                <m:t xml:space="preserve"> × </m:t>
              </m:r>
              <m:acc>
                <m:accPr>
                  <m:chr m:val="̅"/>
                  <m:ctrlPr>
                    <w:rPr>
                      <w:rFonts w:ascii="Cambria Math" w:hAnsi="Cambria Math"/>
                      <w:b/>
                      <w:bCs/>
                      <w:i/>
                      <w:lang w:val="fr-FR"/>
                    </w:rPr>
                  </m:ctrlPr>
                </m:accPr>
                <m:e>
                  <m:sSup>
                    <m:sSupPr>
                      <m:ctrlPr>
                        <w:rPr>
                          <w:rFonts w:ascii="Cambria Math" w:hAnsi="Cambria Math"/>
                          <w:b/>
                          <w:bCs/>
                          <w:i/>
                          <w:lang w:val="fr-FR"/>
                        </w:rPr>
                      </m:ctrlPr>
                    </m:sSupPr>
                    <m:e>
                      <m:r>
                        <m:rPr>
                          <m:sty m:val="bi"/>
                        </m:rPr>
                        <w:rPr>
                          <w:rFonts w:ascii="Cambria Math" w:hAnsi="Cambria Math"/>
                          <w:lang w:val="fr-FR"/>
                        </w:rPr>
                        <m:t>R</m:t>
                      </m:r>
                    </m:e>
                    <m:sup>
                      <m:r>
                        <m:rPr>
                          <m:sty m:val="bi"/>
                        </m:rPr>
                        <w:rPr>
                          <w:rFonts w:ascii="Cambria Math" w:hAnsi="Cambria Math"/>
                          <w:lang w:val="fr-FR"/>
                        </w:rPr>
                        <m:t>2</m:t>
                      </m:r>
                    </m:sup>
                  </m:sSup>
                </m:e>
              </m:acc>
            </m:e>
          </m:rad>
        </m:oMath>
      </m:oMathPara>
    </w:p>
    <w:p w:rsidR="00E772DD" w:rsidRPr="008764AA" w:rsidRDefault="00E772DD" w:rsidP="000E046B">
      <w:pPr>
        <w:rPr>
          <w:b/>
          <w:bCs/>
          <w:sz w:val="18"/>
          <w:szCs w:val="18"/>
          <w:lang w:val="fr-FR"/>
        </w:rPr>
      </w:pPr>
      <m:oMathPara>
        <m:oMathParaPr>
          <m:jc m:val="left"/>
        </m:oMathParaPr>
        <m:oMath>
          <m:r>
            <m:rPr>
              <m:sty m:val="bi"/>
            </m:rPr>
            <w:rPr>
              <w:rFonts w:ascii="Cambria Math" w:hAnsi="Cambria Math"/>
              <w:lang w:val="fr-FR"/>
            </w:rPr>
            <m:t>GOF=</m:t>
          </m:r>
          <m:rad>
            <m:radPr>
              <m:degHide m:val="1"/>
              <m:ctrlPr>
                <w:rPr>
                  <w:rFonts w:ascii="Cambria Math" w:hAnsi="Cambria Math"/>
                  <w:b/>
                  <w:bCs/>
                  <w:i/>
                  <w:lang w:val="fr-FR"/>
                </w:rPr>
              </m:ctrlPr>
            </m:radPr>
            <m:deg/>
            <m:e>
              <m:r>
                <m:rPr>
                  <m:sty m:val="bi"/>
                </m:rPr>
                <w:rPr>
                  <w:rFonts w:ascii="Cambria Math" w:hAnsi="Cambria Math"/>
                  <w:lang w:val="fr-FR"/>
                </w:rPr>
                <m:t>0,438×0,705</m:t>
              </m:r>
            </m:e>
          </m:rad>
          <m:r>
            <m:rPr>
              <m:sty m:val="bi"/>
            </m:rPr>
            <w:rPr>
              <w:rFonts w:ascii="Cambria Math" w:hAnsi="Cambria Math"/>
              <w:lang w:val="fr-FR"/>
            </w:rPr>
            <m:t xml:space="preserve">           </m:t>
          </m:r>
        </m:oMath>
      </m:oMathPara>
    </w:p>
    <w:p w:rsidR="00E772DD" w:rsidRPr="008764AA" w:rsidRDefault="00E772DD" w:rsidP="00773FFD">
      <w:pPr>
        <w:spacing w:after="240"/>
        <w:rPr>
          <w:b/>
          <w:bCs/>
          <w:lang w:val="fr-FR"/>
        </w:rPr>
      </w:pPr>
      <m:oMathPara>
        <m:oMathParaPr>
          <m:jc m:val="left"/>
        </m:oMathParaPr>
        <m:oMath>
          <m:r>
            <m:rPr>
              <m:sty m:val="bi"/>
            </m:rPr>
            <w:rPr>
              <w:rFonts w:ascii="Cambria Math" w:hAnsi="Cambria Math"/>
              <w:lang w:val="fr-FR"/>
            </w:rPr>
            <m:t xml:space="preserve"> GOF=0,5557</m:t>
          </m:r>
        </m:oMath>
      </m:oMathPara>
    </w:p>
    <w:p w:rsidR="00A73794" w:rsidRPr="009832B3" w:rsidRDefault="00E772DD" w:rsidP="009832B3">
      <w:pPr>
        <w:spacing w:line="360" w:lineRule="auto"/>
      </w:pPr>
      <w:r w:rsidRPr="00B527A6">
        <w:t>La valeur obtenue pour l’indice GOF, soit 0,</w:t>
      </w:r>
      <w:r w:rsidRPr="00226CE1">
        <w:rPr>
          <w:lang w:val="fr-FR"/>
        </w:rPr>
        <w:t xml:space="preserve">5557 </w:t>
      </w:r>
      <w:r w:rsidRPr="00B527A6">
        <w:t>, étant supérieure au seuil de 0,36, permet de conclure que le modèle étudié présente un niveau de qualité élevé.</w:t>
      </w:r>
    </w:p>
    <w:p w:rsidR="00E772DD" w:rsidRPr="009B4086" w:rsidRDefault="00E772DD" w:rsidP="004D32AC">
      <w:pPr>
        <w:pStyle w:val="Titre3"/>
        <w:numPr>
          <w:ilvl w:val="0"/>
          <w:numId w:val="193"/>
        </w:numPr>
        <w:spacing w:after="0" w:afterAutospacing="0" w:line="360" w:lineRule="auto"/>
        <w:rPr>
          <w:sz w:val="24"/>
          <w:szCs w:val="24"/>
        </w:rPr>
      </w:pPr>
      <w:bookmarkStart w:id="2226" w:name="_Toc199714562"/>
      <w:bookmarkStart w:id="2227" w:name="_Toc200486838"/>
      <w:bookmarkStart w:id="2228" w:name="_Toc200635616"/>
      <w:bookmarkStart w:id="2229" w:name="_Toc200636004"/>
      <w:bookmarkStart w:id="2230" w:name="_Toc200636393"/>
      <w:bookmarkStart w:id="2231" w:name="_Toc200756134"/>
      <w:r w:rsidRPr="009B4086">
        <w:rPr>
          <w:sz w:val="24"/>
          <w:szCs w:val="24"/>
        </w:rPr>
        <w:t>Analyse descriptive sociodémographique des interrogés</w:t>
      </w:r>
      <w:bookmarkEnd w:id="2226"/>
      <w:bookmarkEnd w:id="2227"/>
      <w:bookmarkEnd w:id="2228"/>
      <w:bookmarkEnd w:id="2229"/>
      <w:bookmarkEnd w:id="2230"/>
      <w:bookmarkEnd w:id="2231"/>
    </w:p>
    <w:p w:rsidR="00E772DD" w:rsidRPr="00A53242" w:rsidRDefault="00E772DD" w:rsidP="004D32AC">
      <w:pPr>
        <w:pStyle w:val="Titre3"/>
        <w:numPr>
          <w:ilvl w:val="2"/>
          <w:numId w:val="190"/>
        </w:numPr>
        <w:spacing w:before="0" w:beforeAutospacing="0" w:after="0" w:afterAutospacing="0" w:line="360" w:lineRule="auto"/>
        <w:rPr>
          <w:color w:val="18191B"/>
          <w:sz w:val="24"/>
          <w:szCs w:val="24"/>
          <w:lang w:val="fr-FR"/>
        </w:rPr>
      </w:pPr>
      <w:bookmarkStart w:id="2232" w:name="_Toc199714563"/>
      <w:bookmarkStart w:id="2233" w:name="_Toc200486839"/>
      <w:bookmarkStart w:id="2234" w:name="_Toc200635617"/>
      <w:bookmarkStart w:id="2235" w:name="_Toc200636005"/>
      <w:bookmarkStart w:id="2236" w:name="_Toc200636394"/>
      <w:bookmarkStart w:id="2237" w:name="_Toc200756135"/>
      <w:r w:rsidRPr="00A53242">
        <w:rPr>
          <w:sz w:val="24"/>
          <w:szCs w:val="24"/>
          <w:lang w:val="fr-FR"/>
        </w:rPr>
        <w:t>Niveau de digitalisation RH dans l’entreprise</w:t>
      </w:r>
      <w:bookmarkEnd w:id="2232"/>
      <w:bookmarkEnd w:id="2233"/>
      <w:bookmarkEnd w:id="2234"/>
      <w:bookmarkEnd w:id="2235"/>
      <w:bookmarkEnd w:id="2236"/>
      <w:bookmarkEnd w:id="2237"/>
    </w:p>
    <w:p w:rsidR="00E772DD" w:rsidRPr="008764AA" w:rsidRDefault="00E772DD" w:rsidP="00E762EA">
      <w:pPr>
        <w:spacing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 xml:space="preserve">Dans cette partie du questionnaire, l'objectif est de comprendre l'impact de la digitalisation au sein des entreprises. La première question portera sur l'utilisation d'outils numériques dans les activités de l’entreprise. Si l'entreprise utilise des outils numériques, il sera demandé de préciser </w:t>
      </w:r>
      <w:r w:rsidRPr="008764AA">
        <w:rPr>
          <w:rFonts w:asciiTheme="majorBidi" w:hAnsiTheme="majorBidi" w:cstheme="majorBidi"/>
          <w:color w:val="000000"/>
          <w:lang w:val="fr-FR"/>
        </w:rPr>
        <w:lastRenderedPageBreak/>
        <w:t>quels outils sont employés et depuis combien d'années ces solutions sont en place. Ces informations permettront d'analyser l'évolution et l'intégration de la digitalisation dans l'organisation.</w:t>
      </w:r>
    </w:p>
    <w:p w:rsidR="00E772DD" w:rsidRPr="008764AA" w:rsidRDefault="00E772DD" w:rsidP="004D32AC">
      <w:pPr>
        <w:pStyle w:val="Paragraphedeliste"/>
        <w:numPr>
          <w:ilvl w:val="0"/>
          <w:numId w:val="136"/>
        </w:numPr>
        <w:autoSpaceDE w:val="0"/>
        <w:autoSpaceDN w:val="0"/>
        <w:adjustRightInd w:val="0"/>
        <w:spacing w:after="240" w:line="360" w:lineRule="auto"/>
        <w:jc w:val="both"/>
        <w:rPr>
          <w:rFonts w:asciiTheme="majorBidi" w:hAnsiTheme="majorBidi" w:cstheme="majorBidi"/>
          <w:b/>
          <w:bCs/>
          <w:color w:val="0C0C0C"/>
        </w:rPr>
      </w:pPr>
      <w:r w:rsidRPr="008764AA">
        <w:rPr>
          <w:rFonts w:asciiTheme="majorBidi" w:hAnsiTheme="majorBidi" w:cstheme="majorBidi"/>
          <w:b/>
          <w:bCs/>
          <w:color w:val="0C0C0C"/>
        </w:rPr>
        <w:t>Votre entreprise utilise-t-elle actuellement des outils numériques pour la gestion des ressources humaines ?</w:t>
      </w:r>
    </w:p>
    <w:p w:rsidR="00E772DD" w:rsidRPr="008764AA" w:rsidRDefault="00E772DD" w:rsidP="00E762EA">
      <w:pPr>
        <w:spacing w:after="240" w:line="360" w:lineRule="auto"/>
        <w:jc w:val="center"/>
        <w:rPr>
          <w:b/>
          <w:bCs/>
          <w:color w:val="0C0C0C"/>
          <w:lang w:val="fr-FR"/>
        </w:rPr>
      </w:pPr>
      <w:r w:rsidRPr="008764AA">
        <w:rPr>
          <w:b/>
          <w:bCs/>
          <w:color w:val="18191B"/>
          <w:lang w:val="fr-FR"/>
        </w:rPr>
        <w:t>Tableau</w:t>
      </w:r>
      <w:r>
        <w:rPr>
          <w:b/>
          <w:bCs/>
          <w:color w:val="18191B"/>
          <w:lang w:val="fr-FR"/>
        </w:rPr>
        <w:t xml:space="preserve"> N°20</w:t>
      </w:r>
      <w:r w:rsidRPr="008764AA">
        <w:rPr>
          <w:b/>
          <w:bCs/>
          <w:color w:val="18191B"/>
          <w:lang w:val="fr-FR"/>
        </w:rPr>
        <w:t xml:space="preserve"> : </w:t>
      </w:r>
      <w:r w:rsidRPr="004239BC">
        <w:rPr>
          <w:color w:val="18191B"/>
          <w:lang w:val="fr-FR"/>
        </w:rPr>
        <w:t>Répartition de l’échantillon selon la question 1</w:t>
      </w:r>
      <w:r>
        <w:rPr>
          <w:color w:val="18191B"/>
          <w:lang w:val="fr-FR"/>
        </w:rPr>
        <w:t xml:space="preserve"> du questionnaire</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p>
        </w:tc>
        <w:tc>
          <w:tcPr>
            <w:tcW w:w="3005" w:type="dxa"/>
            <w:shd w:val="clear" w:color="auto" w:fill="D8DCD1"/>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Fréquence</w:t>
            </w:r>
          </w:p>
        </w:tc>
        <w:tc>
          <w:tcPr>
            <w:tcW w:w="3006" w:type="dxa"/>
            <w:shd w:val="clear" w:color="auto" w:fill="D8DCD1"/>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Pourcentage (%)</w:t>
            </w:r>
          </w:p>
        </w:tc>
      </w:tr>
      <w:tr w:rsidR="00E772DD" w:rsidRPr="008764AA" w:rsidTr="00AE378F">
        <w:tc>
          <w:tcPr>
            <w:tcW w:w="3005" w:type="dxa"/>
            <w:shd w:val="clear" w:color="auto" w:fill="D8DCD1"/>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Oui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170</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89,5</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Non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20</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10,5</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Total</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190</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100</w:t>
            </w:r>
          </w:p>
        </w:tc>
      </w:tr>
    </w:tbl>
    <w:p w:rsidR="00A73794" w:rsidRPr="00A73794" w:rsidRDefault="00E772DD" w:rsidP="00A73794">
      <w:pPr>
        <w:spacing w:after="240" w:line="360" w:lineRule="auto"/>
        <w:jc w:val="center"/>
        <w:rPr>
          <w:rFonts w:asciiTheme="majorBidi" w:hAnsiTheme="majorBidi" w:cstheme="majorBidi"/>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A73794" w:rsidRDefault="00E772DD" w:rsidP="00A73794">
      <w:pPr>
        <w:spacing w:line="360" w:lineRule="auto"/>
        <w:jc w:val="center"/>
        <w:rPr>
          <w:color w:val="18191B"/>
          <w:lang w:val="fr-FR"/>
        </w:rPr>
      </w:pPr>
      <w:r w:rsidRPr="008764AA">
        <w:rPr>
          <w:b/>
          <w:bCs/>
          <w:color w:val="18191B"/>
          <w:lang w:val="fr-FR"/>
        </w:rPr>
        <w:t>Figure</w:t>
      </w:r>
      <w:r>
        <w:rPr>
          <w:b/>
          <w:bCs/>
          <w:color w:val="18191B"/>
          <w:lang w:val="fr-FR"/>
        </w:rPr>
        <w:t xml:space="preserve"> N°36</w:t>
      </w:r>
      <w:r w:rsidRPr="008764AA">
        <w:rPr>
          <w:b/>
          <w:bCs/>
          <w:color w:val="18191B"/>
          <w:lang w:val="fr-FR"/>
        </w:rPr>
        <w:t xml:space="preserve"> : </w:t>
      </w:r>
      <w:r w:rsidRPr="004239BC">
        <w:rPr>
          <w:color w:val="18191B"/>
          <w:lang w:val="fr-FR"/>
        </w:rPr>
        <w:t>Représentation graphique de l'échantillon selon la question 1</w:t>
      </w:r>
      <w:r>
        <w:rPr>
          <w:color w:val="18191B"/>
          <w:lang w:val="fr-FR"/>
        </w:rPr>
        <w:t xml:space="preserve"> du questionnaire</w:t>
      </w:r>
      <w:r w:rsidR="00A73794">
        <w:rPr>
          <w:noProof/>
          <w14:ligatures w14:val="standardContextual"/>
        </w:rPr>
        <w:drawing>
          <wp:inline distT="0" distB="0" distL="0" distR="0" wp14:anchorId="5D8CEC89" wp14:editId="025B31D8">
            <wp:extent cx="3854324" cy="2992581"/>
            <wp:effectExtent l="0" t="0" r="0" b="5080"/>
            <wp:docPr id="44894974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49742" name="Image 448949742"/>
                    <pic:cNvPicPr/>
                  </pic:nvPicPr>
                  <pic:blipFill rotWithShape="1">
                    <a:blip r:embed="rId119" cstate="print">
                      <a:extLst>
                        <a:ext uri="{28A0092B-C50C-407E-A947-70E740481C1C}">
                          <a14:useLocalDpi xmlns:a14="http://schemas.microsoft.com/office/drawing/2010/main" val="0"/>
                        </a:ext>
                      </a:extLst>
                    </a:blip>
                    <a:srcRect l="29018" t="25528" r="30167" b="9905"/>
                    <a:stretch/>
                  </pic:blipFill>
                  <pic:spPr bwMode="auto">
                    <a:xfrm>
                      <a:off x="0" y="0"/>
                      <a:ext cx="3936443" cy="3056340"/>
                    </a:xfrm>
                    <a:prstGeom prst="rect">
                      <a:avLst/>
                    </a:prstGeom>
                    <a:ln>
                      <a:noFill/>
                    </a:ln>
                    <a:extLst>
                      <a:ext uri="{53640926-AAD7-44D8-BBD7-CCE9431645EC}">
                        <a14:shadowObscured xmlns:a14="http://schemas.microsoft.com/office/drawing/2010/main"/>
                      </a:ext>
                    </a:extLst>
                  </pic:spPr>
                </pic:pic>
              </a:graphicData>
            </a:graphic>
          </wp:inline>
        </w:drawing>
      </w:r>
    </w:p>
    <w:p w:rsidR="00E772DD" w:rsidRDefault="00E772DD" w:rsidP="00E762EA">
      <w:pPr>
        <w:spacing w:after="240" w:line="360" w:lineRule="auto"/>
        <w:jc w:val="center"/>
        <w:rPr>
          <w:color w:val="0C0C0C"/>
          <w:lang w:val="fr-FR"/>
        </w:rPr>
      </w:pPr>
      <w:r w:rsidRPr="00A43935">
        <w:rPr>
          <w:b/>
          <w:bCs/>
          <w:color w:val="0C0C0C"/>
          <w:lang w:val="fr-FR"/>
        </w:rPr>
        <w:t>Source :</w:t>
      </w:r>
      <w:r>
        <w:rPr>
          <w:color w:val="0C0C0C"/>
          <w:lang w:val="fr-FR"/>
        </w:rPr>
        <w:t xml:space="preserve"> Résultats de l’étude - Anaconda (</w:t>
      </w:r>
      <w:proofErr w:type="spellStart"/>
      <w:r>
        <w:rPr>
          <w:color w:val="0C0C0C"/>
          <w:lang w:val="fr-FR"/>
        </w:rPr>
        <w:t>Jupyter</w:t>
      </w:r>
      <w:proofErr w:type="spellEnd"/>
      <w:r>
        <w:rPr>
          <w:color w:val="0C0C0C"/>
          <w:lang w:val="fr-FR"/>
        </w:rPr>
        <w:t xml:space="preserve">) - 2025 </w:t>
      </w:r>
    </w:p>
    <w:p w:rsidR="00E772DD" w:rsidRPr="00A73794" w:rsidRDefault="00E772DD" w:rsidP="008F38E9">
      <w:pPr>
        <w:pStyle w:val="NormalWeb"/>
        <w:spacing w:after="0" w:afterAutospacing="0" w:line="360" w:lineRule="auto"/>
        <w:jc w:val="both"/>
        <w:rPr>
          <w:b/>
          <w:bCs/>
          <w:color w:val="000000"/>
        </w:rPr>
      </w:pPr>
      <w:r w:rsidRPr="00A73794">
        <w:rPr>
          <w:rStyle w:val="lev"/>
          <w:b w:val="0"/>
          <w:bCs w:val="0"/>
          <w:color w:val="000000"/>
        </w:rPr>
        <w:t xml:space="preserve">Cette question de filtrage a été posée aux répondants afin d’assurer la pertinence des réponses dans le cadre d’une étude centrée sur la digitalisation des processus RH. Sur les 190 questionnaires collectés, 170 répondants (soit 89,5 %) ont indiqué que leur entreprise recourt </w:t>
      </w:r>
      <w:r w:rsidRPr="00A73794">
        <w:rPr>
          <w:rStyle w:val="lev"/>
          <w:b w:val="0"/>
          <w:bCs w:val="0"/>
          <w:color w:val="000000"/>
        </w:rPr>
        <w:lastRenderedPageBreak/>
        <w:t>effectivement à des outils numériques pour la gestion des ressources humaines, contre 20 répondants (10,5 %) dont l’entreprise n’en utilise pas.</w:t>
      </w:r>
    </w:p>
    <w:p w:rsidR="00A73794" w:rsidRPr="00A73794" w:rsidRDefault="00E772DD" w:rsidP="00A73794">
      <w:pPr>
        <w:pStyle w:val="NormalWeb"/>
        <w:spacing w:before="0" w:beforeAutospacing="0" w:line="360" w:lineRule="auto"/>
        <w:jc w:val="both"/>
        <w:rPr>
          <w:color w:val="000000"/>
        </w:rPr>
      </w:pPr>
      <w:r w:rsidRPr="00A73794">
        <w:rPr>
          <w:rStyle w:val="lev"/>
          <w:b w:val="0"/>
          <w:bCs w:val="0"/>
          <w:color w:val="000000"/>
        </w:rPr>
        <w:t>Conformément à l’objectif de la recherche, seuls les questionnaires provenant d’entreprises engagées dans une démarche de digitalisation RH ont été retenus pour l’analyse. Par conséquent, les 20 réponses ne répondant pas à ce critère ont été écartées. L’échantillon final exploité dans cette étude se compose donc de 170 répondants, garantissant ainsi la cohérence avec la problématique et les hypothèses formulées.</w:t>
      </w:r>
    </w:p>
    <w:p w:rsidR="00E772DD" w:rsidRPr="008764AA" w:rsidRDefault="00E772DD" w:rsidP="004D32AC">
      <w:pPr>
        <w:pStyle w:val="PrformatHTML"/>
        <w:numPr>
          <w:ilvl w:val="0"/>
          <w:numId w:val="137"/>
        </w:numPr>
        <w:wordWrap w:val="0"/>
        <w:spacing w:line="360" w:lineRule="auto"/>
        <w:rPr>
          <w:rFonts w:asciiTheme="majorBidi" w:hAnsiTheme="majorBidi" w:cstheme="majorBidi"/>
          <w:b/>
          <w:bCs/>
          <w:sz w:val="24"/>
          <w:szCs w:val="24"/>
          <w:lang w:val="fr-FR"/>
        </w:rPr>
      </w:pPr>
      <w:r w:rsidRPr="008764AA">
        <w:rPr>
          <w:rFonts w:asciiTheme="majorBidi" w:hAnsiTheme="majorBidi" w:cstheme="majorBidi"/>
          <w:b/>
          <w:bCs/>
          <w:sz w:val="24"/>
          <w:szCs w:val="24"/>
          <w:lang w:val="fr-FR"/>
        </w:rPr>
        <w:t>Si oui, lesquels ?</w:t>
      </w:r>
    </w:p>
    <w:p w:rsidR="00E772DD" w:rsidRPr="008764AA" w:rsidRDefault="00E772DD" w:rsidP="00A73794">
      <w:pPr>
        <w:pStyle w:val="PrformatHTML"/>
        <w:wordWrap w:val="0"/>
        <w:spacing w:after="240" w:line="360" w:lineRule="auto"/>
        <w:rPr>
          <w:rFonts w:asciiTheme="majorBidi" w:hAnsiTheme="majorBidi" w:cstheme="majorBidi"/>
          <w:sz w:val="24"/>
          <w:szCs w:val="24"/>
          <w:lang w:val="fr-FR"/>
        </w:rPr>
      </w:pPr>
      <w:r w:rsidRPr="008764AA">
        <w:rPr>
          <w:rFonts w:asciiTheme="majorBidi" w:hAnsiTheme="majorBidi" w:cstheme="majorBidi"/>
          <w:color w:val="18191B"/>
          <w:sz w:val="24"/>
          <w:szCs w:val="24"/>
          <w:lang w:val="fr-FR"/>
        </w:rPr>
        <w:t>Cette question à choix multiple contient 10 choix possibles:</w:t>
      </w:r>
    </w:p>
    <w:p w:rsidR="00E772DD" w:rsidRPr="008764AA" w:rsidRDefault="00E772DD" w:rsidP="00E762EA">
      <w:pPr>
        <w:spacing w:line="360" w:lineRule="auto"/>
        <w:jc w:val="center"/>
        <w:rPr>
          <w:rFonts w:asciiTheme="majorBidi" w:hAnsiTheme="majorBidi" w:cstheme="majorBidi"/>
          <w:color w:val="000000"/>
          <w:lang w:val="fr-FR"/>
        </w:rPr>
      </w:pPr>
      <w:r w:rsidRPr="008764AA">
        <w:rPr>
          <w:rFonts w:asciiTheme="majorBidi" w:hAnsiTheme="majorBidi" w:cstheme="majorBidi"/>
          <w:b/>
          <w:bCs/>
          <w:color w:val="000000"/>
          <w:lang w:val="fr-FR"/>
        </w:rPr>
        <w:t>Tableau</w:t>
      </w:r>
      <w:r>
        <w:rPr>
          <w:rFonts w:asciiTheme="majorBidi" w:hAnsiTheme="majorBidi" w:cstheme="majorBidi"/>
          <w:b/>
          <w:bCs/>
          <w:color w:val="000000"/>
          <w:lang w:val="fr-FR"/>
        </w:rPr>
        <w:t xml:space="preserve"> N°21</w:t>
      </w:r>
      <w:r w:rsidRPr="008764AA">
        <w:rPr>
          <w:rFonts w:asciiTheme="majorBidi" w:hAnsiTheme="majorBidi" w:cstheme="majorBidi"/>
          <w:b/>
          <w:bCs/>
          <w:color w:val="000000"/>
          <w:lang w:val="fr-FR"/>
        </w:rPr>
        <w:t xml:space="preserve"> : </w:t>
      </w:r>
      <w:r w:rsidRPr="004239BC">
        <w:rPr>
          <w:rFonts w:asciiTheme="majorBidi" w:hAnsiTheme="majorBidi" w:cstheme="majorBidi"/>
          <w:color w:val="000000"/>
          <w:lang w:val="fr-FR"/>
        </w:rPr>
        <w:t xml:space="preserve">Répartition de l’échantillon selon la question </w:t>
      </w:r>
      <w:r>
        <w:rPr>
          <w:rFonts w:asciiTheme="majorBidi" w:hAnsiTheme="majorBidi" w:cstheme="majorBidi"/>
          <w:color w:val="000000"/>
          <w:lang w:val="fr-FR"/>
        </w:rPr>
        <w:t>2 du questionnaire</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p>
        </w:tc>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Fréquence</w:t>
            </w:r>
          </w:p>
        </w:tc>
        <w:tc>
          <w:tcPr>
            <w:tcW w:w="3006"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Pourcentage</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Sites de recrutement (comme </w:t>
            </w:r>
            <w:proofErr w:type="spellStart"/>
            <w:r w:rsidRPr="008764AA">
              <w:rPr>
                <w:rFonts w:asciiTheme="majorBidi" w:hAnsiTheme="majorBidi" w:cstheme="majorBidi"/>
                <w:lang w:val="fr-FR"/>
              </w:rPr>
              <w:t>Emploitic</w:t>
            </w:r>
            <w:proofErr w:type="spellEnd"/>
            <w:r w:rsidRPr="008764AA">
              <w:rPr>
                <w:rFonts w:asciiTheme="majorBidi" w:hAnsiTheme="majorBidi" w:cstheme="majorBidi"/>
                <w:lang w:val="fr-FR"/>
              </w:rPr>
              <w:t xml:space="preserve">, </w:t>
            </w:r>
            <w:proofErr w:type="spellStart"/>
            <w:r w:rsidRPr="008764AA">
              <w:rPr>
                <w:rFonts w:asciiTheme="majorBidi" w:hAnsiTheme="majorBidi" w:cstheme="majorBidi"/>
                <w:lang w:val="fr-FR"/>
              </w:rPr>
              <w:t>Triemploi</w:t>
            </w:r>
            <w:proofErr w:type="spellEnd"/>
            <w:r w:rsidRPr="008764AA">
              <w:rPr>
                <w:rFonts w:asciiTheme="majorBidi" w:hAnsiTheme="majorBidi" w:cstheme="majorBidi"/>
                <w:lang w:val="fr-FR"/>
              </w:rPr>
              <w:t xml:space="preserve"> )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82</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48,24</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Système d'information RH (SIRH)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82</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48,24</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ERP (comme Odoo, Oracle)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77</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45,29</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SAP</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77</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45,29</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ATS (Système de suivi des candidatures)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69</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40,59</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LinkedIn</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67</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39,41</w:t>
            </w:r>
          </w:p>
        </w:tc>
      </w:tr>
      <w:tr w:rsidR="00E772DD" w:rsidRPr="008764AA" w:rsidTr="00AE378F">
        <w:tc>
          <w:tcPr>
            <w:tcW w:w="3005" w:type="dxa"/>
            <w:shd w:val="clear" w:color="auto" w:fill="D8DCD1"/>
          </w:tcPr>
          <w:p w:rsidR="00E772DD" w:rsidRPr="008764AA" w:rsidRDefault="00E772DD" w:rsidP="00183C75">
            <w:pPr>
              <w:spacing w:after="240" w:line="360" w:lineRule="auto"/>
              <w:rPr>
                <w:rFonts w:asciiTheme="majorBidi" w:hAnsiTheme="majorBidi" w:cstheme="majorBidi"/>
                <w:lang w:val="fr-FR"/>
              </w:rPr>
            </w:pPr>
            <w:r w:rsidRPr="008764AA">
              <w:rPr>
                <w:rFonts w:asciiTheme="majorBidi" w:hAnsiTheme="majorBidi" w:cstheme="majorBidi"/>
                <w:lang w:val="fr-FR"/>
              </w:rPr>
              <w:t xml:space="preserve">Entretien en visioconférence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51</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30</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Plateforme de e-learning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44</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25,88</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Outils de suivi des compétences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33</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19,41</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lastRenderedPageBreak/>
              <w:t xml:space="preserve">Webinaires / Formations en ligne                </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30</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17,56</w:t>
            </w:r>
          </w:p>
        </w:tc>
      </w:tr>
      <w:tr w:rsidR="00E772DD" w:rsidRPr="008764AA" w:rsidTr="00AE378F">
        <w:tc>
          <w:tcPr>
            <w:tcW w:w="3005"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Total</w:t>
            </w:r>
          </w:p>
        </w:tc>
        <w:tc>
          <w:tcPr>
            <w:tcW w:w="3005"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612</w:t>
            </w:r>
          </w:p>
        </w:tc>
        <w:tc>
          <w:tcPr>
            <w:tcW w:w="3006" w:type="dxa"/>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358,22</w:t>
            </w:r>
          </w:p>
        </w:tc>
      </w:tr>
    </w:tbl>
    <w:p w:rsidR="00E772DD" w:rsidRPr="008764AA" w:rsidRDefault="00E772DD" w:rsidP="00E762EA">
      <w:pPr>
        <w:spacing w:after="240" w:line="360" w:lineRule="auto"/>
        <w:jc w:val="center"/>
        <w:rPr>
          <w:rFonts w:asciiTheme="majorBidi" w:hAnsiTheme="majorBidi" w:cstheme="majorBidi"/>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E772DD" w:rsidRPr="008764AA" w:rsidRDefault="00E772DD" w:rsidP="00E762EA">
      <w:pPr>
        <w:spacing w:after="240" w:line="360" w:lineRule="auto"/>
        <w:jc w:val="both"/>
        <w:rPr>
          <w:rFonts w:asciiTheme="majorBidi" w:hAnsiTheme="majorBidi" w:cstheme="majorBidi"/>
          <w:color w:val="000000"/>
          <w:lang w:val="fr-FR"/>
        </w:rPr>
      </w:pPr>
      <w:r w:rsidRPr="008764AA">
        <w:rPr>
          <w:rFonts w:asciiTheme="majorBidi" w:hAnsiTheme="majorBidi" w:cstheme="majorBidi"/>
          <w:color w:val="000000"/>
          <w:lang w:val="fr-FR"/>
        </w:rPr>
        <w:t xml:space="preserve">Selon les résultats du tableau, on observe que 48,24 % des répondants ont utilisé des sites de recrutement (comme </w:t>
      </w:r>
      <w:proofErr w:type="spellStart"/>
      <w:r w:rsidRPr="008764AA">
        <w:rPr>
          <w:rFonts w:asciiTheme="majorBidi" w:hAnsiTheme="majorBidi" w:cstheme="majorBidi"/>
          <w:color w:val="000000"/>
          <w:lang w:val="fr-FR"/>
        </w:rPr>
        <w:t>Emploitic</w:t>
      </w:r>
      <w:proofErr w:type="spellEnd"/>
      <w:r w:rsidRPr="008764AA">
        <w:rPr>
          <w:rFonts w:asciiTheme="majorBidi" w:hAnsiTheme="majorBidi" w:cstheme="majorBidi"/>
          <w:color w:val="000000"/>
          <w:lang w:val="fr-FR"/>
        </w:rPr>
        <w:t xml:space="preserve"> et </w:t>
      </w:r>
      <w:proofErr w:type="spellStart"/>
      <w:r w:rsidRPr="008764AA">
        <w:rPr>
          <w:rFonts w:asciiTheme="majorBidi" w:hAnsiTheme="majorBidi" w:cstheme="majorBidi"/>
          <w:color w:val="000000"/>
          <w:lang w:val="fr-FR"/>
        </w:rPr>
        <w:t>Triemploi</w:t>
      </w:r>
      <w:proofErr w:type="spellEnd"/>
      <w:r w:rsidRPr="008764AA">
        <w:rPr>
          <w:rFonts w:asciiTheme="majorBidi" w:hAnsiTheme="majorBidi" w:cstheme="majorBidi"/>
          <w:color w:val="000000"/>
          <w:lang w:val="fr-FR"/>
        </w:rPr>
        <w:t>) ainsi que des systèmes d'information RH (SIRH). L'ERP, tel que Odoo ou Oracle, ainsi que SAP, arrivent en troisième position, avec respectivement 45,29 %. Ensuite, 40,59 % des répondants ont opté pour des systèmes de suivi des candidatures (ATS), tandis que 39,41 % utilisent LinkedIn. Les entretiens en visioconférence ont été choisis par 30 % des répondants, tandis que 25,88 % ont recours à des plateformes de e-learning. Les outils de suivi des compétences et les webinaires/formations en ligne sont utilisés par 19,41 % et 17,56 % des répondants, respectivement. Ces résultats indiquent que les entreprises privilégient principalement les outils numériques et les plateformes spécialisées pour le recrutement et la gestion des ressources humaines, en mettant l’accent sur l’efficacité et l’accessibilité des solutions.</w:t>
      </w:r>
    </w:p>
    <w:p w:rsidR="00E772DD" w:rsidRPr="008764AA" w:rsidRDefault="00E772DD" w:rsidP="004D32AC">
      <w:pPr>
        <w:pStyle w:val="NormalWeb"/>
        <w:numPr>
          <w:ilvl w:val="0"/>
          <w:numId w:val="137"/>
        </w:numPr>
        <w:spacing w:before="0" w:beforeAutospacing="0" w:after="0" w:afterAutospacing="0" w:line="360" w:lineRule="auto"/>
        <w:rPr>
          <w:rFonts w:asciiTheme="majorBidi" w:hAnsiTheme="majorBidi" w:cstheme="majorBidi"/>
          <w:b/>
          <w:bCs/>
          <w:color w:val="202124"/>
          <w:lang w:val="fr-FR"/>
        </w:rPr>
      </w:pPr>
      <w:r w:rsidRPr="008764AA">
        <w:rPr>
          <w:rFonts w:asciiTheme="majorBidi" w:hAnsiTheme="majorBidi" w:cstheme="majorBidi"/>
          <w:b/>
          <w:bCs/>
          <w:color w:val="202124"/>
          <w:lang w:val="fr-FR"/>
        </w:rPr>
        <w:t>Depuis combien d’années votre entreprise utilise-t-elle ces outils digitaux RH ?</w:t>
      </w:r>
    </w:p>
    <w:p w:rsidR="00E772DD" w:rsidRPr="004239BC" w:rsidRDefault="00E772DD" w:rsidP="00E762EA">
      <w:pPr>
        <w:spacing w:line="360" w:lineRule="auto"/>
        <w:ind w:left="360"/>
        <w:jc w:val="center"/>
        <w:rPr>
          <w:rFonts w:asciiTheme="majorBidi" w:hAnsiTheme="majorBidi" w:cstheme="majorBidi"/>
          <w:lang w:val="fr-FR"/>
        </w:rPr>
      </w:pPr>
      <w:r w:rsidRPr="008764AA">
        <w:rPr>
          <w:rFonts w:asciiTheme="majorBidi" w:hAnsiTheme="majorBidi" w:cstheme="majorBidi"/>
          <w:b/>
          <w:bCs/>
          <w:lang w:val="fr-FR"/>
        </w:rPr>
        <w:t>Tableau</w:t>
      </w:r>
      <w:r>
        <w:rPr>
          <w:rFonts w:asciiTheme="majorBidi" w:hAnsiTheme="majorBidi" w:cstheme="majorBidi"/>
          <w:b/>
          <w:bCs/>
          <w:lang w:val="fr-FR"/>
        </w:rPr>
        <w:t xml:space="preserve"> N°22</w:t>
      </w:r>
      <w:r w:rsidRPr="008764AA">
        <w:rPr>
          <w:rFonts w:asciiTheme="majorBidi" w:hAnsiTheme="majorBidi" w:cstheme="majorBidi"/>
          <w:b/>
          <w:bCs/>
          <w:lang w:val="fr-FR"/>
        </w:rPr>
        <w:t xml:space="preserve"> : </w:t>
      </w:r>
      <w:r w:rsidRPr="004239BC">
        <w:rPr>
          <w:rFonts w:asciiTheme="majorBidi" w:hAnsiTheme="majorBidi" w:cstheme="majorBidi"/>
          <w:lang w:val="fr-FR"/>
        </w:rPr>
        <w:t xml:space="preserve">Répartition de l’échantillon selon la question </w:t>
      </w:r>
      <w:r>
        <w:rPr>
          <w:rFonts w:asciiTheme="majorBidi" w:hAnsiTheme="majorBidi" w:cstheme="majorBidi"/>
          <w:lang w:val="fr-FR"/>
        </w:rPr>
        <w:t>3 du questionnaire</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rPr>
          <w:trHeight w:val="442"/>
        </w:trPr>
        <w:tc>
          <w:tcPr>
            <w:tcW w:w="3005" w:type="dxa"/>
            <w:shd w:val="clear" w:color="auto" w:fill="D8DCD1"/>
          </w:tcPr>
          <w:p w:rsidR="00E772DD" w:rsidRPr="008764AA" w:rsidRDefault="00E772DD" w:rsidP="00183C75">
            <w:pPr>
              <w:spacing w:line="360" w:lineRule="auto"/>
              <w:rPr>
                <w:rFonts w:asciiTheme="majorBidi" w:hAnsiTheme="majorBidi" w:cstheme="majorBidi"/>
                <w:lang w:val="fr-FR"/>
              </w:rPr>
            </w:pPr>
          </w:p>
        </w:tc>
        <w:tc>
          <w:tcPr>
            <w:tcW w:w="3005" w:type="dxa"/>
            <w:shd w:val="clear" w:color="auto" w:fill="D8DCD1"/>
          </w:tcPr>
          <w:p w:rsidR="00E772DD" w:rsidRPr="008764AA" w:rsidRDefault="00E772DD" w:rsidP="00183C75">
            <w:pPr>
              <w:spacing w:line="360" w:lineRule="auto"/>
              <w:rPr>
                <w:rFonts w:asciiTheme="majorBidi" w:hAnsiTheme="majorBidi" w:cstheme="majorBidi"/>
                <w:lang w:val="fr-FR"/>
              </w:rPr>
            </w:pPr>
            <w:r w:rsidRPr="008764AA">
              <w:rPr>
                <w:rFonts w:asciiTheme="majorBidi" w:hAnsiTheme="majorBidi" w:cstheme="majorBidi"/>
                <w:lang w:val="fr-FR"/>
              </w:rPr>
              <w:t>Fréquence</w:t>
            </w:r>
          </w:p>
        </w:tc>
        <w:tc>
          <w:tcPr>
            <w:tcW w:w="3006" w:type="dxa"/>
            <w:shd w:val="clear" w:color="auto" w:fill="D8DCD1"/>
          </w:tcPr>
          <w:p w:rsidR="00E772DD" w:rsidRPr="008764AA" w:rsidRDefault="00E772DD" w:rsidP="00183C75">
            <w:pPr>
              <w:spacing w:after="240" w:line="360" w:lineRule="auto"/>
              <w:jc w:val="both"/>
              <w:rPr>
                <w:rFonts w:asciiTheme="majorBidi" w:hAnsiTheme="majorBidi" w:cstheme="majorBidi"/>
                <w:lang w:val="fr-FR"/>
              </w:rPr>
            </w:pPr>
            <w:r w:rsidRPr="008764AA">
              <w:rPr>
                <w:rFonts w:asciiTheme="majorBidi" w:hAnsiTheme="majorBidi" w:cstheme="majorBidi"/>
                <w:lang w:val="fr-FR"/>
              </w:rPr>
              <w:t>Pourcentage</w:t>
            </w:r>
          </w:p>
        </w:tc>
      </w:tr>
      <w:tr w:rsidR="00E772DD" w:rsidRPr="008764AA" w:rsidTr="00AE378F">
        <w:tc>
          <w:tcPr>
            <w:tcW w:w="3005" w:type="dxa"/>
            <w:shd w:val="clear" w:color="auto" w:fill="D8DCD1"/>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Moins de 1 an </w:t>
            </w:r>
          </w:p>
        </w:tc>
        <w:tc>
          <w:tcPr>
            <w:tcW w:w="3005" w:type="dxa"/>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78 </w:t>
            </w:r>
          </w:p>
        </w:tc>
        <w:tc>
          <w:tcPr>
            <w:tcW w:w="3006" w:type="dxa"/>
          </w:tcPr>
          <w:p w:rsidR="00E772DD" w:rsidRPr="008764AA" w:rsidRDefault="00E772DD" w:rsidP="00183C75">
            <w:pPr>
              <w:spacing w:line="360" w:lineRule="auto"/>
              <w:rPr>
                <w:rFonts w:asciiTheme="majorBidi" w:hAnsiTheme="majorBidi" w:cstheme="majorBidi"/>
                <w:lang w:val="fr-FR"/>
              </w:rPr>
            </w:pPr>
            <w:r w:rsidRPr="008764AA">
              <w:rPr>
                <w:rFonts w:asciiTheme="majorBidi" w:hAnsiTheme="majorBidi" w:cstheme="majorBidi"/>
                <w:lang w:val="fr-FR"/>
              </w:rPr>
              <w:t>45,9</w:t>
            </w:r>
          </w:p>
        </w:tc>
      </w:tr>
      <w:tr w:rsidR="00E772DD" w:rsidRPr="008764AA" w:rsidTr="00AE378F">
        <w:tc>
          <w:tcPr>
            <w:tcW w:w="3005" w:type="dxa"/>
            <w:shd w:val="clear" w:color="auto" w:fill="D8DCD1"/>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Entre 1 et 3 ans </w:t>
            </w:r>
          </w:p>
        </w:tc>
        <w:tc>
          <w:tcPr>
            <w:tcW w:w="3005" w:type="dxa"/>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69 </w:t>
            </w:r>
          </w:p>
        </w:tc>
        <w:tc>
          <w:tcPr>
            <w:tcW w:w="3006" w:type="dxa"/>
          </w:tcPr>
          <w:p w:rsidR="00E772DD" w:rsidRPr="008764AA" w:rsidRDefault="00E772DD" w:rsidP="00183C75">
            <w:pPr>
              <w:spacing w:line="360" w:lineRule="auto"/>
              <w:rPr>
                <w:rFonts w:asciiTheme="majorBidi" w:hAnsiTheme="majorBidi" w:cstheme="majorBidi"/>
                <w:lang w:val="fr-FR"/>
              </w:rPr>
            </w:pPr>
            <w:r w:rsidRPr="008764AA">
              <w:rPr>
                <w:rFonts w:asciiTheme="majorBidi" w:hAnsiTheme="majorBidi" w:cstheme="majorBidi"/>
                <w:lang w:val="fr-FR"/>
              </w:rPr>
              <w:t>40,6</w:t>
            </w:r>
          </w:p>
        </w:tc>
      </w:tr>
      <w:tr w:rsidR="00E772DD" w:rsidRPr="008764AA" w:rsidTr="00AE378F">
        <w:tc>
          <w:tcPr>
            <w:tcW w:w="3005" w:type="dxa"/>
            <w:shd w:val="clear" w:color="auto" w:fill="D8DCD1"/>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Plus de 3 ans  </w:t>
            </w:r>
          </w:p>
        </w:tc>
        <w:tc>
          <w:tcPr>
            <w:tcW w:w="3005" w:type="dxa"/>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23 </w:t>
            </w:r>
          </w:p>
        </w:tc>
        <w:tc>
          <w:tcPr>
            <w:tcW w:w="3006" w:type="dxa"/>
          </w:tcPr>
          <w:p w:rsidR="00E772DD" w:rsidRPr="008764AA" w:rsidRDefault="00E772DD" w:rsidP="00183C75">
            <w:pPr>
              <w:spacing w:line="360" w:lineRule="auto"/>
              <w:rPr>
                <w:rFonts w:asciiTheme="majorBidi" w:hAnsiTheme="majorBidi" w:cstheme="majorBidi"/>
                <w:lang w:val="fr-FR"/>
              </w:rPr>
            </w:pPr>
            <w:r w:rsidRPr="008764AA">
              <w:rPr>
                <w:rFonts w:asciiTheme="majorBidi" w:hAnsiTheme="majorBidi" w:cstheme="majorBidi"/>
                <w:lang w:val="fr-FR"/>
              </w:rPr>
              <w:t>13,5</w:t>
            </w:r>
          </w:p>
        </w:tc>
      </w:tr>
      <w:tr w:rsidR="00E772DD" w:rsidRPr="008764AA" w:rsidTr="00AE378F">
        <w:trPr>
          <w:trHeight w:val="66"/>
        </w:trPr>
        <w:tc>
          <w:tcPr>
            <w:tcW w:w="3005" w:type="dxa"/>
            <w:shd w:val="clear" w:color="auto" w:fill="D8DCD1"/>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Total </w:t>
            </w:r>
          </w:p>
        </w:tc>
        <w:tc>
          <w:tcPr>
            <w:tcW w:w="3005" w:type="dxa"/>
          </w:tcPr>
          <w:p w:rsidR="00E772DD" w:rsidRPr="008764AA" w:rsidRDefault="00E772DD" w:rsidP="00183C75">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170</w:t>
            </w:r>
          </w:p>
        </w:tc>
        <w:tc>
          <w:tcPr>
            <w:tcW w:w="3006" w:type="dxa"/>
          </w:tcPr>
          <w:p w:rsidR="00E772DD" w:rsidRPr="008764AA" w:rsidRDefault="00E772DD" w:rsidP="00183C75">
            <w:pPr>
              <w:spacing w:line="360" w:lineRule="auto"/>
              <w:rPr>
                <w:rFonts w:asciiTheme="majorBidi" w:hAnsiTheme="majorBidi" w:cstheme="majorBidi"/>
                <w:lang w:val="fr-FR"/>
              </w:rPr>
            </w:pPr>
            <w:r w:rsidRPr="008764AA">
              <w:rPr>
                <w:rFonts w:asciiTheme="majorBidi" w:hAnsiTheme="majorBidi" w:cstheme="majorBidi"/>
                <w:lang w:val="fr-FR"/>
              </w:rPr>
              <w:t>100</w:t>
            </w:r>
          </w:p>
        </w:tc>
      </w:tr>
    </w:tbl>
    <w:p w:rsidR="00E772DD" w:rsidRDefault="00E772DD" w:rsidP="00E762EA">
      <w:pPr>
        <w:spacing w:after="240" w:line="360" w:lineRule="auto"/>
        <w:jc w:val="center"/>
        <w:rPr>
          <w:rFonts w:asciiTheme="majorBidi" w:hAnsiTheme="majorBidi" w:cstheme="majorBidi"/>
          <w:b/>
          <w:bCs/>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A73794" w:rsidRDefault="00A73794" w:rsidP="00E762EA">
      <w:pPr>
        <w:spacing w:after="240" w:line="360" w:lineRule="auto"/>
        <w:jc w:val="center"/>
        <w:rPr>
          <w:rFonts w:asciiTheme="majorBidi" w:hAnsiTheme="majorBidi" w:cstheme="majorBidi"/>
          <w:b/>
          <w:bCs/>
          <w:color w:val="0C0C0C"/>
          <w:lang w:val="fr-FR"/>
        </w:rPr>
      </w:pPr>
    </w:p>
    <w:p w:rsidR="00A73794" w:rsidRDefault="00A73794" w:rsidP="00E762EA">
      <w:pPr>
        <w:spacing w:after="240" w:line="360" w:lineRule="auto"/>
        <w:jc w:val="center"/>
        <w:rPr>
          <w:rFonts w:asciiTheme="majorBidi" w:hAnsiTheme="majorBidi" w:cstheme="majorBidi"/>
          <w:b/>
          <w:bCs/>
          <w:color w:val="0C0C0C"/>
          <w:lang w:val="fr-FR"/>
        </w:rPr>
      </w:pPr>
    </w:p>
    <w:p w:rsidR="00E406C6" w:rsidRDefault="00E406C6" w:rsidP="00E762EA">
      <w:pPr>
        <w:spacing w:after="240" w:line="360" w:lineRule="auto"/>
        <w:jc w:val="center"/>
        <w:rPr>
          <w:rFonts w:asciiTheme="majorBidi" w:hAnsiTheme="majorBidi" w:cstheme="majorBidi"/>
          <w:b/>
          <w:bCs/>
          <w:color w:val="0C0C0C"/>
          <w:lang w:val="fr-FR"/>
        </w:rPr>
      </w:pPr>
    </w:p>
    <w:p w:rsidR="00A73794" w:rsidRPr="008764AA" w:rsidRDefault="00A73794" w:rsidP="00E762EA">
      <w:pPr>
        <w:spacing w:after="240" w:line="360" w:lineRule="auto"/>
        <w:jc w:val="center"/>
        <w:rPr>
          <w:rFonts w:asciiTheme="majorBidi" w:hAnsiTheme="majorBidi" w:cstheme="majorBidi"/>
          <w:color w:val="0C0C0C"/>
          <w:lang w:val="fr-FR"/>
        </w:rPr>
      </w:pPr>
    </w:p>
    <w:p w:rsidR="00E772DD" w:rsidRPr="00A73794" w:rsidRDefault="00E772DD" w:rsidP="00A73794">
      <w:pPr>
        <w:spacing w:line="360" w:lineRule="auto"/>
        <w:jc w:val="center"/>
        <w:rPr>
          <w:color w:val="18191B"/>
          <w:lang w:val="fr-FR"/>
        </w:rPr>
      </w:pPr>
      <w:r w:rsidRPr="008764AA">
        <w:rPr>
          <w:b/>
          <w:bCs/>
          <w:color w:val="18191B"/>
          <w:lang w:val="fr-FR"/>
        </w:rPr>
        <w:lastRenderedPageBreak/>
        <w:t>Figure</w:t>
      </w:r>
      <w:r>
        <w:rPr>
          <w:b/>
          <w:bCs/>
          <w:color w:val="18191B"/>
          <w:lang w:val="fr-FR"/>
        </w:rPr>
        <w:t xml:space="preserve"> N°37</w:t>
      </w:r>
      <w:r w:rsidRPr="008764AA">
        <w:rPr>
          <w:b/>
          <w:bCs/>
          <w:color w:val="18191B"/>
          <w:lang w:val="fr-FR"/>
        </w:rPr>
        <w:t xml:space="preserve"> : </w:t>
      </w:r>
      <w:r w:rsidRPr="004239BC">
        <w:rPr>
          <w:color w:val="18191B"/>
          <w:lang w:val="fr-FR"/>
        </w:rPr>
        <w:t xml:space="preserve">Représentation graphique de l'échantillon selon la question </w:t>
      </w:r>
      <w:r>
        <w:rPr>
          <w:color w:val="18191B"/>
          <w:lang w:val="fr-FR"/>
        </w:rPr>
        <w:t>3 du questionnaire</w:t>
      </w:r>
      <w:r w:rsidRPr="008764AA">
        <w:rPr>
          <w:lang w:val="fr-FR"/>
        </w:rPr>
        <w:fldChar w:fldCharType="begin"/>
      </w:r>
      <w:r w:rsidRPr="008764AA">
        <w:rPr>
          <w:lang w:val="fr-FR"/>
        </w:rPr>
        <w:instrText xml:space="preserve"> INCLUDEPICTURE "/Users/misha/Library/Group Containers/UBF8T346G9.ms/WebArchiveCopyPasteTempFiles/com.microsoft.Word/R+2lDV+bNVKfQAAAABJRU5ErkJggg==" \* MERGEFORMATINET </w:instrText>
      </w:r>
      <w:r w:rsidR="00000000">
        <w:rPr>
          <w:lang w:val="fr-FR"/>
        </w:rPr>
        <w:fldChar w:fldCharType="separate"/>
      </w:r>
      <w:r w:rsidRPr="008764AA">
        <w:rPr>
          <w:lang w:val="fr-FR"/>
        </w:rPr>
        <w:fldChar w:fldCharType="end"/>
      </w:r>
    </w:p>
    <w:p w:rsidR="00E772DD" w:rsidRDefault="00E772DD" w:rsidP="008F38E9">
      <w:pPr>
        <w:spacing w:after="240" w:line="360" w:lineRule="auto"/>
        <w:jc w:val="center"/>
        <w:rPr>
          <w:rFonts w:asciiTheme="majorBidi" w:hAnsiTheme="majorBidi" w:cstheme="majorBidi"/>
          <w:b/>
          <w:bCs/>
          <w:color w:val="0C0C0C"/>
          <w:lang w:val="fr-FR"/>
        </w:rPr>
      </w:pPr>
      <w:r>
        <w:fldChar w:fldCharType="begin"/>
      </w:r>
      <w:r>
        <w:instrText xml:space="preserve"> INCLUDEPICTURE "/Users/misha/Library/Group Containers/UBF8T346G9.ms/WebArchiveCopyPasteTempFiles/com.microsoft.Word/wNruBqO6SdibwAAAABJRU5ErkJggg==" \* MERGEFORMATINET </w:instrText>
      </w:r>
      <w:r>
        <w:fldChar w:fldCharType="separate"/>
      </w:r>
      <w:r>
        <w:rPr>
          <w:noProof/>
        </w:rPr>
        <w:drawing>
          <wp:inline distT="0" distB="0" distL="0" distR="0">
            <wp:extent cx="5731510" cy="3555365"/>
            <wp:effectExtent l="0" t="0" r="0" b="635"/>
            <wp:docPr id="18736400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31510" cy="3555365"/>
                    </a:xfrm>
                    <a:prstGeom prst="rect">
                      <a:avLst/>
                    </a:prstGeom>
                    <a:noFill/>
                    <a:ln>
                      <a:noFill/>
                    </a:ln>
                  </pic:spPr>
                </pic:pic>
              </a:graphicData>
            </a:graphic>
          </wp:inline>
        </w:drawing>
      </w:r>
      <w:r>
        <w:fldChar w:fldCharType="end"/>
      </w:r>
    </w:p>
    <w:p w:rsidR="00E772DD" w:rsidRPr="008764AA" w:rsidRDefault="00E772DD" w:rsidP="00E762EA">
      <w:pPr>
        <w:spacing w:after="240" w:line="360" w:lineRule="auto"/>
        <w:jc w:val="center"/>
        <w:rPr>
          <w:rFonts w:asciiTheme="majorBidi" w:hAnsiTheme="majorBidi" w:cstheme="majorBidi"/>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xml:space="preserve">) - 2025 </w:t>
      </w:r>
    </w:p>
    <w:p w:rsidR="00E772DD" w:rsidRPr="008764AA" w:rsidRDefault="00E772DD" w:rsidP="00E762EA">
      <w:pPr>
        <w:spacing w:line="360" w:lineRule="auto"/>
        <w:jc w:val="both"/>
        <w:rPr>
          <w:color w:val="000000"/>
          <w:lang w:val="fr-FR"/>
        </w:rPr>
      </w:pPr>
      <w:r w:rsidRPr="008764AA">
        <w:rPr>
          <w:color w:val="000000"/>
          <w:lang w:val="fr-FR"/>
        </w:rPr>
        <w:t>Le graphique montre que la majorité des entreprises interrogées utilisent les outils digitaux RH depuis peu de temps :</w:t>
      </w:r>
      <w:r w:rsidRPr="008764AA">
        <w:rPr>
          <w:rStyle w:val="apple-converted-space"/>
          <w:color w:val="000000"/>
          <w:lang w:val="fr-FR"/>
        </w:rPr>
        <w:t> </w:t>
      </w:r>
      <w:r w:rsidRPr="00A73794">
        <w:rPr>
          <w:rStyle w:val="lev"/>
          <w:b w:val="0"/>
          <w:bCs w:val="0"/>
          <w:color w:val="000000"/>
          <w:lang w:val="fr-FR"/>
        </w:rPr>
        <w:t>45,9%</w:t>
      </w:r>
      <w:r w:rsidRPr="00A73794">
        <w:rPr>
          <w:rStyle w:val="apple-converted-space"/>
          <w:b/>
          <w:bCs/>
          <w:color w:val="000000"/>
          <w:lang w:val="fr-FR"/>
        </w:rPr>
        <w:t> </w:t>
      </w:r>
      <w:r w:rsidRPr="008764AA">
        <w:rPr>
          <w:color w:val="000000"/>
          <w:lang w:val="fr-FR"/>
        </w:rPr>
        <w:t>depuis moins d’un an et</w:t>
      </w:r>
      <w:r w:rsidRPr="008764AA">
        <w:rPr>
          <w:rStyle w:val="apple-converted-space"/>
          <w:color w:val="000000"/>
          <w:lang w:val="fr-FR"/>
        </w:rPr>
        <w:t> </w:t>
      </w:r>
      <w:r w:rsidRPr="00A73794">
        <w:rPr>
          <w:rStyle w:val="lev"/>
          <w:b w:val="0"/>
          <w:bCs w:val="0"/>
          <w:color w:val="000000"/>
          <w:lang w:val="fr-FR"/>
        </w:rPr>
        <w:t>40,6%</w:t>
      </w:r>
      <w:r w:rsidRPr="008764AA">
        <w:rPr>
          <w:rStyle w:val="apple-converted-space"/>
          <w:color w:val="000000"/>
          <w:lang w:val="fr-FR"/>
        </w:rPr>
        <w:t> </w:t>
      </w:r>
      <w:r w:rsidRPr="008764AA">
        <w:rPr>
          <w:color w:val="000000"/>
          <w:lang w:val="fr-FR"/>
        </w:rPr>
        <w:t>entre 1 et 3 ans. Seules</w:t>
      </w:r>
      <w:r w:rsidRPr="008764AA">
        <w:rPr>
          <w:rStyle w:val="apple-converted-space"/>
          <w:color w:val="000000"/>
          <w:lang w:val="fr-FR"/>
        </w:rPr>
        <w:t> </w:t>
      </w:r>
      <w:r w:rsidRPr="00A73794">
        <w:rPr>
          <w:rStyle w:val="lev"/>
          <w:b w:val="0"/>
          <w:bCs w:val="0"/>
          <w:color w:val="000000"/>
          <w:lang w:val="fr-FR"/>
        </w:rPr>
        <w:t>13,5%</w:t>
      </w:r>
      <w:r w:rsidRPr="008764AA">
        <w:rPr>
          <w:rStyle w:val="apple-converted-space"/>
          <w:color w:val="000000"/>
          <w:lang w:val="fr-FR"/>
        </w:rPr>
        <w:t> </w:t>
      </w:r>
      <w:r w:rsidRPr="008764AA">
        <w:rPr>
          <w:color w:val="000000"/>
          <w:lang w:val="fr-FR"/>
        </w:rPr>
        <w:t xml:space="preserve">ont une ancienneté d’usage supérieure à trois ans.   </w:t>
      </w:r>
    </w:p>
    <w:p w:rsidR="00E772DD" w:rsidRPr="00E762EA" w:rsidRDefault="00E772DD" w:rsidP="00A73794">
      <w:pPr>
        <w:spacing w:after="240" w:line="360" w:lineRule="auto"/>
        <w:jc w:val="both"/>
        <w:rPr>
          <w:color w:val="000000"/>
          <w:lang w:val="fr-FR"/>
        </w:rPr>
      </w:pPr>
      <w:r w:rsidRPr="008764AA">
        <w:rPr>
          <w:color w:val="000000"/>
          <w:lang w:val="fr-FR"/>
        </w:rPr>
        <w:t>Cela révèle une</w:t>
      </w:r>
      <w:r w:rsidRPr="008764AA">
        <w:rPr>
          <w:rStyle w:val="apple-converted-space"/>
          <w:color w:val="000000"/>
          <w:lang w:val="fr-FR"/>
        </w:rPr>
        <w:t> </w:t>
      </w:r>
      <w:r w:rsidRPr="00A73794">
        <w:rPr>
          <w:rStyle w:val="lev"/>
          <w:b w:val="0"/>
          <w:bCs w:val="0"/>
          <w:color w:val="000000"/>
          <w:lang w:val="fr-FR"/>
        </w:rPr>
        <w:t>adoption récente mais croissante</w:t>
      </w:r>
      <w:r w:rsidRPr="00A73794">
        <w:rPr>
          <w:rStyle w:val="apple-converted-space"/>
          <w:b/>
          <w:bCs/>
          <w:color w:val="000000"/>
          <w:lang w:val="fr-FR"/>
        </w:rPr>
        <w:t> </w:t>
      </w:r>
      <w:r w:rsidRPr="008764AA">
        <w:rPr>
          <w:color w:val="000000"/>
          <w:lang w:val="fr-FR"/>
        </w:rPr>
        <w:t>de la digitalisation des processus RH, soulignant que ces outils sont encore</w:t>
      </w:r>
      <w:r w:rsidRPr="008764AA">
        <w:rPr>
          <w:rStyle w:val="apple-converted-space"/>
          <w:color w:val="000000"/>
          <w:lang w:val="fr-FR"/>
        </w:rPr>
        <w:t> </w:t>
      </w:r>
      <w:r w:rsidRPr="00A73794">
        <w:rPr>
          <w:rStyle w:val="lev"/>
          <w:b w:val="0"/>
          <w:bCs w:val="0"/>
          <w:color w:val="000000"/>
          <w:lang w:val="fr-FR"/>
        </w:rPr>
        <w:t>en phase de déploiement</w:t>
      </w:r>
      <w:r w:rsidRPr="008764AA">
        <w:rPr>
          <w:rStyle w:val="apple-converted-space"/>
          <w:color w:val="000000"/>
          <w:lang w:val="fr-FR"/>
        </w:rPr>
        <w:t> </w:t>
      </w:r>
      <w:r w:rsidRPr="008764AA">
        <w:rPr>
          <w:color w:val="000000"/>
          <w:lang w:val="fr-FR"/>
        </w:rPr>
        <w:t>dans de nombreuses entreprises.</w:t>
      </w:r>
    </w:p>
    <w:p w:rsidR="00E772DD" w:rsidRPr="00A53242" w:rsidRDefault="00E772DD" w:rsidP="004D32AC">
      <w:pPr>
        <w:pStyle w:val="Titre3"/>
        <w:numPr>
          <w:ilvl w:val="2"/>
          <w:numId w:val="190"/>
        </w:numPr>
        <w:spacing w:after="0" w:afterAutospacing="0" w:line="360" w:lineRule="auto"/>
        <w:rPr>
          <w:sz w:val="24"/>
          <w:szCs w:val="24"/>
          <w:lang w:val="fr-FR"/>
        </w:rPr>
      </w:pPr>
      <w:bookmarkStart w:id="2238" w:name="_Toc199714564"/>
      <w:bookmarkStart w:id="2239" w:name="_Toc200486840"/>
      <w:bookmarkStart w:id="2240" w:name="_Toc200635618"/>
      <w:bookmarkStart w:id="2241" w:name="_Toc200636006"/>
      <w:bookmarkStart w:id="2242" w:name="_Toc200636395"/>
      <w:bookmarkStart w:id="2243" w:name="_Toc200756136"/>
      <w:r w:rsidRPr="00A53242">
        <w:rPr>
          <w:sz w:val="24"/>
          <w:szCs w:val="24"/>
          <w:lang w:val="fr-FR"/>
        </w:rPr>
        <w:t>Profils des participants :</w:t>
      </w:r>
      <w:bookmarkEnd w:id="2238"/>
      <w:bookmarkEnd w:id="2239"/>
      <w:bookmarkEnd w:id="2240"/>
      <w:bookmarkEnd w:id="2241"/>
      <w:bookmarkEnd w:id="2242"/>
      <w:bookmarkEnd w:id="2243"/>
    </w:p>
    <w:p w:rsidR="00E772DD" w:rsidRPr="008764AA" w:rsidRDefault="00E772DD" w:rsidP="00E8065E">
      <w:pPr>
        <w:spacing w:after="240" w:line="360" w:lineRule="auto"/>
        <w:jc w:val="both"/>
        <w:rPr>
          <w:rFonts w:asciiTheme="majorBidi" w:hAnsiTheme="majorBidi" w:cstheme="majorBidi"/>
          <w:lang w:val="fr-FR"/>
        </w:rPr>
      </w:pPr>
      <w:r w:rsidRPr="008764AA">
        <w:rPr>
          <w:rFonts w:asciiTheme="majorBidi" w:hAnsiTheme="majorBidi" w:cstheme="majorBidi"/>
          <w:lang w:val="fr-FR"/>
        </w:rPr>
        <w:t>En interrogeant un panel diversifié de professionnels issus de multiples secteurs d’activité, nous visons à obtenir une vision globale et représentative de la population concernée par notre recherche. Cette approche nous permet d’analyser en profondeur l’influence de la créativité sur les stratégies de marketing innovantes ainsi que sur les mécanismes de différenciation organisationnelle. Les participants à cette étude présentent des profils variés, définis par des caractéristiques spécifiques, qui s’avèrent déterminantes pour la pertinence de notre analyse.</w:t>
      </w:r>
    </w:p>
    <w:p w:rsidR="00E772DD" w:rsidRPr="00A53242" w:rsidRDefault="00A53242" w:rsidP="004D32AC">
      <w:pPr>
        <w:pStyle w:val="Titre3"/>
        <w:numPr>
          <w:ilvl w:val="1"/>
          <w:numId w:val="20"/>
        </w:numPr>
        <w:spacing w:after="0" w:afterAutospacing="0" w:line="360" w:lineRule="auto"/>
        <w:rPr>
          <w:sz w:val="24"/>
          <w:szCs w:val="24"/>
          <w:lang w:val="fr-FR"/>
        </w:rPr>
      </w:pPr>
      <w:r>
        <w:rPr>
          <w:sz w:val="24"/>
          <w:szCs w:val="24"/>
          <w:lang w:val="fr-FR"/>
        </w:rPr>
        <w:t xml:space="preserve"> </w:t>
      </w:r>
      <w:bookmarkStart w:id="2244" w:name="_Toc199714565"/>
      <w:bookmarkStart w:id="2245" w:name="_Toc200486841"/>
      <w:bookmarkStart w:id="2246" w:name="_Toc200635619"/>
      <w:bookmarkStart w:id="2247" w:name="_Toc200636007"/>
      <w:bookmarkStart w:id="2248" w:name="_Toc200636396"/>
      <w:bookmarkStart w:id="2249" w:name="_Toc200756137"/>
      <w:r w:rsidR="00E772DD" w:rsidRPr="00A53242">
        <w:rPr>
          <w:sz w:val="24"/>
          <w:szCs w:val="24"/>
          <w:lang w:val="fr-FR"/>
        </w:rPr>
        <w:t>Le genre (sexe) :</w:t>
      </w:r>
      <w:bookmarkEnd w:id="2244"/>
      <w:bookmarkEnd w:id="2245"/>
      <w:bookmarkEnd w:id="2246"/>
      <w:bookmarkEnd w:id="2247"/>
      <w:bookmarkEnd w:id="2248"/>
      <w:bookmarkEnd w:id="2249"/>
    </w:p>
    <w:p w:rsidR="00E772DD" w:rsidRPr="008764AA" w:rsidRDefault="00E772DD" w:rsidP="000A11CD">
      <w:pPr>
        <w:spacing w:line="360" w:lineRule="auto"/>
        <w:jc w:val="both"/>
        <w:rPr>
          <w:rFonts w:asciiTheme="majorBidi" w:hAnsiTheme="majorBidi" w:cstheme="majorBidi"/>
          <w:lang w:val="fr-FR"/>
        </w:rPr>
      </w:pPr>
      <w:r w:rsidRPr="008764AA">
        <w:rPr>
          <w:rFonts w:asciiTheme="majorBidi" w:hAnsiTheme="majorBidi" w:cstheme="majorBidi"/>
          <w:color w:val="000000"/>
          <w:lang w:val="fr-FR"/>
        </w:rPr>
        <w:t xml:space="preserve">La première question de notre questionnaire a pour objectif de recueillir des données sur la répartition des genres au sein des répondants. Cette information démographique est essentielle </w:t>
      </w:r>
      <w:r w:rsidRPr="008764AA">
        <w:rPr>
          <w:rFonts w:asciiTheme="majorBidi" w:hAnsiTheme="majorBidi" w:cstheme="majorBidi"/>
          <w:color w:val="000000"/>
          <w:lang w:val="fr-FR"/>
        </w:rPr>
        <w:lastRenderedPageBreak/>
        <w:t>pour identifier la composition de notre échantillon selon le sexe. Elle nous permettra d’interpréter les résultats de manière plus précise, en intégrant cette variable significative dans notre analyse.</w:t>
      </w:r>
    </w:p>
    <w:p w:rsidR="00E772DD" w:rsidRPr="00381B81" w:rsidRDefault="00E772DD" w:rsidP="00315F3A">
      <w:pPr>
        <w:spacing w:after="240"/>
        <w:jc w:val="center"/>
        <w:rPr>
          <w:color w:val="0C0C0C"/>
          <w:lang w:val="fr-FR"/>
        </w:rPr>
      </w:pPr>
      <w:r w:rsidRPr="008764AA">
        <w:rPr>
          <w:b/>
          <w:bCs/>
          <w:color w:val="0C0C0C"/>
          <w:lang w:val="fr-FR"/>
        </w:rPr>
        <w:t>Tableau</w:t>
      </w:r>
      <w:r>
        <w:rPr>
          <w:b/>
          <w:bCs/>
          <w:color w:val="0C0C0C"/>
          <w:lang w:val="fr-FR"/>
        </w:rPr>
        <w:t xml:space="preserve"> N°23</w:t>
      </w:r>
      <w:r w:rsidRPr="008764AA">
        <w:rPr>
          <w:b/>
          <w:bCs/>
          <w:color w:val="0C0C0C"/>
          <w:lang w:val="fr-FR"/>
        </w:rPr>
        <w:t xml:space="preserve"> : </w:t>
      </w:r>
      <w:r w:rsidRPr="00381B81">
        <w:rPr>
          <w:color w:val="0C0C0C"/>
          <w:lang w:val="fr-FR"/>
        </w:rPr>
        <w:t>Répartition de l’échantillon selon le genre</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c>
          <w:tcPr>
            <w:tcW w:w="9016" w:type="dxa"/>
            <w:gridSpan w:val="3"/>
            <w:shd w:val="clear" w:color="auto" w:fill="D8DCD1"/>
          </w:tcPr>
          <w:p w:rsidR="00E772DD" w:rsidRPr="00AE378F"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rPr>
                <w:b/>
                <w:bCs/>
                <w:lang w:val="fr-FR"/>
              </w:rPr>
            </w:pPr>
            <w:r w:rsidRPr="00AE378F">
              <w:rPr>
                <w:b/>
                <w:bCs/>
                <w:lang w:val="fr-FR"/>
              </w:rPr>
              <w:t>Le sexe</w:t>
            </w:r>
          </w:p>
        </w:tc>
      </w:tr>
      <w:tr w:rsidR="00E772DD" w:rsidRPr="008764AA" w:rsidTr="008E200A">
        <w:tc>
          <w:tcPr>
            <w:tcW w:w="3005"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p>
        </w:tc>
        <w:tc>
          <w:tcPr>
            <w:tcW w:w="3005"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Fréquence</w:t>
            </w:r>
          </w:p>
        </w:tc>
        <w:tc>
          <w:tcPr>
            <w:tcW w:w="3006"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Pourcentage</w:t>
            </w:r>
          </w:p>
        </w:tc>
      </w:tr>
      <w:tr w:rsidR="00E772DD" w:rsidRPr="008764AA" w:rsidTr="008E200A">
        <w:tc>
          <w:tcPr>
            <w:tcW w:w="3005"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Homme</w:t>
            </w:r>
          </w:p>
        </w:tc>
        <w:tc>
          <w:tcPr>
            <w:tcW w:w="3005"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86</w:t>
            </w:r>
          </w:p>
        </w:tc>
        <w:tc>
          <w:tcPr>
            <w:tcW w:w="3006"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49</w:t>
            </w:r>
          </w:p>
        </w:tc>
      </w:tr>
      <w:tr w:rsidR="00E772DD" w:rsidRPr="008764AA" w:rsidTr="008E200A">
        <w:tc>
          <w:tcPr>
            <w:tcW w:w="3005"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Femme</w:t>
            </w:r>
          </w:p>
        </w:tc>
        <w:tc>
          <w:tcPr>
            <w:tcW w:w="3005"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84</w:t>
            </w:r>
          </w:p>
        </w:tc>
        <w:tc>
          <w:tcPr>
            <w:tcW w:w="3006"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51</w:t>
            </w:r>
          </w:p>
        </w:tc>
      </w:tr>
      <w:tr w:rsidR="00E772DD" w:rsidRPr="008764AA" w:rsidTr="008E200A">
        <w:tc>
          <w:tcPr>
            <w:tcW w:w="3005"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Total</w:t>
            </w:r>
          </w:p>
        </w:tc>
        <w:tc>
          <w:tcPr>
            <w:tcW w:w="3005"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170</w:t>
            </w:r>
          </w:p>
        </w:tc>
        <w:tc>
          <w:tcPr>
            <w:tcW w:w="3006" w:type="dxa"/>
          </w:tcPr>
          <w:p w:rsidR="00E772DD" w:rsidRPr="008764AA" w:rsidRDefault="00E772DD" w:rsidP="000A1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lang w:val="fr-FR"/>
              </w:rPr>
            </w:pPr>
            <w:r w:rsidRPr="008764AA">
              <w:rPr>
                <w:lang w:val="fr-FR"/>
              </w:rPr>
              <w:t>100</w:t>
            </w:r>
          </w:p>
        </w:tc>
      </w:tr>
    </w:tbl>
    <w:p w:rsidR="00E772DD" w:rsidRPr="00D13F32" w:rsidRDefault="00E772DD" w:rsidP="00D13F32">
      <w:pPr>
        <w:spacing w:after="240" w:line="360" w:lineRule="auto"/>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2035A8">
      <w:pPr>
        <w:jc w:val="center"/>
        <w:rPr>
          <w:b/>
          <w:bCs/>
          <w:color w:val="0C0C0C"/>
          <w:lang w:val="fr-FR"/>
        </w:rPr>
      </w:pPr>
      <w:r w:rsidRPr="008764AA">
        <w:rPr>
          <w:b/>
          <w:bCs/>
          <w:color w:val="0C0C0C"/>
          <w:lang w:val="fr-FR"/>
        </w:rPr>
        <w:t>Figure</w:t>
      </w:r>
      <w:r>
        <w:rPr>
          <w:b/>
          <w:bCs/>
          <w:color w:val="0C0C0C"/>
          <w:lang w:val="fr-FR"/>
        </w:rPr>
        <w:t xml:space="preserve"> N°38</w:t>
      </w:r>
      <w:r w:rsidRPr="008764AA">
        <w:rPr>
          <w:b/>
          <w:bCs/>
          <w:color w:val="0C0C0C"/>
          <w:lang w:val="fr-FR"/>
        </w:rPr>
        <w:t xml:space="preserve"> : </w:t>
      </w:r>
      <w:r w:rsidRPr="00381B81">
        <w:rPr>
          <w:color w:val="0C0C0C"/>
          <w:lang w:val="fr-FR"/>
        </w:rPr>
        <w:t>Représentation graphique de la répartition de l'échantillon selon le genre</w:t>
      </w:r>
    </w:p>
    <w:p w:rsidR="00E772DD" w:rsidRPr="008764AA" w:rsidRDefault="00E772DD" w:rsidP="002035A8">
      <w:pPr>
        <w:jc w:val="center"/>
        <w:rPr>
          <w:b/>
          <w:bCs/>
          <w:color w:val="0C0C0C"/>
          <w:lang w:val="fr-FR"/>
        </w:rPr>
      </w:pPr>
    </w:p>
    <w:p w:rsidR="00E772DD" w:rsidRPr="008764AA" w:rsidRDefault="00E772DD" w:rsidP="002035A8">
      <w:pPr>
        <w:spacing w:after="240" w:line="360" w:lineRule="auto"/>
        <w:jc w:val="center"/>
        <w:rPr>
          <w:rFonts w:asciiTheme="majorBidi" w:hAnsiTheme="majorBidi" w:cstheme="majorBidi"/>
          <w:lang w:val="fr-FR"/>
        </w:rPr>
      </w:pPr>
      <w:r w:rsidRPr="008764AA">
        <w:rPr>
          <w:lang w:val="fr-FR"/>
        </w:rPr>
        <w:fldChar w:fldCharType="begin"/>
      </w:r>
      <w:r w:rsidRPr="008764AA">
        <w:rPr>
          <w:lang w:val="fr-FR"/>
        </w:rPr>
        <w:instrText xml:space="preserve"> INCLUDEPICTURE "/Users/misha/Library/Group Containers/UBF8T346G9.ms/WebArchiveCopyPasteTempFiles/com.microsoft.Word/x8wXIl7gGVnUwAAAABJRU5ErkJggg==" \* MERGEFORMATINET </w:instrText>
      </w:r>
      <w:r w:rsidRPr="008764AA">
        <w:rPr>
          <w:lang w:val="fr-FR"/>
        </w:rPr>
        <w:fldChar w:fldCharType="separate"/>
      </w:r>
      <w:r w:rsidRPr="008764AA">
        <w:rPr>
          <w:noProof/>
          <w:lang w:val="fr-FR"/>
        </w:rPr>
        <w:drawing>
          <wp:inline distT="0" distB="0" distL="0" distR="0" wp14:anchorId="057F6FDB" wp14:editId="04F2CD19">
            <wp:extent cx="5078981" cy="4153711"/>
            <wp:effectExtent l="0" t="0" r="1270" b="0"/>
            <wp:docPr id="5077352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l="11589" t="-1" r="12381" b="1833"/>
                    <a:stretch/>
                  </pic:blipFill>
                  <pic:spPr bwMode="auto">
                    <a:xfrm>
                      <a:off x="0" y="0"/>
                      <a:ext cx="5407142" cy="4422089"/>
                    </a:xfrm>
                    <a:prstGeom prst="rect">
                      <a:avLst/>
                    </a:prstGeom>
                    <a:noFill/>
                    <a:ln>
                      <a:noFill/>
                    </a:ln>
                    <a:extLst>
                      <a:ext uri="{53640926-AAD7-44D8-BBD7-CCE9431645EC}">
                        <a14:shadowObscured xmlns:a14="http://schemas.microsoft.com/office/drawing/2010/main"/>
                      </a:ext>
                    </a:extLst>
                  </pic:spPr>
                </pic:pic>
              </a:graphicData>
            </a:graphic>
          </wp:inline>
        </w:drawing>
      </w:r>
      <w:r w:rsidRPr="008764AA">
        <w:rPr>
          <w:lang w:val="fr-FR"/>
        </w:rPr>
        <w:fldChar w:fldCharType="end"/>
      </w:r>
    </w:p>
    <w:p w:rsidR="00E772DD" w:rsidRDefault="00E772DD" w:rsidP="00D13F32">
      <w:pPr>
        <w:spacing w:after="240"/>
        <w:jc w:val="center"/>
        <w:rPr>
          <w:b/>
          <w:bCs/>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D13F32" w:rsidRPr="00D13F32" w:rsidRDefault="00D13F32" w:rsidP="00D13F32">
      <w:pPr>
        <w:spacing w:after="240" w:line="360" w:lineRule="auto"/>
        <w:jc w:val="both"/>
        <w:rPr>
          <w:color w:val="000000"/>
          <w:lang w:val="fr-FR"/>
        </w:rPr>
      </w:pPr>
      <w:r w:rsidRPr="008764AA">
        <w:rPr>
          <w:color w:val="000000"/>
          <w:lang w:val="fr-FR"/>
        </w:rPr>
        <w:t>Les données recueillies révèlent une répartition équilibrée des participants selon le genre: 51% sont des femmes et 49% des hommes. Cette proportion témoigne d’une représentativité relativement équitable entre les deux groupes au sein de l’échantillon.</w:t>
      </w:r>
    </w:p>
    <w:p w:rsidR="00E772DD" w:rsidRPr="00A53242" w:rsidRDefault="00E772DD" w:rsidP="004D32AC">
      <w:pPr>
        <w:pStyle w:val="Titre3"/>
        <w:numPr>
          <w:ilvl w:val="1"/>
          <w:numId w:val="20"/>
        </w:numPr>
        <w:rPr>
          <w:sz w:val="16"/>
          <w:szCs w:val="16"/>
        </w:rPr>
      </w:pPr>
      <w:bookmarkStart w:id="2250" w:name="_Toc199714566"/>
      <w:bookmarkStart w:id="2251" w:name="_Toc200486842"/>
      <w:bookmarkStart w:id="2252" w:name="_Toc200635620"/>
      <w:bookmarkStart w:id="2253" w:name="_Toc200636008"/>
      <w:bookmarkStart w:id="2254" w:name="_Toc200636397"/>
      <w:bookmarkStart w:id="2255" w:name="_Toc200756138"/>
      <w:r w:rsidRPr="00A53242">
        <w:rPr>
          <w:sz w:val="24"/>
          <w:szCs w:val="24"/>
        </w:rPr>
        <w:lastRenderedPageBreak/>
        <w:t>L'âge :</w:t>
      </w:r>
      <w:bookmarkEnd w:id="2250"/>
      <w:bookmarkEnd w:id="2251"/>
      <w:bookmarkEnd w:id="2252"/>
      <w:bookmarkEnd w:id="2253"/>
      <w:bookmarkEnd w:id="2254"/>
      <w:bookmarkEnd w:id="2255"/>
    </w:p>
    <w:p w:rsidR="00E772DD" w:rsidRPr="008764AA" w:rsidRDefault="00E772DD" w:rsidP="00D13F32">
      <w:pPr>
        <w:spacing w:after="240" w:line="360" w:lineRule="auto"/>
        <w:jc w:val="both"/>
        <w:rPr>
          <w:b/>
          <w:bCs/>
          <w:color w:val="0C0C0C"/>
          <w:lang w:val="fr-FR"/>
        </w:rPr>
      </w:pPr>
      <w:r w:rsidRPr="008764AA">
        <w:rPr>
          <w:color w:val="000000"/>
          <w:lang w:val="fr-FR"/>
        </w:rPr>
        <w:t>La seconde question de notre questionnaire vise à obtenir des informations sur l’âge des participants. En collectant ces données, nous serons en mesure d’étudier la répartition générationnelle au sein de l’échantillon. Cette variable démographique clé nous permettra d’examiner les résultats en tenant compte de l’influence potentielle de l’âge. Identifier les différentes tranches d’âge représentées contribuera à une meilleure compréhension de l’impact de ce facteur sur le processus de digitalisation RH et la performance des RH.</w:t>
      </w:r>
    </w:p>
    <w:p w:rsidR="00E772DD" w:rsidRPr="008764AA" w:rsidRDefault="00E772DD" w:rsidP="002035A8">
      <w:pPr>
        <w:spacing w:line="360" w:lineRule="auto"/>
        <w:jc w:val="center"/>
        <w:rPr>
          <w:color w:val="0C0C0C"/>
          <w:lang w:val="fr-FR"/>
        </w:rPr>
      </w:pPr>
      <w:r w:rsidRPr="008764AA">
        <w:rPr>
          <w:b/>
          <w:bCs/>
          <w:color w:val="0C0C0C"/>
          <w:lang w:val="fr-FR"/>
        </w:rPr>
        <w:t>Tableau</w:t>
      </w:r>
      <w:r>
        <w:rPr>
          <w:b/>
          <w:bCs/>
          <w:color w:val="0C0C0C"/>
          <w:lang w:val="fr-FR"/>
        </w:rPr>
        <w:t xml:space="preserve"> N°24</w:t>
      </w:r>
      <w:r w:rsidRPr="008764AA">
        <w:rPr>
          <w:b/>
          <w:bCs/>
          <w:color w:val="0C0C0C"/>
          <w:lang w:val="fr-FR"/>
        </w:rPr>
        <w:t xml:space="preserve"> : </w:t>
      </w:r>
      <w:r w:rsidRPr="00381B81">
        <w:rPr>
          <w:color w:val="0C0C0C"/>
          <w:lang w:val="fr-FR"/>
        </w:rPr>
        <w:t>Répartition d’échantillon selon l’âge</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c>
          <w:tcPr>
            <w:tcW w:w="9016" w:type="dxa"/>
            <w:gridSpan w:val="3"/>
            <w:shd w:val="clear" w:color="auto" w:fill="D8DCD1"/>
          </w:tcPr>
          <w:p w:rsidR="00E772DD" w:rsidRPr="008764AA" w:rsidRDefault="00E772DD" w:rsidP="002035A8">
            <w:pPr>
              <w:pStyle w:val="p1"/>
              <w:spacing w:line="360" w:lineRule="auto"/>
              <w:jc w:val="center"/>
              <w:rPr>
                <w:rFonts w:asciiTheme="majorBidi" w:hAnsiTheme="majorBidi" w:cstheme="majorBidi"/>
                <w:color w:val="0C0C0C"/>
              </w:rPr>
            </w:pPr>
            <w:r w:rsidRPr="008764AA">
              <w:rPr>
                <w:rFonts w:asciiTheme="majorBidi" w:hAnsiTheme="majorBidi" w:cstheme="majorBidi"/>
                <w:b/>
                <w:bCs/>
                <w:sz w:val="24"/>
                <w:szCs w:val="24"/>
              </w:rPr>
              <w:t>Tranche d'âge</w:t>
            </w:r>
          </w:p>
        </w:tc>
      </w:tr>
      <w:tr w:rsidR="00E772DD" w:rsidRPr="008764AA" w:rsidTr="005D540B">
        <w:tc>
          <w:tcPr>
            <w:tcW w:w="3005" w:type="dxa"/>
          </w:tcPr>
          <w:p w:rsidR="00E772DD" w:rsidRPr="008764AA" w:rsidRDefault="00E772DD" w:rsidP="002035A8">
            <w:pPr>
              <w:spacing w:after="240" w:line="360" w:lineRule="auto"/>
              <w:jc w:val="both"/>
              <w:rPr>
                <w:rFonts w:asciiTheme="majorBidi" w:hAnsiTheme="majorBidi" w:cstheme="majorBidi"/>
                <w:lang w:val="fr-FR"/>
              </w:rPr>
            </w:pPr>
          </w:p>
        </w:tc>
        <w:tc>
          <w:tcPr>
            <w:tcW w:w="3005"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Fréquence</w:t>
            </w:r>
          </w:p>
        </w:tc>
        <w:tc>
          <w:tcPr>
            <w:tcW w:w="3006"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Pourcentage</w:t>
            </w:r>
          </w:p>
        </w:tc>
      </w:tr>
      <w:tr w:rsidR="00E772DD" w:rsidRPr="008764AA" w:rsidTr="005D540B">
        <w:tc>
          <w:tcPr>
            <w:tcW w:w="3005"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18-25 ans         </w:t>
            </w:r>
          </w:p>
        </w:tc>
        <w:tc>
          <w:tcPr>
            <w:tcW w:w="3005"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23</w:t>
            </w:r>
          </w:p>
        </w:tc>
        <w:tc>
          <w:tcPr>
            <w:tcW w:w="3006"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13,5</w:t>
            </w:r>
          </w:p>
        </w:tc>
      </w:tr>
      <w:tr w:rsidR="00E772DD" w:rsidRPr="008764AA" w:rsidTr="005D540B">
        <w:tc>
          <w:tcPr>
            <w:tcW w:w="3005"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26-35 ans         </w:t>
            </w:r>
          </w:p>
        </w:tc>
        <w:tc>
          <w:tcPr>
            <w:tcW w:w="3005"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50</w:t>
            </w:r>
          </w:p>
        </w:tc>
        <w:tc>
          <w:tcPr>
            <w:tcW w:w="3006"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29,4</w:t>
            </w:r>
          </w:p>
        </w:tc>
      </w:tr>
      <w:tr w:rsidR="00E772DD" w:rsidRPr="008764AA" w:rsidTr="005D540B">
        <w:tc>
          <w:tcPr>
            <w:tcW w:w="3005"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 xml:space="preserve">36-45 ans         </w:t>
            </w:r>
          </w:p>
        </w:tc>
        <w:tc>
          <w:tcPr>
            <w:tcW w:w="3005"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70</w:t>
            </w:r>
          </w:p>
        </w:tc>
        <w:tc>
          <w:tcPr>
            <w:tcW w:w="3006" w:type="dxa"/>
          </w:tcPr>
          <w:p w:rsidR="00E772DD" w:rsidRPr="008764AA" w:rsidRDefault="00E772DD" w:rsidP="002035A8">
            <w:pPr>
              <w:spacing w:after="240" w:line="360" w:lineRule="auto"/>
              <w:jc w:val="both"/>
              <w:rPr>
                <w:rFonts w:asciiTheme="majorBidi" w:hAnsiTheme="majorBidi" w:cstheme="majorBidi"/>
                <w:lang w:val="fr-FR"/>
              </w:rPr>
            </w:pPr>
            <w:r w:rsidRPr="008764AA">
              <w:rPr>
                <w:rFonts w:asciiTheme="majorBidi" w:hAnsiTheme="majorBidi" w:cstheme="majorBidi"/>
                <w:lang w:val="fr-FR"/>
              </w:rPr>
              <w:t>41,2</w:t>
            </w:r>
          </w:p>
        </w:tc>
      </w:tr>
      <w:tr w:rsidR="00E772DD" w:rsidRPr="008764AA" w:rsidTr="005D540B">
        <w:tc>
          <w:tcPr>
            <w:tcW w:w="3005" w:type="dxa"/>
          </w:tcPr>
          <w:p w:rsidR="00E772DD" w:rsidRPr="008764AA" w:rsidRDefault="00E772DD" w:rsidP="00494650">
            <w:pPr>
              <w:spacing w:after="240" w:line="360" w:lineRule="auto"/>
              <w:jc w:val="both"/>
              <w:rPr>
                <w:rFonts w:asciiTheme="majorBidi" w:hAnsiTheme="majorBidi" w:cstheme="majorBidi"/>
                <w:lang w:val="fr-FR"/>
              </w:rPr>
            </w:pPr>
            <w:r w:rsidRPr="008764AA">
              <w:rPr>
                <w:rFonts w:ascii="var(--jp-code-font-family)" w:hAnsi="var(--jp-code-font-family)"/>
                <w:lang w:val="fr-FR"/>
              </w:rPr>
              <w:t xml:space="preserve">46 ans et plus    </w:t>
            </w:r>
          </w:p>
        </w:tc>
        <w:tc>
          <w:tcPr>
            <w:tcW w:w="3005" w:type="dxa"/>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27</w:t>
            </w:r>
          </w:p>
        </w:tc>
        <w:tc>
          <w:tcPr>
            <w:tcW w:w="3006" w:type="dxa"/>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15,9</w:t>
            </w:r>
          </w:p>
        </w:tc>
      </w:tr>
      <w:tr w:rsidR="00E772DD" w:rsidRPr="008764AA" w:rsidTr="005D540B">
        <w:tc>
          <w:tcPr>
            <w:tcW w:w="3005" w:type="dxa"/>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Total</w:t>
            </w:r>
          </w:p>
        </w:tc>
        <w:tc>
          <w:tcPr>
            <w:tcW w:w="3005" w:type="dxa"/>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170</w:t>
            </w:r>
          </w:p>
        </w:tc>
        <w:tc>
          <w:tcPr>
            <w:tcW w:w="3006" w:type="dxa"/>
          </w:tcPr>
          <w:p w:rsidR="00E772DD" w:rsidRPr="008764AA" w:rsidRDefault="00E772DD" w:rsidP="00494650">
            <w:pPr>
              <w:spacing w:after="240" w:line="360" w:lineRule="auto"/>
              <w:jc w:val="both"/>
              <w:rPr>
                <w:rFonts w:asciiTheme="majorBidi" w:hAnsiTheme="majorBidi" w:cstheme="majorBidi"/>
                <w:lang w:val="fr-FR"/>
              </w:rPr>
            </w:pPr>
            <w:r w:rsidRPr="008764AA">
              <w:rPr>
                <w:rFonts w:asciiTheme="majorBidi" w:hAnsiTheme="majorBidi" w:cstheme="majorBidi"/>
                <w:lang w:val="fr-FR"/>
              </w:rPr>
              <w:t>100</w:t>
            </w:r>
          </w:p>
        </w:tc>
      </w:tr>
    </w:tbl>
    <w:p w:rsidR="00E772DD" w:rsidRPr="008764AA" w:rsidRDefault="00E772DD" w:rsidP="002035A8">
      <w:pPr>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315F3A">
      <w:pPr>
        <w:rPr>
          <w:color w:val="0C0C0C"/>
          <w:lang w:val="fr-FR"/>
        </w:rPr>
      </w:pPr>
    </w:p>
    <w:p w:rsidR="00E772DD" w:rsidRPr="00381B81" w:rsidRDefault="00E772DD" w:rsidP="002035A8">
      <w:pPr>
        <w:jc w:val="center"/>
        <w:rPr>
          <w:color w:val="0C0C0C"/>
          <w:lang w:val="fr-FR"/>
        </w:rPr>
      </w:pPr>
      <w:r w:rsidRPr="008764AA">
        <w:rPr>
          <w:b/>
          <w:bCs/>
          <w:color w:val="0C0C0C"/>
          <w:lang w:val="fr-FR"/>
        </w:rPr>
        <w:t>Figure</w:t>
      </w:r>
      <w:r>
        <w:rPr>
          <w:b/>
          <w:bCs/>
          <w:color w:val="0C0C0C"/>
          <w:lang w:val="fr-FR"/>
        </w:rPr>
        <w:t xml:space="preserve"> N°39</w:t>
      </w:r>
      <w:r w:rsidRPr="008764AA">
        <w:rPr>
          <w:b/>
          <w:bCs/>
          <w:color w:val="0C0C0C"/>
          <w:lang w:val="fr-FR"/>
        </w:rPr>
        <w:t xml:space="preserve"> : </w:t>
      </w:r>
      <w:r w:rsidRPr="00381B81">
        <w:rPr>
          <w:color w:val="0C0C0C"/>
          <w:lang w:val="fr-FR"/>
        </w:rPr>
        <w:t>Représentation graphique de la répartition de l'échantillon selon l'âge</w:t>
      </w:r>
    </w:p>
    <w:p w:rsidR="00E772DD" w:rsidRPr="008764AA" w:rsidRDefault="00E772DD" w:rsidP="002035A8">
      <w:pPr>
        <w:jc w:val="center"/>
        <w:rPr>
          <w:color w:val="0C0C0C"/>
          <w:lang w:val="fr-FR"/>
        </w:rPr>
      </w:pPr>
    </w:p>
    <w:p w:rsidR="00E772DD" w:rsidRPr="008764AA" w:rsidRDefault="00E772DD" w:rsidP="000A11CD">
      <w:pPr>
        <w:spacing w:after="240" w:line="360" w:lineRule="auto"/>
        <w:jc w:val="center"/>
        <w:rPr>
          <w:rFonts w:asciiTheme="majorBidi" w:hAnsiTheme="majorBidi" w:cstheme="majorBidi"/>
          <w:lang w:val="fr-FR"/>
        </w:rPr>
      </w:pPr>
      <w:r w:rsidRPr="008764AA">
        <w:rPr>
          <w:lang w:val="fr-FR"/>
        </w:rPr>
        <w:fldChar w:fldCharType="begin"/>
      </w:r>
      <w:r w:rsidRPr="008764AA">
        <w:rPr>
          <w:lang w:val="fr-FR"/>
        </w:rPr>
        <w:instrText xml:space="preserve"> INCLUDEPICTURE "/Users/misha/Library/Group Containers/UBF8T346G9.ms/WebArchiveCopyPasteTempFiles/com.microsoft.Word/wULxGknCrwcAAAAASUVORK5CYII=" \* MERGEFORMATINET </w:instrText>
      </w:r>
      <w:r w:rsidRPr="008764AA">
        <w:rPr>
          <w:lang w:val="fr-FR"/>
        </w:rPr>
        <w:fldChar w:fldCharType="separate"/>
      </w:r>
      <w:r w:rsidRPr="008764AA">
        <w:rPr>
          <w:noProof/>
          <w:lang w:val="fr-FR"/>
        </w:rPr>
        <w:drawing>
          <wp:inline distT="0" distB="0" distL="0" distR="0" wp14:anchorId="257CDABD" wp14:editId="41E03F08">
            <wp:extent cx="4347962" cy="2592593"/>
            <wp:effectExtent l="0" t="0" r="0" b="0"/>
            <wp:docPr id="10917837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498873" cy="2682578"/>
                    </a:xfrm>
                    <a:prstGeom prst="rect">
                      <a:avLst/>
                    </a:prstGeom>
                    <a:noFill/>
                    <a:ln>
                      <a:noFill/>
                    </a:ln>
                  </pic:spPr>
                </pic:pic>
              </a:graphicData>
            </a:graphic>
          </wp:inline>
        </w:drawing>
      </w:r>
      <w:r w:rsidRPr="008764AA">
        <w:rPr>
          <w:lang w:val="fr-FR"/>
        </w:rPr>
        <w:fldChar w:fldCharType="end"/>
      </w:r>
    </w:p>
    <w:p w:rsidR="00E772DD" w:rsidRPr="008764AA" w:rsidRDefault="00E772DD" w:rsidP="00CA455D">
      <w:pPr>
        <w:spacing w:after="240"/>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CA455D">
      <w:pPr>
        <w:spacing w:after="240" w:line="360" w:lineRule="auto"/>
        <w:jc w:val="both"/>
        <w:rPr>
          <w:rFonts w:asciiTheme="majorBidi" w:hAnsiTheme="majorBidi" w:cstheme="majorBidi"/>
          <w:lang w:val="fr-FR"/>
        </w:rPr>
      </w:pPr>
      <w:r w:rsidRPr="008764AA">
        <w:rPr>
          <w:rFonts w:asciiTheme="majorBidi" w:hAnsiTheme="majorBidi" w:cstheme="majorBidi"/>
          <w:lang w:val="fr-FR"/>
        </w:rPr>
        <w:lastRenderedPageBreak/>
        <w:t>Le tableau et la figure présentent la répartition des répondants selon leur tranche d’âge. Il en ressort que la majorité des participants, soit 41,2 %, appartiennent à la tranche des 36 à 45 ans. Viennent ensuite les 26 à 35 ans avec 29,4 %, les 46 ans et plus avec 15,9 %, et enfin les 18 à 25 ans, qui représentent 13,5 % de l’échantillon. Cette répartition met en évidence une participation majoritaire des professionnels en milieu de carrière, souvent directement impliqués dans la gestion des ressources humaines et la transformation digitale des processus internes. Leur forte représentation reflète probablement leur rôle actif dans l’adoption d’outils numériques visant à optimiser les pratiques RH. Les 26-35 ans, généralement en phase de consolidation professionnelle, sont également sensibles à ces enjeux, notamment en tant qu’acteurs ou bénéficiaires de ces évolutions technologiques. Les jeunes de 18 à 25 ans, bien que moins représentés, peuvent apporter un regard innovant sur la digitalisation RH, grâce à leur familiarité avec les outils digitaux. Enfin, la présence de 15,9 % de répondants âgés de 46 ans et plus suggère un intérêt continu pour l’optimisation des processus RH, même si leur implication dans les démarches de digitalisation pourrait être plus limitée en raison d’habitudes professionnelles établies ou d’un moindre usage des plateformes numériques.</w:t>
      </w:r>
    </w:p>
    <w:p w:rsidR="00E772DD" w:rsidRPr="00A53242" w:rsidRDefault="00E772DD" w:rsidP="004D32AC">
      <w:pPr>
        <w:pStyle w:val="Titre3"/>
        <w:numPr>
          <w:ilvl w:val="1"/>
          <w:numId w:val="20"/>
        </w:numPr>
        <w:spacing w:after="0" w:afterAutospacing="0" w:line="360" w:lineRule="auto"/>
        <w:rPr>
          <w:sz w:val="24"/>
          <w:szCs w:val="24"/>
          <w:lang w:val="fr-FR"/>
        </w:rPr>
      </w:pPr>
      <w:bookmarkStart w:id="2256" w:name="_Toc199714567"/>
      <w:bookmarkStart w:id="2257" w:name="_Toc200486843"/>
      <w:bookmarkStart w:id="2258" w:name="_Toc200635621"/>
      <w:bookmarkStart w:id="2259" w:name="_Toc200636009"/>
      <w:bookmarkStart w:id="2260" w:name="_Toc200636398"/>
      <w:bookmarkStart w:id="2261" w:name="_Toc200756139"/>
      <w:r w:rsidRPr="00A53242">
        <w:rPr>
          <w:sz w:val="24"/>
          <w:szCs w:val="24"/>
          <w:lang w:val="fr-FR"/>
        </w:rPr>
        <w:t>Le niveau d'éducation :</w:t>
      </w:r>
      <w:bookmarkEnd w:id="2256"/>
      <w:bookmarkEnd w:id="2257"/>
      <w:bookmarkEnd w:id="2258"/>
      <w:bookmarkEnd w:id="2259"/>
      <w:bookmarkEnd w:id="2260"/>
      <w:bookmarkEnd w:id="2261"/>
    </w:p>
    <w:p w:rsidR="00E772DD" w:rsidRPr="008764AA" w:rsidRDefault="00E772DD" w:rsidP="00BD6741">
      <w:pPr>
        <w:spacing w:after="240" w:line="360" w:lineRule="auto"/>
        <w:jc w:val="both"/>
        <w:rPr>
          <w:rFonts w:asciiTheme="majorBidi" w:hAnsiTheme="majorBidi" w:cstheme="majorBidi"/>
          <w:lang w:val="fr-FR"/>
        </w:rPr>
      </w:pPr>
      <w:r w:rsidRPr="008764AA">
        <w:rPr>
          <w:rFonts w:asciiTheme="majorBidi" w:hAnsiTheme="majorBidi" w:cstheme="majorBidi"/>
          <w:color w:val="000000"/>
          <w:lang w:val="fr-FR"/>
        </w:rPr>
        <w:t xml:space="preserve">La troisième question de notre enquête sollicite les participants pour qu'ils précisent leur niveau d'éducation. Ces données nous permettront d'examiner l'influence de la formation académique sur le processus de la </w:t>
      </w:r>
      <w:proofErr w:type="spellStart"/>
      <w:r w:rsidRPr="008764AA">
        <w:rPr>
          <w:rFonts w:asciiTheme="majorBidi" w:hAnsiTheme="majorBidi" w:cstheme="majorBidi"/>
          <w:color w:val="000000"/>
          <w:lang w:val="fr-FR"/>
        </w:rPr>
        <w:t>digatlisation</w:t>
      </w:r>
      <w:proofErr w:type="spellEnd"/>
      <w:r w:rsidRPr="008764AA">
        <w:rPr>
          <w:rFonts w:asciiTheme="majorBidi" w:hAnsiTheme="majorBidi" w:cstheme="majorBidi"/>
          <w:color w:val="000000"/>
          <w:lang w:val="fr-FR"/>
        </w:rPr>
        <w:t xml:space="preserve"> RH et aussi la performance des RH. En prenant en compte cette variable, nous serons en mesure d'analyser les résultats de manière plus détaillée, en considérant les différences de compétences et de connaissances acquises par les participants en fonction de leur parcours éducatif.</w:t>
      </w:r>
    </w:p>
    <w:p w:rsidR="00E772DD" w:rsidRPr="008764AA" w:rsidRDefault="00E772DD" w:rsidP="00D71B2B">
      <w:pPr>
        <w:jc w:val="center"/>
        <w:rPr>
          <w:color w:val="0C0C0C"/>
          <w:lang w:val="fr-FR"/>
        </w:rPr>
      </w:pPr>
      <w:r w:rsidRPr="008764AA">
        <w:rPr>
          <w:b/>
          <w:bCs/>
          <w:color w:val="0C0C0C"/>
          <w:lang w:val="fr-FR"/>
        </w:rPr>
        <w:t>Tableau</w:t>
      </w:r>
      <w:r>
        <w:rPr>
          <w:b/>
          <w:bCs/>
          <w:color w:val="0C0C0C"/>
          <w:lang w:val="fr-FR"/>
        </w:rPr>
        <w:t xml:space="preserve"> N°25</w:t>
      </w:r>
      <w:r w:rsidRPr="008764AA">
        <w:rPr>
          <w:b/>
          <w:bCs/>
          <w:color w:val="0C0C0C"/>
          <w:lang w:val="fr-FR"/>
        </w:rPr>
        <w:t xml:space="preserve"> : </w:t>
      </w:r>
      <w:r w:rsidRPr="00381B81">
        <w:rPr>
          <w:color w:val="0C0C0C"/>
          <w:lang w:val="fr-FR"/>
        </w:rPr>
        <w:t>Répartition d’échantillon selon le niveau d’éducation</w:t>
      </w:r>
    </w:p>
    <w:p w:rsidR="00E772DD" w:rsidRPr="008764AA" w:rsidRDefault="00E772DD" w:rsidP="005D540B">
      <w:pPr>
        <w:pStyle w:val="PrformatHTML"/>
        <w:wordWrap w:val="0"/>
        <w:rPr>
          <w:rFonts w:ascii="var(--jp-code-font-family)" w:hAnsi="var(--jp-code-font-family)"/>
          <w:lang w:val="fr-FR"/>
        </w:rPr>
      </w:pPr>
    </w:p>
    <w:tbl>
      <w:tblPr>
        <w:tblStyle w:val="Grilledutableau"/>
        <w:tblW w:w="0" w:type="auto"/>
        <w:tblLook w:val="04A0" w:firstRow="1" w:lastRow="0" w:firstColumn="1" w:lastColumn="0" w:noHBand="0" w:noVBand="1"/>
      </w:tblPr>
      <w:tblGrid>
        <w:gridCol w:w="3000"/>
        <w:gridCol w:w="3002"/>
        <w:gridCol w:w="3008"/>
      </w:tblGrid>
      <w:tr w:rsidR="00E772DD" w:rsidRPr="008764AA" w:rsidTr="00AE378F">
        <w:tc>
          <w:tcPr>
            <w:tcW w:w="9016" w:type="dxa"/>
            <w:gridSpan w:val="3"/>
            <w:shd w:val="clear" w:color="auto" w:fill="D8DCD1"/>
            <w:vAlign w:val="center"/>
          </w:tcPr>
          <w:p w:rsidR="00E772DD" w:rsidRPr="008764AA" w:rsidRDefault="00E772DD" w:rsidP="00BD6741">
            <w:pPr>
              <w:pStyle w:val="p1"/>
              <w:spacing w:line="360" w:lineRule="auto"/>
              <w:jc w:val="center"/>
              <w:rPr>
                <w:rFonts w:asciiTheme="majorBidi" w:hAnsiTheme="majorBidi" w:cstheme="majorBidi"/>
              </w:rPr>
            </w:pPr>
            <w:r w:rsidRPr="008764AA">
              <w:rPr>
                <w:rFonts w:asciiTheme="majorBidi" w:hAnsiTheme="majorBidi" w:cstheme="majorBidi"/>
                <w:b/>
                <w:bCs/>
                <w:sz w:val="24"/>
                <w:szCs w:val="24"/>
              </w:rPr>
              <w:t>Le niveau d'éducation</w:t>
            </w:r>
          </w:p>
        </w:tc>
      </w:tr>
      <w:tr w:rsidR="00E772DD" w:rsidRPr="008764AA" w:rsidTr="00BD6741">
        <w:tc>
          <w:tcPr>
            <w:tcW w:w="3002" w:type="dxa"/>
            <w:vAlign w:val="center"/>
          </w:tcPr>
          <w:p w:rsidR="00E772DD" w:rsidRPr="008764AA" w:rsidRDefault="00E772DD" w:rsidP="00BD6741">
            <w:pPr>
              <w:spacing w:after="240" w:line="360" w:lineRule="auto"/>
              <w:rPr>
                <w:rFonts w:asciiTheme="majorBidi" w:hAnsiTheme="majorBidi" w:cstheme="majorBidi"/>
                <w:lang w:val="fr-FR"/>
              </w:rPr>
            </w:pPr>
          </w:p>
        </w:tc>
        <w:tc>
          <w:tcPr>
            <w:tcW w:w="3004"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Fréquence</w:t>
            </w:r>
          </w:p>
        </w:tc>
        <w:tc>
          <w:tcPr>
            <w:tcW w:w="3010"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Pourcentage</w:t>
            </w:r>
          </w:p>
        </w:tc>
      </w:tr>
      <w:tr w:rsidR="00E772DD" w:rsidRPr="008764AA" w:rsidTr="00BD6741">
        <w:trPr>
          <w:trHeight w:val="557"/>
        </w:trPr>
        <w:tc>
          <w:tcPr>
            <w:tcW w:w="3002"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Inférieur au BAC</w:t>
            </w:r>
          </w:p>
        </w:tc>
        <w:tc>
          <w:tcPr>
            <w:tcW w:w="3004"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3</w:t>
            </w:r>
          </w:p>
        </w:tc>
        <w:tc>
          <w:tcPr>
            <w:tcW w:w="3010"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1,8</w:t>
            </w:r>
          </w:p>
        </w:tc>
      </w:tr>
      <w:tr w:rsidR="00E772DD" w:rsidRPr="008764AA" w:rsidTr="00BD6741">
        <w:trPr>
          <w:trHeight w:val="747"/>
        </w:trPr>
        <w:tc>
          <w:tcPr>
            <w:tcW w:w="3002"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BAC</w:t>
            </w:r>
          </w:p>
        </w:tc>
        <w:tc>
          <w:tcPr>
            <w:tcW w:w="3004"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4</w:t>
            </w:r>
          </w:p>
        </w:tc>
        <w:tc>
          <w:tcPr>
            <w:tcW w:w="3010"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2,4</w:t>
            </w:r>
          </w:p>
        </w:tc>
      </w:tr>
      <w:tr w:rsidR="00E772DD" w:rsidRPr="008764AA" w:rsidTr="00BD6741">
        <w:tc>
          <w:tcPr>
            <w:tcW w:w="3002"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BAC +1 à BAC +2</w:t>
            </w:r>
          </w:p>
        </w:tc>
        <w:tc>
          <w:tcPr>
            <w:tcW w:w="3004"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11</w:t>
            </w:r>
          </w:p>
        </w:tc>
        <w:tc>
          <w:tcPr>
            <w:tcW w:w="3010"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6,5</w:t>
            </w:r>
          </w:p>
        </w:tc>
      </w:tr>
      <w:tr w:rsidR="00E772DD" w:rsidRPr="008764AA" w:rsidTr="00BD6741">
        <w:tc>
          <w:tcPr>
            <w:tcW w:w="3002"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lastRenderedPageBreak/>
              <w:t>BAC +3 à BAC +4</w:t>
            </w:r>
          </w:p>
        </w:tc>
        <w:tc>
          <w:tcPr>
            <w:tcW w:w="3004"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58</w:t>
            </w:r>
          </w:p>
        </w:tc>
        <w:tc>
          <w:tcPr>
            <w:tcW w:w="3010"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34,1</w:t>
            </w:r>
          </w:p>
        </w:tc>
      </w:tr>
      <w:tr w:rsidR="00E772DD" w:rsidRPr="008764AA" w:rsidTr="00BD6741">
        <w:tc>
          <w:tcPr>
            <w:tcW w:w="3002"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BAC +5</w:t>
            </w:r>
          </w:p>
        </w:tc>
        <w:tc>
          <w:tcPr>
            <w:tcW w:w="3004"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80</w:t>
            </w:r>
          </w:p>
        </w:tc>
        <w:tc>
          <w:tcPr>
            <w:tcW w:w="3010"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47</w:t>
            </w:r>
          </w:p>
        </w:tc>
      </w:tr>
      <w:tr w:rsidR="00E772DD" w:rsidRPr="008764AA" w:rsidTr="00BD6741">
        <w:tblPrEx>
          <w:tblCellMar>
            <w:left w:w="70" w:type="dxa"/>
            <w:right w:w="70" w:type="dxa"/>
          </w:tblCellMar>
          <w:tblLook w:val="0000" w:firstRow="0" w:lastRow="0" w:firstColumn="0" w:lastColumn="0" w:noHBand="0" w:noVBand="0"/>
        </w:tblPrEx>
        <w:trPr>
          <w:trHeight w:val="558"/>
        </w:trPr>
        <w:tc>
          <w:tcPr>
            <w:tcW w:w="3002"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Supérieur à BAC +5</w:t>
            </w:r>
          </w:p>
        </w:tc>
        <w:tc>
          <w:tcPr>
            <w:tcW w:w="3004"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14</w:t>
            </w:r>
          </w:p>
        </w:tc>
        <w:tc>
          <w:tcPr>
            <w:tcW w:w="3010" w:type="dxa"/>
            <w:vAlign w:val="center"/>
          </w:tcPr>
          <w:p w:rsidR="00E772DD" w:rsidRPr="008764AA" w:rsidRDefault="00E772DD" w:rsidP="00BD6741">
            <w:pPr>
              <w:spacing w:after="240" w:line="360" w:lineRule="auto"/>
              <w:rPr>
                <w:rFonts w:asciiTheme="majorBidi" w:hAnsiTheme="majorBidi" w:cstheme="majorBidi"/>
                <w:lang w:val="fr-FR"/>
              </w:rPr>
            </w:pPr>
            <w:r w:rsidRPr="008764AA">
              <w:rPr>
                <w:rFonts w:asciiTheme="majorBidi" w:hAnsiTheme="majorBidi" w:cstheme="majorBidi"/>
                <w:lang w:val="fr-FR"/>
              </w:rPr>
              <w:t>8,2</w:t>
            </w:r>
          </w:p>
        </w:tc>
      </w:tr>
      <w:tr w:rsidR="00E772DD" w:rsidRPr="008764AA" w:rsidTr="00BD6741">
        <w:tblPrEx>
          <w:tblCellMar>
            <w:left w:w="70" w:type="dxa"/>
            <w:right w:w="70" w:type="dxa"/>
          </w:tblCellMar>
          <w:tblLook w:val="0000" w:firstRow="0" w:lastRow="0" w:firstColumn="0" w:lastColumn="0" w:noHBand="0" w:noVBand="0"/>
        </w:tblPrEx>
        <w:trPr>
          <w:trHeight w:val="659"/>
        </w:trPr>
        <w:tc>
          <w:tcPr>
            <w:tcW w:w="3002" w:type="dxa"/>
            <w:vAlign w:val="center"/>
          </w:tcPr>
          <w:p w:rsidR="00E772DD" w:rsidRPr="008764AA" w:rsidRDefault="00E772DD" w:rsidP="00BD6741">
            <w:pPr>
              <w:autoSpaceDE w:val="0"/>
              <w:autoSpaceDN w:val="0"/>
              <w:adjustRightInd w:val="0"/>
              <w:spacing w:after="240" w:line="360" w:lineRule="auto"/>
              <w:ind w:left="-5"/>
              <w:rPr>
                <w:rFonts w:asciiTheme="majorBidi" w:hAnsiTheme="majorBidi" w:cstheme="majorBidi"/>
                <w:lang w:val="fr-FR"/>
              </w:rPr>
            </w:pPr>
            <w:r w:rsidRPr="008764AA">
              <w:rPr>
                <w:rFonts w:asciiTheme="majorBidi" w:hAnsiTheme="majorBidi" w:cstheme="majorBidi"/>
                <w:lang w:val="fr-FR"/>
              </w:rPr>
              <w:t>Total</w:t>
            </w:r>
          </w:p>
        </w:tc>
        <w:tc>
          <w:tcPr>
            <w:tcW w:w="3004" w:type="dxa"/>
            <w:vAlign w:val="center"/>
          </w:tcPr>
          <w:p w:rsidR="00E772DD" w:rsidRPr="008764AA" w:rsidRDefault="00E772DD" w:rsidP="00BD6741">
            <w:pPr>
              <w:spacing w:after="240" w:line="360" w:lineRule="auto"/>
              <w:ind w:left="-5"/>
              <w:rPr>
                <w:rFonts w:asciiTheme="majorBidi" w:hAnsiTheme="majorBidi" w:cstheme="majorBidi"/>
                <w:lang w:val="fr-FR"/>
              </w:rPr>
            </w:pPr>
            <w:r w:rsidRPr="008764AA">
              <w:rPr>
                <w:rFonts w:asciiTheme="majorBidi" w:hAnsiTheme="majorBidi" w:cstheme="majorBidi"/>
                <w:lang w:val="fr-FR"/>
              </w:rPr>
              <w:t>170</w:t>
            </w:r>
          </w:p>
        </w:tc>
        <w:tc>
          <w:tcPr>
            <w:tcW w:w="3010" w:type="dxa"/>
            <w:vAlign w:val="center"/>
          </w:tcPr>
          <w:p w:rsidR="00E772DD" w:rsidRPr="008764AA" w:rsidRDefault="00E772DD" w:rsidP="00BD6741">
            <w:pPr>
              <w:spacing w:after="240" w:line="360" w:lineRule="auto"/>
              <w:ind w:left="-5"/>
              <w:rPr>
                <w:rFonts w:asciiTheme="majorBidi" w:hAnsiTheme="majorBidi" w:cstheme="majorBidi"/>
                <w:lang w:val="fr-FR"/>
              </w:rPr>
            </w:pPr>
            <w:r w:rsidRPr="008764AA">
              <w:rPr>
                <w:rFonts w:asciiTheme="majorBidi" w:hAnsiTheme="majorBidi" w:cstheme="majorBidi"/>
                <w:lang w:val="fr-FR"/>
              </w:rPr>
              <w:t>100</w:t>
            </w:r>
          </w:p>
        </w:tc>
      </w:tr>
    </w:tbl>
    <w:p w:rsidR="00E772DD" w:rsidRPr="008764AA" w:rsidRDefault="00E772DD" w:rsidP="00BD6741">
      <w:pPr>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BD6741">
      <w:pPr>
        <w:jc w:val="center"/>
        <w:rPr>
          <w:color w:val="0C0C0C"/>
          <w:lang w:val="fr-FR"/>
        </w:rPr>
      </w:pPr>
    </w:p>
    <w:p w:rsidR="00E772DD" w:rsidRPr="00381B81" w:rsidRDefault="00E772DD" w:rsidP="00BD6741">
      <w:pPr>
        <w:spacing w:line="360" w:lineRule="auto"/>
        <w:jc w:val="center"/>
        <w:rPr>
          <w:color w:val="0C0C0C"/>
          <w:lang w:val="fr-FR"/>
        </w:rPr>
      </w:pPr>
      <w:r w:rsidRPr="008764AA">
        <w:rPr>
          <w:b/>
          <w:bCs/>
          <w:color w:val="0C0C0C"/>
          <w:lang w:val="fr-FR"/>
        </w:rPr>
        <w:t>Figure</w:t>
      </w:r>
      <w:r>
        <w:rPr>
          <w:b/>
          <w:bCs/>
          <w:color w:val="0C0C0C"/>
          <w:lang w:val="fr-FR"/>
        </w:rPr>
        <w:t xml:space="preserve"> N°40</w:t>
      </w:r>
      <w:r w:rsidRPr="008764AA">
        <w:rPr>
          <w:b/>
          <w:bCs/>
          <w:color w:val="0C0C0C"/>
          <w:lang w:val="fr-FR"/>
        </w:rPr>
        <w:t xml:space="preserve"> : </w:t>
      </w:r>
      <w:r w:rsidRPr="00381B81">
        <w:rPr>
          <w:color w:val="0C0C0C"/>
          <w:lang w:val="fr-FR"/>
        </w:rPr>
        <w:t>Représentation graphique de la répartition de l'échantillon selon le niveau d’éducation</w:t>
      </w:r>
    </w:p>
    <w:p w:rsidR="00E772DD" w:rsidRPr="008764AA" w:rsidRDefault="00E772DD" w:rsidP="00BD6741">
      <w:pPr>
        <w:spacing w:after="240" w:line="360" w:lineRule="auto"/>
        <w:jc w:val="center"/>
        <w:rPr>
          <w:rFonts w:asciiTheme="majorBidi" w:hAnsiTheme="majorBidi" w:cstheme="majorBidi"/>
          <w:lang w:val="fr-FR"/>
        </w:rPr>
      </w:pPr>
      <w:r w:rsidRPr="008764AA">
        <w:rPr>
          <w:lang w:val="fr-FR"/>
        </w:rPr>
        <w:fldChar w:fldCharType="begin"/>
      </w:r>
      <w:r w:rsidRPr="008764AA">
        <w:rPr>
          <w:lang w:val="fr-FR"/>
        </w:rPr>
        <w:instrText xml:space="preserve"> INCLUDEPICTURE "/Users/misha/Library/Group Containers/UBF8T346G9.ms/WebArchiveCopyPasteTempFiles/com.microsoft.Word/y94+RjzeXWgAAAAASUVORK5CYII=" \* MERGEFORMATINET </w:instrText>
      </w:r>
      <w:r w:rsidRPr="008764AA">
        <w:rPr>
          <w:lang w:val="fr-FR"/>
        </w:rPr>
        <w:fldChar w:fldCharType="separate"/>
      </w:r>
      <w:r w:rsidRPr="008764AA">
        <w:rPr>
          <w:noProof/>
          <w:lang w:val="fr-FR"/>
        </w:rPr>
        <w:drawing>
          <wp:inline distT="0" distB="0" distL="0" distR="0">
            <wp:extent cx="6196990" cy="3682767"/>
            <wp:effectExtent l="0" t="0" r="635" b="635"/>
            <wp:docPr id="164616553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203925" cy="3686888"/>
                    </a:xfrm>
                    <a:prstGeom prst="rect">
                      <a:avLst/>
                    </a:prstGeom>
                    <a:noFill/>
                    <a:ln>
                      <a:noFill/>
                    </a:ln>
                  </pic:spPr>
                </pic:pic>
              </a:graphicData>
            </a:graphic>
          </wp:inline>
        </w:drawing>
      </w:r>
      <w:r w:rsidRPr="008764AA">
        <w:rPr>
          <w:lang w:val="fr-FR"/>
        </w:rPr>
        <w:fldChar w:fldCharType="end"/>
      </w:r>
    </w:p>
    <w:p w:rsidR="00E772DD" w:rsidRPr="008764AA" w:rsidRDefault="00E772DD" w:rsidP="00B23FB4">
      <w:pPr>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B23FB4">
      <w:pPr>
        <w:spacing w:before="100" w:beforeAutospacing="1" w:line="360" w:lineRule="auto"/>
        <w:jc w:val="both"/>
        <w:rPr>
          <w:color w:val="000000"/>
          <w:lang w:val="fr-FR"/>
        </w:rPr>
      </w:pPr>
      <w:r w:rsidRPr="008764AA">
        <w:rPr>
          <w:color w:val="000000"/>
          <w:lang w:val="fr-FR"/>
        </w:rPr>
        <w:t>Les données montrent que la majorité des participants possède un niveau d'éducation élevé. En effet, 47 % d'entre eux ont un diplôme Bac +5, tandis que 34,1 % détiennent un diplôme Bac +3 à Bac +4. Seuls 8,2 % des participants ont un niveau supérieur à Bac +5, et une petite proportion, soit 2,4 %, a atteint un niveau Bac. Enfin, 6,5 % des participants ont un diplôme Bac +1 à Bac +2, et seulement 1,8 % ont un niveau inférieur au Bac.</w:t>
      </w:r>
      <w:r w:rsidRPr="00082C92">
        <w:t xml:space="preserve"> </w:t>
      </w:r>
      <w:r>
        <w:fldChar w:fldCharType="begin"/>
      </w:r>
      <w:r>
        <w:instrText xml:space="preserve"> INCLUDEPICTURE "/Users/misha/Library/Group Containers/UBF8T346G9.ms/WebArchiveCopyPasteTempFiles/com.microsoft.Word/PcLFOQDw1kQ9AAAAZMrRdAAAACBToh4AAAAyJeoBAAAgU6IeAAAAMiXqAQAAIFOiHgAAADIl6gEAACBToh4AAAAyJeoBAAAgU6IeAAAAMiXqAQAAIFOiHgAAADIl6gEAACBToh4AAAAyJeoBAAAgU6IeAAAAMiXqAQAAIFOiHgAAADIl6gEAACBToh4AAAAyJeoBAAAgU6IeAAAAMiXqAQAAIFOiHgAAADIl6gEAACBToh4AAAAyJeoBAAAgU6IeAAAAMiXqAQAAIFOiHgAAADIl6gEAACBToh4AAAAyJeoBAAAgU6IeAAAAMiXqAQAAIFOiHgAAADIl6gEAACBToh4AAAAyJeoBAAAgU6IeAAAAMiXqAQAAIFPfACrbsIWDHi+AAAAAAElFTkSuQmCC" \* MERGEFORMATINET </w:instrText>
      </w:r>
      <w:r w:rsidR="00000000">
        <w:fldChar w:fldCharType="separate"/>
      </w:r>
      <w:r>
        <w:fldChar w:fldCharType="end"/>
      </w:r>
    </w:p>
    <w:p w:rsidR="00E772DD" w:rsidRPr="008764AA" w:rsidRDefault="00E772DD" w:rsidP="009D0033">
      <w:pPr>
        <w:spacing w:after="100" w:afterAutospacing="1" w:line="360" w:lineRule="auto"/>
        <w:jc w:val="both"/>
        <w:rPr>
          <w:color w:val="000000"/>
          <w:lang w:val="fr-FR"/>
        </w:rPr>
      </w:pPr>
      <w:r w:rsidRPr="008764AA">
        <w:rPr>
          <w:color w:val="000000"/>
          <w:lang w:val="fr-FR"/>
        </w:rPr>
        <w:t xml:space="preserve">Cette distribution indique que les professionnels impliqués dans cette étude bénéficient généralement de qualifications académiques élevées, ce qui pourrait avoir un impact sur l'analyse de la relation entre le processus de la digitalisation RH, ainsi que sur la performance </w:t>
      </w:r>
      <w:r w:rsidRPr="008764AA">
        <w:rPr>
          <w:color w:val="000000"/>
          <w:lang w:val="fr-FR"/>
        </w:rPr>
        <w:lastRenderedPageBreak/>
        <w:t>des RH. En effet, des niveaux d'éducation plus avancés sont souvent associés à une expertise accrue. Il est donc essentiel de prendre en compte cette variable pour mieux comprendre comment le niveau d'éducation influence l'impact de processus de la digitalisation RH sur la performance des RH.</w:t>
      </w:r>
    </w:p>
    <w:p w:rsidR="00E772DD" w:rsidRPr="00A53242" w:rsidRDefault="00A53242" w:rsidP="004D32AC">
      <w:pPr>
        <w:pStyle w:val="Titre3"/>
        <w:numPr>
          <w:ilvl w:val="1"/>
          <w:numId w:val="20"/>
        </w:numPr>
        <w:spacing w:after="0" w:afterAutospacing="0" w:line="360" w:lineRule="auto"/>
        <w:rPr>
          <w:sz w:val="24"/>
          <w:szCs w:val="24"/>
          <w:lang w:val="fr-FR"/>
        </w:rPr>
      </w:pPr>
      <w:r>
        <w:rPr>
          <w:sz w:val="24"/>
          <w:szCs w:val="24"/>
          <w:lang w:val="fr-FR"/>
        </w:rPr>
        <w:t xml:space="preserve"> </w:t>
      </w:r>
      <w:bookmarkStart w:id="2262" w:name="_Toc199714568"/>
      <w:bookmarkStart w:id="2263" w:name="_Toc200486844"/>
      <w:bookmarkStart w:id="2264" w:name="_Toc200635622"/>
      <w:bookmarkStart w:id="2265" w:name="_Toc200636010"/>
      <w:bookmarkStart w:id="2266" w:name="_Toc200636399"/>
      <w:bookmarkStart w:id="2267" w:name="_Toc200756140"/>
      <w:r w:rsidR="00E772DD" w:rsidRPr="00A53242">
        <w:rPr>
          <w:sz w:val="24"/>
          <w:szCs w:val="24"/>
          <w:lang w:val="fr-FR"/>
        </w:rPr>
        <w:t>La catégorie socioprofessionnelle</w:t>
      </w:r>
      <w:r w:rsidR="00E772DD" w:rsidRPr="00A53242">
        <w:rPr>
          <w:color w:val="0C0C0C"/>
          <w:sz w:val="24"/>
          <w:szCs w:val="24"/>
          <w:lang w:val="fr-FR"/>
        </w:rPr>
        <w:t>:</w:t>
      </w:r>
      <w:bookmarkEnd w:id="2262"/>
      <w:bookmarkEnd w:id="2263"/>
      <w:bookmarkEnd w:id="2264"/>
      <w:bookmarkEnd w:id="2265"/>
      <w:bookmarkEnd w:id="2266"/>
      <w:bookmarkEnd w:id="2267"/>
    </w:p>
    <w:p w:rsidR="00E772DD" w:rsidRPr="008764AA" w:rsidRDefault="00E772DD" w:rsidP="000A11CD">
      <w:pPr>
        <w:spacing w:after="240" w:line="360" w:lineRule="auto"/>
        <w:jc w:val="both"/>
        <w:rPr>
          <w:lang w:val="fr-FR"/>
        </w:rPr>
      </w:pPr>
      <w:r w:rsidRPr="008764AA">
        <w:rPr>
          <w:color w:val="000000"/>
          <w:lang w:val="fr-FR"/>
        </w:rPr>
        <w:t xml:space="preserve">Quatrièmement, notre questionnaire demande aux participants d’indiquer leur catégorie socioprofessionnelle au sein de leur organisation. Cette information nous permettra d’approfondir l’analyse de l’influence de ces catégories sur la </w:t>
      </w:r>
      <w:proofErr w:type="spellStart"/>
      <w:r w:rsidRPr="008764AA">
        <w:rPr>
          <w:color w:val="000000"/>
          <w:lang w:val="fr-FR"/>
        </w:rPr>
        <w:t>digtalisation</w:t>
      </w:r>
      <w:proofErr w:type="spellEnd"/>
      <w:r w:rsidRPr="008764AA">
        <w:rPr>
          <w:color w:val="000000"/>
          <w:lang w:val="fr-FR"/>
        </w:rPr>
        <w:t xml:space="preserve"> des processus RH et la performance des RH.</w:t>
      </w:r>
    </w:p>
    <w:p w:rsidR="00E772DD" w:rsidRPr="00381B81" w:rsidRDefault="00E772DD" w:rsidP="009D0033">
      <w:pPr>
        <w:spacing w:line="360" w:lineRule="auto"/>
        <w:jc w:val="center"/>
        <w:rPr>
          <w:color w:val="0C0C0C"/>
          <w:lang w:val="fr-FR"/>
        </w:rPr>
      </w:pPr>
      <w:r w:rsidRPr="008764AA">
        <w:rPr>
          <w:b/>
          <w:bCs/>
          <w:color w:val="0C0C0C"/>
          <w:lang w:val="fr-FR"/>
        </w:rPr>
        <w:t>Tableau</w:t>
      </w:r>
      <w:r>
        <w:rPr>
          <w:b/>
          <w:bCs/>
          <w:color w:val="0C0C0C"/>
          <w:lang w:val="fr-FR"/>
        </w:rPr>
        <w:t xml:space="preserve"> N°26</w:t>
      </w:r>
      <w:r w:rsidRPr="008764AA">
        <w:rPr>
          <w:b/>
          <w:bCs/>
          <w:color w:val="0C0C0C"/>
          <w:lang w:val="fr-FR"/>
        </w:rPr>
        <w:t xml:space="preserve"> : </w:t>
      </w:r>
      <w:r w:rsidRPr="00381B81">
        <w:rPr>
          <w:color w:val="0C0C0C"/>
          <w:lang w:val="fr-FR"/>
        </w:rPr>
        <w:t xml:space="preserve">Répartition d’échantillon selon </w:t>
      </w:r>
      <w:r w:rsidRPr="00381B81">
        <w:rPr>
          <w:lang w:val="fr-FR"/>
        </w:rPr>
        <w:t>la catégorie socioprofessionnelle</w:t>
      </w:r>
    </w:p>
    <w:tbl>
      <w:tblPr>
        <w:tblStyle w:val="Grilledutableau"/>
        <w:tblW w:w="0" w:type="auto"/>
        <w:tblLook w:val="04A0" w:firstRow="1" w:lastRow="0" w:firstColumn="1" w:lastColumn="0" w:noHBand="0" w:noVBand="1"/>
      </w:tblPr>
      <w:tblGrid>
        <w:gridCol w:w="3004"/>
        <w:gridCol w:w="3002"/>
        <w:gridCol w:w="3004"/>
      </w:tblGrid>
      <w:tr w:rsidR="00E772DD" w:rsidRPr="008764AA" w:rsidTr="00AE378F">
        <w:tc>
          <w:tcPr>
            <w:tcW w:w="9015" w:type="dxa"/>
            <w:gridSpan w:val="3"/>
            <w:shd w:val="clear" w:color="auto" w:fill="D8DCD1"/>
          </w:tcPr>
          <w:p w:rsidR="00E772DD" w:rsidRPr="008764AA" w:rsidRDefault="00E772DD" w:rsidP="009D0033">
            <w:pPr>
              <w:pStyle w:val="p1"/>
              <w:spacing w:line="360" w:lineRule="auto"/>
              <w:jc w:val="center"/>
              <w:rPr>
                <w:sz w:val="24"/>
                <w:szCs w:val="24"/>
              </w:rPr>
            </w:pPr>
            <w:r w:rsidRPr="008764AA">
              <w:rPr>
                <w:b/>
                <w:bCs/>
                <w:sz w:val="24"/>
                <w:szCs w:val="24"/>
              </w:rPr>
              <w:t>La catégorie socioprofessionnelle</w:t>
            </w:r>
          </w:p>
        </w:tc>
      </w:tr>
      <w:tr w:rsidR="00E772DD" w:rsidRPr="008764AA" w:rsidTr="0090426B">
        <w:tc>
          <w:tcPr>
            <w:tcW w:w="3005" w:type="dxa"/>
          </w:tcPr>
          <w:p w:rsidR="00E772DD" w:rsidRPr="008764AA" w:rsidRDefault="00E772DD" w:rsidP="00315F3A">
            <w:pPr>
              <w:spacing w:line="360" w:lineRule="auto"/>
              <w:jc w:val="both"/>
              <w:rPr>
                <w:lang w:val="fr-FR"/>
              </w:rPr>
            </w:pPr>
          </w:p>
        </w:tc>
        <w:tc>
          <w:tcPr>
            <w:tcW w:w="3004" w:type="dxa"/>
          </w:tcPr>
          <w:p w:rsidR="00E772DD" w:rsidRPr="008764AA" w:rsidRDefault="00E772DD" w:rsidP="00315F3A">
            <w:pPr>
              <w:spacing w:line="360" w:lineRule="auto"/>
              <w:jc w:val="both"/>
              <w:rPr>
                <w:lang w:val="fr-FR"/>
              </w:rPr>
            </w:pPr>
            <w:r w:rsidRPr="008764AA">
              <w:rPr>
                <w:lang w:val="fr-FR"/>
              </w:rPr>
              <w:t>Fréquence</w:t>
            </w:r>
          </w:p>
        </w:tc>
        <w:tc>
          <w:tcPr>
            <w:tcW w:w="3006" w:type="dxa"/>
          </w:tcPr>
          <w:p w:rsidR="00E772DD" w:rsidRPr="008764AA" w:rsidRDefault="00E772DD" w:rsidP="00315F3A">
            <w:pPr>
              <w:spacing w:line="360" w:lineRule="auto"/>
              <w:jc w:val="both"/>
              <w:rPr>
                <w:lang w:val="fr-FR"/>
              </w:rPr>
            </w:pPr>
            <w:r w:rsidRPr="008764AA">
              <w:rPr>
                <w:lang w:val="fr-FR"/>
              </w:rPr>
              <w:t>Pourcentage</w:t>
            </w:r>
          </w:p>
        </w:tc>
      </w:tr>
      <w:tr w:rsidR="00E772DD" w:rsidRPr="008764AA" w:rsidTr="0090426B">
        <w:tc>
          <w:tcPr>
            <w:tcW w:w="3005" w:type="dxa"/>
          </w:tcPr>
          <w:p w:rsidR="00E772DD" w:rsidRPr="008764AA" w:rsidRDefault="00E772DD" w:rsidP="00315F3A">
            <w:pPr>
              <w:spacing w:line="360" w:lineRule="auto"/>
              <w:jc w:val="both"/>
              <w:rPr>
                <w:lang w:val="fr-FR"/>
              </w:rPr>
            </w:pPr>
            <w:r w:rsidRPr="008764AA">
              <w:rPr>
                <w:lang w:val="fr-FR"/>
              </w:rPr>
              <w:t>Dirigeant d'entreprise ou cadre supérieur</w:t>
            </w:r>
          </w:p>
        </w:tc>
        <w:tc>
          <w:tcPr>
            <w:tcW w:w="3004" w:type="dxa"/>
          </w:tcPr>
          <w:p w:rsidR="00E772DD" w:rsidRPr="008764AA" w:rsidRDefault="00E772DD" w:rsidP="00315F3A">
            <w:pPr>
              <w:spacing w:line="360" w:lineRule="auto"/>
              <w:jc w:val="both"/>
              <w:rPr>
                <w:lang w:val="fr-FR"/>
              </w:rPr>
            </w:pPr>
            <w:r w:rsidRPr="008764AA">
              <w:rPr>
                <w:lang w:val="fr-FR"/>
              </w:rPr>
              <w:t>45</w:t>
            </w:r>
          </w:p>
        </w:tc>
        <w:tc>
          <w:tcPr>
            <w:tcW w:w="3006" w:type="dxa"/>
          </w:tcPr>
          <w:p w:rsidR="00E772DD" w:rsidRPr="008764AA" w:rsidRDefault="00E772DD" w:rsidP="00315F3A">
            <w:pPr>
              <w:spacing w:line="360" w:lineRule="auto"/>
              <w:jc w:val="both"/>
              <w:rPr>
                <w:lang w:val="fr-FR"/>
              </w:rPr>
            </w:pPr>
            <w:r w:rsidRPr="008764AA">
              <w:rPr>
                <w:lang w:val="fr-FR"/>
              </w:rPr>
              <w:t>26,5</w:t>
            </w:r>
          </w:p>
        </w:tc>
      </w:tr>
      <w:tr w:rsidR="00E772DD" w:rsidRPr="008764AA" w:rsidTr="0090426B">
        <w:tc>
          <w:tcPr>
            <w:tcW w:w="3005" w:type="dxa"/>
          </w:tcPr>
          <w:p w:rsidR="00E772DD" w:rsidRPr="008764AA" w:rsidRDefault="00E772DD" w:rsidP="00315F3A">
            <w:pPr>
              <w:spacing w:line="360" w:lineRule="auto"/>
              <w:jc w:val="both"/>
              <w:rPr>
                <w:lang w:val="fr-FR"/>
              </w:rPr>
            </w:pPr>
            <w:r w:rsidRPr="008764AA">
              <w:rPr>
                <w:lang w:val="fr-FR"/>
              </w:rPr>
              <w:t xml:space="preserve">Manager / Chef d'équipe                      </w:t>
            </w:r>
          </w:p>
        </w:tc>
        <w:tc>
          <w:tcPr>
            <w:tcW w:w="3004" w:type="dxa"/>
          </w:tcPr>
          <w:p w:rsidR="00E772DD" w:rsidRPr="008764AA" w:rsidRDefault="00E772DD" w:rsidP="00315F3A">
            <w:pPr>
              <w:spacing w:line="360" w:lineRule="auto"/>
              <w:jc w:val="both"/>
              <w:rPr>
                <w:lang w:val="fr-FR"/>
              </w:rPr>
            </w:pPr>
            <w:r w:rsidRPr="008764AA">
              <w:rPr>
                <w:lang w:val="fr-FR"/>
              </w:rPr>
              <w:t>54</w:t>
            </w:r>
          </w:p>
        </w:tc>
        <w:tc>
          <w:tcPr>
            <w:tcW w:w="3006" w:type="dxa"/>
          </w:tcPr>
          <w:p w:rsidR="00E772DD" w:rsidRPr="008764AA" w:rsidRDefault="00E772DD" w:rsidP="00315F3A">
            <w:pPr>
              <w:spacing w:line="360" w:lineRule="auto"/>
              <w:jc w:val="both"/>
              <w:rPr>
                <w:lang w:val="fr-FR"/>
              </w:rPr>
            </w:pPr>
            <w:r w:rsidRPr="008764AA">
              <w:rPr>
                <w:lang w:val="fr-FR"/>
              </w:rPr>
              <w:t>31,8</w:t>
            </w:r>
          </w:p>
        </w:tc>
      </w:tr>
      <w:tr w:rsidR="00E772DD" w:rsidRPr="008764AA" w:rsidTr="0090426B">
        <w:tc>
          <w:tcPr>
            <w:tcW w:w="3005" w:type="dxa"/>
          </w:tcPr>
          <w:p w:rsidR="00E772DD" w:rsidRPr="008764AA" w:rsidRDefault="00E772DD" w:rsidP="00315F3A">
            <w:pPr>
              <w:spacing w:line="360" w:lineRule="auto"/>
              <w:jc w:val="both"/>
              <w:rPr>
                <w:lang w:val="fr-FR"/>
              </w:rPr>
            </w:pPr>
            <w:r w:rsidRPr="008764AA">
              <w:rPr>
                <w:lang w:val="fr-FR"/>
              </w:rPr>
              <w:t xml:space="preserve">Employé     </w:t>
            </w:r>
          </w:p>
        </w:tc>
        <w:tc>
          <w:tcPr>
            <w:tcW w:w="3004" w:type="dxa"/>
          </w:tcPr>
          <w:p w:rsidR="00E772DD" w:rsidRPr="008764AA" w:rsidRDefault="00E772DD" w:rsidP="00315F3A">
            <w:pPr>
              <w:spacing w:line="360" w:lineRule="auto"/>
              <w:jc w:val="both"/>
              <w:rPr>
                <w:lang w:val="fr-FR"/>
              </w:rPr>
            </w:pPr>
            <w:r w:rsidRPr="008764AA">
              <w:rPr>
                <w:lang w:val="fr-FR"/>
              </w:rPr>
              <w:t>60</w:t>
            </w:r>
          </w:p>
        </w:tc>
        <w:tc>
          <w:tcPr>
            <w:tcW w:w="3006" w:type="dxa"/>
          </w:tcPr>
          <w:p w:rsidR="00E772DD" w:rsidRPr="008764AA" w:rsidRDefault="00E772DD" w:rsidP="00315F3A">
            <w:pPr>
              <w:spacing w:line="360" w:lineRule="auto"/>
              <w:jc w:val="both"/>
              <w:rPr>
                <w:lang w:val="fr-FR"/>
              </w:rPr>
            </w:pPr>
            <w:r w:rsidRPr="008764AA">
              <w:rPr>
                <w:lang w:val="fr-FR"/>
              </w:rPr>
              <w:t>35,2</w:t>
            </w:r>
          </w:p>
        </w:tc>
      </w:tr>
      <w:tr w:rsidR="00E772DD" w:rsidRPr="008764AA" w:rsidTr="0090426B">
        <w:tc>
          <w:tcPr>
            <w:tcW w:w="3005" w:type="dxa"/>
          </w:tcPr>
          <w:p w:rsidR="00E772DD" w:rsidRPr="008764AA" w:rsidRDefault="00E772DD" w:rsidP="00315F3A">
            <w:pPr>
              <w:spacing w:line="360" w:lineRule="auto"/>
              <w:jc w:val="both"/>
              <w:rPr>
                <w:lang w:val="fr-FR"/>
              </w:rPr>
            </w:pPr>
            <w:r w:rsidRPr="008764AA">
              <w:rPr>
                <w:lang w:val="fr-FR"/>
              </w:rPr>
              <w:t xml:space="preserve">Stagiaire / Apprenti                         </w:t>
            </w:r>
          </w:p>
        </w:tc>
        <w:tc>
          <w:tcPr>
            <w:tcW w:w="3004" w:type="dxa"/>
          </w:tcPr>
          <w:p w:rsidR="00E772DD" w:rsidRPr="008764AA" w:rsidRDefault="00E772DD" w:rsidP="00315F3A">
            <w:pPr>
              <w:spacing w:line="360" w:lineRule="auto"/>
              <w:jc w:val="both"/>
              <w:rPr>
                <w:lang w:val="fr-FR"/>
              </w:rPr>
            </w:pPr>
            <w:r w:rsidRPr="008764AA">
              <w:rPr>
                <w:lang w:val="fr-FR"/>
              </w:rPr>
              <w:t>11</w:t>
            </w:r>
          </w:p>
        </w:tc>
        <w:tc>
          <w:tcPr>
            <w:tcW w:w="3006" w:type="dxa"/>
          </w:tcPr>
          <w:p w:rsidR="00E772DD" w:rsidRPr="008764AA" w:rsidRDefault="00E772DD" w:rsidP="00315F3A">
            <w:pPr>
              <w:spacing w:line="360" w:lineRule="auto"/>
              <w:jc w:val="both"/>
              <w:rPr>
                <w:lang w:val="fr-FR"/>
              </w:rPr>
            </w:pPr>
            <w:r w:rsidRPr="008764AA">
              <w:rPr>
                <w:lang w:val="fr-FR"/>
              </w:rPr>
              <w:t>6,5</w:t>
            </w:r>
          </w:p>
        </w:tc>
      </w:tr>
      <w:tr w:rsidR="00E772DD" w:rsidRPr="008764AA" w:rsidTr="0090426B">
        <w:tc>
          <w:tcPr>
            <w:tcW w:w="3005" w:type="dxa"/>
          </w:tcPr>
          <w:p w:rsidR="00E772DD" w:rsidRPr="008764AA" w:rsidRDefault="00E772DD" w:rsidP="00315F3A">
            <w:pPr>
              <w:spacing w:line="360" w:lineRule="auto"/>
              <w:jc w:val="both"/>
              <w:rPr>
                <w:lang w:val="fr-FR"/>
              </w:rPr>
            </w:pPr>
            <w:r w:rsidRPr="008764AA">
              <w:rPr>
                <w:lang w:val="fr-FR"/>
              </w:rPr>
              <w:t>Total</w:t>
            </w:r>
          </w:p>
        </w:tc>
        <w:tc>
          <w:tcPr>
            <w:tcW w:w="3004" w:type="dxa"/>
          </w:tcPr>
          <w:p w:rsidR="00E772DD" w:rsidRPr="008764AA" w:rsidRDefault="00E772DD" w:rsidP="00315F3A">
            <w:pPr>
              <w:spacing w:line="360" w:lineRule="auto"/>
              <w:jc w:val="both"/>
              <w:rPr>
                <w:lang w:val="fr-FR"/>
              </w:rPr>
            </w:pPr>
            <w:r w:rsidRPr="008764AA">
              <w:rPr>
                <w:lang w:val="fr-FR"/>
              </w:rPr>
              <w:t>170</w:t>
            </w:r>
          </w:p>
        </w:tc>
        <w:tc>
          <w:tcPr>
            <w:tcW w:w="3006" w:type="dxa"/>
          </w:tcPr>
          <w:p w:rsidR="00E772DD" w:rsidRPr="008764AA" w:rsidRDefault="00E772DD" w:rsidP="00315F3A">
            <w:pPr>
              <w:spacing w:line="360" w:lineRule="auto"/>
              <w:jc w:val="both"/>
              <w:rPr>
                <w:lang w:val="fr-FR"/>
              </w:rPr>
            </w:pPr>
            <w:r w:rsidRPr="008764AA">
              <w:rPr>
                <w:lang w:val="fr-FR"/>
              </w:rPr>
              <w:t>100</w:t>
            </w:r>
          </w:p>
        </w:tc>
      </w:tr>
    </w:tbl>
    <w:p w:rsidR="00E772DD" w:rsidRPr="008764AA" w:rsidRDefault="00E772DD" w:rsidP="00315F3A">
      <w:pPr>
        <w:spacing w:after="240"/>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6A0412" w:rsidRDefault="009832B3" w:rsidP="006A0412">
      <w:pPr>
        <w:spacing w:line="360" w:lineRule="auto"/>
        <w:jc w:val="center"/>
        <w:rPr>
          <w:b/>
          <w:bCs/>
          <w:color w:val="0C0C0C"/>
          <w:lang w:val="fr-FR"/>
        </w:rPr>
      </w:pPr>
      <w:r>
        <w:rPr>
          <w:noProof/>
          <w14:ligatures w14:val="standardContextual"/>
        </w:rPr>
        <w:lastRenderedPageBreak/>
        <w:drawing>
          <wp:anchor distT="0" distB="0" distL="114300" distR="114300" simplePos="0" relativeHeight="251691008" behindDoc="0" locked="0" layoutInCell="1" allowOverlap="1" wp14:anchorId="51127800" wp14:editId="4C927536">
            <wp:simplePos x="0" y="0"/>
            <wp:positionH relativeFrom="margin">
              <wp:posOffset>-132080</wp:posOffset>
            </wp:positionH>
            <wp:positionV relativeFrom="margin">
              <wp:posOffset>522605</wp:posOffset>
            </wp:positionV>
            <wp:extent cx="6029960" cy="3749675"/>
            <wp:effectExtent l="0" t="0" r="0" b="0"/>
            <wp:wrapTopAndBottom/>
            <wp:docPr id="29162116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21161" name="Image 291621161"/>
                    <pic:cNvPicPr/>
                  </pic:nvPicPr>
                  <pic:blipFill>
                    <a:blip r:embed="rId124">
                      <a:extLst>
                        <a:ext uri="{28A0092B-C50C-407E-A947-70E740481C1C}">
                          <a14:useLocalDpi xmlns:a14="http://schemas.microsoft.com/office/drawing/2010/main" val="0"/>
                        </a:ext>
                      </a:extLst>
                    </a:blip>
                    <a:stretch>
                      <a:fillRect/>
                    </a:stretch>
                  </pic:blipFill>
                  <pic:spPr>
                    <a:xfrm>
                      <a:off x="0" y="0"/>
                      <a:ext cx="6029960" cy="3749675"/>
                    </a:xfrm>
                    <a:prstGeom prst="rect">
                      <a:avLst/>
                    </a:prstGeom>
                  </pic:spPr>
                </pic:pic>
              </a:graphicData>
            </a:graphic>
            <wp14:sizeRelH relativeFrom="margin">
              <wp14:pctWidth>0</wp14:pctWidth>
            </wp14:sizeRelH>
            <wp14:sizeRelV relativeFrom="margin">
              <wp14:pctHeight>0</wp14:pctHeight>
            </wp14:sizeRelV>
          </wp:anchor>
        </w:drawing>
      </w:r>
      <w:r w:rsidR="00E772DD" w:rsidRPr="008764AA">
        <w:rPr>
          <w:b/>
          <w:bCs/>
          <w:color w:val="0C0C0C"/>
          <w:lang w:val="fr-FR"/>
        </w:rPr>
        <w:t>Figure</w:t>
      </w:r>
      <w:r w:rsidR="00E772DD">
        <w:rPr>
          <w:b/>
          <w:bCs/>
          <w:color w:val="0C0C0C"/>
          <w:lang w:val="fr-FR"/>
        </w:rPr>
        <w:t xml:space="preserve"> N°41</w:t>
      </w:r>
      <w:r w:rsidR="00E772DD" w:rsidRPr="008764AA">
        <w:rPr>
          <w:b/>
          <w:bCs/>
          <w:color w:val="0C0C0C"/>
          <w:lang w:val="fr-FR"/>
        </w:rPr>
        <w:t xml:space="preserve"> : </w:t>
      </w:r>
      <w:r w:rsidR="00E772DD" w:rsidRPr="00381B81">
        <w:rPr>
          <w:color w:val="0C0C0C"/>
          <w:lang w:val="fr-FR"/>
        </w:rPr>
        <w:t>Représentation graphique de la répartition de l'échantillon selon la catégorie socioprofessionnelle</w:t>
      </w:r>
    </w:p>
    <w:p w:rsidR="00E772DD" w:rsidRPr="003E68CC" w:rsidRDefault="00E772DD" w:rsidP="00FF163D">
      <w:pPr>
        <w:autoSpaceDE w:val="0"/>
        <w:autoSpaceDN w:val="0"/>
        <w:adjustRightInd w:val="0"/>
        <w:spacing w:after="240" w:line="360" w:lineRule="auto"/>
        <w:jc w:val="center"/>
        <w:rPr>
          <w:b/>
          <w:bCs/>
          <w:color w:val="0C0C0C"/>
          <w:lang w:val="fr-FR"/>
        </w:rPr>
      </w:pPr>
      <w:r>
        <w:fldChar w:fldCharType="begin"/>
      </w:r>
      <w:r>
        <w:instrText xml:space="preserve"> INCLUDEPICTURE "/Users/misha/Library/Group Containers/UBF8T346G9.ms/WebArchiveCopyPasteTempFiles/com.microsoft.Word/PcLFOQDw1kQ9AAAAZMrRdAAAACBToh4AAAAyJeoBAAAgU6IeAAAAMiXqAQAAIFOiHgAAADIl6gEAACBToh4AAAAyJeoBAAAgU6IeAAAAMiXqAQAAIFOiHgAAADIl6gEAACBToh4AAAAyJeoBAAAgU6IeAAAAMiXqAQAAIFOiHgAAADIl6gEAACBToh4AAAAyJeoBAAAgU6IeAAAAMiXqAQAAIFOiHgAAADIl6gEAACBToh4AAAAyJeoBAAAgU6IeAAAAMiXqAQAAIFOiHgAAADIl6gEAACBToh4AAAAyJeoBAAAgU6IeAAAAMiXqAQAAIFOiHgAAADIl6gEAACBToh4AAAAyJeoBAAAgU6IeAAAAMiXqAQAAIFPfACrbsIWDHi+AAAAAAElFTkSuQmCC" \* MERGEFORMATINET </w:instrText>
      </w:r>
      <w:r w:rsidR="00000000">
        <w:fldChar w:fldCharType="separate"/>
      </w:r>
      <w:r>
        <w:fldChar w:fldCharType="end"/>
      </w:r>
      <w:r>
        <w:fldChar w:fldCharType="begin"/>
      </w:r>
      <w:r>
        <w:instrText xml:space="preserve"> INCLUDEPICTURE "/Users/misha/Library/Group Containers/UBF8T346G9.ms/WebArchiveCopyPasteTempFiles/com.microsoft.Word/PcLFOQDw1kQ9AAAAZMrRdAAAACBToh4AAAAyJeoBAAAgU6IeAAAAMiXqAQAAIFOiHgAAADIl6gEAACBToh4AAAAyJeoBAAAgU6IeAAAAMiXqAQAAIFOiHgAAADIl6gEAACBToh4AAAAyJeoBAAAgU6IeAAAAMiXqAQAAIFOiHgAAADIl6gEAACBToh4AAAAyJeoBAAAgU6IeAAAAMiXqAQAAIFOiHgAAADIl6gEAACBToh4AAAAyJeoBAAAgU6IeAAAAMiXqAQAAIFOiHgAAADIl6gEAACBToh4AAAAyJeoBAAAgU6IeAAAAMiXqAQAAIFOiHgAAADIl6gEAACBToh4AAAAyJeoBAAAgU6IeAAAAMiXqAQAAIFPfACrbsIWDHi+AAAAAAElFTkSuQmCC" \* MERGEFORMATINET </w:instrText>
      </w:r>
      <w:r w:rsidR="00000000">
        <w:fldChar w:fldCharType="separate"/>
      </w:r>
      <w:r>
        <w:fldChar w:fldCharType="end"/>
      </w: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p>
    <w:p w:rsidR="00E772DD" w:rsidRPr="008764AA" w:rsidRDefault="00E772DD" w:rsidP="005F6D8E">
      <w:pPr>
        <w:spacing w:line="360" w:lineRule="auto"/>
        <w:jc w:val="both"/>
        <w:rPr>
          <w:color w:val="000000"/>
          <w:lang w:val="fr-FR"/>
        </w:rPr>
      </w:pPr>
      <w:r w:rsidRPr="008764AA">
        <w:rPr>
          <w:color w:val="000000"/>
          <w:lang w:val="fr-FR"/>
        </w:rPr>
        <w:t>Les données révèlent une forte représentation des employés, qui constituent 35,2 % de l’échantillon, suivis par les managers ou chefs d’équipe avec 31,8 % , les dirigeants d’entreprise ou cadres supérieurs, qui représentent 26,5 %, les stagiaires et apprentis forment une proportion plus restreinte, soit 6,5 % des participants.</w:t>
      </w:r>
    </w:p>
    <w:p w:rsidR="00E772DD" w:rsidRPr="008764AA" w:rsidRDefault="00E772DD" w:rsidP="005F6D8E">
      <w:pPr>
        <w:spacing w:line="360" w:lineRule="auto"/>
        <w:jc w:val="both"/>
        <w:rPr>
          <w:color w:val="000000"/>
          <w:lang w:val="fr-FR"/>
        </w:rPr>
      </w:pPr>
      <w:r w:rsidRPr="008764AA">
        <w:rPr>
          <w:color w:val="000000"/>
          <w:lang w:val="fr-FR"/>
        </w:rPr>
        <w:t>Cette répartition met en lumière la diversité des fonctions occupées par les participants au sein des entreprises , allant des postes d’exécution aux rôles de gestion et de direction. La part importante de employés, de cadres supérieurs et de dirigeants représentent la majorité de l'échantillon en raison de leur rôle clé dans la digitalisation des processus RH.</w:t>
      </w:r>
    </w:p>
    <w:p w:rsidR="00E772DD" w:rsidRPr="008764AA" w:rsidRDefault="00E772DD" w:rsidP="005F6D8E">
      <w:pPr>
        <w:spacing w:line="360" w:lineRule="auto"/>
        <w:jc w:val="both"/>
        <w:rPr>
          <w:color w:val="000000"/>
          <w:lang w:val="fr-FR"/>
        </w:rPr>
      </w:pPr>
      <w:r w:rsidRPr="008764AA">
        <w:rPr>
          <w:color w:val="000000"/>
          <w:lang w:val="fr-FR"/>
        </w:rPr>
        <w:t>En effet, ces profils sont généralement impliqués dans la définition et l’application de la digitalisation des processus RH, et leur contribution est essentielle pour évaluer la performance des RH.</w:t>
      </w:r>
    </w:p>
    <w:p w:rsidR="00E772DD" w:rsidRDefault="00E772DD" w:rsidP="009714A6">
      <w:pPr>
        <w:spacing w:after="240" w:line="360" w:lineRule="auto"/>
        <w:jc w:val="both"/>
        <w:rPr>
          <w:color w:val="000000"/>
          <w:lang w:val="fr-FR"/>
        </w:rPr>
      </w:pPr>
      <w:r w:rsidRPr="008764AA">
        <w:rPr>
          <w:color w:val="000000"/>
          <w:lang w:val="fr-FR"/>
        </w:rPr>
        <w:t xml:space="preserve">Analyser cette diversité socioprofessionnelle permet de mieux comprendre comment le niveau hiérarchique et la nature des fonctions occupées influencent la digitalisation des processus RH (la formation et le recrutement) et la performance des RH . </w:t>
      </w:r>
    </w:p>
    <w:p w:rsidR="002A015A" w:rsidRPr="008764AA" w:rsidRDefault="002A015A" w:rsidP="009714A6">
      <w:pPr>
        <w:spacing w:after="240" w:line="360" w:lineRule="auto"/>
        <w:jc w:val="both"/>
        <w:rPr>
          <w:color w:val="000000"/>
          <w:lang w:val="fr-FR"/>
        </w:rPr>
      </w:pPr>
    </w:p>
    <w:p w:rsidR="00E772DD" w:rsidRPr="00A53242" w:rsidRDefault="00A53242" w:rsidP="004D32AC">
      <w:pPr>
        <w:pStyle w:val="Titre3"/>
        <w:numPr>
          <w:ilvl w:val="1"/>
          <w:numId w:val="20"/>
        </w:numPr>
        <w:spacing w:after="0" w:afterAutospacing="0" w:line="360" w:lineRule="auto"/>
        <w:rPr>
          <w:sz w:val="24"/>
          <w:szCs w:val="24"/>
          <w:lang w:val="fr-FR"/>
        </w:rPr>
      </w:pPr>
      <w:r>
        <w:rPr>
          <w:sz w:val="24"/>
          <w:szCs w:val="24"/>
          <w:lang w:val="fr-FR"/>
        </w:rPr>
        <w:lastRenderedPageBreak/>
        <w:t xml:space="preserve"> </w:t>
      </w:r>
      <w:bookmarkStart w:id="2268" w:name="_Toc199714569"/>
      <w:bookmarkStart w:id="2269" w:name="_Toc200486845"/>
      <w:bookmarkStart w:id="2270" w:name="_Toc200635623"/>
      <w:bookmarkStart w:id="2271" w:name="_Toc200636011"/>
      <w:bookmarkStart w:id="2272" w:name="_Toc200636400"/>
      <w:bookmarkStart w:id="2273" w:name="_Toc200756141"/>
      <w:r w:rsidR="00E772DD" w:rsidRPr="00A53242">
        <w:rPr>
          <w:sz w:val="24"/>
          <w:szCs w:val="24"/>
          <w:lang w:val="fr-FR"/>
        </w:rPr>
        <w:t>Le département du travail :</w:t>
      </w:r>
      <w:bookmarkEnd w:id="2268"/>
      <w:bookmarkEnd w:id="2269"/>
      <w:bookmarkEnd w:id="2270"/>
      <w:bookmarkEnd w:id="2271"/>
      <w:bookmarkEnd w:id="2272"/>
      <w:bookmarkEnd w:id="2273"/>
    </w:p>
    <w:p w:rsidR="00E772DD" w:rsidRPr="008764AA" w:rsidRDefault="00E772DD" w:rsidP="009714A6">
      <w:pPr>
        <w:spacing w:after="240" w:line="360" w:lineRule="auto"/>
        <w:jc w:val="both"/>
        <w:rPr>
          <w:rFonts w:asciiTheme="majorBidi" w:hAnsiTheme="majorBidi" w:cstheme="majorBidi"/>
          <w:lang w:val="fr-FR"/>
        </w:rPr>
      </w:pPr>
      <w:r w:rsidRPr="008764AA">
        <w:rPr>
          <w:rFonts w:asciiTheme="majorBidi" w:hAnsiTheme="majorBidi" w:cstheme="majorBidi"/>
          <w:color w:val="000000"/>
          <w:lang w:val="fr-FR"/>
        </w:rPr>
        <w:t>La cinquième question de notre questionnaire invite les participants à préciser le département dans lequel ils exercent. Cette donnée est essentielle pour analyser de manière plus ciblée la contribution spécifique de chaque service à la performance des RH et à la digitalisation des processus RH au sein de l’entreprise. En identifiant les départements représentés, nous serons en mesure de mieux comprendre comment les rôles, responsabilités et dynamiques propres à chaque domaine influencent les pratiques de la digitalisation de la formation et de recrutement. Cela permettra d’enrichir notre analyse en intégrant une dimension organisationnelle plus fine et plus pertinente.</w:t>
      </w:r>
    </w:p>
    <w:p w:rsidR="00E772DD" w:rsidRPr="006A0412" w:rsidRDefault="00E772DD" w:rsidP="006A0412">
      <w:pPr>
        <w:spacing w:line="360" w:lineRule="auto"/>
        <w:jc w:val="center"/>
        <w:rPr>
          <w:lang w:val="fr-FR"/>
        </w:rPr>
      </w:pPr>
      <w:r w:rsidRPr="008764AA">
        <w:rPr>
          <w:b/>
          <w:bCs/>
          <w:color w:val="0C0C0C"/>
          <w:lang w:val="fr-FR"/>
        </w:rPr>
        <w:t>Tableau</w:t>
      </w:r>
      <w:r>
        <w:rPr>
          <w:b/>
          <w:bCs/>
          <w:color w:val="0C0C0C"/>
          <w:lang w:val="fr-FR"/>
        </w:rPr>
        <w:t xml:space="preserve"> N°27</w:t>
      </w:r>
      <w:r w:rsidRPr="008764AA">
        <w:rPr>
          <w:b/>
          <w:bCs/>
          <w:color w:val="0C0C0C"/>
          <w:lang w:val="fr-FR"/>
        </w:rPr>
        <w:t xml:space="preserve"> : </w:t>
      </w:r>
      <w:r w:rsidRPr="006A0412">
        <w:rPr>
          <w:color w:val="0C0C0C"/>
          <w:lang w:val="fr-FR"/>
        </w:rPr>
        <w:t>Répartition d’échantillon</w:t>
      </w:r>
      <w:r w:rsidRPr="006A0412">
        <w:rPr>
          <w:lang w:val="fr-FR"/>
        </w:rPr>
        <w:t xml:space="preserve"> selon le département du travail</w:t>
      </w:r>
    </w:p>
    <w:tbl>
      <w:tblPr>
        <w:tblStyle w:val="Grilledutableau"/>
        <w:tblW w:w="0" w:type="auto"/>
        <w:tblLook w:val="04A0" w:firstRow="1" w:lastRow="0" w:firstColumn="1" w:lastColumn="0" w:noHBand="0" w:noVBand="1"/>
      </w:tblPr>
      <w:tblGrid>
        <w:gridCol w:w="3003"/>
        <w:gridCol w:w="3003"/>
        <w:gridCol w:w="3004"/>
      </w:tblGrid>
      <w:tr w:rsidR="00E772DD" w:rsidRPr="008764AA" w:rsidTr="0091753F">
        <w:tc>
          <w:tcPr>
            <w:tcW w:w="9016" w:type="dxa"/>
            <w:gridSpan w:val="3"/>
            <w:shd w:val="clear" w:color="auto" w:fill="D8DCD2"/>
          </w:tcPr>
          <w:p w:rsidR="00E772DD" w:rsidRPr="008764AA" w:rsidRDefault="00E772DD" w:rsidP="00E154DE">
            <w:pPr>
              <w:pStyle w:val="p1"/>
              <w:spacing w:line="360" w:lineRule="auto"/>
              <w:jc w:val="center"/>
              <w:rPr>
                <w:rFonts w:asciiTheme="majorBidi" w:hAnsiTheme="majorBidi" w:cstheme="majorBidi"/>
                <w:sz w:val="24"/>
                <w:szCs w:val="24"/>
              </w:rPr>
            </w:pPr>
            <w:r w:rsidRPr="008764AA">
              <w:rPr>
                <w:rFonts w:asciiTheme="majorBidi" w:hAnsiTheme="majorBidi" w:cstheme="majorBidi"/>
                <w:b/>
                <w:bCs/>
                <w:sz w:val="24"/>
                <w:szCs w:val="24"/>
              </w:rPr>
              <w:t>Le département du travail</w:t>
            </w:r>
          </w:p>
        </w:tc>
      </w:tr>
      <w:tr w:rsidR="00E772DD" w:rsidRPr="008764AA" w:rsidTr="00E87157">
        <w:tc>
          <w:tcPr>
            <w:tcW w:w="3005" w:type="dxa"/>
          </w:tcPr>
          <w:p w:rsidR="00E772DD" w:rsidRPr="008764AA" w:rsidRDefault="00E772DD" w:rsidP="00E154DE">
            <w:pPr>
              <w:pStyle w:val="PrformatHTML"/>
              <w:wordWrap w:val="0"/>
              <w:spacing w:line="360" w:lineRule="auto"/>
              <w:rPr>
                <w:rFonts w:asciiTheme="majorBidi" w:hAnsiTheme="majorBidi" w:cstheme="majorBidi"/>
                <w:sz w:val="24"/>
                <w:szCs w:val="24"/>
                <w:lang w:val="fr-FR"/>
              </w:rPr>
            </w:pPr>
          </w:p>
        </w:tc>
        <w:tc>
          <w:tcPr>
            <w:tcW w:w="3005" w:type="dxa"/>
          </w:tcPr>
          <w:p w:rsidR="00E772DD" w:rsidRPr="008764AA" w:rsidRDefault="00E772DD" w:rsidP="00E154DE">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Fréquence</w:t>
            </w:r>
          </w:p>
        </w:tc>
        <w:tc>
          <w:tcPr>
            <w:tcW w:w="3006" w:type="dxa"/>
          </w:tcPr>
          <w:p w:rsidR="00E772DD" w:rsidRPr="008764AA" w:rsidRDefault="00E772DD" w:rsidP="00E154DE">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Pourcentage</w:t>
            </w:r>
          </w:p>
        </w:tc>
      </w:tr>
      <w:tr w:rsidR="00E772DD" w:rsidRPr="008764AA" w:rsidTr="00E87157">
        <w:tc>
          <w:tcPr>
            <w:tcW w:w="3005" w:type="dxa"/>
          </w:tcPr>
          <w:p w:rsidR="00E772DD" w:rsidRPr="008764AA" w:rsidRDefault="00E772DD" w:rsidP="00E154DE">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Ressources humaines                                      </w:t>
            </w:r>
          </w:p>
        </w:tc>
        <w:tc>
          <w:tcPr>
            <w:tcW w:w="3005" w:type="dxa"/>
          </w:tcPr>
          <w:p w:rsidR="00E772DD" w:rsidRPr="008764AA" w:rsidRDefault="00E772DD" w:rsidP="00E154DE">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74</w:t>
            </w:r>
          </w:p>
        </w:tc>
        <w:tc>
          <w:tcPr>
            <w:tcW w:w="3006" w:type="dxa"/>
          </w:tcPr>
          <w:p w:rsidR="00E772DD" w:rsidRPr="008764AA" w:rsidRDefault="00E772DD" w:rsidP="00E154DE">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43,5</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Finances ou comptabilité                                 </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23</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13,5</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Commercial    </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17</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10</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Marketing   </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14</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8,2</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Contrôle de gestion                                      </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11</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6,5</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Production ou opérations                                 </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11</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6,5</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Service client                                            </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9</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5,3</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Informatique ou technologies de l'information</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8</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4,7</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Juridique</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3</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1,8</w:t>
            </w:r>
          </w:p>
        </w:tc>
      </w:tr>
      <w:tr w:rsidR="00E772DD" w:rsidRPr="008764AA" w:rsidTr="00E87157">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Total    </w:t>
            </w:r>
          </w:p>
        </w:tc>
        <w:tc>
          <w:tcPr>
            <w:tcW w:w="3005"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170</w:t>
            </w:r>
          </w:p>
        </w:tc>
        <w:tc>
          <w:tcPr>
            <w:tcW w:w="3006" w:type="dxa"/>
          </w:tcPr>
          <w:p w:rsidR="00E772DD" w:rsidRPr="008764AA" w:rsidRDefault="00E772DD" w:rsidP="009714A6">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100</w:t>
            </w:r>
          </w:p>
        </w:tc>
      </w:tr>
    </w:tbl>
    <w:p w:rsidR="00E772DD" w:rsidRDefault="00E772DD" w:rsidP="00315F3A">
      <w:pPr>
        <w:spacing w:after="240" w:line="360" w:lineRule="auto"/>
        <w:jc w:val="center"/>
        <w:rPr>
          <w:b/>
          <w:bCs/>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2A015A" w:rsidRDefault="002A015A" w:rsidP="00315F3A">
      <w:pPr>
        <w:spacing w:after="240" w:line="360" w:lineRule="auto"/>
        <w:jc w:val="center"/>
        <w:rPr>
          <w:b/>
          <w:bCs/>
          <w:color w:val="0C0C0C"/>
          <w:lang w:val="fr-FR"/>
        </w:rPr>
      </w:pPr>
    </w:p>
    <w:p w:rsidR="002A015A" w:rsidRDefault="002A015A" w:rsidP="00315F3A">
      <w:pPr>
        <w:spacing w:after="240" w:line="360" w:lineRule="auto"/>
        <w:jc w:val="center"/>
        <w:rPr>
          <w:b/>
          <w:bCs/>
          <w:color w:val="0C0C0C"/>
          <w:lang w:val="fr-FR"/>
        </w:rPr>
      </w:pPr>
    </w:p>
    <w:p w:rsidR="002A015A" w:rsidRDefault="002A015A" w:rsidP="00315F3A">
      <w:pPr>
        <w:spacing w:after="240" w:line="360" w:lineRule="auto"/>
        <w:jc w:val="center"/>
        <w:rPr>
          <w:b/>
          <w:bCs/>
          <w:color w:val="0C0C0C"/>
          <w:lang w:val="fr-FR"/>
        </w:rPr>
      </w:pPr>
    </w:p>
    <w:p w:rsidR="002A015A" w:rsidRDefault="002A015A" w:rsidP="00315F3A">
      <w:pPr>
        <w:spacing w:after="240" w:line="360" w:lineRule="auto"/>
        <w:jc w:val="center"/>
        <w:rPr>
          <w:b/>
          <w:bCs/>
          <w:color w:val="0C0C0C"/>
          <w:lang w:val="fr-FR"/>
        </w:rPr>
      </w:pPr>
    </w:p>
    <w:p w:rsidR="002A015A" w:rsidRPr="00315F3A" w:rsidRDefault="002A015A" w:rsidP="00315F3A">
      <w:pPr>
        <w:spacing w:after="240" w:line="360" w:lineRule="auto"/>
        <w:jc w:val="center"/>
        <w:rPr>
          <w:b/>
          <w:bCs/>
          <w:color w:val="0C0C0C"/>
          <w:lang w:val="fr-FR"/>
        </w:rPr>
      </w:pPr>
    </w:p>
    <w:p w:rsidR="00E772DD" w:rsidRPr="008764AA" w:rsidRDefault="00E772DD" w:rsidP="009714A6">
      <w:pPr>
        <w:spacing w:line="360" w:lineRule="auto"/>
        <w:jc w:val="center"/>
        <w:rPr>
          <w:color w:val="18191B"/>
          <w:lang w:val="fr-FR"/>
        </w:rPr>
      </w:pPr>
      <w:r w:rsidRPr="008764AA">
        <w:rPr>
          <w:b/>
          <w:bCs/>
          <w:color w:val="18191B"/>
          <w:lang w:val="fr-FR"/>
        </w:rPr>
        <w:lastRenderedPageBreak/>
        <w:t xml:space="preserve">Figure </w:t>
      </w:r>
      <w:r>
        <w:rPr>
          <w:b/>
          <w:bCs/>
          <w:color w:val="18191B"/>
          <w:lang w:val="fr-FR"/>
        </w:rPr>
        <w:t xml:space="preserve">N°42 </w:t>
      </w:r>
      <w:r w:rsidRPr="008764AA">
        <w:rPr>
          <w:b/>
          <w:bCs/>
          <w:color w:val="18191B"/>
          <w:lang w:val="fr-FR"/>
        </w:rPr>
        <w:t xml:space="preserve">: </w:t>
      </w:r>
      <w:r w:rsidRPr="006A0412">
        <w:rPr>
          <w:color w:val="18191B"/>
          <w:lang w:val="fr-FR"/>
        </w:rPr>
        <w:t>Représentation graphique de la répartition de l'échantillon selon le département du travail</w:t>
      </w:r>
    </w:p>
    <w:p w:rsidR="00E772DD" w:rsidRPr="008764AA" w:rsidRDefault="00E772DD" w:rsidP="00DD57A7">
      <w:pPr>
        <w:spacing w:after="240" w:line="360" w:lineRule="auto"/>
        <w:rPr>
          <w:rFonts w:asciiTheme="majorBidi" w:hAnsiTheme="majorBidi" w:cstheme="majorBidi"/>
          <w:lang w:val="fr-FR"/>
        </w:rPr>
      </w:pPr>
      <w:r w:rsidRPr="008764AA">
        <w:rPr>
          <w:lang w:val="fr-FR"/>
        </w:rPr>
        <w:fldChar w:fldCharType="begin"/>
      </w:r>
      <w:r w:rsidRPr="008764AA">
        <w:rPr>
          <w:lang w:val="fr-FR"/>
        </w:rPr>
        <w:instrText xml:space="preserve"> INCLUDEPICTURE "/Users/misha/Library/Group Containers/UBF8T346G9.ms/WebArchiveCopyPasteTempFiles/com.microsoft.Word/BdTm35B2C2wAAAAASUVORK5CYII=" \* MERGEFORMATINET </w:instrText>
      </w:r>
      <w:r w:rsidRPr="008764AA">
        <w:rPr>
          <w:lang w:val="fr-FR"/>
        </w:rPr>
        <w:fldChar w:fldCharType="separate"/>
      </w:r>
      <w:r w:rsidRPr="008764AA">
        <w:rPr>
          <w:noProof/>
          <w:lang w:val="fr-FR"/>
        </w:rPr>
        <w:drawing>
          <wp:inline distT="0" distB="0" distL="0" distR="0" wp14:anchorId="2E0304B2" wp14:editId="44D7F57C">
            <wp:extent cx="6075524" cy="3624044"/>
            <wp:effectExtent l="0" t="0" r="0" b="0"/>
            <wp:docPr id="4051076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80364" cy="3626931"/>
                    </a:xfrm>
                    <a:prstGeom prst="rect">
                      <a:avLst/>
                    </a:prstGeom>
                    <a:noFill/>
                    <a:ln>
                      <a:noFill/>
                    </a:ln>
                  </pic:spPr>
                </pic:pic>
              </a:graphicData>
            </a:graphic>
          </wp:inline>
        </w:drawing>
      </w:r>
      <w:r w:rsidRPr="008764AA">
        <w:rPr>
          <w:lang w:val="fr-FR"/>
        </w:rPr>
        <w:fldChar w:fldCharType="end"/>
      </w:r>
    </w:p>
    <w:p w:rsidR="00E772DD" w:rsidRPr="008764AA" w:rsidRDefault="00E772DD" w:rsidP="00315F3A">
      <w:pPr>
        <w:spacing w:after="240"/>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122C91">
      <w:pPr>
        <w:jc w:val="center"/>
        <w:rPr>
          <w:color w:val="0C0C0C"/>
          <w:sz w:val="18"/>
          <w:szCs w:val="18"/>
          <w:lang w:val="fr-FR"/>
        </w:rPr>
      </w:pPr>
    </w:p>
    <w:p w:rsidR="00E772DD" w:rsidRPr="008764AA" w:rsidRDefault="00E772DD" w:rsidP="009714A6">
      <w:pPr>
        <w:spacing w:line="360" w:lineRule="auto"/>
        <w:jc w:val="both"/>
        <w:rPr>
          <w:rFonts w:asciiTheme="majorBidi" w:hAnsiTheme="majorBidi" w:cstheme="majorBidi"/>
          <w:color w:val="0C0C0C"/>
          <w:lang w:val="fr-FR"/>
        </w:rPr>
      </w:pPr>
      <w:r w:rsidRPr="008764AA">
        <w:rPr>
          <w:rFonts w:asciiTheme="majorBidi" w:hAnsiTheme="majorBidi" w:cstheme="majorBidi"/>
          <w:color w:val="0C0C0C"/>
          <w:lang w:val="fr-FR"/>
        </w:rPr>
        <w:t>Les résultats montrent que le département des Ressources Humaines est le plus représenté parmi les participants, avec 43,5 % des réponses. Il est suivi par le département Finances ou Comptabilité, qui regroupe 13,5 % des répondants. Le département Commercial arrive en troisième position avec 10 %, devant le Marketing, qui représente 8,2 % des participants. Les départements Contrôle de Gestion et Production/Opérations enregistrent chacun 6,5 % de participation, tandis que le Service Client représente 5,3 %. Le département Informatique ou Technologies de l’Information (IT) suit avec 4,7 %, et le département Juridique clôture la liste avec 1,8 % des réponses.</w:t>
      </w:r>
    </w:p>
    <w:p w:rsidR="00E772DD" w:rsidRPr="008764AA" w:rsidRDefault="00E772DD" w:rsidP="005443A7">
      <w:pPr>
        <w:spacing w:after="240" w:line="360" w:lineRule="auto"/>
        <w:jc w:val="both"/>
        <w:rPr>
          <w:rFonts w:asciiTheme="majorBidi" w:hAnsiTheme="majorBidi" w:cstheme="majorBidi"/>
          <w:color w:val="0C0C0C"/>
          <w:lang w:val="fr-FR"/>
        </w:rPr>
      </w:pPr>
      <w:r w:rsidRPr="008764AA">
        <w:rPr>
          <w:rFonts w:asciiTheme="majorBidi" w:hAnsiTheme="majorBidi" w:cstheme="majorBidi"/>
          <w:color w:val="0C0C0C"/>
          <w:lang w:val="fr-FR"/>
        </w:rPr>
        <w:t xml:space="preserve">Cette répartition souligne une forte représentation des fonctions RH, suggérant un intérêt particulier de ce département pour les dynamiques liées à la digitalisation des processus RH. La présence significative des départements Finance, Commercial et Marketing montre que le processus de digitalisation des ressources humaines est perçu comme un enjeu transversal, impactant divers domaines de l’entreprise au-delà du seul service RH. L’implication des autres départements  (L’IT, la production, le service client ou encore le juridique) souligne que la digitalisation RH ne peut se limiter à une transformation interne des pratiques RH, mais </w:t>
      </w:r>
      <w:r w:rsidRPr="008764AA">
        <w:rPr>
          <w:rFonts w:asciiTheme="majorBidi" w:hAnsiTheme="majorBidi" w:cstheme="majorBidi"/>
          <w:color w:val="0C0C0C"/>
          <w:lang w:val="fr-FR"/>
        </w:rPr>
        <w:lastRenderedPageBreak/>
        <w:t>nécessite une collaboration interfonctionnelle. Cette approche collective est essentielle pour construire des stratégies de digitalisation RH cohérentes, innovantes et efficaces, capables de répondre aux exigences d’un environnement concurrentiel en constante évolution.</w:t>
      </w:r>
    </w:p>
    <w:p w:rsidR="00E772DD" w:rsidRPr="00A53242" w:rsidRDefault="00A53242" w:rsidP="004D32AC">
      <w:pPr>
        <w:pStyle w:val="Titre3"/>
        <w:numPr>
          <w:ilvl w:val="1"/>
          <w:numId w:val="20"/>
        </w:numPr>
        <w:spacing w:after="0" w:afterAutospacing="0" w:line="360" w:lineRule="auto"/>
        <w:rPr>
          <w:sz w:val="24"/>
          <w:szCs w:val="24"/>
          <w:lang w:val="fr-FR"/>
        </w:rPr>
      </w:pPr>
      <w:r>
        <w:rPr>
          <w:sz w:val="24"/>
          <w:szCs w:val="24"/>
          <w:lang w:val="fr-FR"/>
        </w:rPr>
        <w:t xml:space="preserve"> </w:t>
      </w:r>
      <w:bookmarkStart w:id="2274" w:name="_Toc199714570"/>
      <w:bookmarkStart w:id="2275" w:name="_Toc200486846"/>
      <w:bookmarkStart w:id="2276" w:name="_Toc200635624"/>
      <w:bookmarkStart w:id="2277" w:name="_Toc200636012"/>
      <w:bookmarkStart w:id="2278" w:name="_Toc200636401"/>
      <w:bookmarkStart w:id="2279" w:name="_Toc200756142"/>
      <w:r w:rsidR="00E772DD" w:rsidRPr="00A53242">
        <w:rPr>
          <w:sz w:val="24"/>
          <w:szCs w:val="24"/>
          <w:lang w:val="fr-FR"/>
        </w:rPr>
        <w:t>Le secteur d'activité de l'entreprise :</w:t>
      </w:r>
      <w:bookmarkEnd w:id="2274"/>
      <w:bookmarkEnd w:id="2275"/>
      <w:bookmarkEnd w:id="2276"/>
      <w:bookmarkEnd w:id="2277"/>
      <w:bookmarkEnd w:id="2278"/>
      <w:bookmarkEnd w:id="2279"/>
    </w:p>
    <w:p w:rsidR="00E772DD" w:rsidRPr="008764AA" w:rsidRDefault="00E772DD" w:rsidP="00D66A49">
      <w:pPr>
        <w:spacing w:after="240" w:line="360" w:lineRule="auto"/>
        <w:rPr>
          <w:rFonts w:asciiTheme="majorBidi" w:hAnsiTheme="majorBidi" w:cstheme="majorBidi"/>
          <w:b/>
          <w:bCs/>
          <w:lang w:val="fr-FR"/>
        </w:rPr>
      </w:pPr>
      <w:r w:rsidRPr="008764AA">
        <w:rPr>
          <w:rFonts w:asciiTheme="majorBidi" w:hAnsiTheme="majorBidi" w:cstheme="majorBidi"/>
          <w:color w:val="000000"/>
          <w:lang w:val="fr-FR"/>
        </w:rPr>
        <w:t>Sixièmement, notre questionnaire invite les participants à indiquer le secteur d’activité de leur entreprise. Cette identification des domaines d’activité nous permet de cartographier les différents secteurs représentés et d’analyser plus finement l’impact spécifique de chacun sur la performance des RH et la digitalisation des processus RH. Ainsi, cette donnée enrichit notre analyse en intégrant les particularités et les enjeux propres à chaque secteur.</w:t>
      </w:r>
    </w:p>
    <w:p w:rsidR="00E772DD" w:rsidRPr="006A0412" w:rsidRDefault="00E772DD" w:rsidP="005443A7">
      <w:pPr>
        <w:spacing w:line="360" w:lineRule="auto"/>
        <w:jc w:val="center"/>
        <w:rPr>
          <w:color w:val="0C0C0C"/>
          <w:lang w:val="fr-FR"/>
        </w:rPr>
      </w:pPr>
      <w:r w:rsidRPr="008764AA">
        <w:rPr>
          <w:b/>
          <w:bCs/>
          <w:color w:val="0C0C0C"/>
          <w:lang w:val="fr-FR"/>
        </w:rPr>
        <w:t>Tableau</w:t>
      </w:r>
      <w:r>
        <w:rPr>
          <w:b/>
          <w:bCs/>
          <w:color w:val="0C0C0C"/>
          <w:lang w:val="fr-FR"/>
        </w:rPr>
        <w:t xml:space="preserve"> N°28</w:t>
      </w:r>
      <w:r w:rsidRPr="008764AA">
        <w:rPr>
          <w:b/>
          <w:bCs/>
          <w:color w:val="0C0C0C"/>
          <w:lang w:val="fr-FR"/>
        </w:rPr>
        <w:t xml:space="preserve"> : </w:t>
      </w:r>
      <w:r w:rsidRPr="006A0412">
        <w:rPr>
          <w:color w:val="0C0C0C"/>
          <w:lang w:val="fr-FR"/>
        </w:rPr>
        <w:t xml:space="preserve">Répartition d’échantillon selon </w:t>
      </w:r>
      <w:r w:rsidRPr="006A0412">
        <w:rPr>
          <w:lang w:val="fr-FR"/>
        </w:rPr>
        <w:t>le secteur d'activité de l'entreprise</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c>
          <w:tcPr>
            <w:tcW w:w="9016" w:type="dxa"/>
            <w:gridSpan w:val="3"/>
            <w:shd w:val="clear" w:color="auto" w:fill="D8DCD1"/>
          </w:tcPr>
          <w:p w:rsidR="00E772DD" w:rsidRPr="008764AA" w:rsidRDefault="00E772DD" w:rsidP="002157A0">
            <w:pPr>
              <w:pStyle w:val="p1"/>
              <w:spacing w:line="360" w:lineRule="auto"/>
              <w:jc w:val="center"/>
              <w:rPr>
                <w:rFonts w:asciiTheme="majorBidi" w:hAnsiTheme="majorBidi" w:cstheme="majorBidi"/>
                <w:sz w:val="24"/>
                <w:szCs w:val="24"/>
              </w:rPr>
            </w:pPr>
            <w:r w:rsidRPr="008764AA">
              <w:rPr>
                <w:rFonts w:asciiTheme="majorBidi" w:hAnsiTheme="majorBidi" w:cstheme="majorBidi"/>
                <w:b/>
                <w:bCs/>
                <w:sz w:val="24"/>
                <w:szCs w:val="24"/>
              </w:rPr>
              <w:t>Le secteur d'activité de l'entreprise</w:t>
            </w:r>
          </w:p>
        </w:tc>
      </w:tr>
      <w:tr w:rsidR="00E772DD" w:rsidRPr="008764AA" w:rsidTr="00E87157">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p>
        </w:tc>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Fréquence</w:t>
            </w:r>
          </w:p>
        </w:tc>
        <w:tc>
          <w:tcPr>
            <w:tcW w:w="3006"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Pourcentage</w:t>
            </w:r>
          </w:p>
        </w:tc>
      </w:tr>
      <w:tr w:rsidR="00E772DD" w:rsidRPr="008764AA" w:rsidTr="00E87157">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Services</w:t>
            </w:r>
          </w:p>
        </w:tc>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63</w:t>
            </w:r>
          </w:p>
        </w:tc>
        <w:tc>
          <w:tcPr>
            <w:tcW w:w="3006"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37,2</w:t>
            </w:r>
          </w:p>
        </w:tc>
      </w:tr>
      <w:tr w:rsidR="00E772DD" w:rsidRPr="008764AA" w:rsidTr="00E87157">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Commerce</w:t>
            </w:r>
          </w:p>
        </w:tc>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37</w:t>
            </w:r>
          </w:p>
        </w:tc>
        <w:tc>
          <w:tcPr>
            <w:tcW w:w="3006"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21,8</w:t>
            </w:r>
          </w:p>
        </w:tc>
      </w:tr>
      <w:tr w:rsidR="00E772DD" w:rsidRPr="008764AA" w:rsidTr="00E87157">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Industrie</w:t>
            </w:r>
          </w:p>
        </w:tc>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36</w:t>
            </w:r>
          </w:p>
        </w:tc>
        <w:tc>
          <w:tcPr>
            <w:tcW w:w="3006"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21,2</w:t>
            </w:r>
          </w:p>
        </w:tc>
      </w:tr>
      <w:tr w:rsidR="00E772DD" w:rsidRPr="008764AA" w:rsidTr="00E87157">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Santé   </w:t>
            </w:r>
          </w:p>
        </w:tc>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30</w:t>
            </w:r>
          </w:p>
        </w:tc>
        <w:tc>
          <w:tcPr>
            <w:tcW w:w="3006"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17,5</w:t>
            </w:r>
          </w:p>
        </w:tc>
      </w:tr>
      <w:tr w:rsidR="00E772DD" w:rsidRPr="008764AA" w:rsidTr="00E87157">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Autre</w:t>
            </w:r>
          </w:p>
        </w:tc>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4</w:t>
            </w:r>
          </w:p>
        </w:tc>
        <w:tc>
          <w:tcPr>
            <w:tcW w:w="3006"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2,3</w:t>
            </w:r>
          </w:p>
        </w:tc>
      </w:tr>
      <w:tr w:rsidR="00E772DD" w:rsidRPr="008764AA" w:rsidTr="00E87157">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Total  </w:t>
            </w:r>
          </w:p>
        </w:tc>
        <w:tc>
          <w:tcPr>
            <w:tcW w:w="3005"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170</w:t>
            </w:r>
          </w:p>
        </w:tc>
        <w:tc>
          <w:tcPr>
            <w:tcW w:w="3006" w:type="dxa"/>
          </w:tcPr>
          <w:p w:rsidR="00E772DD" w:rsidRPr="008764AA" w:rsidRDefault="00E772DD" w:rsidP="002157A0">
            <w:pPr>
              <w:pStyle w:val="PrformatHTML"/>
              <w:wordWrap w:val="0"/>
              <w:spacing w:line="360" w:lineRule="auto"/>
              <w:rPr>
                <w:rFonts w:asciiTheme="majorBidi" w:hAnsiTheme="majorBidi" w:cstheme="majorBidi"/>
                <w:sz w:val="24"/>
                <w:szCs w:val="24"/>
                <w:lang w:val="fr-FR"/>
              </w:rPr>
            </w:pPr>
            <w:r w:rsidRPr="008764AA">
              <w:rPr>
                <w:rFonts w:asciiTheme="majorBidi" w:hAnsiTheme="majorBidi" w:cstheme="majorBidi"/>
                <w:sz w:val="24"/>
                <w:szCs w:val="24"/>
                <w:lang w:val="fr-FR"/>
              </w:rPr>
              <w:t>100</w:t>
            </w:r>
          </w:p>
        </w:tc>
      </w:tr>
    </w:tbl>
    <w:p w:rsidR="00E772DD" w:rsidRPr="008764AA" w:rsidRDefault="00E772DD" w:rsidP="00E87157">
      <w:pPr>
        <w:jc w:val="center"/>
        <w:rPr>
          <w:rFonts w:asciiTheme="majorBidi" w:hAnsiTheme="majorBidi" w:cstheme="majorBidi"/>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E772DD" w:rsidRDefault="00E772DD" w:rsidP="00E87157">
      <w:pPr>
        <w:jc w:val="center"/>
        <w:rPr>
          <w:rFonts w:asciiTheme="majorBidi" w:hAnsiTheme="majorBidi" w:cstheme="majorBidi"/>
          <w:color w:val="0C0C0C"/>
          <w:lang w:val="fr-FR"/>
        </w:rPr>
      </w:pPr>
    </w:p>
    <w:p w:rsidR="00E772DD" w:rsidRDefault="00E772DD" w:rsidP="00E87157">
      <w:pPr>
        <w:jc w:val="center"/>
        <w:rPr>
          <w:rFonts w:asciiTheme="majorBidi" w:hAnsiTheme="majorBidi" w:cstheme="majorBidi"/>
          <w:color w:val="0C0C0C"/>
          <w:lang w:val="fr-FR"/>
        </w:rPr>
      </w:pPr>
    </w:p>
    <w:p w:rsidR="00E772DD" w:rsidRDefault="00E772DD" w:rsidP="00E87157">
      <w:pPr>
        <w:jc w:val="center"/>
        <w:rPr>
          <w:rFonts w:asciiTheme="majorBidi" w:hAnsiTheme="majorBidi" w:cstheme="majorBidi"/>
          <w:color w:val="0C0C0C"/>
          <w:lang w:val="fr-FR"/>
        </w:rPr>
      </w:pPr>
    </w:p>
    <w:p w:rsidR="00E772DD" w:rsidRDefault="00E772DD" w:rsidP="00E87157">
      <w:pPr>
        <w:jc w:val="center"/>
        <w:rPr>
          <w:rFonts w:asciiTheme="majorBidi" w:hAnsiTheme="majorBidi" w:cstheme="majorBidi"/>
          <w:color w:val="0C0C0C"/>
          <w:lang w:val="fr-FR"/>
        </w:rPr>
      </w:pPr>
    </w:p>
    <w:p w:rsidR="00E772DD" w:rsidRDefault="00E772DD" w:rsidP="00E87157">
      <w:pPr>
        <w:jc w:val="center"/>
        <w:rPr>
          <w:rFonts w:asciiTheme="majorBidi" w:hAnsiTheme="majorBidi" w:cstheme="majorBidi"/>
          <w:color w:val="0C0C0C"/>
          <w:lang w:val="fr-FR"/>
        </w:rPr>
      </w:pPr>
    </w:p>
    <w:p w:rsidR="00E772DD" w:rsidRPr="008764AA" w:rsidRDefault="00E772DD" w:rsidP="006A0412">
      <w:pPr>
        <w:rPr>
          <w:rFonts w:asciiTheme="majorBidi" w:hAnsiTheme="majorBidi" w:cstheme="majorBidi"/>
          <w:color w:val="0C0C0C"/>
          <w:lang w:val="fr-FR"/>
        </w:rPr>
      </w:pPr>
    </w:p>
    <w:p w:rsidR="00E772DD" w:rsidRPr="006A0412" w:rsidRDefault="00E772DD" w:rsidP="006A0412">
      <w:pPr>
        <w:spacing w:line="360" w:lineRule="auto"/>
        <w:jc w:val="center"/>
        <w:rPr>
          <w:b/>
          <w:bCs/>
          <w:color w:val="18191B"/>
          <w:lang w:val="fr-FR"/>
        </w:rPr>
      </w:pPr>
      <w:r>
        <w:rPr>
          <w:noProof/>
        </w:rPr>
        <w:lastRenderedPageBreak/>
        <w:drawing>
          <wp:anchor distT="0" distB="0" distL="114300" distR="114300" simplePos="0" relativeHeight="251692032" behindDoc="0" locked="0" layoutInCell="1" allowOverlap="1">
            <wp:simplePos x="0" y="0"/>
            <wp:positionH relativeFrom="column">
              <wp:posOffset>176407</wp:posOffset>
            </wp:positionH>
            <wp:positionV relativeFrom="paragraph">
              <wp:posOffset>574675</wp:posOffset>
            </wp:positionV>
            <wp:extent cx="5215255" cy="5261610"/>
            <wp:effectExtent l="0" t="0" r="4445" b="0"/>
            <wp:wrapTopAndBottom/>
            <wp:docPr id="171184160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215255" cy="5261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4AA">
        <w:rPr>
          <w:b/>
          <w:bCs/>
          <w:color w:val="18191B"/>
          <w:lang w:val="fr-FR"/>
        </w:rPr>
        <w:t>Figure</w:t>
      </w:r>
      <w:r>
        <w:rPr>
          <w:b/>
          <w:bCs/>
          <w:color w:val="18191B"/>
          <w:lang w:val="fr-FR"/>
        </w:rPr>
        <w:t xml:space="preserve"> N°43</w:t>
      </w:r>
      <w:r w:rsidRPr="008764AA">
        <w:rPr>
          <w:b/>
          <w:bCs/>
          <w:color w:val="18191B"/>
          <w:lang w:val="fr-FR"/>
        </w:rPr>
        <w:t xml:space="preserve"> : </w:t>
      </w:r>
      <w:r w:rsidRPr="006A0412">
        <w:rPr>
          <w:color w:val="18191B"/>
          <w:lang w:val="fr-FR"/>
        </w:rPr>
        <w:t>Représentation graphique de la répartition de l'échantillon selon le secteur d'activité de l'entreprise</w:t>
      </w:r>
      <w:r>
        <w:fldChar w:fldCharType="begin"/>
      </w:r>
      <w:r>
        <w:instrText xml:space="preserve"> INCLUDEPICTURE "/Users/misha/Library/Group Containers/UBF8T346G9.ms/WebArchiveCopyPasteTempFiles/com.microsoft.Word/w+p85CQITEZqwAAAABJRU5ErkJggg==" \* MERGEFORMATINET </w:instrText>
      </w:r>
      <w:r w:rsidR="00000000">
        <w:fldChar w:fldCharType="separate"/>
      </w:r>
      <w:r>
        <w:fldChar w:fldCharType="end"/>
      </w:r>
    </w:p>
    <w:p w:rsidR="00E772DD" w:rsidRPr="008764AA" w:rsidRDefault="00E772DD" w:rsidP="00D636E8">
      <w:pPr>
        <w:spacing w:after="240" w:line="360" w:lineRule="auto"/>
        <w:jc w:val="center"/>
        <w:rPr>
          <w:rFonts w:asciiTheme="majorBidi" w:hAnsiTheme="majorBidi" w:cstheme="majorBidi"/>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D636E8">
      <w:pPr>
        <w:spacing w:line="360" w:lineRule="auto"/>
        <w:jc w:val="both"/>
        <w:rPr>
          <w:color w:val="000000"/>
          <w:lang w:val="fr-FR"/>
        </w:rPr>
      </w:pPr>
      <w:r w:rsidRPr="008764AA">
        <w:rPr>
          <w:color w:val="000000"/>
          <w:lang w:val="fr-FR"/>
        </w:rPr>
        <w:t>Ces données révèlent une forte prédominance du secteur des services, qui regroupe 37,2 % des entreprises représentées dans notre échantillon. Le secteur du commerce suit avec 21,8 %, légèrement devant l’industrie, qui représente 21,2 % des répondants. Le secteur de la santé constitue 17,5 % de l’échantillon, tandis que la catégorie "Autre" ne regroupe que 2,3 % des entreprises.</w:t>
      </w:r>
    </w:p>
    <w:p w:rsidR="00E772DD" w:rsidRPr="008764AA" w:rsidRDefault="00E772DD" w:rsidP="00D636E8">
      <w:pPr>
        <w:spacing w:line="360" w:lineRule="auto"/>
        <w:jc w:val="both"/>
        <w:rPr>
          <w:color w:val="000000"/>
          <w:lang w:val="fr-FR"/>
        </w:rPr>
      </w:pPr>
      <w:r w:rsidRPr="008764AA">
        <w:rPr>
          <w:color w:val="000000"/>
          <w:lang w:val="fr-FR"/>
        </w:rPr>
        <w:t xml:space="preserve">Cette répartition sectorielle est particulièrement pertinente dans le cadre de l’analyse des processus de digitalisation des ressources humaines. La prédominance du secteur des services peut s’expliquer par sa forte orientation vers la performance des RH, qui rendent la digitalisation RH à la fois nécessaire et stratégique. De plus, la présence significative des </w:t>
      </w:r>
      <w:r w:rsidRPr="008764AA">
        <w:rPr>
          <w:color w:val="000000"/>
          <w:lang w:val="fr-FR"/>
        </w:rPr>
        <w:lastRenderedPageBreak/>
        <w:t>secteurs du commerce, de l’industrie et de la santé montre que la transformation digitale des RH est un enjeu transversal, touchant des domaines aux logiques et contraintes très diverses.</w:t>
      </w:r>
    </w:p>
    <w:p w:rsidR="00E772DD" w:rsidRPr="008764AA" w:rsidRDefault="00E772DD" w:rsidP="00315F3A">
      <w:pPr>
        <w:spacing w:after="240" w:line="360" w:lineRule="auto"/>
        <w:jc w:val="both"/>
        <w:rPr>
          <w:b/>
          <w:bCs/>
          <w:color w:val="18191B"/>
          <w:sz w:val="18"/>
          <w:szCs w:val="18"/>
          <w:lang w:val="fr-FR"/>
        </w:rPr>
      </w:pPr>
      <w:r w:rsidRPr="008764AA">
        <w:rPr>
          <w:color w:val="000000"/>
          <w:lang w:val="fr-FR"/>
        </w:rPr>
        <w:t xml:space="preserve">Comprendre ces différences sectorielles permet d’affiner l’analyse des pratiques et des besoins en matière de digitalisation RH, en tenant compte des spécificités propres à chaque domaine d’activité. </w:t>
      </w:r>
    </w:p>
    <w:p w:rsidR="00E772DD" w:rsidRPr="00A53242" w:rsidRDefault="00A53242" w:rsidP="004D32AC">
      <w:pPr>
        <w:pStyle w:val="Titre3"/>
        <w:numPr>
          <w:ilvl w:val="1"/>
          <w:numId w:val="20"/>
        </w:numPr>
        <w:spacing w:after="0" w:afterAutospacing="0" w:line="360" w:lineRule="auto"/>
        <w:rPr>
          <w:sz w:val="24"/>
          <w:szCs w:val="24"/>
          <w:lang w:val="fr-FR"/>
        </w:rPr>
      </w:pPr>
      <w:r>
        <w:rPr>
          <w:sz w:val="24"/>
          <w:szCs w:val="24"/>
          <w:lang w:val="fr-FR"/>
        </w:rPr>
        <w:t xml:space="preserve"> </w:t>
      </w:r>
      <w:bookmarkStart w:id="2280" w:name="_Toc199714571"/>
      <w:bookmarkStart w:id="2281" w:name="_Toc200486847"/>
      <w:bookmarkStart w:id="2282" w:name="_Toc200635625"/>
      <w:bookmarkStart w:id="2283" w:name="_Toc200636013"/>
      <w:bookmarkStart w:id="2284" w:name="_Toc200636402"/>
      <w:bookmarkStart w:id="2285" w:name="_Toc200756143"/>
      <w:r w:rsidR="00E772DD" w:rsidRPr="00A53242">
        <w:rPr>
          <w:sz w:val="24"/>
          <w:szCs w:val="24"/>
          <w:lang w:val="fr-FR"/>
        </w:rPr>
        <w:t>La taille de l'entreprise:</w:t>
      </w:r>
      <w:bookmarkEnd w:id="2280"/>
      <w:bookmarkEnd w:id="2281"/>
      <w:bookmarkEnd w:id="2282"/>
      <w:bookmarkEnd w:id="2283"/>
      <w:bookmarkEnd w:id="2284"/>
      <w:bookmarkEnd w:id="2285"/>
    </w:p>
    <w:p w:rsidR="00E772DD" w:rsidRPr="008764AA" w:rsidRDefault="00E772DD" w:rsidP="00D66A49">
      <w:pPr>
        <w:spacing w:after="240" w:line="360" w:lineRule="auto"/>
        <w:jc w:val="both"/>
        <w:rPr>
          <w:rFonts w:asciiTheme="majorBidi" w:hAnsiTheme="majorBidi" w:cstheme="majorBidi"/>
          <w:color w:val="18191B"/>
          <w:lang w:val="fr-FR"/>
        </w:rPr>
      </w:pPr>
      <w:r w:rsidRPr="008764AA">
        <w:rPr>
          <w:rFonts w:asciiTheme="majorBidi" w:hAnsiTheme="majorBidi" w:cstheme="majorBidi"/>
          <w:color w:val="18191B"/>
          <w:lang w:val="fr-FR"/>
        </w:rPr>
        <w:t xml:space="preserve">Septièmement, nous avons interrogé les participants sur la taille de leur entreprise, exprimée en nombre d’employés. Cette variable permet d’évaluer dans quelle mesure la dimension organisationnelle peut influencer </w:t>
      </w:r>
      <w:r w:rsidRPr="008764AA">
        <w:rPr>
          <w:rFonts w:asciiTheme="majorBidi" w:hAnsiTheme="majorBidi" w:cstheme="majorBidi"/>
          <w:color w:val="000000"/>
          <w:lang w:val="fr-FR"/>
        </w:rPr>
        <w:t>la performance des RH et la digitalisation des processus</w:t>
      </w:r>
      <w:r w:rsidRPr="008764AA">
        <w:rPr>
          <w:rFonts w:asciiTheme="majorBidi" w:hAnsiTheme="majorBidi" w:cstheme="majorBidi"/>
          <w:color w:val="18191B"/>
          <w:lang w:val="fr-FR"/>
        </w:rPr>
        <w:t>.</w:t>
      </w:r>
    </w:p>
    <w:p w:rsidR="00E772DD" w:rsidRPr="008764AA" w:rsidRDefault="00E772DD" w:rsidP="00352599">
      <w:pPr>
        <w:spacing w:line="360" w:lineRule="auto"/>
        <w:jc w:val="center"/>
        <w:rPr>
          <w:b/>
          <w:bCs/>
          <w:color w:val="0C0C0C"/>
          <w:lang w:val="fr-FR"/>
        </w:rPr>
      </w:pPr>
      <w:r w:rsidRPr="008764AA">
        <w:rPr>
          <w:b/>
          <w:bCs/>
          <w:color w:val="0C0C0C"/>
          <w:lang w:val="fr-FR"/>
        </w:rPr>
        <w:t>Tableau</w:t>
      </w:r>
      <w:r>
        <w:rPr>
          <w:b/>
          <w:bCs/>
          <w:color w:val="0C0C0C"/>
          <w:lang w:val="fr-FR"/>
        </w:rPr>
        <w:t xml:space="preserve"> N°29</w:t>
      </w:r>
      <w:r w:rsidRPr="008764AA">
        <w:rPr>
          <w:b/>
          <w:bCs/>
          <w:color w:val="0C0C0C"/>
          <w:lang w:val="fr-FR"/>
        </w:rPr>
        <w:t xml:space="preserve"> : </w:t>
      </w:r>
      <w:r w:rsidRPr="006A0412">
        <w:rPr>
          <w:color w:val="0C0C0C"/>
          <w:lang w:val="fr-FR"/>
        </w:rPr>
        <w:t xml:space="preserve">Répartition d’échantillon selon </w:t>
      </w:r>
      <w:r w:rsidRPr="006A0412">
        <w:rPr>
          <w:lang w:val="fr-FR"/>
        </w:rPr>
        <w:t>la taille de l'entreprise</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c>
          <w:tcPr>
            <w:tcW w:w="9016" w:type="dxa"/>
            <w:gridSpan w:val="3"/>
            <w:shd w:val="clear" w:color="auto" w:fill="D8DCD1"/>
          </w:tcPr>
          <w:p w:rsidR="00E772DD" w:rsidRPr="00AE378F" w:rsidRDefault="00E772DD" w:rsidP="00352599">
            <w:pPr>
              <w:pStyle w:val="PrformatHTML"/>
              <w:wordWrap w:val="0"/>
              <w:spacing w:line="360" w:lineRule="auto"/>
              <w:jc w:val="center"/>
              <w:rPr>
                <w:rFonts w:ascii="Times New Roman" w:hAnsi="Times New Roman" w:cs="Times New Roman"/>
                <w:b/>
                <w:bCs/>
                <w:sz w:val="24"/>
                <w:szCs w:val="24"/>
                <w:lang w:val="fr-FR"/>
              </w:rPr>
            </w:pPr>
            <w:r w:rsidRPr="00AE378F">
              <w:rPr>
                <w:rFonts w:ascii="Times New Roman" w:hAnsi="Times New Roman" w:cs="Times New Roman"/>
                <w:b/>
                <w:bCs/>
                <w:sz w:val="24"/>
                <w:szCs w:val="24"/>
                <w:lang w:val="fr-FR"/>
              </w:rPr>
              <w:t>La taille de l'entreprise</w:t>
            </w:r>
          </w:p>
        </w:tc>
      </w:tr>
      <w:tr w:rsidR="00E772DD" w:rsidRPr="008764AA" w:rsidTr="00B93AC8">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p>
        </w:tc>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Fréquence</w:t>
            </w:r>
          </w:p>
        </w:tc>
        <w:tc>
          <w:tcPr>
            <w:tcW w:w="3006"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Pourcentage</w:t>
            </w:r>
          </w:p>
        </w:tc>
      </w:tr>
      <w:tr w:rsidR="00E772DD" w:rsidRPr="008764AA" w:rsidTr="00B93AC8">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Moins de 50 employés            </w:t>
            </w:r>
          </w:p>
        </w:tc>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47</w:t>
            </w:r>
          </w:p>
        </w:tc>
        <w:tc>
          <w:tcPr>
            <w:tcW w:w="3006"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27,6</w:t>
            </w:r>
          </w:p>
        </w:tc>
      </w:tr>
      <w:tr w:rsidR="00E772DD" w:rsidRPr="008764AA" w:rsidTr="00B93AC8">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50-200 employés                 </w:t>
            </w:r>
          </w:p>
        </w:tc>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69</w:t>
            </w:r>
          </w:p>
        </w:tc>
        <w:tc>
          <w:tcPr>
            <w:tcW w:w="3006"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40,6</w:t>
            </w:r>
          </w:p>
        </w:tc>
      </w:tr>
      <w:tr w:rsidR="00E772DD" w:rsidRPr="008764AA" w:rsidTr="00B93AC8">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200-500 employés                </w:t>
            </w:r>
          </w:p>
        </w:tc>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44</w:t>
            </w:r>
          </w:p>
        </w:tc>
        <w:tc>
          <w:tcPr>
            <w:tcW w:w="3006"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25,9</w:t>
            </w:r>
          </w:p>
        </w:tc>
      </w:tr>
      <w:tr w:rsidR="00E772DD" w:rsidRPr="008764AA" w:rsidTr="00B93AC8">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Plus de 500 employés            </w:t>
            </w:r>
          </w:p>
        </w:tc>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10</w:t>
            </w:r>
          </w:p>
        </w:tc>
        <w:tc>
          <w:tcPr>
            <w:tcW w:w="3006"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5,9</w:t>
            </w:r>
          </w:p>
        </w:tc>
      </w:tr>
      <w:tr w:rsidR="00E772DD" w:rsidRPr="008764AA" w:rsidTr="00B93AC8">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Total  </w:t>
            </w:r>
          </w:p>
        </w:tc>
        <w:tc>
          <w:tcPr>
            <w:tcW w:w="3005"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170</w:t>
            </w:r>
          </w:p>
        </w:tc>
        <w:tc>
          <w:tcPr>
            <w:tcW w:w="3006" w:type="dxa"/>
          </w:tcPr>
          <w:p w:rsidR="00E772DD" w:rsidRPr="008764AA" w:rsidRDefault="00E772DD" w:rsidP="00352599">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100</w:t>
            </w:r>
          </w:p>
        </w:tc>
      </w:tr>
    </w:tbl>
    <w:p w:rsidR="00E772DD" w:rsidRPr="008764AA" w:rsidRDefault="00E772DD" w:rsidP="00352599">
      <w:pPr>
        <w:spacing w:line="360" w:lineRule="auto"/>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315F3A" w:rsidRDefault="00315F3A" w:rsidP="00315F3A">
      <w:pPr>
        <w:spacing w:line="360" w:lineRule="auto"/>
        <w:jc w:val="center"/>
        <w:rPr>
          <w:color w:val="18191B"/>
          <w:lang w:val="fr-FR"/>
        </w:rPr>
      </w:pPr>
      <w:r w:rsidRPr="008764AA">
        <w:rPr>
          <w:noProof/>
          <w:lang w:val="fr-FR"/>
        </w:rPr>
        <w:lastRenderedPageBreak/>
        <w:drawing>
          <wp:anchor distT="0" distB="0" distL="114300" distR="114300" simplePos="0" relativeHeight="251693056" behindDoc="0" locked="0" layoutInCell="1" allowOverlap="1" wp14:anchorId="4E9167B3">
            <wp:simplePos x="0" y="0"/>
            <wp:positionH relativeFrom="column">
              <wp:posOffset>-464737</wp:posOffset>
            </wp:positionH>
            <wp:positionV relativeFrom="paragraph">
              <wp:posOffset>479425</wp:posOffset>
            </wp:positionV>
            <wp:extent cx="6586220" cy="3928110"/>
            <wp:effectExtent l="0" t="0" r="5080" b="0"/>
            <wp:wrapTopAndBottom/>
            <wp:docPr id="7302761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586220" cy="392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E772DD" w:rsidRPr="008764AA">
        <w:rPr>
          <w:b/>
          <w:bCs/>
          <w:color w:val="18191B"/>
          <w:lang w:val="fr-FR"/>
        </w:rPr>
        <w:t>Figure</w:t>
      </w:r>
      <w:r w:rsidR="00E772DD">
        <w:rPr>
          <w:b/>
          <w:bCs/>
          <w:color w:val="18191B"/>
          <w:lang w:val="fr-FR"/>
        </w:rPr>
        <w:t xml:space="preserve"> N°44</w:t>
      </w:r>
      <w:r w:rsidR="00E772DD" w:rsidRPr="008764AA">
        <w:rPr>
          <w:b/>
          <w:bCs/>
          <w:color w:val="18191B"/>
          <w:lang w:val="fr-FR"/>
        </w:rPr>
        <w:t xml:space="preserve"> : </w:t>
      </w:r>
      <w:r w:rsidR="00E772DD" w:rsidRPr="006A0412">
        <w:rPr>
          <w:color w:val="18191B"/>
          <w:lang w:val="fr-FR"/>
        </w:rPr>
        <w:t>Représentation graphique de la répartition de l'échantillon selon la taille de</w:t>
      </w:r>
      <w:r>
        <w:rPr>
          <w:color w:val="18191B"/>
          <w:lang w:val="fr-FR"/>
        </w:rPr>
        <w:t xml:space="preserve"> </w:t>
      </w:r>
      <w:r w:rsidR="00E772DD" w:rsidRPr="006A0412">
        <w:rPr>
          <w:color w:val="18191B"/>
          <w:lang w:val="fr-FR"/>
        </w:rPr>
        <w:t>l'entreprise</w:t>
      </w:r>
      <w:r>
        <w:rPr>
          <w:color w:val="18191B"/>
          <w:lang w:val="fr-FR"/>
        </w:rPr>
        <w:t>.</w:t>
      </w:r>
    </w:p>
    <w:p w:rsidR="00E772DD" w:rsidRPr="00315F3A" w:rsidRDefault="00E772DD" w:rsidP="00315F3A">
      <w:pPr>
        <w:spacing w:after="240" w:line="360" w:lineRule="auto"/>
        <w:jc w:val="center"/>
        <w:rPr>
          <w:color w:val="18191B"/>
          <w:lang w:val="fr-FR"/>
        </w:rPr>
      </w:pPr>
      <w:r w:rsidRPr="008764AA">
        <w:rPr>
          <w:lang w:val="fr-FR"/>
        </w:rPr>
        <w:fldChar w:fldCharType="begin"/>
      </w:r>
      <w:r w:rsidRPr="008764AA">
        <w:rPr>
          <w:lang w:val="fr-FR"/>
        </w:rPr>
        <w:instrText xml:space="preserve"> INCLUDEPICTURE "/Users/misha/Library/Group Containers/UBF8T346G9.ms/WebArchiveCopyPasteTempFiles/com.microsoft.Word/wfUFjRchR8izAAAAABJRU5ErkJggg==" \* MERGEFORMATINET </w:instrText>
      </w:r>
      <w:r w:rsidR="00000000">
        <w:rPr>
          <w:lang w:val="fr-FR"/>
        </w:rPr>
        <w:fldChar w:fldCharType="separate"/>
      </w:r>
      <w:r w:rsidRPr="008764AA">
        <w:rPr>
          <w:lang w:val="fr-FR"/>
        </w:rPr>
        <w:fldChar w:fldCharType="end"/>
      </w: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xml:space="preserve">) </w:t>
      </w:r>
      <w:r w:rsidR="00315F3A">
        <w:rPr>
          <w:color w:val="0C0C0C"/>
          <w:lang w:val="fr-FR"/>
        </w:rPr>
        <w:t>–</w:t>
      </w:r>
      <w:r w:rsidRPr="00A43935">
        <w:rPr>
          <w:color w:val="0C0C0C"/>
          <w:lang w:val="fr-FR"/>
        </w:rPr>
        <w:t xml:space="preserve"> 2025</w:t>
      </w:r>
      <w:r w:rsidR="00315F3A">
        <w:rPr>
          <w:color w:val="0C0C0C"/>
          <w:lang w:val="fr-FR"/>
        </w:rPr>
        <w:t>.</w:t>
      </w:r>
    </w:p>
    <w:p w:rsidR="00E772DD" w:rsidRPr="008764AA" w:rsidRDefault="00E772DD" w:rsidP="008764AA">
      <w:pPr>
        <w:spacing w:after="240" w:line="360" w:lineRule="auto"/>
        <w:jc w:val="both"/>
        <w:rPr>
          <w:rFonts w:asciiTheme="majorBidi" w:hAnsiTheme="majorBidi" w:cstheme="majorBidi"/>
          <w:color w:val="0C0C0C"/>
          <w:lang w:val="fr-FR"/>
        </w:rPr>
      </w:pPr>
      <w:r w:rsidRPr="008764AA">
        <w:rPr>
          <w:rFonts w:asciiTheme="majorBidi" w:hAnsiTheme="majorBidi" w:cstheme="majorBidi"/>
          <w:color w:val="000000"/>
          <w:lang w:val="fr-FR"/>
        </w:rPr>
        <w:t>Les données révèlent que la majorité des répondants travaillent dans des entreprises de taille petite à intermédiaire, avec 40,6 % dans des structures de 50 à 200 employés, 27,6 % dans des entreprises de moins de 50 salariés et 25,9 % dans celles comptant entre 200 et 500 employés. Les grandes entreprises de plus de 500 employés ne représentent que 5,9 % de l’échantillon. Cette répartition montre que la digitalisation des processus RH est particulièrement active dans les structures de taille réduite à moyenne, où elle répond à un besoin d’agilité et d’optimisation. La taille de l’entreprise apparaît ainsi comme un facteur clé dans la manière dont les outils et processus numériques RH sont adoptés et mis en œuvre.</w:t>
      </w:r>
    </w:p>
    <w:p w:rsidR="00E772DD" w:rsidRPr="00A53242" w:rsidRDefault="00A53242" w:rsidP="004D32AC">
      <w:pPr>
        <w:pStyle w:val="Titre3"/>
        <w:numPr>
          <w:ilvl w:val="1"/>
          <w:numId w:val="20"/>
        </w:numPr>
        <w:spacing w:after="0" w:afterAutospacing="0" w:line="360" w:lineRule="auto"/>
        <w:rPr>
          <w:sz w:val="24"/>
          <w:szCs w:val="24"/>
          <w:lang w:val="fr-FR"/>
        </w:rPr>
      </w:pPr>
      <w:r>
        <w:rPr>
          <w:sz w:val="24"/>
          <w:szCs w:val="24"/>
          <w:lang w:val="fr-FR"/>
        </w:rPr>
        <w:t xml:space="preserve"> </w:t>
      </w:r>
      <w:bookmarkStart w:id="2286" w:name="_Toc199714572"/>
      <w:bookmarkStart w:id="2287" w:name="_Toc200486848"/>
      <w:bookmarkStart w:id="2288" w:name="_Toc200635626"/>
      <w:bookmarkStart w:id="2289" w:name="_Toc200636014"/>
      <w:bookmarkStart w:id="2290" w:name="_Toc200636403"/>
      <w:bookmarkStart w:id="2291" w:name="_Toc200756144"/>
      <w:r w:rsidR="00E772DD" w:rsidRPr="00A53242">
        <w:rPr>
          <w:sz w:val="24"/>
          <w:szCs w:val="24"/>
          <w:lang w:val="fr-FR"/>
        </w:rPr>
        <w:t>La situation de l'entreprise :</w:t>
      </w:r>
      <w:bookmarkEnd w:id="2286"/>
      <w:bookmarkEnd w:id="2287"/>
      <w:bookmarkEnd w:id="2288"/>
      <w:bookmarkEnd w:id="2289"/>
      <w:bookmarkEnd w:id="2290"/>
      <w:bookmarkEnd w:id="2291"/>
    </w:p>
    <w:p w:rsidR="00E772DD" w:rsidRDefault="00E772DD" w:rsidP="008764AA">
      <w:pPr>
        <w:pStyle w:val="NormalWeb"/>
        <w:spacing w:before="0" w:beforeAutospacing="0" w:line="360" w:lineRule="auto"/>
        <w:jc w:val="both"/>
        <w:rPr>
          <w:color w:val="000000"/>
          <w:lang w:val="fr-FR"/>
        </w:rPr>
      </w:pPr>
      <w:r w:rsidRPr="008764AA">
        <w:rPr>
          <w:color w:val="000000"/>
          <w:lang w:val="fr-FR"/>
        </w:rPr>
        <w:t xml:space="preserve">Huitièmement, le questionnaire demande aux répondants de préciser la situation juridique de leur entreprise, à savoir s’il s’agit d’une structure publique ou privée. Cette distinction nous permet d’examiner les éventuelles différences d’approche en matière de </w:t>
      </w:r>
      <w:r w:rsidRPr="008764AA">
        <w:rPr>
          <w:rFonts w:asciiTheme="majorBidi" w:hAnsiTheme="majorBidi" w:cstheme="majorBidi"/>
          <w:color w:val="000000"/>
          <w:lang w:val="fr-FR"/>
        </w:rPr>
        <w:t>la performance des RH et la digitalisation des processus RH</w:t>
      </w:r>
      <w:r w:rsidRPr="008764AA">
        <w:rPr>
          <w:color w:val="000000"/>
          <w:lang w:val="fr-FR"/>
        </w:rPr>
        <w:t xml:space="preserve"> selon le statut de l’organisation. </w:t>
      </w:r>
    </w:p>
    <w:p w:rsidR="00E772DD" w:rsidRPr="008764AA" w:rsidRDefault="00E772DD" w:rsidP="008764AA">
      <w:pPr>
        <w:pStyle w:val="NormalWeb"/>
        <w:spacing w:before="0" w:beforeAutospacing="0" w:line="360" w:lineRule="auto"/>
        <w:jc w:val="both"/>
        <w:rPr>
          <w:color w:val="000000"/>
          <w:lang w:val="fr-FR"/>
        </w:rPr>
      </w:pPr>
    </w:p>
    <w:p w:rsidR="00E772DD" w:rsidRPr="00315F3A" w:rsidRDefault="00E772DD" w:rsidP="00315F3A">
      <w:pPr>
        <w:spacing w:line="360" w:lineRule="auto"/>
        <w:jc w:val="center"/>
        <w:rPr>
          <w:b/>
          <w:bCs/>
          <w:color w:val="0C0C0C"/>
          <w:lang w:val="fr-FR"/>
        </w:rPr>
      </w:pPr>
      <w:r w:rsidRPr="008764AA">
        <w:rPr>
          <w:b/>
          <w:bCs/>
          <w:color w:val="0C0C0C"/>
          <w:lang w:val="fr-FR"/>
        </w:rPr>
        <w:lastRenderedPageBreak/>
        <w:t>Tableau</w:t>
      </w:r>
      <w:r>
        <w:rPr>
          <w:b/>
          <w:bCs/>
          <w:color w:val="0C0C0C"/>
          <w:lang w:val="fr-FR"/>
        </w:rPr>
        <w:t xml:space="preserve"> N°30</w:t>
      </w:r>
      <w:r w:rsidRPr="008764AA">
        <w:rPr>
          <w:b/>
          <w:bCs/>
          <w:color w:val="0C0C0C"/>
          <w:lang w:val="fr-FR"/>
        </w:rPr>
        <w:t xml:space="preserve"> : </w:t>
      </w:r>
      <w:r w:rsidRPr="006A0412">
        <w:rPr>
          <w:color w:val="0C0C0C"/>
          <w:lang w:val="fr-FR"/>
        </w:rPr>
        <w:t xml:space="preserve">Répartition d’échantillon selon </w:t>
      </w:r>
      <w:r w:rsidRPr="006A0412">
        <w:rPr>
          <w:rFonts w:asciiTheme="majorBidi" w:hAnsiTheme="majorBidi" w:cstheme="majorBidi"/>
          <w:lang w:val="fr-FR"/>
        </w:rPr>
        <w:t>la situation de l'entreprise</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c>
          <w:tcPr>
            <w:tcW w:w="9016" w:type="dxa"/>
            <w:gridSpan w:val="3"/>
            <w:shd w:val="clear" w:color="auto" w:fill="D8DCD1"/>
          </w:tcPr>
          <w:p w:rsidR="00E772DD" w:rsidRPr="008764AA" w:rsidRDefault="00E772DD" w:rsidP="002157A0">
            <w:pPr>
              <w:pStyle w:val="PrformatHTML"/>
              <w:wordWrap w:val="0"/>
              <w:spacing w:line="360" w:lineRule="auto"/>
              <w:jc w:val="center"/>
              <w:rPr>
                <w:rFonts w:ascii="Times New Roman" w:hAnsi="Times New Roman" w:cs="Times New Roman"/>
                <w:b/>
                <w:bCs/>
                <w:sz w:val="24"/>
                <w:szCs w:val="24"/>
                <w:lang w:val="fr-FR"/>
              </w:rPr>
            </w:pPr>
            <w:r w:rsidRPr="008764AA">
              <w:rPr>
                <w:rFonts w:ascii="Times New Roman" w:hAnsi="Times New Roman" w:cs="Times New Roman"/>
                <w:b/>
                <w:bCs/>
                <w:sz w:val="24"/>
                <w:szCs w:val="24"/>
                <w:lang w:val="fr-FR"/>
              </w:rPr>
              <w:t>La situation de l'entreprise</w:t>
            </w:r>
          </w:p>
        </w:tc>
      </w:tr>
      <w:tr w:rsidR="00E772DD" w:rsidRPr="008764AA" w:rsidTr="00FA0083">
        <w:tc>
          <w:tcPr>
            <w:tcW w:w="3005" w:type="dxa"/>
          </w:tcPr>
          <w:p w:rsidR="00E772DD" w:rsidRPr="008764AA" w:rsidRDefault="00E772DD" w:rsidP="002157A0">
            <w:pPr>
              <w:spacing w:after="240" w:line="360" w:lineRule="auto"/>
              <w:jc w:val="both"/>
              <w:rPr>
                <w:lang w:val="fr-FR"/>
              </w:rPr>
            </w:pPr>
          </w:p>
        </w:tc>
        <w:tc>
          <w:tcPr>
            <w:tcW w:w="3005" w:type="dxa"/>
          </w:tcPr>
          <w:p w:rsidR="00E772DD" w:rsidRPr="008764AA" w:rsidRDefault="00E772DD" w:rsidP="002157A0">
            <w:pPr>
              <w:spacing w:after="240" w:line="360" w:lineRule="auto"/>
              <w:jc w:val="both"/>
              <w:rPr>
                <w:lang w:val="fr-FR"/>
              </w:rPr>
            </w:pPr>
            <w:r w:rsidRPr="008764AA">
              <w:rPr>
                <w:lang w:val="fr-FR"/>
              </w:rPr>
              <w:t xml:space="preserve">Fréquence  </w:t>
            </w:r>
          </w:p>
        </w:tc>
        <w:tc>
          <w:tcPr>
            <w:tcW w:w="3006" w:type="dxa"/>
          </w:tcPr>
          <w:p w:rsidR="00E772DD" w:rsidRPr="008764AA" w:rsidRDefault="00E772DD" w:rsidP="002157A0">
            <w:pPr>
              <w:spacing w:after="240" w:line="360" w:lineRule="auto"/>
              <w:jc w:val="both"/>
              <w:rPr>
                <w:lang w:val="fr-FR"/>
              </w:rPr>
            </w:pPr>
            <w:r w:rsidRPr="008764AA">
              <w:rPr>
                <w:lang w:val="fr-FR"/>
              </w:rPr>
              <w:t>Pourcentage</w:t>
            </w:r>
          </w:p>
        </w:tc>
      </w:tr>
      <w:tr w:rsidR="00E772DD" w:rsidRPr="008764AA" w:rsidTr="00FA0083">
        <w:tc>
          <w:tcPr>
            <w:tcW w:w="3005" w:type="dxa"/>
          </w:tcPr>
          <w:p w:rsidR="00E772DD" w:rsidRPr="008764AA" w:rsidRDefault="00E772DD" w:rsidP="002157A0">
            <w:pPr>
              <w:spacing w:after="240" w:line="360" w:lineRule="auto"/>
              <w:jc w:val="both"/>
              <w:rPr>
                <w:lang w:val="fr-FR"/>
              </w:rPr>
            </w:pPr>
            <w:r w:rsidRPr="008764AA">
              <w:rPr>
                <w:lang w:val="fr-FR"/>
              </w:rPr>
              <w:t xml:space="preserve">Privée    </w:t>
            </w:r>
          </w:p>
        </w:tc>
        <w:tc>
          <w:tcPr>
            <w:tcW w:w="3005" w:type="dxa"/>
          </w:tcPr>
          <w:p w:rsidR="00E772DD" w:rsidRPr="008764AA" w:rsidRDefault="00E772DD" w:rsidP="002157A0">
            <w:pPr>
              <w:spacing w:after="240" w:line="360" w:lineRule="auto"/>
              <w:jc w:val="both"/>
              <w:rPr>
                <w:lang w:val="fr-FR"/>
              </w:rPr>
            </w:pPr>
            <w:r w:rsidRPr="008764AA">
              <w:rPr>
                <w:lang w:val="fr-FR"/>
              </w:rPr>
              <w:t>114</w:t>
            </w:r>
          </w:p>
        </w:tc>
        <w:tc>
          <w:tcPr>
            <w:tcW w:w="3006" w:type="dxa"/>
          </w:tcPr>
          <w:p w:rsidR="00E772DD" w:rsidRPr="008764AA" w:rsidRDefault="00E772DD" w:rsidP="002157A0">
            <w:pPr>
              <w:spacing w:after="240" w:line="360" w:lineRule="auto"/>
              <w:jc w:val="both"/>
              <w:rPr>
                <w:lang w:val="fr-FR"/>
              </w:rPr>
            </w:pPr>
            <w:r w:rsidRPr="008764AA">
              <w:rPr>
                <w:lang w:val="fr-FR"/>
              </w:rPr>
              <w:t>67</w:t>
            </w:r>
          </w:p>
        </w:tc>
      </w:tr>
      <w:tr w:rsidR="00E772DD" w:rsidRPr="008764AA" w:rsidTr="00FA0083">
        <w:tc>
          <w:tcPr>
            <w:tcW w:w="3005" w:type="dxa"/>
          </w:tcPr>
          <w:p w:rsidR="00E772DD" w:rsidRPr="008764AA" w:rsidRDefault="00E772DD" w:rsidP="002157A0">
            <w:pPr>
              <w:spacing w:after="240" w:line="360" w:lineRule="auto"/>
              <w:jc w:val="both"/>
              <w:rPr>
                <w:lang w:val="fr-FR"/>
              </w:rPr>
            </w:pPr>
            <w:r w:rsidRPr="008764AA">
              <w:rPr>
                <w:lang w:val="fr-FR"/>
              </w:rPr>
              <w:t xml:space="preserve">Publique   </w:t>
            </w:r>
          </w:p>
        </w:tc>
        <w:tc>
          <w:tcPr>
            <w:tcW w:w="3005" w:type="dxa"/>
          </w:tcPr>
          <w:p w:rsidR="00E772DD" w:rsidRPr="008764AA" w:rsidRDefault="00E772DD" w:rsidP="002157A0">
            <w:pPr>
              <w:spacing w:after="240" w:line="360" w:lineRule="auto"/>
              <w:jc w:val="both"/>
              <w:rPr>
                <w:lang w:val="fr-FR"/>
              </w:rPr>
            </w:pPr>
            <w:r w:rsidRPr="008764AA">
              <w:rPr>
                <w:lang w:val="fr-FR"/>
              </w:rPr>
              <w:t>56</w:t>
            </w:r>
          </w:p>
        </w:tc>
        <w:tc>
          <w:tcPr>
            <w:tcW w:w="3006" w:type="dxa"/>
          </w:tcPr>
          <w:p w:rsidR="00E772DD" w:rsidRPr="008764AA" w:rsidRDefault="00E772DD" w:rsidP="002157A0">
            <w:pPr>
              <w:spacing w:after="240" w:line="360" w:lineRule="auto"/>
              <w:jc w:val="both"/>
              <w:rPr>
                <w:lang w:val="fr-FR"/>
              </w:rPr>
            </w:pPr>
            <w:r w:rsidRPr="008764AA">
              <w:rPr>
                <w:lang w:val="fr-FR"/>
              </w:rPr>
              <w:t>33</w:t>
            </w:r>
          </w:p>
        </w:tc>
      </w:tr>
      <w:tr w:rsidR="00E772DD" w:rsidRPr="008764AA" w:rsidTr="00FA0083">
        <w:tc>
          <w:tcPr>
            <w:tcW w:w="3005" w:type="dxa"/>
          </w:tcPr>
          <w:p w:rsidR="00E772DD" w:rsidRPr="008764AA" w:rsidRDefault="00E772DD" w:rsidP="002157A0">
            <w:pPr>
              <w:spacing w:after="240" w:line="360" w:lineRule="auto"/>
              <w:jc w:val="both"/>
              <w:rPr>
                <w:lang w:val="fr-FR"/>
              </w:rPr>
            </w:pPr>
            <w:r w:rsidRPr="008764AA">
              <w:rPr>
                <w:lang w:val="fr-FR"/>
              </w:rPr>
              <w:t xml:space="preserve">Total     </w:t>
            </w:r>
          </w:p>
        </w:tc>
        <w:tc>
          <w:tcPr>
            <w:tcW w:w="3005" w:type="dxa"/>
          </w:tcPr>
          <w:p w:rsidR="00E772DD" w:rsidRPr="008764AA" w:rsidRDefault="00E772DD" w:rsidP="002157A0">
            <w:pPr>
              <w:spacing w:after="240" w:line="360" w:lineRule="auto"/>
              <w:jc w:val="both"/>
              <w:rPr>
                <w:lang w:val="fr-FR"/>
              </w:rPr>
            </w:pPr>
            <w:r w:rsidRPr="008764AA">
              <w:rPr>
                <w:lang w:val="fr-FR"/>
              </w:rPr>
              <w:t>170</w:t>
            </w:r>
          </w:p>
        </w:tc>
        <w:tc>
          <w:tcPr>
            <w:tcW w:w="3006" w:type="dxa"/>
          </w:tcPr>
          <w:p w:rsidR="00E772DD" w:rsidRPr="008764AA" w:rsidRDefault="00E772DD" w:rsidP="002157A0">
            <w:pPr>
              <w:spacing w:after="240" w:line="360" w:lineRule="auto"/>
              <w:jc w:val="both"/>
              <w:rPr>
                <w:lang w:val="fr-FR"/>
              </w:rPr>
            </w:pPr>
            <w:r w:rsidRPr="008764AA">
              <w:rPr>
                <w:lang w:val="fr-FR"/>
              </w:rPr>
              <w:t>100</w:t>
            </w:r>
          </w:p>
        </w:tc>
      </w:tr>
    </w:tbl>
    <w:p w:rsidR="00E772DD" w:rsidRPr="008764AA" w:rsidRDefault="00E772DD" w:rsidP="002157A0">
      <w:pPr>
        <w:spacing w:after="240" w:line="360" w:lineRule="auto"/>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6A0412">
      <w:pPr>
        <w:spacing w:line="360" w:lineRule="auto"/>
        <w:jc w:val="center"/>
        <w:rPr>
          <w:color w:val="18191B"/>
          <w:lang w:val="fr-FR"/>
        </w:rPr>
      </w:pPr>
      <w:r w:rsidRPr="008764AA">
        <w:rPr>
          <w:noProof/>
          <w:lang w:val="fr-FR"/>
        </w:rPr>
        <w:drawing>
          <wp:anchor distT="0" distB="0" distL="114300" distR="114300" simplePos="0" relativeHeight="251694080" behindDoc="0" locked="0" layoutInCell="1" allowOverlap="1" wp14:anchorId="763A000D">
            <wp:simplePos x="0" y="0"/>
            <wp:positionH relativeFrom="column">
              <wp:posOffset>441703</wp:posOffset>
            </wp:positionH>
            <wp:positionV relativeFrom="paragraph">
              <wp:posOffset>526415</wp:posOffset>
            </wp:positionV>
            <wp:extent cx="4833620" cy="3609975"/>
            <wp:effectExtent l="0" t="0" r="5080" b="0"/>
            <wp:wrapTopAndBottom/>
            <wp:docPr id="15403043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833620" cy="360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4AA">
        <w:rPr>
          <w:b/>
          <w:bCs/>
          <w:color w:val="18191B"/>
          <w:lang w:val="fr-FR"/>
        </w:rPr>
        <w:t>Figure</w:t>
      </w:r>
      <w:r>
        <w:rPr>
          <w:b/>
          <w:bCs/>
          <w:color w:val="18191B"/>
          <w:lang w:val="fr-FR"/>
        </w:rPr>
        <w:t xml:space="preserve"> N°45</w:t>
      </w:r>
      <w:r w:rsidRPr="008764AA">
        <w:rPr>
          <w:b/>
          <w:bCs/>
          <w:color w:val="18191B"/>
          <w:lang w:val="fr-FR"/>
        </w:rPr>
        <w:t xml:space="preserve"> : </w:t>
      </w:r>
      <w:r w:rsidRPr="006A0412">
        <w:rPr>
          <w:color w:val="18191B"/>
          <w:lang w:val="fr-FR"/>
        </w:rPr>
        <w:t>Représentation graphique de la répartition de l'échantillon selon la situation de l'entreprise</w:t>
      </w:r>
    </w:p>
    <w:p w:rsidR="00E772DD" w:rsidRPr="006A0412" w:rsidRDefault="00E772DD" w:rsidP="006A0412">
      <w:pPr>
        <w:spacing w:after="240" w:line="360" w:lineRule="auto"/>
        <w:jc w:val="center"/>
        <w:rPr>
          <w:rFonts w:asciiTheme="majorBidi" w:hAnsiTheme="majorBidi" w:cstheme="majorBidi"/>
          <w:lang w:val="fr-FR"/>
        </w:rPr>
      </w:pPr>
      <w:r w:rsidRPr="008764AA">
        <w:rPr>
          <w:lang w:val="fr-FR"/>
        </w:rPr>
        <w:fldChar w:fldCharType="begin"/>
      </w:r>
      <w:r w:rsidRPr="008764AA">
        <w:rPr>
          <w:lang w:val="fr-FR"/>
        </w:rPr>
        <w:instrText xml:space="preserve"> INCLUDEPICTURE "/Users/misha/Library/Group Containers/UBF8T346G9.ms/WebArchiveCopyPasteTempFiles/com.microsoft.Word/wAAAAASUVORK5CYII=" \* MERGEFORMATINET </w:instrText>
      </w:r>
      <w:r w:rsidR="00000000">
        <w:rPr>
          <w:lang w:val="fr-FR"/>
        </w:rPr>
        <w:fldChar w:fldCharType="separate"/>
      </w:r>
      <w:r w:rsidRPr="008764AA">
        <w:rPr>
          <w:lang w:val="fr-FR"/>
        </w:rPr>
        <w:fldChar w:fldCharType="end"/>
      </w: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p>
    <w:p w:rsidR="00E772DD" w:rsidRPr="008764AA" w:rsidRDefault="00E772DD" w:rsidP="000F775C">
      <w:pPr>
        <w:spacing w:line="360" w:lineRule="auto"/>
        <w:jc w:val="both"/>
        <w:rPr>
          <w:color w:val="000000"/>
          <w:lang w:val="fr-FR"/>
        </w:rPr>
      </w:pPr>
      <w:r w:rsidRPr="008764AA">
        <w:rPr>
          <w:color w:val="000000"/>
          <w:lang w:val="fr-FR"/>
        </w:rPr>
        <w:t>Les données indiquent que 67 % des répondants travaillent dans des entreprises du secteur privé, contre 33 % dans le secteur public.</w:t>
      </w:r>
    </w:p>
    <w:p w:rsidR="00E772DD" w:rsidRPr="008764AA" w:rsidRDefault="00E772DD" w:rsidP="000F775C">
      <w:pPr>
        <w:spacing w:line="360" w:lineRule="auto"/>
        <w:jc w:val="both"/>
        <w:rPr>
          <w:color w:val="000000"/>
          <w:lang w:val="fr-FR"/>
        </w:rPr>
      </w:pPr>
      <w:r w:rsidRPr="008764AA">
        <w:rPr>
          <w:color w:val="000000"/>
          <w:lang w:val="fr-FR"/>
        </w:rPr>
        <w:t xml:space="preserve">Dans le cadre de la digitalisation des processus RH, cette répartition suggère que le secteur privé est davantage représenté, ce qui peut refléter une dynamique plus rapide d’adoption des outils numériques, souvent motivée par des objectifs de compétitivité et de performance. </w:t>
      </w:r>
    </w:p>
    <w:p w:rsidR="00E772DD" w:rsidRPr="008764AA" w:rsidRDefault="00E772DD" w:rsidP="000F775C">
      <w:pPr>
        <w:spacing w:line="360" w:lineRule="auto"/>
        <w:jc w:val="both"/>
        <w:rPr>
          <w:color w:val="000000"/>
          <w:lang w:val="fr-FR"/>
        </w:rPr>
      </w:pPr>
      <w:r w:rsidRPr="008764AA">
        <w:rPr>
          <w:color w:val="000000"/>
          <w:lang w:val="fr-FR"/>
        </w:rPr>
        <w:lastRenderedPageBreak/>
        <w:t>À l’inverse, le secteur public, bien qu’impliqué, peut faire face à des contraintes spécifiques telles que des procédures administratives plus rigides ou des budgets limités, pouvant ralentir la transformation digitale.</w:t>
      </w:r>
    </w:p>
    <w:p w:rsidR="00E772DD" w:rsidRPr="008764AA" w:rsidRDefault="00E772DD" w:rsidP="008764AA">
      <w:pPr>
        <w:spacing w:after="240" w:line="360" w:lineRule="auto"/>
        <w:jc w:val="both"/>
        <w:rPr>
          <w:color w:val="000000"/>
          <w:lang w:val="fr-FR"/>
        </w:rPr>
      </w:pPr>
      <w:r w:rsidRPr="008764AA">
        <w:rPr>
          <w:color w:val="000000"/>
          <w:lang w:val="fr-FR"/>
        </w:rPr>
        <w:t>Ainsi, la situation juridique de l’entreprise joue un rôle dans le rythme et les modalités de mise en œuvre de la digitalisation RH, avec des enjeux et des priorités qui peuvent différer entre secteur privé et secteur public.</w:t>
      </w:r>
    </w:p>
    <w:p w:rsidR="00E772DD" w:rsidRPr="00A53242" w:rsidRDefault="00A53242" w:rsidP="004D32AC">
      <w:pPr>
        <w:pStyle w:val="Titre3"/>
        <w:numPr>
          <w:ilvl w:val="1"/>
          <w:numId w:val="20"/>
        </w:numPr>
        <w:spacing w:after="0" w:afterAutospacing="0" w:line="360" w:lineRule="auto"/>
        <w:rPr>
          <w:sz w:val="24"/>
          <w:szCs w:val="24"/>
          <w:lang w:val="fr-FR"/>
        </w:rPr>
      </w:pPr>
      <w:r>
        <w:rPr>
          <w:sz w:val="24"/>
          <w:szCs w:val="24"/>
          <w:lang w:val="fr-FR"/>
        </w:rPr>
        <w:t xml:space="preserve"> </w:t>
      </w:r>
      <w:bookmarkStart w:id="2292" w:name="_Toc199714573"/>
      <w:bookmarkStart w:id="2293" w:name="_Toc200486849"/>
      <w:bookmarkStart w:id="2294" w:name="_Toc200635627"/>
      <w:bookmarkStart w:id="2295" w:name="_Toc200636015"/>
      <w:bookmarkStart w:id="2296" w:name="_Toc200636404"/>
      <w:bookmarkStart w:id="2297" w:name="_Toc200756145"/>
      <w:r w:rsidR="00E772DD" w:rsidRPr="00A53242">
        <w:rPr>
          <w:sz w:val="24"/>
          <w:szCs w:val="24"/>
          <w:lang w:val="fr-FR"/>
        </w:rPr>
        <w:t>L’expérience professionnelle</w:t>
      </w:r>
      <w:bookmarkEnd w:id="2292"/>
      <w:bookmarkEnd w:id="2293"/>
      <w:bookmarkEnd w:id="2294"/>
      <w:bookmarkEnd w:id="2295"/>
      <w:bookmarkEnd w:id="2296"/>
      <w:bookmarkEnd w:id="2297"/>
      <w:r w:rsidR="00E772DD" w:rsidRPr="00A53242">
        <w:rPr>
          <w:sz w:val="24"/>
          <w:szCs w:val="24"/>
          <w:lang w:val="fr-FR"/>
        </w:rPr>
        <w:t xml:space="preserve"> </w:t>
      </w:r>
    </w:p>
    <w:p w:rsidR="00E772DD" w:rsidRPr="008764AA" w:rsidRDefault="00E772DD" w:rsidP="008764AA">
      <w:pPr>
        <w:pStyle w:val="NormalWeb"/>
        <w:spacing w:before="0" w:beforeAutospacing="0" w:line="360" w:lineRule="auto"/>
        <w:jc w:val="both"/>
        <w:rPr>
          <w:color w:val="000000"/>
          <w:lang w:val="fr-FR"/>
        </w:rPr>
      </w:pPr>
      <w:r w:rsidRPr="008764AA">
        <w:rPr>
          <w:color w:val="000000"/>
          <w:lang w:val="fr-FR"/>
        </w:rPr>
        <w:t xml:space="preserve">Neuvièmement, nous avons interrogé les participants sur leur expérience professionnelle, exprimée en nombre d’années d’activité. Cette variable nous permet d’apprécier dans quelle mesure l’ancienneté et l’expérience peuvent influencer la perception et la mise en œuvre de </w:t>
      </w:r>
      <w:r w:rsidRPr="008764AA">
        <w:rPr>
          <w:rFonts w:asciiTheme="majorBidi" w:hAnsiTheme="majorBidi" w:cstheme="majorBidi"/>
          <w:color w:val="000000"/>
          <w:lang w:val="fr-FR"/>
        </w:rPr>
        <w:t>la performance des RH et la digitalisation des processus RH</w:t>
      </w:r>
      <w:r w:rsidRPr="008764AA">
        <w:rPr>
          <w:color w:val="000000"/>
          <w:lang w:val="fr-FR"/>
        </w:rPr>
        <w:t xml:space="preserve"> au sein des organisations. </w:t>
      </w:r>
    </w:p>
    <w:p w:rsidR="00E772DD" w:rsidRPr="006A0412" w:rsidRDefault="00E772DD" w:rsidP="00E154DE">
      <w:pPr>
        <w:jc w:val="center"/>
        <w:rPr>
          <w:color w:val="0C0C0C"/>
          <w:lang w:val="fr-FR"/>
        </w:rPr>
      </w:pPr>
      <w:r w:rsidRPr="008764AA">
        <w:rPr>
          <w:b/>
          <w:bCs/>
          <w:color w:val="0C0C0C"/>
          <w:lang w:val="fr-FR"/>
        </w:rPr>
        <w:t>Tableau</w:t>
      </w:r>
      <w:r>
        <w:rPr>
          <w:b/>
          <w:bCs/>
          <w:color w:val="0C0C0C"/>
          <w:lang w:val="fr-FR"/>
        </w:rPr>
        <w:t xml:space="preserve"> N°31</w:t>
      </w:r>
      <w:r w:rsidRPr="008764AA">
        <w:rPr>
          <w:b/>
          <w:bCs/>
          <w:color w:val="0C0C0C"/>
          <w:lang w:val="fr-FR"/>
        </w:rPr>
        <w:t xml:space="preserve"> : </w:t>
      </w:r>
      <w:r w:rsidRPr="006A0412">
        <w:rPr>
          <w:color w:val="0C0C0C"/>
          <w:lang w:val="fr-FR"/>
        </w:rPr>
        <w:t xml:space="preserve">Répartition d’échantillon selon </w:t>
      </w:r>
      <w:r w:rsidRPr="006A0412">
        <w:rPr>
          <w:rFonts w:asciiTheme="majorBidi" w:hAnsiTheme="majorBidi" w:cstheme="majorBidi"/>
          <w:lang w:val="fr-FR"/>
        </w:rPr>
        <w:t>l’expérience professionnelle</w:t>
      </w:r>
    </w:p>
    <w:p w:rsidR="00E772DD" w:rsidRPr="006A0412" w:rsidRDefault="00E772DD" w:rsidP="00C075E9">
      <w:pPr>
        <w:pStyle w:val="PrformatHTML"/>
        <w:wordWrap w:val="0"/>
        <w:rPr>
          <w:rFonts w:ascii="var(--jp-code-font-family)" w:hAnsi="var(--jp-code-font-family)"/>
          <w:lang w:val="fr-FR"/>
        </w:rPr>
      </w:pPr>
      <w:r w:rsidRPr="006A0412">
        <w:rPr>
          <w:rFonts w:ascii="var(--jp-code-font-family)" w:hAnsi="var(--jp-code-font-family)"/>
          <w:lang w:val="fr-FR"/>
        </w:rPr>
        <w:t xml:space="preserve"> </w:t>
      </w:r>
    </w:p>
    <w:tbl>
      <w:tblPr>
        <w:tblStyle w:val="Grilledutableau"/>
        <w:tblW w:w="0" w:type="auto"/>
        <w:tblLook w:val="04A0" w:firstRow="1" w:lastRow="0" w:firstColumn="1" w:lastColumn="0" w:noHBand="0" w:noVBand="1"/>
      </w:tblPr>
      <w:tblGrid>
        <w:gridCol w:w="3003"/>
        <w:gridCol w:w="3003"/>
        <w:gridCol w:w="3004"/>
      </w:tblGrid>
      <w:tr w:rsidR="00E772DD" w:rsidRPr="008764AA" w:rsidTr="00AE378F">
        <w:tc>
          <w:tcPr>
            <w:tcW w:w="9016" w:type="dxa"/>
            <w:gridSpan w:val="3"/>
            <w:shd w:val="clear" w:color="auto" w:fill="D8DCD1"/>
          </w:tcPr>
          <w:p w:rsidR="00E772DD" w:rsidRPr="008764AA" w:rsidRDefault="00E772DD" w:rsidP="00E154DE">
            <w:pPr>
              <w:pStyle w:val="PrformatHTML"/>
              <w:wordWrap w:val="0"/>
              <w:spacing w:line="360" w:lineRule="auto"/>
              <w:jc w:val="center"/>
              <w:rPr>
                <w:rFonts w:ascii="Times New Roman" w:hAnsi="Times New Roman" w:cs="Times New Roman"/>
                <w:b/>
                <w:bCs/>
                <w:sz w:val="24"/>
                <w:szCs w:val="24"/>
                <w:lang w:val="fr-FR"/>
              </w:rPr>
            </w:pPr>
            <w:r w:rsidRPr="008764AA">
              <w:rPr>
                <w:rFonts w:ascii="Times New Roman" w:hAnsi="Times New Roman" w:cs="Times New Roman"/>
                <w:b/>
                <w:bCs/>
                <w:sz w:val="24"/>
                <w:szCs w:val="24"/>
                <w:lang w:val="fr-FR"/>
              </w:rPr>
              <w:t>Expérience professionnelle</w:t>
            </w:r>
          </w:p>
        </w:tc>
      </w:tr>
      <w:tr w:rsidR="00E772DD" w:rsidRPr="008764AA" w:rsidTr="00C74B98">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p>
        </w:tc>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Fréquence</w:t>
            </w:r>
          </w:p>
        </w:tc>
        <w:tc>
          <w:tcPr>
            <w:tcW w:w="3006"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Pourcentage</w:t>
            </w:r>
          </w:p>
        </w:tc>
      </w:tr>
      <w:tr w:rsidR="00E772DD" w:rsidRPr="008764AA" w:rsidTr="00C74B98">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Moins de 2 ans                   </w:t>
            </w:r>
          </w:p>
        </w:tc>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29</w:t>
            </w:r>
          </w:p>
        </w:tc>
        <w:tc>
          <w:tcPr>
            <w:tcW w:w="3006"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17</w:t>
            </w:r>
          </w:p>
        </w:tc>
      </w:tr>
      <w:tr w:rsidR="00E772DD" w:rsidRPr="008764AA" w:rsidTr="00C74B98">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2-5 ans                          </w:t>
            </w:r>
          </w:p>
        </w:tc>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54</w:t>
            </w:r>
          </w:p>
        </w:tc>
        <w:tc>
          <w:tcPr>
            <w:tcW w:w="3006"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31,8</w:t>
            </w:r>
          </w:p>
        </w:tc>
      </w:tr>
      <w:tr w:rsidR="00E772DD" w:rsidRPr="008764AA" w:rsidTr="00C74B98">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6-10 ans                         </w:t>
            </w:r>
          </w:p>
        </w:tc>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52</w:t>
            </w:r>
          </w:p>
        </w:tc>
        <w:tc>
          <w:tcPr>
            <w:tcW w:w="3006"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30,6</w:t>
            </w:r>
          </w:p>
        </w:tc>
      </w:tr>
      <w:tr w:rsidR="00E772DD" w:rsidRPr="008764AA" w:rsidTr="00C74B98">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Plus de 10 ans                   </w:t>
            </w:r>
          </w:p>
        </w:tc>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35</w:t>
            </w:r>
          </w:p>
        </w:tc>
        <w:tc>
          <w:tcPr>
            <w:tcW w:w="3006"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20,6</w:t>
            </w:r>
          </w:p>
        </w:tc>
      </w:tr>
      <w:tr w:rsidR="00E772DD" w:rsidRPr="008764AA" w:rsidTr="00C74B98">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Total  </w:t>
            </w:r>
          </w:p>
        </w:tc>
        <w:tc>
          <w:tcPr>
            <w:tcW w:w="3005"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170</w:t>
            </w:r>
          </w:p>
        </w:tc>
        <w:tc>
          <w:tcPr>
            <w:tcW w:w="3006" w:type="dxa"/>
          </w:tcPr>
          <w:p w:rsidR="00E772DD" w:rsidRPr="008764AA" w:rsidRDefault="00E772DD" w:rsidP="00E154DE">
            <w:pPr>
              <w:pStyle w:val="PrformatHTML"/>
              <w:wordWrap w:val="0"/>
              <w:spacing w:line="360" w:lineRule="auto"/>
              <w:rPr>
                <w:rFonts w:ascii="Times New Roman" w:hAnsi="Times New Roman" w:cs="Times New Roman"/>
                <w:sz w:val="24"/>
                <w:szCs w:val="24"/>
                <w:lang w:val="fr-FR"/>
              </w:rPr>
            </w:pPr>
            <w:r w:rsidRPr="008764AA">
              <w:rPr>
                <w:rFonts w:ascii="Times New Roman" w:hAnsi="Times New Roman" w:cs="Times New Roman"/>
                <w:sz w:val="24"/>
                <w:szCs w:val="24"/>
                <w:lang w:val="fr-FR"/>
              </w:rPr>
              <w:t>100</w:t>
            </w:r>
          </w:p>
        </w:tc>
      </w:tr>
    </w:tbl>
    <w:p w:rsidR="00E772DD" w:rsidRDefault="00E772DD" w:rsidP="00E96E19">
      <w:pPr>
        <w:jc w:val="center"/>
        <w:rPr>
          <w:b/>
          <w:bCs/>
          <w:color w:val="0C0C0C"/>
          <w:lang w:val="fr-FR"/>
        </w:rPr>
      </w:pPr>
      <w:r w:rsidRPr="008764AA">
        <w:rPr>
          <w:rFonts w:ascii="var(--jp-code-font-family)" w:hAnsi="var(--jp-code-font-family)"/>
          <w:sz w:val="32"/>
          <w:szCs w:val="40"/>
          <w:lang w:val="fr-FR"/>
        </w:rPr>
        <w:t xml:space="preserve">        </w:t>
      </w: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Default="00E772DD" w:rsidP="00E96E19">
      <w:pPr>
        <w:jc w:val="center"/>
        <w:rPr>
          <w:b/>
          <w:bCs/>
          <w:color w:val="0C0C0C"/>
          <w:lang w:val="fr-FR"/>
        </w:rPr>
      </w:pPr>
    </w:p>
    <w:p w:rsidR="00E772DD" w:rsidRPr="008764AA" w:rsidRDefault="00E772DD" w:rsidP="00E96E19">
      <w:pPr>
        <w:jc w:val="center"/>
        <w:rPr>
          <w:color w:val="0C0C0C"/>
          <w:lang w:val="fr-FR"/>
        </w:rPr>
      </w:pPr>
    </w:p>
    <w:p w:rsidR="00E772DD" w:rsidRPr="008764AA" w:rsidRDefault="00E772DD" w:rsidP="00E96E19">
      <w:pPr>
        <w:jc w:val="center"/>
        <w:rPr>
          <w:color w:val="0C0C0C"/>
          <w:lang w:val="fr-FR"/>
        </w:rPr>
      </w:pPr>
    </w:p>
    <w:p w:rsidR="00E772DD" w:rsidRPr="008764AA" w:rsidRDefault="00E772DD" w:rsidP="00E154DE">
      <w:pPr>
        <w:spacing w:line="360" w:lineRule="auto"/>
        <w:jc w:val="center"/>
        <w:rPr>
          <w:color w:val="18191B"/>
          <w:lang w:val="fr-FR"/>
        </w:rPr>
      </w:pPr>
      <w:r w:rsidRPr="008764AA">
        <w:rPr>
          <w:b/>
          <w:bCs/>
          <w:color w:val="18191B"/>
          <w:lang w:val="fr-FR"/>
        </w:rPr>
        <w:lastRenderedPageBreak/>
        <w:t>Figure</w:t>
      </w:r>
      <w:r>
        <w:rPr>
          <w:b/>
          <w:bCs/>
          <w:color w:val="18191B"/>
          <w:lang w:val="fr-FR"/>
        </w:rPr>
        <w:t xml:space="preserve"> N°46</w:t>
      </w:r>
      <w:r w:rsidRPr="008764AA">
        <w:rPr>
          <w:b/>
          <w:bCs/>
          <w:color w:val="18191B"/>
          <w:lang w:val="fr-FR"/>
        </w:rPr>
        <w:t xml:space="preserve"> : </w:t>
      </w:r>
      <w:r w:rsidRPr="006A0412">
        <w:rPr>
          <w:color w:val="18191B"/>
          <w:lang w:val="fr-FR"/>
        </w:rPr>
        <w:t>Représentation graphique de la répartition de l'échantillon selon l’expérience professionnelle</w:t>
      </w:r>
    </w:p>
    <w:p w:rsidR="00E772DD" w:rsidRPr="008764AA" w:rsidRDefault="00E772DD" w:rsidP="00494650">
      <w:pPr>
        <w:spacing w:after="240" w:line="360" w:lineRule="auto"/>
        <w:jc w:val="both"/>
        <w:rPr>
          <w:rFonts w:asciiTheme="majorBidi" w:hAnsiTheme="majorBidi" w:cstheme="majorBidi"/>
          <w:lang w:val="fr-FR"/>
        </w:rPr>
      </w:pPr>
      <w:r w:rsidRPr="008764AA">
        <w:rPr>
          <w:lang w:val="fr-FR"/>
        </w:rPr>
        <w:fldChar w:fldCharType="begin"/>
      </w:r>
      <w:r w:rsidRPr="008764AA">
        <w:rPr>
          <w:lang w:val="fr-FR"/>
        </w:rPr>
        <w:instrText xml:space="preserve"> INCLUDEPICTURE "/Users/misha/Library/Group Containers/UBF8T346G9.ms/WebArchiveCopyPasteTempFiles/com.microsoft.Word/wESVnCdiibTswAAAABJRU5ErkJggg==" \* MERGEFORMATINET </w:instrText>
      </w:r>
      <w:r w:rsidRPr="008764AA">
        <w:rPr>
          <w:lang w:val="fr-FR"/>
        </w:rPr>
        <w:fldChar w:fldCharType="separate"/>
      </w:r>
      <w:r w:rsidRPr="008764AA">
        <w:rPr>
          <w:noProof/>
          <w:lang w:val="fr-FR"/>
        </w:rPr>
        <w:drawing>
          <wp:inline distT="0" distB="0" distL="0" distR="0" wp14:anchorId="719E50EE" wp14:editId="6193A11D">
            <wp:extent cx="5478455" cy="4089115"/>
            <wp:effectExtent l="0" t="0" r="0" b="635"/>
            <wp:docPr id="165657069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493238" cy="4100149"/>
                    </a:xfrm>
                    <a:prstGeom prst="rect">
                      <a:avLst/>
                    </a:prstGeom>
                    <a:noFill/>
                    <a:ln>
                      <a:noFill/>
                    </a:ln>
                  </pic:spPr>
                </pic:pic>
              </a:graphicData>
            </a:graphic>
          </wp:inline>
        </w:drawing>
      </w:r>
      <w:r w:rsidRPr="008764AA">
        <w:rPr>
          <w:lang w:val="fr-FR"/>
        </w:rPr>
        <w:fldChar w:fldCharType="end"/>
      </w:r>
    </w:p>
    <w:p w:rsidR="00E772DD" w:rsidRPr="00A43935" w:rsidRDefault="00E772DD" w:rsidP="00A43935">
      <w:pPr>
        <w:spacing w:after="240" w:line="360" w:lineRule="auto"/>
        <w:jc w:val="center"/>
        <w:rPr>
          <w:color w:val="0C0C0C"/>
          <w:lang w:val="fr-FR"/>
        </w:rPr>
      </w:pPr>
      <w:r>
        <w:rPr>
          <w:b/>
          <w:bCs/>
          <w:color w:val="0C0C0C"/>
          <w:lang w:val="fr-FR"/>
        </w:rPr>
        <w:t xml:space="preserve">Source : </w:t>
      </w:r>
      <w:r w:rsidRPr="00A43935">
        <w:rPr>
          <w:color w:val="0C0C0C"/>
          <w:lang w:val="fr-FR"/>
        </w:rPr>
        <w:t>Résultats de l’étude - Anaconda (</w:t>
      </w:r>
      <w:proofErr w:type="spellStart"/>
      <w:r w:rsidRPr="00A43935">
        <w:rPr>
          <w:color w:val="0C0C0C"/>
          <w:lang w:val="fr-FR"/>
        </w:rPr>
        <w:t>Jupyter</w:t>
      </w:r>
      <w:proofErr w:type="spellEnd"/>
      <w:r w:rsidRPr="00A43935">
        <w:rPr>
          <w:color w:val="0C0C0C"/>
          <w:lang w:val="fr-FR"/>
        </w:rPr>
        <w:t>) - 2025</w:t>
      </w:r>
      <w:r>
        <w:rPr>
          <w:b/>
          <w:bCs/>
          <w:color w:val="0C0C0C"/>
          <w:lang w:val="fr-FR"/>
        </w:rPr>
        <w:t xml:space="preserve"> </w:t>
      </w:r>
    </w:p>
    <w:p w:rsidR="00E772DD" w:rsidRPr="008764AA" w:rsidRDefault="00E772DD" w:rsidP="000F775C">
      <w:pPr>
        <w:spacing w:line="360" w:lineRule="auto"/>
        <w:jc w:val="both"/>
        <w:rPr>
          <w:rFonts w:asciiTheme="majorBidi" w:hAnsiTheme="majorBidi" w:cstheme="majorBidi"/>
          <w:lang w:val="fr-FR"/>
        </w:rPr>
      </w:pPr>
      <w:r w:rsidRPr="008764AA">
        <w:rPr>
          <w:rFonts w:asciiTheme="majorBidi" w:hAnsiTheme="majorBidi" w:cstheme="majorBidi"/>
          <w:lang w:val="fr-FR"/>
        </w:rPr>
        <w:t>Les données montrent une répartition relativement équilibrée de l’expérience professionnelle des répondants. La majorité se situe entre 2 et 10 ans d’expérience, avec 31,8 % ayant entre 2 et 5 ans, et 30,6 % entre 6 et 10 ans. Les participants ayant plus de 10 ans d’expérience représentent 20,6 %, tandis que ceux ayant moins de 2 ans constituent 17 % de l’échantillon.</w:t>
      </w:r>
    </w:p>
    <w:p w:rsidR="00E772DD" w:rsidRDefault="00E772DD" w:rsidP="00E762EA">
      <w:pPr>
        <w:spacing w:after="240" w:line="360" w:lineRule="auto"/>
        <w:jc w:val="both"/>
        <w:rPr>
          <w:rFonts w:asciiTheme="majorBidi" w:hAnsiTheme="majorBidi" w:cstheme="majorBidi"/>
          <w:lang w:val="fr-FR"/>
        </w:rPr>
      </w:pPr>
      <w:r w:rsidRPr="008764AA">
        <w:rPr>
          <w:rFonts w:asciiTheme="majorBidi" w:hAnsiTheme="majorBidi" w:cstheme="majorBidi"/>
          <w:lang w:val="fr-FR"/>
        </w:rPr>
        <w:t>Dans le cadre de la digitalisation des ressources humaines, cette diversité d’expériences est précieuse. Les professionnels ayant plusieurs années d’ancienneté peuvent apporter une vision critique des pratiques traditionnelles et des évolutions nécessaires, tandis que les profils plus récents sont souvent plus à l’aise avec les outils numériques et les nouvelles technologies. Cette combinaison d’expertises et de générations contribue à une meilleure compréhension des enjeux de la digitalisation RH et favorise une transition plus fluide et inclusive au sein des organisations.</w:t>
      </w:r>
    </w:p>
    <w:p w:rsidR="00E66BEB" w:rsidRPr="00E762EA" w:rsidRDefault="00E66BEB" w:rsidP="00E762EA">
      <w:pPr>
        <w:spacing w:after="240" w:line="360" w:lineRule="auto"/>
        <w:jc w:val="both"/>
        <w:rPr>
          <w:rFonts w:asciiTheme="majorBidi" w:hAnsiTheme="majorBidi" w:cstheme="majorBidi"/>
          <w:lang w:val="fr-FR"/>
        </w:rPr>
      </w:pPr>
    </w:p>
    <w:p w:rsidR="007828AE" w:rsidRDefault="00E66BEB" w:rsidP="007828AE">
      <w:pPr>
        <w:pStyle w:val="Titre3"/>
        <w:numPr>
          <w:ilvl w:val="0"/>
          <w:numId w:val="193"/>
        </w:numPr>
        <w:spacing w:after="0" w:afterAutospacing="0" w:line="360" w:lineRule="auto"/>
        <w:rPr>
          <w:sz w:val="22"/>
          <w:szCs w:val="22"/>
          <w:lang w:val="fr-FR"/>
        </w:rPr>
      </w:pPr>
      <w:bookmarkStart w:id="2298" w:name="_Toc199714574"/>
      <w:bookmarkStart w:id="2299" w:name="_Toc200486850"/>
      <w:bookmarkStart w:id="2300" w:name="_Toc200635628"/>
      <w:bookmarkStart w:id="2301" w:name="_Toc200636016"/>
      <w:bookmarkStart w:id="2302" w:name="_Toc200636405"/>
      <w:bookmarkStart w:id="2303" w:name="_Toc200756146"/>
      <w:r w:rsidRPr="009B4086">
        <w:rPr>
          <w:sz w:val="24"/>
          <w:szCs w:val="24"/>
          <w:lang w:val="fr-FR"/>
        </w:rPr>
        <w:lastRenderedPageBreak/>
        <w:t>L’analyse des axes:</w:t>
      </w:r>
      <w:bookmarkEnd w:id="2298"/>
      <w:bookmarkEnd w:id="2299"/>
      <w:bookmarkEnd w:id="2300"/>
      <w:bookmarkEnd w:id="2301"/>
      <w:bookmarkEnd w:id="2302"/>
      <w:bookmarkEnd w:id="2303"/>
    </w:p>
    <w:p w:rsidR="007828AE" w:rsidRPr="007828AE" w:rsidRDefault="007828AE" w:rsidP="007828AE">
      <w:pPr>
        <w:spacing w:line="360" w:lineRule="auto"/>
        <w:rPr>
          <w:rFonts w:asciiTheme="majorBidi" w:hAnsiTheme="majorBidi" w:cstheme="majorBidi"/>
          <w:b/>
          <w:bCs/>
          <w:color w:val="000000"/>
          <w:sz w:val="22"/>
          <w:szCs w:val="22"/>
          <w:lang w:val="fr-FR"/>
        </w:rPr>
      </w:pPr>
      <w:r w:rsidRPr="007828AE">
        <w:rPr>
          <w:rFonts w:asciiTheme="majorBidi" w:hAnsiTheme="majorBidi" w:cstheme="majorBidi"/>
          <w:color w:val="000000"/>
        </w:rPr>
        <w:t>L’analyse des axes vise à explorer les principaux aspects de la digitalisation des processus RH. Elle s’appuie sur l’interprétation des données collectées via l’échelle de Likert.</w:t>
      </w:r>
      <w:r w:rsidRPr="007828AE">
        <w:rPr>
          <w:rFonts w:asciiTheme="majorBidi" w:hAnsiTheme="majorBidi" w:cstheme="majorBidi"/>
          <w:b/>
          <w:bCs/>
          <w:color w:val="000000"/>
          <w:sz w:val="22"/>
          <w:szCs w:val="22"/>
          <w:lang w:val="fr-FR"/>
        </w:rPr>
        <w:t xml:space="preserve"> </w:t>
      </w:r>
    </w:p>
    <w:p w:rsidR="00E772DD" w:rsidRPr="00131172" w:rsidRDefault="00E772DD" w:rsidP="00035849">
      <w:pPr>
        <w:spacing w:line="360" w:lineRule="auto"/>
        <w:jc w:val="center"/>
        <w:rPr>
          <w:rFonts w:asciiTheme="majorBidi" w:hAnsiTheme="majorBidi" w:cstheme="majorBidi"/>
          <w:color w:val="000000"/>
          <w:lang w:val="fr-FR"/>
        </w:rPr>
      </w:pPr>
      <w:r w:rsidRPr="008764AA">
        <w:rPr>
          <w:rFonts w:asciiTheme="majorBidi" w:hAnsiTheme="majorBidi" w:cstheme="majorBidi"/>
          <w:b/>
          <w:bCs/>
          <w:color w:val="000000"/>
          <w:lang w:val="fr-FR"/>
        </w:rPr>
        <w:t>Tableau</w:t>
      </w:r>
      <w:r>
        <w:rPr>
          <w:rFonts w:asciiTheme="majorBidi" w:hAnsiTheme="majorBidi" w:cstheme="majorBidi"/>
          <w:b/>
          <w:bCs/>
          <w:color w:val="000000"/>
          <w:lang w:val="fr-FR"/>
        </w:rPr>
        <w:t xml:space="preserve"> N°32</w:t>
      </w:r>
      <w:r w:rsidRPr="008764AA">
        <w:rPr>
          <w:rFonts w:asciiTheme="majorBidi" w:hAnsiTheme="majorBidi" w:cstheme="majorBidi"/>
          <w:b/>
          <w:bCs/>
          <w:color w:val="000000"/>
          <w:lang w:val="fr-FR"/>
        </w:rPr>
        <w:t xml:space="preserve"> : </w:t>
      </w:r>
      <w:r w:rsidRPr="00131172">
        <w:rPr>
          <w:rFonts w:asciiTheme="majorBidi" w:hAnsiTheme="majorBidi" w:cstheme="majorBidi"/>
          <w:color w:val="000000"/>
          <w:lang w:val="fr-FR"/>
        </w:rPr>
        <w:t>Poids de l’échelle Likert</w:t>
      </w:r>
    </w:p>
    <w:tbl>
      <w:tblPr>
        <w:tblStyle w:val="Grilledutableau"/>
        <w:tblW w:w="0" w:type="auto"/>
        <w:tblLook w:val="04A0" w:firstRow="1" w:lastRow="0" w:firstColumn="1" w:lastColumn="0" w:noHBand="0" w:noVBand="1"/>
      </w:tblPr>
      <w:tblGrid>
        <w:gridCol w:w="1836"/>
        <w:gridCol w:w="1166"/>
        <w:gridCol w:w="1502"/>
        <w:gridCol w:w="1502"/>
        <w:gridCol w:w="1502"/>
        <w:gridCol w:w="1502"/>
      </w:tblGrid>
      <w:tr w:rsidR="00E772DD" w:rsidRPr="008764AA" w:rsidTr="00AE378F">
        <w:tc>
          <w:tcPr>
            <w:tcW w:w="1838" w:type="dxa"/>
            <w:shd w:val="clear" w:color="auto" w:fill="D8DCD1"/>
          </w:tcPr>
          <w:p w:rsidR="00E772DD" w:rsidRPr="008764AA" w:rsidRDefault="00E772DD" w:rsidP="00F14285">
            <w:pPr>
              <w:pStyle w:val="p1"/>
              <w:rPr>
                <w:sz w:val="24"/>
                <w:szCs w:val="24"/>
              </w:rPr>
            </w:pPr>
            <w:r w:rsidRPr="008764AA">
              <w:rPr>
                <w:b/>
                <w:bCs/>
                <w:sz w:val="24"/>
                <w:szCs w:val="24"/>
              </w:rPr>
              <w:t>Longueur du</w:t>
            </w:r>
          </w:p>
          <w:p w:rsidR="00E772DD" w:rsidRPr="008764AA" w:rsidRDefault="00E772DD" w:rsidP="00F14285">
            <w:pPr>
              <w:pStyle w:val="p1"/>
              <w:rPr>
                <w:sz w:val="24"/>
                <w:szCs w:val="24"/>
              </w:rPr>
            </w:pPr>
            <w:r w:rsidRPr="008764AA">
              <w:rPr>
                <w:b/>
                <w:bCs/>
                <w:sz w:val="24"/>
                <w:szCs w:val="24"/>
              </w:rPr>
              <w:t>Niveau (poids)</w:t>
            </w:r>
          </w:p>
        </w:tc>
        <w:tc>
          <w:tcPr>
            <w:tcW w:w="1166" w:type="dxa"/>
            <w:shd w:val="clear" w:color="auto" w:fill="D8DCD1"/>
          </w:tcPr>
          <w:p w:rsidR="00E772DD" w:rsidRPr="008764AA" w:rsidRDefault="00E772DD" w:rsidP="00F14285">
            <w:pPr>
              <w:pStyle w:val="p1"/>
              <w:rPr>
                <w:sz w:val="24"/>
                <w:szCs w:val="24"/>
              </w:rPr>
            </w:pPr>
            <w:r w:rsidRPr="008764AA">
              <w:rPr>
                <w:b/>
                <w:bCs/>
                <w:sz w:val="24"/>
                <w:szCs w:val="24"/>
              </w:rPr>
              <w:t>[1-1.79]</w:t>
            </w:r>
            <w:r w:rsidRPr="008764AA">
              <w:rPr>
                <w:rStyle w:val="apple-converted-space"/>
                <w:b/>
                <w:bCs/>
                <w:sz w:val="24"/>
                <w:szCs w:val="24"/>
              </w:rPr>
              <w:t> </w:t>
            </w:r>
          </w:p>
        </w:tc>
        <w:tc>
          <w:tcPr>
            <w:tcW w:w="1503" w:type="dxa"/>
            <w:shd w:val="clear" w:color="auto" w:fill="D8DCD1"/>
          </w:tcPr>
          <w:p w:rsidR="00E772DD" w:rsidRPr="008764AA" w:rsidRDefault="00E772DD" w:rsidP="00F14285">
            <w:pPr>
              <w:pStyle w:val="p1"/>
              <w:rPr>
                <w:sz w:val="24"/>
                <w:szCs w:val="24"/>
              </w:rPr>
            </w:pPr>
            <w:r w:rsidRPr="008764AA">
              <w:rPr>
                <w:b/>
                <w:bCs/>
                <w:sz w:val="24"/>
                <w:szCs w:val="24"/>
              </w:rPr>
              <w:t>[1,8-2,59]</w:t>
            </w:r>
            <w:r w:rsidRPr="008764AA">
              <w:rPr>
                <w:rStyle w:val="apple-converted-space"/>
                <w:b/>
                <w:bCs/>
                <w:sz w:val="24"/>
                <w:szCs w:val="24"/>
              </w:rPr>
              <w:t> </w:t>
            </w:r>
          </w:p>
        </w:tc>
        <w:tc>
          <w:tcPr>
            <w:tcW w:w="1503" w:type="dxa"/>
            <w:shd w:val="clear" w:color="auto" w:fill="D8DCD1"/>
          </w:tcPr>
          <w:p w:rsidR="00E772DD" w:rsidRPr="008764AA" w:rsidRDefault="00E772DD" w:rsidP="00F14285">
            <w:pPr>
              <w:pStyle w:val="p1"/>
              <w:rPr>
                <w:sz w:val="24"/>
                <w:szCs w:val="24"/>
              </w:rPr>
            </w:pPr>
            <w:r w:rsidRPr="008764AA">
              <w:rPr>
                <w:b/>
                <w:bCs/>
                <w:sz w:val="24"/>
                <w:szCs w:val="24"/>
              </w:rPr>
              <w:t>[2.6-3.39]</w:t>
            </w:r>
            <w:r w:rsidRPr="008764AA">
              <w:rPr>
                <w:rStyle w:val="apple-converted-space"/>
                <w:b/>
                <w:bCs/>
                <w:sz w:val="24"/>
                <w:szCs w:val="24"/>
              </w:rPr>
              <w:t> </w:t>
            </w:r>
          </w:p>
        </w:tc>
        <w:tc>
          <w:tcPr>
            <w:tcW w:w="1503" w:type="dxa"/>
            <w:shd w:val="clear" w:color="auto" w:fill="D8DCD1"/>
          </w:tcPr>
          <w:p w:rsidR="00E772DD" w:rsidRPr="008764AA" w:rsidRDefault="00E772DD" w:rsidP="00F14285">
            <w:pPr>
              <w:pStyle w:val="p1"/>
              <w:rPr>
                <w:sz w:val="24"/>
                <w:szCs w:val="24"/>
              </w:rPr>
            </w:pPr>
            <w:r w:rsidRPr="008764AA">
              <w:rPr>
                <w:b/>
                <w:bCs/>
                <w:sz w:val="24"/>
                <w:szCs w:val="24"/>
              </w:rPr>
              <w:t>[3,4-4,19]</w:t>
            </w:r>
          </w:p>
        </w:tc>
        <w:tc>
          <w:tcPr>
            <w:tcW w:w="1503" w:type="dxa"/>
            <w:shd w:val="clear" w:color="auto" w:fill="D8DCD1"/>
          </w:tcPr>
          <w:p w:rsidR="00E772DD" w:rsidRPr="008764AA" w:rsidRDefault="00E772DD" w:rsidP="00F14285">
            <w:pPr>
              <w:pStyle w:val="p1"/>
              <w:rPr>
                <w:sz w:val="24"/>
                <w:szCs w:val="24"/>
              </w:rPr>
            </w:pPr>
            <w:r w:rsidRPr="008764AA">
              <w:rPr>
                <w:b/>
                <w:bCs/>
                <w:sz w:val="24"/>
                <w:szCs w:val="24"/>
              </w:rPr>
              <w:t>[4,2 -5]</w:t>
            </w:r>
          </w:p>
        </w:tc>
      </w:tr>
      <w:tr w:rsidR="00E772DD" w:rsidRPr="008764AA" w:rsidTr="00AE378F">
        <w:tc>
          <w:tcPr>
            <w:tcW w:w="1838" w:type="dxa"/>
            <w:shd w:val="clear" w:color="auto" w:fill="D8DCD1"/>
          </w:tcPr>
          <w:p w:rsidR="00E772DD" w:rsidRPr="008764AA" w:rsidRDefault="00E772DD" w:rsidP="00F14285">
            <w:pPr>
              <w:pStyle w:val="p1"/>
              <w:rPr>
                <w:sz w:val="24"/>
                <w:szCs w:val="24"/>
              </w:rPr>
            </w:pPr>
            <w:r w:rsidRPr="008764AA">
              <w:rPr>
                <w:b/>
                <w:bCs/>
                <w:sz w:val="24"/>
                <w:szCs w:val="24"/>
              </w:rPr>
              <w:t>Niveau</w:t>
            </w:r>
          </w:p>
          <w:p w:rsidR="00E772DD" w:rsidRPr="008764AA" w:rsidRDefault="00E772DD" w:rsidP="00F14285">
            <w:pPr>
              <w:pStyle w:val="p1"/>
              <w:rPr>
                <w:sz w:val="24"/>
                <w:szCs w:val="24"/>
              </w:rPr>
            </w:pPr>
            <w:r w:rsidRPr="008764AA">
              <w:rPr>
                <w:b/>
                <w:bCs/>
                <w:sz w:val="24"/>
                <w:szCs w:val="24"/>
              </w:rPr>
              <w:t>d'accord</w:t>
            </w:r>
          </w:p>
        </w:tc>
        <w:tc>
          <w:tcPr>
            <w:tcW w:w="1166" w:type="dxa"/>
          </w:tcPr>
          <w:p w:rsidR="00E772DD" w:rsidRPr="008764AA" w:rsidRDefault="00E772DD" w:rsidP="00F14285">
            <w:pPr>
              <w:spacing w:line="360" w:lineRule="auto"/>
              <w:rPr>
                <w:color w:val="000000"/>
                <w:lang w:val="fr-FR"/>
              </w:rPr>
            </w:pPr>
            <w:r w:rsidRPr="008764AA">
              <w:rPr>
                <w:color w:val="000000"/>
                <w:lang w:val="fr-FR"/>
              </w:rPr>
              <w:t xml:space="preserve">Pas du tout d’accord </w:t>
            </w:r>
          </w:p>
        </w:tc>
        <w:tc>
          <w:tcPr>
            <w:tcW w:w="1503" w:type="dxa"/>
          </w:tcPr>
          <w:p w:rsidR="00E772DD" w:rsidRPr="008764AA" w:rsidRDefault="00E772DD" w:rsidP="00F14285">
            <w:pPr>
              <w:spacing w:line="360" w:lineRule="auto"/>
              <w:rPr>
                <w:color w:val="000000"/>
                <w:lang w:val="fr-FR"/>
              </w:rPr>
            </w:pPr>
            <w:r w:rsidRPr="008764AA">
              <w:rPr>
                <w:color w:val="000000"/>
                <w:lang w:val="fr-FR"/>
              </w:rPr>
              <w:t>Peu d’accord</w:t>
            </w:r>
          </w:p>
        </w:tc>
        <w:tc>
          <w:tcPr>
            <w:tcW w:w="1503" w:type="dxa"/>
          </w:tcPr>
          <w:p w:rsidR="00E772DD" w:rsidRPr="008764AA" w:rsidRDefault="00E772DD" w:rsidP="00F14285">
            <w:pPr>
              <w:spacing w:line="360" w:lineRule="auto"/>
              <w:rPr>
                <w:color w:val="000000"/>
                <w:lang w:val="fr-FR"/>
              </w:rPr>
            </w:pPr>
            <w:r w:rsidRPr="008764AA">
              <w:rPr>
                <w:color w:val="000000"/>
                <w:lang w:val="fr-FR"/>
              </w:rPr>
              <w:t>Neutre</w:t>
            </w:r>
          </w:p>
        </w:tc>
        <w:tc>
          <w:tcPr>
            <w:tcW w:w="1503" w:type="dxa"/>
          </w:tcPr>
          <w:p w:rsidR="00E772DD" w:rsidRPr="008764AA" w:rsidRDefault="00E772DD" w:rsidP="00F14285">
            <w:pPr>
              <w:spacing w:line="360" w:lineRule="auto"/>
              <w:rPr>
                <w:color w:val="000000"/>
                <w:lang w:val="fr-FR"/>
              </w:rPr>
            </w:pPr>
            <w:r w:rsidRPr="008764AA">
              <w:rPr>
                <w:color w:val="000000"/>
                <w:lang w:val="fr-FR"/>
              </w:rPr>
              <w:t>D’accord</w:t>
            </w:r>
          </w:p>
        </w:tc>
        <w:tc>
          <w:tcPr>
            <w:tcW w:w="1503" w:type="dxa"/>
          </w:tcPr>
          <w:p w:rsidR="00E772DD" w:rsidRPr="008764AA" w:rsidRDefault="00E772DD" w:rsidP="00F14285">
            <w:pPr>
              <w:pStyle w:val="p1"/>
              <w:rPr>
                <w:sz w:val="24"/>
                <w:szCs w:val="24"/>
              </w:rPr>
            </w:pPr>
            <w:r w:rsidRPr="008764AA">
              <w:rPr>
                <w:sz w:val="24"/>
                <w:szCs w:val="24"/>
              </w:rPr>
              <w:t>Tout à fait</w:t>
            </w:r>
          </w:p>
          <w:p w:rsidR="00E772DD" w:rsidRPr="008764AA" w:rsidRDefault="00E772DD" w:rsidP="00F14285">
            <w:pPr>
              <w:pStyle w:val="p1"/>
              <w:rPr>
                <w:sz w:val="24"/>
                <w:szCs w:val="24"/>
              </w:rPr>
            </w:pPr>
            <w:r w:rsidRPr="008764AA">
              <w:rPr>
                <w:sz w:val="24"/>
                <w:szCs w:val="24"/>
              </w:rPr>
              <w:t>d’accord</w:t>
            </w:r>
          </w:p>
          <w:p w:rsidR="00E772DD" w:rsidRPr="008764AA" w:rsidRDefault="00E772DD" w:rsidP="00F14285">
            <w:pPr>
              <w:spacing w:line="360" w:lineRule="auto"/>
              <w:rPr>
                <w:color w:val="000000"/>
                <w:lang w:val="fr-FR"/>
              </w:rPr>
            </w:pPr>
          </w:p>
        </w:tc>
      </w:tr>
    </w:tbl>
    <w:p w:rsidR="00E772DD" w:rsidRPr="008764AA" w:rsidRDefault="00E772DD" w:rsidP="008764AA">
      <w:pPr>
        <w:spacing w:after="240" w:line="360" w:lineRule="auto"/>
        <w:jc w:val="center"/>
        <w:rPr>
          <w:rFonts w:asciiTheme="majorBidi" w:hAnsiTheme="majorBidi" w:cstheme="majorBidi"/>
          <w:color w:val="000000"/>
          <w:lang w:val="fr-FR"/>
        </w:rPr>
      </w:pPr>
      <w:r w:rsidRPr="008764AA">
        <w:rPr>
          <w:rFonts w:asciiTheme="majorBidi" w:hAnsiTheme="majorBidi" w:cstheme="majorBidi"/>
          <w:b/>
          <w:bCs/>
          <w:color w:val="000000"/>
          <w:lang w:val="fr-FR"/>
        </w:rPr>
        <w:t>Source:</w:t>
      </w:r>
      <w:r w:rsidRPr="008764AA">
        <w:rPr>
          <w:rFonts w:asciiTheme="majorBidi" w:hAnsiTheme="majorBidi" w:cstheme="majorBidi"/>
          <w:color w:val="000000"/>
          <w:lang w:val="fr-FR"/>
        </w:rPr>
        <w:t xml:space="preserve"> Établi par nous-mêmes, inspiré de « L’échelle de Likert pour les réponses aux questionnaires d’évaluation | </w:t>
      </w:r>
      <w:proofErr w:type="spellStart"/>
      <w:r w:rsidRPr="008764AA">
        <w:rPr>
          <w:rFonts w:asciiTheme="majorBidi" w:hAnsiTheme="majorBidi" w:cstheme="majorBidi"/>
          <w:color w:val="000000"/>
          <w:lang w:val="fr-FR"/>
        </w:rPr>
        <w:t>SurveyMonkey</w:t>
      </w:r>
      <w:proofErr w:type="spellEnd"/>
      <w:r w:rsidRPr="008764AA">
        <w:rPr>
          <w:rFonts w:asciiTheme="majorBidi" w:hAnsiTheme="majorBidi" w:cstheme="majorBidi"/>
          <w:color w:val="000000"/>
          <w:lang w:val="fr-FR"/>
        </w:rPr>
        <w:t xml:space="preserve"> », [French] </w:t>
      </w:r>
      <w:proofErr w:type="spellStart"/>
      <w:r w:rsidRPr="008764AA">
        <w:rPr>
          <w:rFonts w:asciiTheme="majorBidi" w:hAnsiTheme="majorBidi" w:cstheme="majorBidi"/>
          <w:color w:val="000000"/>
          <w:lang w:val="fr-FR"/>
        </w:rPr>
        <w:t>SurveyMonkey</w:t>
      </w:r>
      <w:proofErr w:type="spellEnd"/>
      <w:r w:rsidRPr="008764AA">
        <w:rPr>
          <w:rFonts w:asciiTheme="majorBidi" w:hAnsiTheme="majorBidi" w:cstheme="majorBidi"/>
          <w:color w:val="000000"/>
          <w:lang w:val="fr-FR"/>
        </w:rPr>
        <w:t>. [En ligne]. Disponible sur: https://fr.surveymonkey.com/mp/likert-scale/. [Consulté le: 13 mai 2025]. »</w:t>
      </w:r>
    </w:p>
    <w:p w:rsidR="00E772DD" w:rsidRPr="00A53242" w:rsidRDefault="00E772DD" w:rsidP="004D32AC">
      <w:pPr>
        <w:pStyle w:val="Titre3"/>
        <w:numPr>
          <w:ilvl w:val="0"/>
          <w:numId w:val="175"/>
        </w:numPr>
        <w:spacing w:after="0" w:afterAutospacing="0" w:line="360" w:lineRule="auto"/>
        <w:rPr>
          <w:sz w:val="24"/>
          <w:szCs w:val="24"/>
          <w:lang w:val="fr-FR"/>
        </w:rPr>
      </w:pPr>
      <w:bookmarkStart w:id="2304" w:name="_Toc199714575"/>
      <w:bookmarkStart w:id="2305" w:name="_Toc200486851"/>
      <w:bookmarkStart w:id="2306" w:name="_Toc200635629"/>
      <w:bookmarkStart w:id="2307" w:name="_Toc200636017"/>
      <w:bookmarkStart w:id="2308" w:name="_Toc200636406"/>
      <w:bookmarkStart w:id="2309" w:name="_Toc200756147"/>
      <w:r w:rsidRPr="00A53242">
        <w:rPr>
          <w:sz w:val="24"/>
          <w:szCs w:val="24"/>
          <w:lang w:val="fr-FR"/>
        </w:rPr>
        <w:t xml:space="preserve">L’analyse des axes de la </w:t>
      </w:r>
      <w:proofErr w:type="spellStart"/>
      <w:r w:rsidRPr="00A53242">
        <w:rPr>
          <w:sz w:val="24"/>
          <w:szCs w:val="24"/>
          <w:lang w:val="fr-FR"/>
        </w:rPr>
        <w:t>function</w:t>
      </w:r>
      <w:proofErr w:type="spellEnd"/>
      <w:r w:rsidRPr="00A53242">
        <w:rPr>
          <w:sz w:val="24"/>
          <w:szCs w:val="24"/>
          <w:lang w:val="fr-FR"/>
        </w:rPr>
        <w:t xml:space="preserve"> RH:</w:t>
      </w:r>
      <w:bookmarkEnd w:id="2304"/>
      <w:bookmarkEnd w:id="2305"/>
      <w:bookmarkEnd w:id="2306"/>
      <w:bookmarkEnd w:id="2307"/>
      <w:bookmarkEnd w:id="2308"/>
      <w:bookmarkEnd w:id="2309"/>
    </w:p>
    <w:p w:rsidR="00E772DD" w:rsidRPr="00A53242" w:rsidRDefault="00A53242" w:rsidP="004D32AC">
      <w:pPr>
        <w:pStyle w:val="Titre3"/>
        <w:numPr>
          <w:ilvl w:val="1"/>
          <w:numId w:val="175"/>
        </w:numPr>
        <w:spacing w:after="0" w:afterAutospacing="0" w:line="360" w:lineRule="auto"/>
        <w:rPr>
          <w:sz w:val="24"/>
          <w:szCs w:val="24"/>
          <w:lang w:val="fr-FR"/>
        </w:rPr>
      </w:pPr>
      <w:r>
        <w:rPr>
          <w:sz w:val="24"/>
          <w:szCs w:val="24"/>
          <w:lang w:val="fr-FR"/>
        </w:rPr>
        <w:t xml:space="preserve"> </w:t>
      </w:r>
      <w:bookmarkStart w:id="2310" w:name="_Toc199714576"/>
      <w:bookmarkStart w:id="2311" w:name="_Toc200486852"/>
      <w:bookmarkStart w:id="2312" w:name="_Toc200635630"/>
      <w:bookmarkStart w:id="2313" w:name="_Toc200636018"/>
      <w:bookmarkStart w:id="2314" w:name="_Toc200636407"/>
      <w:bookmarkStart w:id="2315" w:name="_Toc200756148"/>
      <w:r w:rsidR="00E772DD" w:rsidRPr="00A53242">
        <w:rPr>
          <w:sz w:val="24"/>
          <w:szCs w:val="24"/>
          <w:lang w:val="fr-FR"/>
        </w:rPr>
        <w:t>Analyse des résultats de l’axe “Automatisation”</w:t>
      </w:r>
      <w:bookmarkEnd w:id="2310"/>
      <w:bookmarkEnd w:id="2311"/>
      <w:bookmarkEnd w:id="2312"/>
      <w:bookmarkEnd w:id="2313"/>
      <w:bookmarkEnd w:id="2314"/>
      <w:bookmarkEnd w:id="2315"/>
    </w:p>
    <w:p w:rsidR="00E772DD" w:rsidRPr="008764AA" w:rsidRDefault="00E772DD" w:rsidP="00DC3B24">
      <w:pPr>
        <w:jc w:val="center"/>
        <w:rPr>
          <w:color w:val="000000"/>
          <w:lang w:val="fr-FR"/>
        </w:rPr>
      </w:pPr>
      <w:r w:rsidRPr="008764AA">
        <w:rPr>
          <w:b/>
          <w:bCs/>
          <w:color w:val="000000"/>
          <w:lang w:val="fr-FR"/>
        </w:rPr>
        <w:t>Tableau</w:t>
      </w:r>
      <w:r>
        <w:rPr>
          <w:b/>
          <w:bCs/>
          <w:color w:val="000000"/>
          <w:lang w:val="fr-FR"/>
        </w:rPr>
        <w:t xml:space="preserve"> N°33</w:t>
      </w:r>
      <w:r w:rsidRPr="008764AA">
        <w:rPr>
          <w:b/>
          <w:bCs/>
          <w:color w:val="000000"/>
          <w:lang w:val="fr-FR"/>
        </w:rPr>
        <w:t xml:space="preserve"> : </w:t>
      </w:r>
      <w:r w:rsidRPr="00746B9C">
        <w:rPr>
          <w:color w:val="000000"/>
          <w:lang w:val="fr-FR"/>
        </w:rPr>
        <w:t>Test T de l’axe “Automatisation”</w:t>
      </w:r>
    </w:p>
    <w:tbl>
      <w:tblPr>
        <w:tblStyle w:val="Grilledutableau"/>
        <w:tblW w:w="9351" w:type="dxa"/>
        <w:tblLook w:val="04A0" w:firstRow="1" w:lastRow="0" w:firstColumn="1" w:lastColumn="0" w:noHBand="0" w:noVBand="1"/>
      </w:tblPr>
      <w:tblGrid>
        <w:gridCol w:w="789"/>
        <w:gridCol w:w="1949"/>
        <w:gridCol w:w="1096"/>
        <w:gridCol w:w="1116"/>
        <w:gridCol w:w="876"/>
        <w:gridCol w:w="636"/>
        <w:gridCol w:w="657"/>
        <w:gridCol w:w="1009"/>
        <w:gridCol w:w="1223"/>
      </w:tblGrid>
      <w:tr w:rsidR="00E772DD" w:rsidRPr="008764AA" w:rsidTr="00AE378F">
        <w:tc>
          <w:tcPr>
            <w:tcW w:w="789" w:type="dxa"/>
            <w:shd w:val="clear" w:color="auto" w:fill="D8DCD1"/>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N°</w:t>
            </w:r>
          </w:p>
        </w:tc>
        <w:tc>
          <w:tcPr>
            <w:tcW w:w="1949" w:type="dxa"/>
            <w:shd w:val="clear" w:color="auto" w:fill="D8DCD1"/>
          </w:tcPr>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Intitulé de</w:t>
            </w:r>
          </w:p>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la question</w:t>
            </w:r>
          </w:p>
        </w:tc>
        <w:tc>
          <w:tcPr>
            <w:tcW w:w="1096" w:type="dxa"/>
            <w:shd w:val="clear" w:color="auto" w:fill="D8DCD1"/>
          </w:tcPr>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La</w:t>
            </w:r>
          </w:p>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moyenne</w:t>
            </w:r>
          </w:p>
        </w:tc>
        <w:tc>
          <w:tcPr>
            <w:tcW w:w="1116" w:type="dxa"/>
            <w:shd w:val="clear" w:color="auto" w:fill="D8DCD1"/>
          </w:tcPr>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L’écart</w:t>
            </w:r>
          </w:p>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-type</w:t>
            </w:r>
          </w:p>
        </w:tc>
        <w:tc>
          <w:tcPr>
            <w:tcW w:w="876" w:type="dxa"/>
            <w:shd w:val="clear" w:color="auto" w:fill="D8DCD1"/>
          </w:tcPr>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Test T</w:t>
            </w:r>
          </w:p>
        </w:tc>
        <w:tc>
          <w:tcPr>
            <w:tcW w:w="636" w:type="dxa"/>
            <w:shd w:val="clear" w:color="auto" w:fill="D8DCD1"/>
          </w:tcPr>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Ddl</w:t>
            </w:r>
            <w:r w:rsidRPr="008764AA">
              <w:rPr>
                <w:rStyle w:val="apple-converted-space"/>
                <w:rFonts w:asciiTheme="majorBidi" w:hAnsiTheme="majorBidi" w:cstheme="majorBidi"/>
                <w:sz w:val="24"/>
                <w:szCs w:val="24"/>
              </w:rPr>
              <w:t> </w:t>
            </w:r>
          </w:p>
        </w:tc>
        <w:tc>
          <w:tcPr>
            <w:tcW w:w="657" w:type="dxa"/>
            <w:shd w:val="clear" w:color="auto" w:fill="D8DCD1"/>
          </w:tcPr>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Sig.</w:t>
            </w:r>
            <w:r w:rsidRPr="008764AA">
              <w:rPr>
                <w:rStyle w:val="apple-converted-space"/>
                <w:rFonts w:asciiTheme="majorBidi" w:hAnsiTheme="majorBidi" w:cstheme="majorBidi"/>
                <w:sz w:val="24"/>
                <w:szCs w:val="24"/>
              </w:rPr>
              <w:t> </w:t>
            </w:r>
          </w:p>
        </w:tc>
        <w:tc>
          <w:tcPr>
            <w:tcW w:w="1009" w:type="dxa"/>
            <w:shd w:val="clear" w:color="auto" w:fill="D8DCD1"/>
          </w:tcPr>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L’ordre</w:t>
            </w:r>
            <w:r w:rsidRPr="008764AA">
              <w:rPr>
                <w:rStyle w:val="apple-converted-space"/>
                <w:rFonts w:asciiTheme="majorBidi" w:hAnsiTheme="majorBidi" w:cstheme="majorBidi"/>
                <w:sz w:val="24"/>
                <w:szCs w:val="24"/>
              </w:rPr>
              <w:t> </w:t>
            </w:r>
          </w:p>
        </w:tc>
        <w:tc>
          <w:tcPr>
            <w:tcW w:w="1223" w:type="dxa"/>
            <w:shd w:val="clear" w:color="auto" w:fill="D8DCD1"/>
          </w:tcPr>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Tendance</w:t>
            </w:r>
          </w:p>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de la</w:t>
            </w:r>
          </w:p>
          <w:p w:rsidR="00E772DD" w:rsidRPr="008764AA" w:rsidRDefault="00E772DD" w:rsidP="00D16B04">
            <w:pPr>
              <w:pStyle w:val="p1"/>
              <w:rPr>
                <w:rFonts w:asciiTheme="majorBidi" w:hAnsiTheme="majorBidi" w:cstheme="majorBidi"/>
                <w:sz w:val="24"/>
                <w:szCs w:val="24"/>
              </w:rPr>
            </w:pPr>
            <w:r w:rsidRPr="008764AA">
              <w:rPr>
                <w:rFonts w:asciiTheme="majorBidi" w:hAnsiTheme="majorBidi" w:cstheme="majorBidi"/>
                <w:sz w:val="24"/>
                <w:szCs w:val="24"/>
              </w:rPr>
              <w:t>réponse</w:t>
            </w:r>
          </w:p>
        </w:tc>
      </w:tr>
      <w:tr w:rsidR="00E772DD" w:rsidRPr="008764AA" w:rsidTr="00AE378F">
        <w:tc>
          <w:tcPr>
            <w:tcW w:w="789" w:type="dxa"/>
            <w:shd w:val="clear" w:color="auto" w:fill="D8DCD1"/>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w:t>
            </w:r>
          </w:p>
        </w:tc>
        <w:tc>
          <w:tcPr>
            <w:tcW w:w="194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La présélection des CV est souvent automatisée</w:t>
            </w:r>
          </w:p>
        </w:tc>
        <w:tc>
          <w:tcPr>
            <w:tcW w:w="109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3.7529</w:t>
            </w:r>
          </w:p>
        </w:tc>
        <w:tc>
          <w:tcPr>
            <w:tcW w:w="111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1.1908  </w:t>
            </w:r>
          </w:p>
          <w:p w:rsidR="00E772DD" w:rsidRPr="008764AA" w:rsidRDefault="00E772DD" w:rsidP="00D16B04">
            <w:pPr>
              <w:spacing w:after="240"/>
              <w:rPr>
                <w:rFonts w:asciiTheme="majorBidi" w:hAnsiTheme="majorBidi" w:cstheme="majorBidi"/>
                <w:lang w:val="fr-FR"/>
              </w:rPr>
            </w:pPr>
          </w:p>
        </w:tc>
        <w:tc>
          <w:tcPr>
            <w:tcW w:w="87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41.094</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7</w:t>
            </w:r>
          </w:p>
        </w:tc>
        <w:tc>
          <w:tcPr>
            <w:tcW w:w="1223"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D'accord</w:t>
            </w:r>
          </w:p>
        </w:tc>
      </w:tr>
      <w:tr w:rsidR="00E772DD" w:rsidRPr="008764AA" w:rsidTr="00AE378F">
        <w:tc>
          <w:tcPr>
            <w:tcW w:w="789" w:type="dxa"/>
            <w:shd w:val="clear" w:color="auto" w:fill="D8DCD1"/>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2</w:t>
            </w:r>
          </w:p>
        </w:tc>
        <w:tc>
          <w:tcPr>
            <w:tcW w:w="1949" w:type="dxa"/>
          </w:tcPr>
          <w:p w:rsidR="00E772DD" w:rsidRPr="008764AA" w:rsidRDefault="00E772DD" w:rsidP="00D16B04">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tests de recrutement sont fréquemment automatisés</w:t>
            </w:r>
          </w:p>
        </w:tc>
        <w:tc>
          <w:tcPr>
            <w:tcW w:w="109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3.6941</w:t>
            </w:r>
          </w:p>
        </w:tc>
        <w:tc>
          <w:tcPr>
            <w:tcW w:w="111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1.1515</w:t>
            </w:r>
          </w:p>
          <w:p w:rsidR="00E772DD" w:rsidRPr="008764AA" w:rsidRDefault="00E772DD" w:rsidP="00D16B04">
            <w:pPr>
              <w:spacing w:after="240"/>
              <w:rPr>
                <w:rFonts w:asciiTheme="majorBidi" w:hAnsiTheme="majorBidi" w:cstheme="majorBidi"/>
                <w:lang w:val="fr-FR"/>
              </w:rPr>
            </w:pPr>
          </w:p>
        </w:tc>
        <w:tc>
          <w:tcPr>
            <w:tcW w:w="87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41.828</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8</w:t>
            </w:r>
          </w:p>
        </w:tc>
        <w:tc>
          <w:tcPr>
            <w:tcW w:w="1223"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D'accord</w:t>
            </w:r>
          </w:p>
          <w:p w:rsidR="00E772DD" w:rsidRPr="008764AA" w:rsidRDefault="00E772DD" w:rsidP="00D16B04">
            <w:pPr>
              <w:spacing w:after="240"/>
              <w:rPr>
                <w:rFonts w:asciiTheme="majorBidi" w:hAnsiTheme="majorBidi" w:cstheme="majorBidi"/>
                <w:lang w:val="fr-FR"/>
              </w:rPr>
            </w:pPr>
          </w:p>
        </w:tc>
      </w:tr>
      <w:tr w:rsidR="00E772DD" w:rsidRPr="008764AA" w:rsidTr="00AE378F">
        <w:tc>
          <w:tcPr>
            <w:tcW w:w="789" w:type="dxa"/>
            <w:shd w:val="clear" w:color="auto" w:fill="D8DCD1"/>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3</w:t>
            </w:r>
          </w:p>
        </w:tc>
        <w:tc>
          <w:tcPr>
            <w:tcW w:w="1949" w:type="dxa"/>
          </w:tcPr>
          <w:p w:rsidR="00E772DD" w:rsidRPr="008764AA" w:rsidRDefault="00E772DD" w:rsidP="00D16B04">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 planification des entretiens est largement gérée par des outils automatisés.</w:t>
            </w:r>
          </w:p>
        </w:tc>
        <w:tc>
          <w:tcPr>
            <w:tcW w:w="109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4.2471</w:t>
            </w:r>
          </w:p>
          <w:p w:rsidR="00E772DD" w:rsidRPr="008764AA" w:rsidRDefault="00E772DD" w:rsidP="00D16B04">
            <w:pPr>
              <w:spacing w:after="240"/>
              <w:rPr>
                <w:rFonts w:asciiTheme="majorBidi" w:hAnsiTheme="majorBidi" w:cstheme="majorBidi"/>
                <w:lang w:val="fr-FR"/>
              </w:rPr>
            </w:pPr>
          </w:p>
        </w:tc>
        <w:tc>
          <w:tcPr>
            <w:tcW w:w="111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1.2056</w:t>
            </w:r>
          </w:p>
        </w:tc>
        <w:tc>
          <w:tcPr>
            <w:tcW w:w="87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45.933</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3</w:t>
            </w:r>
          </w:p>
        </w:tc>
        <w:tc>
          <w:tcPr>
            <w:tcW w:w="1223"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Tout à fait d'accord</w:t>
            </w:r>
          </w:p>
          <w:p w:rsidR="00E772DD" w:rsidRPr="008764AA" w:rsidRDefault="00E772DD" w:rsidP="00D16B04">
            <w:pPr>
              <w:spacing w:after="240"/>
              <w:rPr>
                <w:rFonts w:asciiTheme="majorBidi" w:hAnsiTheme="majorBidi" w:cstheme="majorBidi"/>
                <w:lang w:val="fr-FR"/>
              </w:rPr>
            </w:pPr>
          </w:p>
        </w:tc>
      </w:tr>
      <w:tr w:rsidR="00E772DD" w:rsidRPr="008764AA" w:rsidTr="00AE378F">
        <w:tc>
          <w:tcPr>
            <w:tcW w:w="789" w:type="dxa"/>
            <w:shd w:val="clear" w:color="auto" w:fill="D8DCD1"/>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4</w:t>
            </w:r>
          </w:p>
        </w:tc>
        <w:tc>
          <w:tcPr>
            <w:tcW w:w="1949" w:type="dxa"/>
          </w:tcPr>
          <w:p w:rsidR="00E772DD" w:rsidRPr="008764AA" w:rsidRDefault="00E772DD" w:rsidP="00D16B04">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 suivi des candidatures est globalement automatisé.</w:t>
            </w:r>
          </w:p>
        </w:tc>
        <w:tc>
          <w:tcPr>
            <w:tcW w:w="109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4.3000</w:t>
            </w:r>
          </w:p>
          <w:p w:rsidR="00E772DD" w:rsidRPr="008764AA" w:rsidRDefault="00E772DD" w:rsidP="00D16B04">
            <w:pPr>
              <w:spacing w:after="240"/>
              <w:rPr>
                <w:rFonts w:asciiTheme="majorBidi" w:hAnsiTheme="majorBidi" w:cstheme="majorBidi"/>
                <w:lang w:val="fr-FR"/>
              </w:rPr>
            </w:pPr>
          </w:p>
        </w:tc>
        <w:tc>
          <w:tcPr>
            <w:tcW w:w="111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1.1402</w:t>
            </w:r>
          </w:p>
          <w:p w:rsidR="00E772DD" w:rsidRPr="008764AA" w:rsidRDefault="00E772DD" w:rsidP="00D16B04">
            <w:pPr>
              <w:spacing w:after="240"/>
              <w:rPr>
                <w:rFonts w:asciiTheme="majorBidi" w:hAnsiTheme="majorBidi" w:cstheme="majorBidi"/>
                <w:lang w:val="fr-FR"/>
              </w:rPr>
            </w:pPr>
          </w:p>
        </w:tc>
        <w:tc>
          <w:tcPr>
            <w:tcW w:w="87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49.172</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2</w:t>
            </w:r>
          </w:p>
        </w:tc>
        <w:tc>
          <w:tcPr>
            <w:tcW w:w="1223"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Tout à fait d'accord</w:t>
            </w:r>
          </w:p>
          <w:p w:rsidR="00E772DD" w:rsidRPr="008764AA" w:rsidRDefault="00E772DD" w:rsidP="00D16B04">
            <w:pPr>
              <w:spacing w:after="240"/>
              <w:rPr>
                <w:rFonts w:asciiTheme="majorBidi" w:hAnsiTheme="majorBidi" w:cstheme="majorBidi"/>
                <w:lang w:val="fr-FR"/>
              </w:rPr>
            </w:pPr>
          </w:p>
        </w:tc>
      </w:tr>
      <w:tr w:rsidR="00E772DD" w:rsidRPr="008764AA" w:rsidTr="00AE378F">
        <w:tc>
          <w:tcPr>
            <w:tcW w:w="789" w:type="dxa"/>
            <w:shd w:val="clear" w:color="auto" w:fill="D8DCD1"/>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5</w:t>
            </w:r>
          </w:p>
        </w:tc>
        <w:tc>
          <w:tcPr>
            <w:tcW w:w="1949" w:type="dxa"/>
          </w:tcPr>
          <w:p w:rsidR="00E772DD" w:rsidRPr="008764AA" w:rsidRDefault="00E772DD" w:rsidP="00D16B04">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 xml:space="preserve">Des notifications automatiques sont systématiquement </w:t>
            </w:r>
            <w:r w:rsidRPr="008764AA">
              <w:rPr>
                <w:rFonts w:asciiTheme="majorBidi" w:eastAsiaTheme="minorHAnsi" w:hAnsiTheme="majorBidi" w:cstheme="majorBidi"/>
                <w:lang w:val="fr-FR"/>
                <w14:ligatures w14:val="standardContextual"/>
              </w:rPr>
              <w:lastRenderedPageBreak/>
              <w:t>envoyées aux candidats.</w:t>
            </w:r>
          </w:p>
        </w:tc>
        <w:tc>
          <w:tcPr>
            <w:tcW w:w="109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lastRenderedPageBreak/>
              <w:t xml:space="preserve">3.9941 </w:t>
            </w:r>
          </w:p>
        </w:tc>
        <w:tc>
          <w:tcPr>
            <w:tcW w:w="111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1.3122</w:t>
            </w:r>
          </w:p>
          <w:p w:rsidR="00E772DD" w:rsidRPr="008764AA" w:rsidRDefault="00E772DD" w:rsidP="00D16B04">
            <w:pPr>
              <w:spacing w:after="240"/>
              <w:rPr>
                <w:rFonts w:asciiTheme="majorBidi" w:hAnsiTheme="majorBidi" w:cstheme="majorBidi"/>
                <w:lang w:val="fr-FR"/>
              </w:rPr>
            </w:pPr>
          </w:p>
        </w:tc>
        <w:tc>
          <w:tcPr>
            <w:tcW w:w="87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39.687 </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5</w:t>
            </w:r>
          </w:p>
        </w:tc>
        <w:tc>
          <w:tcPr>
            <w:tcW w:w="1223"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D'accord</w:t>
            </w:r>
          </w:p>
          <w:p w:rsidR="00E772DD" w:rsidRPr="008764AA" w:rsidRDefault="00E772DD" w:rsidP="00D16B04">
            <w:pPr>
              <w:spacing w:after="240"/>
              <w:rPr>
                <w:rFonts w:asciiTheme="majorBidi" w:hAnsiTheme="majorBidi" w:cstheme="majorBidi"/>
                <w:lang w:val="fr-FR"/>
              </w:rPr>
            </w:pPr>
          </w:p>
        </w:tc>
      </w:tr>
      <w:tr w:rsidR="00E772DD" w:rsidRPr="008764AA" w:rsidTr="00AE378F">
        <w:tc>
          <w:tcPr>
            <w:tcW w:w="789" w:type="dxa"/>
            <w:shd w:val="clear" w:color="auto" w:fill="D8DCD1"/>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6</w:t>
            </w:r>
          </w:p>
        </w:tc>
        <w:tc>
          <w:tcPr>
            <w:tcW w:w="1949" w:type="dxa"/>
          </w:tcPr>
          <w:p w:rsidR="00E772DD" w:rsidRPr="008764AA" w:rsidRDefault="00E772DD" w:rsidP="00D16B04">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L'automatisation des processus RH réduit fortement les interventions manuelles.</w:t>
            </w:r>
          </w:p>
        </w:tc>
        <w:tc>
          <w:tcPr>
            <w:tcW w:w="109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3.9824</w:t>
            </w:r>
          </w:p>
          <w:p w:rsidR="00E772DD" w:rsidRPr="008764AA" w:rsidRDefault="00E772DD" w:rsidP="00D16B04">
            <w:pPr>
              <w:spacing w:after="240"/>
              <w:rPr>
                <w:rFonts w:asciiTheme="majorBidi" w:hAnsiTheme="majorBidi" w:cstheme="majorBidi"/>
                <w:lang w:val="fr-FR"/>
              </w:rPr>
            </w:pPr>
          </w:p>
        </w:tc>
        <w:tc>
          <w:tcPr>
            <w:tcW w:w="111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1.3076 </w:t>
            </w:r>
          </w:p>
          <w:p w:rsidR="00E772DD" w:rsidRPr="008764AA" w:rsidRDefault="00E772DD" w:rsidP="00D16B04">
            <w:pPr>
              <w:spacing w:after="240"/>
              <w:rPr>
                <w:rFonts w:asciiTheme="majorBidi" w:hAnsiTheme="majorBidi" w:cstheme="majorBidi"/>
                <w:lang w:val="fr-FR"/>
              </w:rPr>
            </w:pPr>
          </w:p>
        </w:tc>
        <w:tc>
          <w:tcPr>
            <w:tcW w:w="87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39.710</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6</w:t>
            </w:r>
          </w:p>
        </w:tc>
        <w:tc>
          <w:tcPr>
            <w:tcW w:w="1223"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D'accord</w:t>
            </w:r>
          </w:p>
        </w:tc>
      </w:tr>
      <w:tr w:rsidR="00E772DD" w:rsidRPr="008764AA" w:rsidTr="00AE378F">
        <w:tc>
          <w:tcPr>
            <w:tcW w:w="789" w:type="dxa"/>
            <w:shd w:val="clear" w:color="auto" w:fill="D8DCD1"/>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7</w:t>
            </w:r>
          </w:p>
        </w:tc>
        <w:tc>
          <w:tcPr>
            <w:tcW w:w="1949" w:type="dxa"/>
          </w:tcPr>
          <w:p w:rsidR="00E772DD" w:rsidRPr="008764AA" w:rsidRDefault="00E772DD" w:rsidP="00D16B04">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L'automatisation permet une meilleure coordination entre les acteurs RH.</w:t>
            </w:r>
          </w:p>
        </w:tc>
        <w:tc>
          <w:tcPr>
            <w:tcW w:w="109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4.3706</w:t>
            </w:r>
          </w:p>
          <w:p w:rsidR="00E772DD" w:rsidRPr="008764AA" w:rsidRDefault="00E772DD" w:rsidP="00D16B04">
            <w:pPr>
              <w:spacing w:after="240"/>
              <w:rPr>
                <w:rFonts w:asciiTheme="majorBidi" w:hAnsiTheme="majorBidi" w:cstheme="majorBidi"/>
                <w:lang w:val="fr-FR"/>
              </w:rPr>
            </w:pPr>
          </w:p>
        </w:tc>
        <w:tc>
          <w:tcPr>
            <w:tcW w:w="111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1.1138</w:t>
            </w:r>
          </w:p>
          <w:p w:rsidR="00E772DD" w:rsidRPr="008764AA" w:rsidRDefault="00E772DD" w:rsidP="00D16B04">
            <w:pPr>
              <w:spacing w:after="240"/>
              <w:rPr>
                <w:rFonts w:asciiTheme="majorBidi" w:hAnsiTheme="majorBidi" w:cstheme="majorBidi"/>
                <w:lang w:val="fr-FR"/>
              </w:rPr>
            </w:pPr>
          </w:p>
        </w:tc>
        <w:tc>
          <w:tcPr>
            <w:tcW w:w="87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51.163</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w:t>
            </w:r>
          </w:p>
        </w:tc>
        <w:tc>
          <w:tcPr>
            <w:tcW w:w="1223"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Tout à fait d'accord</w:t>
            </w:r>
          </w:p>
        </w:tc>
      </w:tr>
      <w:tr w:rsidR="00E772DD" w:rsidRPr="008764AA" w:rsidTr="00AE378F">
        <w:tc>
          <w:tcPr>
            <w:tcW w:w="789" w:type="dxa"/>
            <w:shd w:val="clear" w:color="auto" w:fill="D8DCD1"/>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8</w:t>
            </w:r>
          </w:p>
        </w:tc>
        <w:tc>
          <w:tcPr>
            <w:tcW w:w="1949" w:type="dxa"/>
          </w:tcPr>
          <w:p w:rsidR="00E772DD" w:rsidRPr="008764AA" w:rsidRDefault="00E772DD" w:rsidP="00D16B04">
            <w:pPr>
              <w:autoSpaceDE w:val="0"/>
              <w:autoSpaceDN w:val="0"/>
              <w:adjustRightInd w:val="0"/>
              <w:rPr>
                <w:rFonts w:asciiTheme="majorBidi" w:eastAsiaTheme="minorHAnsi" w:hAnsiTheme="majorBidi" w:cstheme="majorBidi"/>
                <w:lang w:val="fr-FR"/>
                <w14:ligatures w14:val="standardContextual"/>
              </w:rPr>
            </w:pPr>
            <w:r w:rsidRPr="008764AA">
              <w:rPr>
                <w:rFonts w:asciiTheme="majorBidi" w:eastAsiaTheme="minorHAnsi" w:hAnsiTheme="majorBidi" w:cstheme="majorBidi"/>
                <w:lang w:val="fr-FR"/>
                <w14:ligatures w14:val="standardContextual"/>
              </w:rPr>
              <w:t>Votre entreprise utilise régulièrement des outils pour automatiser la formation.</w:t>
            </w:r>
          </w:p>
        </w:tc>
        <w:tc>
          <w:tcPr>
            <w:tcW w:w="109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4.2353</w:t>
            </w:r>
          </w:p>
        </w:tc>
        <w:tc>
          <w:tcPr>
            <w:tcW w:w="111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1.1981</w:t>
            </w:r>
          </w:p>
          <w:p w:rsidR="00E772DD" w:rsidRPr="008764AA" w:rsidRDefault="00E772DD" w:rsidP="00D16B04">
            <w:pPr>
              <w:spacing w:after="240"/>
              <w:rPr>
                <w:rFonts w:asciiTheme="majorBidi" w:hAnsiTheme="majorBidi" w:cstheme="majorBidi"/>
                <w:lang w:val="fr-FR"/>
              </w:rPr>
            </w:pPr>
          </w:p>
        </w:tc>
        <w:tc>
          <w:tcPr>
            <w:tcW w:w="876"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46.091</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4</w:t>
            </w:r>
          </w:p>
        </w:tc>
        <w:tc>
          <w:tcPr>
            <w:tcW w:w="1223" w:type="dxa"/>
          </w:tcPr>
          <w:p w:rsidR="00E772DD" w:rsidRPr="008764AA" w:rsidRDefault="00E772DD" w:rsidP="00D16B04">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Tout à fait d'accord</w:t>
            </w:r>
          </w:p>
        </w:tc>
      </w:tr>
      <w:tr w:rsidR="00E772DD" w:rsidRPr="008764AA" w:rsidTr="001843EE">
        <w:tc>
          <w:tcPr>
            <w:tcW w:w="789" w:type="dxa"/>
          </w:tcPr>
          <w:p w:rsidR="00E772DD" w:rsidRPr="008764AA" w:rsidRDefault="00E772DD" w:rsidP="00D16B04">
            <w:pPr>
              <w:spacing w:after="240"/>
              <w:rPr>
                <w:rFonts w:asciiTheme="majorBidi" w:hAnsiTheme="majorBidi" w:cstheme="majorBidi"/>
                <w:lang w:val="fr-FR"/>
              </w:rPr>
            </w:pPr>
          </w:p>
        </w:tc>
        <w:tc>
          <w:tcPr>
            <w:tcW w:w="1949"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Total Automatisation</w:t>
            </w:r>
          </w:p>
        </w:tc>
        <w:tc>
          <w:tcPr>
            <w:tcW w:w="1096" w:type="dxa"/>
          </w:tcPr>
          <w:p w:rsidR="00E772DD" w:rsidRPr="008764AA" w:rsidRDefault="00E772DD" w:rsidP="00D16B04">
            <w:pPr>
              <w:rPr>
                <w:rFonts w:asciiTheme="majorBidi" w:hAnsiTheme="majorBidi" w:cstheme="majorBidi"/>
                <w:color w:val="000000"/>
                <w:lang w:val="fr-FR"/>
              </w:rPr>
            </w:pPr>
            <w:r w:rsidRPr="008764AA">
              <w:rPr>
                <w:rFonts w:asciiTheme="majorBidi" w:hAnsiTheme="majorBidi" w:cstheme="majorBidi"/>
                <w:color w:val="000000"/>
                <w:lang w:val="fr-FR"/>
              </w:rPr>
              <w:t>4</w:t>
            </w:r>
            <w:r>
              <w:rPr>
                <w:rFonts w:asciiTheme="majorBidi" w:hAnsiTheme="majorBidi" w:cstheme="majorBidi"/>
                <w:color w:val="000000"/>
                <w:lang w:val="fr-FR"/>
              </w:rPr>
              <w:t>.</w:t>
            </w:r>
            <w:r w:rsidRPr="008764AA">
              <w:rPr>
                <w:rFonts w:asciiTheme="majorBidi" w:hAnsiTheme="majorBidi" w:cstheme="majorBidi"/>
                <w:color w:val="000000"/>
                <w:lang w:val="fr-FR"/>
              </w:rPr>
              <w:t>072</w:t>
            </w:r>
          </w:p>
          <w:p w:rsidR="00E772DD" w:rsidRPr="008764AA" w:rsidRDefault="00E772DD" w:rsidP="00D16B04">
            <w:pPr>
              <w:spacing w:after="240"/>
              <w:rPr>
                <w:rFonts w:asciiTheme="majorBidi" w:hAnsiTheme="majorBidi" w:cstheme="majorBidi"/>
                <w:lang w:val="fr-FR"/>
              </w:rPr>
            </w:pPr>
          </w:p>
        </w:tc>
        <w:tc>
          <w:tcPr>
            <w:tcW w:w="1116" w:type="dxa"/>
          </w:tcPr>
          <w:p w:rsidR="00E772DD" w:rsidRPr="008764AA" w:rsidRDefault="00E772DD" w:rsidP="00D16B04">
            <w:pPr>
              <w:rPr>
                <w:rFonts w:asciiTheme="majorBidi" w:hAnsiTheme="majorBidi" w:cstheme="majorBidi"/>
                <w:color w:val="000000"/>
                <w:lang w:val="fr-FR"/>
              </w:rPr>
            </w:pPr>
            <w:r w:rsidRPr="008764AA">
              <w:rPr>
                <w:rFonts w:asciiTheme="majorBidi" w:hAnsiTheme="majorBidi" w:cstheme="majorBidi"/>
                <w:color w:val="000000"/>
                <w:lang w:val="fr-FR"/>
              </w:rPr>
              <w:t>1</w:t>
            </w:r>
            <w:r>
              <w:rPr>
                <w:rFonts w:asciiTheme="majorBidi" w:hAnsiTheme="majorBidi" w:cstheme="majorBidi"/>
                <w:color w:val="000000"/>
                <w:lang w:val="fr-FR"/>
              </w:rPr>
              <w:t>.</w:t>
            </w:r>
            <w:r w:rsidRPr="008764AA">
              <w:rPr>
                <w:rFonts w:asciiTheme="majorBidi" w:hAnsiTheme="majorBidi" w:cstheme="majorBidi"/>
                <w:color w:val="000000"/>
                <w:lang w:val="fr-FR"/>
              </w:rPr>
              <w:t>202475</w:t>
            </w:r>
          </w:p>
          <w:p w:rsidR="00E772DD" w:rsidRPr="008764AA" w:rsidRDefault="00E772DD" w:rsidP="00D16B04">
            <w:pPr>
              <w:spacing w:after="240"/>
              <w:rPr>
                <w:rFonts w:asciiTheme="majorBidi" w:hAnsiTheme="majorBidi" w:cstheme="majorBidi"/>
                <w:lang w:val="fr-FR"/>
              </w:rPr>
            </w:pPr>
          </w:p>
        </w:tc>
        <w:tc>
          <w:tcPr>
            <w:tcW w:w="876" w:type="dxa"/>
          </w:tcPr>
          <w:p w:rsidR="00E772DD" w:rsidRPr="008764AA" w:rsidRDefault="00E772DD" w:rsidP="00D16B04">
            <w:pPr>
              <w:rPr>
                <w:rFonts w:asciiTheme="majorBidi" w:hAnsiTheme="majorBidi" w:cstheme="majorBidi"/>
                <w:color w:val="000000"/>
                <w:lang w:val="fr-FR"/>
              </w:rPr>
            </w:pPr>
            <w:r w:rsidRPr="008764AA">
              <w:rPr>
                <w:rFonts w:asciiTheme="majorBidi" w:hAnsiTheme="majorBidi" w:cstheme="majorBidi"/>
                <w:color w:val="000000"/>
                <w:lang w:val="fr-FR"/>
              </w:rPr>
              <w:t>44.797</w:t>
            </w:r>
          </w:p>
          <w:p w:rsidR="00E772DD" w:rsidRPr="008764AA" w:rsidRDefault="00E772DD" w:rsidP="00D16B04">
            <w:pPr>
              <w:spacing w:after="240"/>
              <w:rPr>
                <w:rFonts w:asciiTheme="majorBidi" w:hAnsiTheme="majorBidi" w:cstheme="majorBidi"/>
                <w:lang w:val="fr-FR"/>
              </w:rPr>
            </w:pPr>
          </w:p>
        </w:tc>
        <w:tc>
          <w:tcPr>
            <w:tcW w:w="636"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D16B04">
            <w:pPr>
              <w:spacing w:after="240"/>
              <w:rPr>
                <w:rFonts w:asciiTheme="majorBidi" w:hAnsiTheme="majorBidi" w:cstheme="majorBidi"/>
                <w:lang w:val="fr-FR"/>
              </w:rPr>
            </w:pPr>
          </w:p>
        </w:tc>
        <w:tc>
          <w:tcPr>
            <w:tcW w:w="1223" w:type="dxa"/>
          </w:tcPr>
          <w:p w:rsidR="00E772DD" w:rsidRPr="008764AA" w:rsidRDefault="00E772DD" w:rsidP="00D16B04">
            <w:pPr>
              <w:spacing w:after="240"/>
              <w:rPr>
                <w:rFonts w:asciiTheme="majorBidi" w:hAnsiTheme="majorBidi" w:cstheme="majorBidi"/>
                <w:lang w:val="fr-FR"/>
              </w:rPr>
            </w:pPr>
            <w:r w:rsidRPr="008764AA">
              <w:rPr>
                <w:rFonts w:asciiTheme="majorBidi" w:hAnsiTheme="majorBidi" w:cstheme="majorBidi"/>
                <w:lang w:val="fr-FR"/>
              </w:rPr>
              <w:t>Tout à fait d'accord</w:t>
            </w:r>
          </w:p>
        </w:tc>
      </w:tr>
    </w:tbl>
    <w:p w:rsidR="00E772DD" w:rsidRPr="008764AA" w:rsidRDefault="00E772DD" w:rsidP="00DC3B24">
      <w:pPr>
        <w:spacing w:line="360" w:lineRule="auto"/>
        <w:jc w:val="center"/>
        <w:rPr>
          <w:rFonts w:asciiTheme="majorBidi" w:hAnsiTheme="majorBidi" w:cstheme="majorBidi"/>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E772DD" w:rsidRPr="008764AA" w:rsidRDefault="00E772DD" w:rsidP="004D32AC">
      <w:pPr>
        <w:pStyle w:val="Paragraphedeliste"/>
        <w:numPr>
          <w:ilvl w:val="0"/>
          <w:numId w:val="138"/>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7 arrive en première position. La valeur t obtenue est de 51</w:t>
      </w:r>
      <w:r>
        <w:rPr>
          <w:rFonts w:asciiTheme="majorBidi" w:hAnsiTheme="majorBidi" w:cstheme="majorBidi"/>
        </w:rPr>
        <w:t>,</w:t>
      </w:r>
      <w:r w:rsidRPr="008764AA">
        <w:rPr>
          <w:rFonts w:asciiTheme="majorBidi" w:hAnsiTheme="majorBidi" w:cstheme="majorBidi"/>
        </w:rPr>
        <w:t xml:space="preserve">163, nettement supérieure à la valeur critique de </w:t>
      </w:r>
      <w:r>
        <w:rPr>
          <w:rFonts w:asciiTheme="majorBidi" w:hAnsiTheme="majorBidi" w:cstheme="majorBidi"/>
        </w:rPr>
        <w:t>1,974</w:t>
      </w:r>
      <w:r w:rsidRPr="008764AA">
        <w:rPr>
          <w:rFonts w:asciiTheme="majorBidi" w:hAnsiTheme="majorBidi" w:cstheme="majorBidi"/>
        </w:rPr>
        <w:t>, avec un niveau de signification de 0,000, bien inférieur à 0,05. Cela montre que les répondants s’accordent fortement sur le fait que l’automatisation permet une meilleure coordination entre les acteurs RH.</w:t>
      </w:r>
    </w:p>
    <w:p w:rsidR="00E772DD" w:rsidRPr="008764AA" w:rsidRDefault="00E772DD" w:rsidP="004D32AC">
      <w:pPr>
        <w:pStyle w:val="Paragraphedeliste"/>
        <w:numPr>
          <w:ilvl w:val="0"/>
          <w:numId w:val="138"/>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En deuxième position, on retrouve l’affirmation numéro 4 avec une valeur t de 49</w:t>
      </w:r>
      <w:r>
        <w:rPr>
          <w:rFonts w:asciiTheme="majorBidi" w:hAnsiTheme="majorBidi" w:cstheme="majorBidi"/>
        </w:rPr>
        <w:t>,</w:t>
      </w:r>
      <w:r w:rsidRPr="008764AA">
        <w:rPr>
          <w:rFonts w:asciiTheme="majorBidi" w:hAnsiTheme="majorBidi" w:cstheme="majorBidi"/>
        </w:rPr>
        <w:t xml:space="preserve">172, également au-dessus de la valeur critique de </w:t>
      </w:r>
      <w:r>
        <w:rPr>
          <w:rFonts w:asciiTheme="majorBidi" w:hAnsiTheme="majorBidi" w:cstheme="majorBidi"/>
        </w:rPr>
        <w:t>1,974</w:t>
      </w:r>
      <w:r w:rsidRPr="008764AA">
        <w:rPr>
          <w:rFonts w:asciiTheme="majorBidi" w:hAnsiTheme="majorBidi" w:cstheme="majorBidi"/>
        </w:rPr>
        <w:t>, et un niveau de signification de 0,000. Cela indique une forte adhésion à l’idée que le suivi des candidatures est globalement automatisé.</w:t>
      </w:r>
    </w:p>
    <w:p w:rsidR="00E772DD" w:rsidRPr="008764AA" w:rsidRDefault="00E772DD" w:rsidP="004D32AC">
      <w:pPr>
        <w:pStyle w:val="Paragraphedeliste"/>
        <w:numPr>
          <w:ilvl w:val="0"/>
          <w:numId w:val="138"/>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03 occupe la troisième position avec une valeur t calculée de 45</w:t>
      </w:r>
      <w:r>
        <w:rPr>
          <w:rFonts w:asciiTheme="majorBidi" w:hAnsiTheme="majorBidi" w:cstheme="majorBidi"/>
        </w:rPr>
        <w:t>,</w:t>
      </w:r>
      <w:r w:rsidRPr="008764AA">
        <w:rPr>
          <w:rFonts w:asciiTheme="majorBidi" w:hAnsiTheme="majorBidi" w:cstheme="majorBidi"/>
        </w:rPr>
        <w:t xml:space="preserve">933, bien supérieure à la valeur critique de </w:t>
      </w:r>
      <w:r>
        <w:rPr>
          <w:rFonts w:asciiTheme="majorBidi" w:hAnsiTheme="majorBidi" w:cstheme="majorBidi"/>
        </w:rPr>
        <w:t>1,974</w:t>
      </w:r>
      <w:r w:rsidRPr="008764AA">
        <w:rPr>
          <w:rFonts w:asciiTheme="majorBidi" w:hAnsiTheme="majorBidi" w:cstheme="majorBidi"/>
        </w:rPr>
        <w:t>, et un niveau de signification de 0,000. Les répondants valident donc largement que la planification des entretiens est principalement gérée par des outils automatisés.</w:t>
      </w:r>
    </w:p>
    <w:p w:rsidR="00E772DD" w:rsidRPr="008764AA" w:rsidRDefault="00E772DD" w:rsidP="004D32AC">
      <w:pPr>
        <w:pStyle w:val="Paragraphedeliste"/>
        <w:numPr>
          <w:ilvl w:val="0"/>
          <w:numId w:val="138"/>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En quatrième position, l’affirmation numéro 08 présente une valeur t de 46</w:t>
      </w:r>
      <w:r>
        <w:rPr>
          <w:rFonts w:asciiTheme="majorBidi" w:hAnsiTheme="majorBidi" w:cstheme="majorBidi"/>
        </w:rPr>
        <w:t>,</w:t>
      </w:r>
      <w:r w:rsidRPr="008764AA">
        <w:rPr>
          <w:rFonts w:asciiTheme="majorBidi" w:hAnsiTheme="majorBidi" w:cstheme="majorBidi"/>
        </w:rPr>
        <w:t xml:space="preserve">091, supérieure à la valeur critique de </w:t>
      </w:r>
      <w:r>
        <w:rPr>
          <w:rFonts w:asciiTheme="majorBidi" w:hAnsiTheme="majorBidi" w:cstheme="majorBidi"/>
        </w:rPr>
        <w:t>1,974</w:t>
      </w:r>
      <w:r w:rsidRPr="008764AA">
        <w:rPr>
          <w:rFonts w:asciiTheme="majorBidi" w:hAnsiTheme="majorBidi" w:cstheme="majorBidi"/>
        </w:rPr>
        <w:t>, et un niveau de signification de 0,000. Cela reflète l’opinion selon laquelle l’entreprise utilise régulièrement des outils pour automatiser la formation.</w:t>
      </w:r>
    </w:p>
    <w:p w:rsidR="00E772DD" w:rsidRPr="008764AA" w:rsidRDefault="00E772DD" w:rsidP="004D32AC">
      <w:pPr>
        <w:pStyle w:val="Paragraphedeliste"/>
        <w:numPr>
          <w:ilvl w:val="0"/>
          <w:numId w:val="138"/>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lastRenderedPageBreak/>
        <w:t xml:space="preserve">En cinquième position figure l’affirmation numéro 06, avec une valeur t de 39.687, dépassant la valeur critique de </w:t>
      </w:r>
      <w:r>
        <w:rPr>
          <w:rFonts w:asciiTheme="majorBidi" w:hAnsiTheme="majorBidi" w:cstheme="majorBidi"/>
        </w:rPr>
        <w:t>1,974</w:t>
      </w:r>
      <w:r w:rsidRPr="008764AA">
        <w:rPr>
          <w:rFonts w:asciiTheme="majorBidi" w:hAnsiTheme="majorBidi" w:cstheme="majorBidi"/>
        </w:rPr>
        <w:t>, et un niveau de signification de 0,000. Les répondants confirment que les notifications automatiques sont systématiquement envoyées aux candidats.</w:t>
      </w:r>
    </w:p>
    <w:p w:rsidR="00E772DD" w:rsidRPr="008764AA" w:rsidRDefault="00E772DD" w:rsidP="004D32AC">
      <w:pPr>
        <w:pStyle w:val="Paragraphedeliste"/>
        <w:numPr>
          <w:ilvl w:val="0"/>
          <w:numId w:val="138"/>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6 se classe en sixième position, avec une valeur t de 39</w:t>
      </w:r>
      <w:r>
        <w:rPr>
          <w:rFonts w:asciiTheme="majorBidi" w:hAnsiTheme="majorBidi" w:cstheme="majorBidi"/>
        </w:rPr>
        <w:t>,</w:t>
      </w:r>
      <w:r w:rsidRPr="008764AA">
        <w:rPr>
          <w:rFonts w:asciiTheme="majorBidi" w:hAnsiTheme="majorBidi" w:cstheme="majorBidi"/>
        </w:rPr>
        <w:t xml:space="preserve">710, supérieure à la valeur critique de </w:t>
      </w:r>
      <w:r>
        <w:rPr>
          <w:rFonts w:asciiTheme="majorBidi" w:hAnsiTheme="majorBidi" w:cstheme="majorBidi"/>
        </w:rPr>
        <w:t>1,974</w:t>
      </w:r>
      <w:r w:rsidRPr="008764AA">
        <w:rPr>
          <w:rFonts w:asciiTheme="majorBidi" w:hAnsiTheme="majorBidi" w:cstheme="majorBidi"/>
        </w:rPr>
        <w:t>, et un niveau de signification de 0,000. Cela montre que l'automatisation des processus RH réduit fortement les interventions manuelles.</w:t>
      </w:r>
    </w:p>
    <w:p w:rsidR="00E772DD" w:rsidRPr="008764AA" w:rsidRDefault="00E772DD" w:rsidP="004D32AC">
      <w:pPr>
        <w:pStyle w:val="Paragraphedeliste"/>
        <w:numPr>
          <w:ilvl w:val="0"/>
          <w:numId w:val="138"/>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En septième position, l’affirmation numéro 1 affiche une valeur t de 41</w:t>
      </w:r>
      <w:r>
        <w:rPr>
          <w:rFonts w:asciiTheme="majorBidi" w:hAnsiTheme="majorBidi" w:cstheme="majorBidi"/>
        </w:rPr>
        <w:t>,</w:t>
      </w:r>
      <w:r w:rsidRPr="008764AA">
        <w:rPr>
          <w:rFonts w:asciiTheme="majorBidi" w:hAnsiTheme="majorBidi" w:cstheme="majorBidi"/>
        </w:rPr>
        <w:t>094,</w:t>
      </w:r>
      <w:r>
        <w:rPr>
          <w:rFonts w:asciiTheme="majorBidi" w:hAnsiTheme="majorBidi" w:cstheme="majorBidi"/>
        </w:rPr>
        <w:t xml:space="preserve"> </w:t>
      </w:r>
      <w:r w:rsidRPr="008764AA">
        <w:rPr>
          <w:rFonts w:asciiTheme="majorBidi" w:hAnsiTheme="majorBidi" w:cstheme="majorBidi"/>
        </w:rPr>
        <w:t xml:space="preserve">bien au-dessus de la valeur critique de </w:t>
      </w:r>
      <w:r>
        <w:rPr>
          <w:rFonts w:asciiTheme="majorBidi" w:hAnsiTheme="majorBidi" w:cstheme="majorBidi"/>
        </w:rPr>
        <w:t>1,974</w:t>
      </w:r>
      <w:r w:rsidRPr="008764AA">
        <w:rPr>
          <w:rFonts w:asciiTheme="majorBidi" w:hAnsiTheme="majorBidi" w:cstheme="majorBidi"/>
        </w:rPr>
        <w:t xml:space="preserve">, avec un niveau de signification de 0,000. Les participants expriment leur accord quant à </w:t>
      </w:r>
      <w:r w:rsidRPr="008764AA">
        <w:rPr>
          <w:rFonts w:asciiTheme="majorBidi" w:eastAsia="Times New Roman" w:hAnsiTheme="majorBidi" w:cstheme="majorBidi"/>
        </w:rPr>
        <w:t>la présélection des CV est souvent automatisée.</w:t>
      </w:r>
      <w:r w:rsidRPr="008764AA">
        <w:rPr>
          <w:rFonts w:asciiTheme="majorBidi" w:hAnsiTheme="majorBidi" w:cstheme="majorBidi"/>
        </w:rPr>
        <w:t xml:space="preserve"> </w:t>
      </w:r>
    </w:p>
    <w:p w:rsidR="00E772DD" w:rsidRPr="008764AA" w:rsidRDefault="00E772DD" w:rsidP="004D32AC">
      <w:pPr>
        <w:pStyle w:val="Paragraphedeliste"/>
        <w:numPr>
          <w:ilvl w:val="0"/>
          <w:numId w:val="138"/>
        </w:numPr>
        <w:autoSpaceDE w:val="0"/>
        <w:autoSpaceDN w:val="0"/>
        <w:adjustRightInd w:val="0"/>
        <w:spacing w:before="100" w:beforeAutospacing="1" w:line="360" w:lineRule="auto"/>
        <w:jc w:val="both"/>
        <w:rPr>
          <w:rFonts w:asciiTheme="majorBidi" w:hAnsiTheme="majorBidi" w:cstheme="majorBidi"/>
        </w:rPr>
      </w:pPr>
      <w:r w:rsidRPr="008764AA">
        <w:rPr>
          <w:rFonts w:asciiTheme="majorBidi" w:hAnsiTheme="majorBidi" w:cstheme="majorBidi"/>
        </w:rPr>
        <w:t>Enfin, l’affirmation numéro 2 se positionne en dernière place, bien que sa valeur t de 41</w:t>
      </w:r>
      <w:r>
        <w:rPr>
          <w:rFonts w:asciiTheme="majorBidi" w:hAnsiTheme="majorBidi" w:cstheme="majorBidi"/>
        </w:rPr>
        <w:t>,</w:t>
      </w:r>
      <w:r w:rsidRPr="008764AA">
        <w:rPr>
          <w:rFonts w:asciiTheme="majorBidi" w:hAnsiTheme="majorBidi" w:cstheme="majorBidi"/>
        </w:rPr>
        <w:t xml:space="preserve">828 dépasse elle aussi la valeur critique de </w:t>
      </w:r>
      <w:r>
        <w:rPr>
          <w:rFonts w:asciiTheme="majorBidi" w:hAnsiTheme="majorBidi" w:cstheme="majorBidi"/>
        </w:rPr>
        <w:t>1,974</w:t>
      </w:r>
      <w:r w:rsidRPr="008764AA">
        <w:rPr>
          <w:rFonts w:asciiTheme="majorBidi" w:hAnsiTheme="majorBidi" w:cstheme="majorBidi"/>
        </w:rPr>
        <w:t>, avec un niveau de signification de 0,000. Cela indique que les répondants considèrent que les tests de recrutement sont fréquemment automatisés.</w:t>
      </w:r>
    </w:p>
    <w:p w:rsidR="00E772DD" w:rsidRPr="008764AA" w:rsidRDefault="00E772DD" w:rsidP="00A95EDB">
      <w:pPr>
        <w:spacing w:after="240" w:line="360" w:lineRule="auto"/>
        <w:jc w:val="both"/>
        <w:rPr>
          <w:rFonts w:asciiTheme="majorBidi" w:hAnsiTheme="majorBidi" w:cstheme="majorBidi"/>
          <w:lang w:val="fr-FR"/>
        </w:rPr>
      </w:pPr>
      <w:r w:rsidRPr="008764AA">
        <w:rPr>
          <w:rFonts w:asciiTheme="majorBidi" w:hAnsiTheme="majorBidi" w:cstheme="majorBidi"/>
          <w:color w:val="000000"/>
          <w:lang w:val="fr-FR"/>
        </w:rPr>
        <w:t>Dans l’ensemble, les participants sont tout à fait d’accord pour affirmer que l’automatisation facilite leur travail, avec une moyenne générale de 4,072 et un écart-type de 1,202. La valeur t observée (44,797) est nettement supérieure à la valeur t critique (</w:t>
      </w:r>
      <w:r>
        <w:rPr>
          <w:rFonts w:asciiTheme="majorBidi" w:hAnsiTheme="majorBidi" w:cstheme="majorBidi"/>
          <w:color w:val="000000"/>
          <w:lang w:val="fr-FR"/>
        </w:rPr>
        <w:t>1,974</w:t>
      </w:r>
      <w:r w:rsidRPr="008764AA">
        <w:rPr>
          <w:rFonts w:asciiTheme="majorBidi" w:hAnsiTheme="majorBidi" w:cstheme="majorBidi"/>
          <w:color w:val="000000"/>
          <w:lang w:val="fr-FR"/>
        </w:rPr>
        <w:t>), et le niveau de signification est de 0,000, bien inférieur au seuil de 0,05. Ces résultats traduisent une forte tendance positive en faveur de l’automatisation des processus RH.</w:t>
      </w:r>
    </w:p>
    <w:p w:rsidR="00E772DD" w:rsidRPr="00A53242" w:rsidRDefault="00A53242" w:rsidP="004D32AC">
      <w:pPr>
        <w:pStyle w:val="Titre3"/>
        <w:numPr>
          <w:ilvl w:val="1"/>
          <w:numId w:val="175"/>
        </w:numPr>
        <w:spacing w:after="0" w:afterAutospacing="0" w:line="360" w:lineRule="auto"/>
        <w:rPr>
          <w:sz w:val="24"/>
          <w:szCs w:val="24"/>
          <w:lang w:val="fr-FR"/>
        </w:rPr>
      </w:pPr>
      <w:r>
        <w:rPr>
          <w:sz w:val="24"/>
          <w:szCs w:val="24"/>
          <w:lang w:val="fr-FR"/>
        </w:rPr>
        <w:t xml:space="preserve"> </w:t>
      </w:r>
      <w:bookmarkStart w:id="2316" w:name="_Toc199714577"/>
      <w:bookmarkStart w:id="2317" w:name="_Toc200486853"/>
      <w:bookmarkStart w:id="2318" w:name="_Toc200635631"/>
      <w:bookmarkStart w:id="2319" w:name="_Toc200636019"/>
      <w:bookmarkStart w:id="2320" w:name="_Toc200636408"/>
      <w:bookmarkStart w:id="2321" w:name="_Toc200756149"/>
      <w:r w:rsidR="00E772DD" w:rsidRPr="00A53242">
        <w:rPr>
          <w:sz w:val="24"/>
          <w:szCs w:val="24"/>
          <w:lang w:val="fr-FR"/>
        </w:rPr>
        <w:t>Analyse des résultats de l’axe “Numérisation”</w:t>
      </w:r>
      <w:bookmarkEnd w:id="2316"/>
      <w:bookmarkEnd w:id="2317"/>
      <w:bookmarkEnd w:id="2318"/>
      <w:bookmarkEnd w:id="2319"/>
      <w:bookmarkEnd w:id="2320"/>
      <w:bookmarkEnd w:id="2321"/>
    </w:p>
    <w:p w:rsidR="00E772DD" w:rsidRPr="00746B9C" w:rsidRDefault="00E772DD" w:rsidP="00617E55">
      <w:pPr>
        <w:spacing w:line="360" w:lineRule="auto"/>
        <w:jc w:val="center"/>
        <w:rPr>
          <w:color w:val="000000"/>
          <w:lang w:val="fr-FR"/>
        </w:rPr>
      </w:pPr>
      <w:r w:rsidRPr="008764AA">
        <w:rPr>
          <w:b/>
          <w:bCs/>
          <w:color w:val="000000"/>
          <w:lang w:val="fr-FR"/>
        </w:rPr>
        <w:t>Tableau</w:t>
      </w:r>
      <w:r>
        <w:rPr>
          <w:b/>
          <w:bCs/>
          <w:color w:val="000000"/>
          <w:lang w:val="fr-FR"/>
        </w:rPr>
        <w:t xml:space="preserve"> N°34</w:t>
      </w:r>
      <w:r w:rsidRPr="008764AA">
        <w:rPr>
          <w:b/>
          <w:bCs/>
          <w:color w:val="000000"/>
          <w:lang w:val="fr-FR"/>
        </w:rPr>
        <w:t xml:space="preserve"> : </w:t>
      </w:r>
      <w:r w:rsidRPr="00746B9C">
        <w:rPr>
          <w:color w:val="000000"/>
          <w:lang w:val="fr-FR"/>
        </w:rPr>
        <w:t>Test T de l’axe “Numérisation”</w:t>
      </w:r>
    </w:p>
    <w:tbl>
      <w:tblPr>
        <w:tblStyle w:val="Grilledutableau"/>
        <w:tblW w:w="0" w:type="auto"/>
        <w:tblLook w:val="04A0" w:firstRow="1" w:lastRow="0" w:firstColumn="1" w:lastColumn="0" w:noHBand="0" w:noVBand="1"/>
      </w:tblPr>
      <w:tblGrid>
        <w:gridCol w:w="567"/>
        <w:gridCol w:w="2036"/>
        <w:gridCol w:w="1096"/>
        <w:gridCol w:w="924"/>
        <w:gridCol w:w="996"/>
        <w:gridCol w:w="576"/>
        <w:gridCol w:w="657"/>
        <w:gridCol w:w="1009"/>
        <w:gridCol w:w="1149"/>
      </w:tblGrid>
      <w:tr w:rsidR="00E772DD" w:rsidRPr="008764AA" w:rsidTr="00AE378F">
        <w:tc>
          <w:tcPr>
            <w:tcW w:w="569"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N°</w:t>
            </w:r>
          </w:p>
        </w:tc>
        <w:tc>
          <w:tcPr>
            <w:tcW w:w="2039" w:type="dxa"/>
            <w:shd w:val="clear" w:color="auto" w:fill="D8DCD1"/>
          </w:tcPr>
          <w:p w:rsidR="00E772DD" w:rsidRPr="008764AA" w:rsidRDefault="00E772DD" w:rsidP="00580FEB">
            <w:pPr>
              <w:pStyle w:val="p1"/>
              <w:rPr>
                <w:rFonts w:asciiTheme="majorBidi" w:hAnsiTheme="majorBidi" w:cstheme="majorBidi"/>
                <w:sz w:val="24"/>
                <w:szCs w:val="24"/>
              </w:rPr>
            </w:pPr>
            <w:r w:rsidRPr="008764AA">
              <w:rPr>
                <w:rFonts w:asciiTheme="majorBidi" w:hAnsiTheme="majorBidi" w:cstheme="majorBidi"/>
                <w:sz w:val="24"/>
                <w:szCs w:val="24"/>
              </w:rPr>
              <w:t>Intitulé de</w:t>
            </w:r>
          </w:p>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la question</w:t>
            </w:r>
          </w:p>
        </w:tc>
        <w:tc>
          <w:tcPr>
            <w:tcW w:w="1096" w:type="dxa"/>
            <w:shd w:val="clear" w:color="auto" w:fill="D8DCD1"/>
          </w:tcPr>
          <w:p w:rsidR="00E772DD" w:rsidRPr="008764AA" w:rsidRDefault="00E772DD" w:rsidP="00580FEB">
            <w:pPr>
              <w:pStyle w:val="p1"/>
              <w:rPr>
                <w:rFonts w:asciiTheme="majorBidi" w:hAnsiTheme="majorBidi" w:cstheme="majorBidi"/>
                <w:sz w:val="24"/>
                <w:szCs w:val="24"/>
              </w:rPr>
            </w:pPr>
            <w:r w:rsidRPr="008764AA">
              <w:rPr>
                <w:rFonts w:asciiTheme="majorBidi" w:hAnsiTheme="majorBidi" w:cstheme="majorBidi"/>
                <w:sz w:val="24"/>
                <w:szCs w:val="24"/>
              </w:rPr>
              <w:t>La</w:t>
            </w:r>
          </w:p>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moyenne</w:t>
            </w:r>
          </w:p>
        </w:tc>
        <w:tc>
          <w:tcPr>
            <w:tcW w:w="925" w:type="dxa"/>
            <w:shd w:val="clear" w:color="auto" w:fill="D8DCD1"/>
          </w:tcPr>
          <w:p w:rsidR="00E772DD" w:rsidRPr="008764AA" w:rsidRDefault="00E772DD" w:rsidP="00580FEB">
            <w:pPr>
              <w:pStyle w:val="p1"/>
              <w:rPr>
                <w:rFonts w:asciiTheme="majorBidi" w:hAnsiTheme="majorBidi" w:cstheme="majorBidi"/>
                <w:sz w:val="24"/>
                <w:szCs w:val="24"/>
              </w:rPr>
            </w:pPr>
            <w:r w:rsidRPr="008764AA">
              <w:rPr>
                <w:rFonts w:asciiTheme="majorBidi" w:hAnsiTheme="majorBidi" w:cstheme="majorBidi"/>
                <w:sz w:val="24"/>
                <w:szCs w:val="24"/>
              </w:rPr>
              <w:t>L’écart</w:t>
            </w:r>
          </w:p>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-type</w:t>
            </w:r>
          </w:p>
        </w:tc>
        <w:tc>
          <w:tcPr>
            <w:tcW w:w="996"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Test T</w:t>
            </w:r>
          </w:p>
        </w:tc>
        <w:tc>
          <w:tcPr>
            <w:tcW w:w="576"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Ddl</w:t>
            </w:r>
          </w:p>
        </w:tc>
        <w:tc>
          <w:tcPr>
            <w:tcW w:w="657" w:type="dxa"/>
            <w:shd w:val="clear" w:color="auto" w:fill="D8DCD1"/>
          </w:tcPr>
          <w:p w:rsidR="00E772DD" w:rsidRPr="008764AA" w:rsidRDefault="00E772DD" w:rsidP="00580FEB">
            <w:pPr>
              <w:spacing w:after="240" w:line="360" w:lineRule="auto"/>
              <w:rPr>
                <w:rFonts w:asciiTheme="majorBidi" w:hAnsiTheme="majorBidi" w:cstheme="majorBidi"/>
                <w:lang w:val="fr-FR"/>
              </w:rPr>
            </w:pPr>
            <w:proofErr w:type="spellStart"/>
            <w:r w:rsidRPr="008764AA">
              <w:rPr>
                <w:rFonts w:asciiTheme="majorBidi" w:hAnsiTheme="majorBidi" w:cstheme="majorBidi"/>
                <w:lang w:val="fr-FR"/>
              </w:rPr>
              <w:t>Sig</w:t>
            </w:r>
            <w:proofErr w:type="spellEnd"/>
            <w:r w:rsidRPr="008764AA">
              <w:rPr>
                <w:rFonts w:asciiTheme="majorBidi" w:hAnsiTheme="majorBidi" w:cstheme="majorBidi"/>
                <w:lang w:val="fr-FR"/>
              </w:rPr>
              <w:t>.</w:t>
            </w:r>
            <w:r w:rsidRPr="008764AA">
              <w:rPr>
                <w:rStyle w:val="apple-converted-space"/>
                <w:rFonts w:asciiTheme="majorBidi" w:hAnsiTheme="majorBidi" w:cstheme="majorBidi"/>
                <w:lang w:val="fr-FR"/>
              </w:rPr>
              <w:t> </w:t>
            </w:r>
          </w:p>
        </w:tc>
        <w:tc>
          <w:tcPr>
            <w:tcW w:w="1009" w:type="dxa"/>
            <w:shd w:val="clear" w:color="auto" w:fill="D8DCD1"/>
          </w:tcPr>
          <w:p w:rsidR="00E772DD" w:rsidRPr="008764AA" w:rsidRDefault="00E772DD" w:rsidP="00580FEB">
            <w:pPr>
              <w:pStyle w:val="p1"/>
              <w:rPr>
                <w:rFonts w:asciiTheme="majorBidi" w:hAnsiTheme="majorBidi" w:cstheme="majorBidi"/>
                <w:sz w:val="24"/>
                <w:szCs w:val="24"/>
              </w:rPr>
            </w:pPr>
            <w:r w:rsidRPr="008764AA">
              <w:rPr>
                <w:rFonts w:asciiTheme="majorBidi" w:hAnsiTheme="majorBidi" w:cstheme="majorBidi"/>
                <w:sz w:val="24"/>
                <w:szCs w:val="24"/>
              </w:rPr>
              <w:t>L’ordre</w:t>
            </w:r>
            <w:r w:rsidRPr="008764AA">
              <w:rPr>
                <w:rStyle w:val="apple-converted-space"/>
                <w:rFonts w:asciiTheme="majorBidi" w:hAnsiTheme="majorBidi" w:cstheme="majorBidi"/>
                <w:sz w:val="24"/>
                <w:szCs w:val="24"/>
              </w:rPr>
              <w:t> </w:t>
            </w:r>
          </w:p>
        </w:tc>
        <w:tc>
          <w:tcPr>
            <w:tcW w:w="1149" w:type="dxa"/>
            <w:shd w:val="clear" w:color="auto" w:fill="D8DCD1"/>
          </w:tcPr>
          <w:p w:rsidR="00E772DD" w:rsidRPr="008764AA" w:rsidRDefault="00E772DD" w:rsidP="00580FEB">
            <w:pPr>
              <w:pStyle w:val="p1"/>
              <w:rPr>
                <w:rFonts w:asciiTheme="majorBidi" w:hAnsiTheme="majorBidi" w:cstheme="majorBidi"/>
                <w:sz w:val="24"/>
                <w:szCs w:val="24"/>
              </w:rPr>
            </w:pPr>
            <w:r w:rsidRPr="008764AA">
              <w:rPr>
                <w:rFonts w:asciiTheme="majorBidi" w:hAnsiTheme="majorBidi" w:cstheme="majorBidi"/>
                <w:sz w:val="24"/>
                <w:szCs w:val="24"/>
              </w:rPr>
              <w:t>Tendance</w:t>
            </w:r>
          </w:p>
          <w:p w:rsidR="00E772DD" w:rsidRPr="008764AA" w:rsidRDefault="00E772DD" w:rsidP="00580FEB">
            <w:pPr>
              <w:pStyle w:val="p1"/>
              <w:rPr>
                <w:rFonts w:asciiTheme="majorBidi" w:hAnsiTheme="majorBidi" w:cstheme="majorBidi"/>
                <w:sz w:val="24"/>
                <w:szCs w:val="24"/>
              </w:rPr>
            </w:pPr>
            <w:r w:rsidRPr="008764AA">
              <w:rPr>
                <w:rFonts w:asciiTheme="majorBidi" w:hAnsiTheme="majorBidi" w:cstheme="majorBidi"/>
                <w:sz w:val="24"/>
                <w:szCs w:val="24"/>
              </w:rPr>
              <w:t>de la</w:t>
            </w:r>
          </w:p>
          <w:p w:rsidR="00E772DD" w:rsidRPr="008764AA" w:rsidRDefault="00E772DD" w:rsidP="00580FEB">
            <w:pPr>
              <w:pStyle w:val="p1"/>
              <w:rPr>
                <w:rFonts w:asciiTheme="majorBidi" w:hAnsiTheme="majorBidi" w:cstheme="majorBidi"/>
                <w:sz w:val="24"/>
                <w:szCs w:val="24"/>
              </w:rPr>
            </w:pPr>
            <w:r w:rsidRPr="008764AA">
              <w:rPr>
                <w:rFonts w:asciiTheme="majorBidi" w:hAnsiTheme="majorBidi" w:cstheme="majorBidi"/>
                <w:sz w:val="24"/>
                <w:szCs w:val="24"/>
              </w:rPr>
              <w:t>réponse</w:t>
            </w:r>
          </w:p>
        </w:tc>
      </w:tr>
      <w:tr w:rsidR="00E772DD" w:rsidRPr="008764AA" w:rsidTr="00AE378F">
        <w:tc>
          <w:tcPr>
            <w:tcW w:w="569"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1</w:t>
            </w:r>
          </w:p>
        </w:tc>
        <w:tc>
          <w:tcPr>
            <w:tcW w:w="2039" w:type="dxa"/>
          </w:tcPr>
          <w:p w:rsidR="00E772DD" w:rsidRPr="008764AA" w:rsidRDefault="00E772DD" w:rsidP="00580FEB">
            <w:pPr>
              <w:autoSpaceDE w:val="0"/>
              <w:autoSpaceDN w:val="0"/>
              <w:adjustRightInd w:val="0"/>
              <w:rPr>
                <w:rFonts w:asciiTheme="majorBidi" w:eastAsiaTheme="minorHAnsi" w:hAnsiTheme="majorBidi" w:cstheme="majorBidi"/>
                <w:lang w:val="fr-FR"/>
                <w14:ligatures w14:val="standardContextual"/>
              </w:rPr>
            </w:pPr>
            <w:r w:rsidRPr="008764AA">
              <w:rPr>
                <w:rFonts w:asciiTheme="majorBidi" w:eastAsiaTheme="minorHAnsi" w:hAnsiTheme="majorBidi" w:cstheme="majorBidi"/>
                <w:lang w:val="fr-FR"/>
                <w14:ligatures w14:val="standardContextual"/>
              </w:rPr>
              <w:t>Les dossiers des candidats sont systématiquement archivés en format numérique.</w:t>
            </w:r>
          </w:p>
        </w:tc>
        <w:tc>
          <w:tcPr>
            <w:tcW w:w="10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3.7059        </w:t>
            </w:r>
          </w:p>
        </w:tc>
        <w:tc>
          <w:tcPr>
            <w:tcW w:w="925"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1.1597  </w:t>
            </w:r>
          </w:p>
        </w:tc>
        <w:tc>
          <w:tcPr>
            <w:tcW w:w="9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41.664  </w:t>
            </w:r>
          </w:p>
        </w:tc>
        <w:tc>
          <w:tcPr>
            <w:tcW w:w="576"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5</w:t>
            </w:r>
          </w:p>
        </w:tc>
        <w:tc>
          <w:tcPr>
            <w:tcW w:w="1149" w:type="dxa"/>
          </w:tcPr>
          <w:p w:rsidR="00E772DD" w:rsidRPr="008764AA" w:rsidRDefault="00E772DD" w:rsidP="00580F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D'accord</w:t>
            </w:r>
          </w:p>
          <w:p w:rsidR="00E772DD" w:rsidRPr="008764AA" w:rsidRDefault="00E772DD" w:rsidP="00580FEB">
            <w:pPr>
              <w:spacing w:after="240" w:line="360" w:lineRule="auto"/>
              <w:rPr>
                <w:rFonts w:asciiTheme="majorBidi" w:hAnsiTheme="majorBidi" w:cstheme="majorBidi"/>
                <w:lang w:val="fr-FR"/>
              </w:rPr>
            </w:pPr>
          </w:p>
        </w:tc>
      </w:tr>
      <w:tr w:rsidR="00E772DD" w:rsidRPr="008764AA" w:rsidTr="00AE378F">
        <w:tc>
          <w:tcPr>
            <w:tcW w:w="569"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2</w:t>
            </w:r>
          </w:p>
        </w:tc>
        <w:tc>
          <w:tcPr>
            <w:tcW w:w="2039" w:type="dxa"/>
          </w:tcPr>
          <w:p w:rsidR="00E772DD" w:rsidRPr="008764AA" w:rsidRDefault="00E772DD" w:rsidP="00580FEB">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formulaires RH sont totalement dématérialisés.</w:t>
            </w:r>
          </w:p>
        </w:tc>
        <w:tc>
          <w:tcPr>
            <w:tcW w:w="10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3.6882        </w:t>
            </w:r>
          </w:p>
        </w:tc>
        <w:tc>
          <w:tcPr>
            <w:tcW w:w="925"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1.1474  </w:t>
            </w:r>
          </w:p>
        </w:tc>
        <w:tc>
          <w:tcPr>
            <w:tcW w:w="9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41.913  </w:t>
            </w:r>
          </w:p>
        </w:tc>
        <w:tc>
          <w:tcPr>
            <w:tcW w:w="576"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6</w:t>
            </w:r>
          </w:p>
        </w:tc>
        <w:tc>
          <w:tcPr>
            <w:tcW w:w="1149"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9"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3</w:t>
            </w:r>
          </w:p>
        </w:tc>
        <w:tc>
          <w:tcPr>
            <w:tcW w:w="203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eastAsiaTheme="minorHAnsi" w:hAnsiTheme="majorBidi" w:cstheme="majorBidi"/>
                <w:lang w:val="fr-FR"/>
                <w14:ligatures w14:val="standardContextual"/>
              </w:rPr>
              <w:t xml:space="preserve">La signature électronique est </w:t>
            </w:r>
            <w:r w:rsidRPr="008764AA">
              <w:rPr>
                <w:rFonts w:asciiTheme="majorBidi" w:eastAsiaTheme="minorHAnsi" w:hAnsiTheme="majorBidi" w:cstheme="majorBidi"/>
                <w:lang w:val="fr-FR"/>
                <w14:ligatures w14:val="standardContextual"/>
              </w:rPr>
              <w:lastRenderedPageBreak/>
              <w:t>fréquemment utilisée.</w:t>
            </w:r>
          </w:p>
        </w:tc>
        <w:tc>
          <w:tcPr>
            <w:tcW w:w="10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lastRenderedPageBreak/>
              <w:t xml:space="preserve">3.8706        </w:t>
            </w:r>
          </w:p>
        </w:tc>
        <w:tc>
          <w:tcPr>
            <w:tcW w:w="925"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1.2573  </w:t>
            </w:r>
          </w:p>
        </w:tc>
        <w:tc>
          <w:tcPr>
            <w:tcW w:w="9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40.139  </w:t>
            </w:r>
          </w:p>
        </w:tc>
        <w:tc>
          <w:tcPr>
            <w:tcW w:w="576"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3</w:t>
            </w:r>
          </w:p>
        </w:tc>
        <w:tc>
          <w:tcPr>
            <w:tcW w:w="1149"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9"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4</w:t>
            </w:r>
          </w:p>
        </w:tc>
        <w:tc>
          <w:tcPr>
            <w:tcW w:w="203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supports de formation sont généralement numériques.</w:t>
            </w:r>
          </w:p>
        </w:tc>
        <w:tc>
          <w:tcPr>
            <w:tcW w:w="10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3.8412        </w:t>
            </w:r>
          </w:p>
        </w:tc>
        <w:tc>
          <w:tcPr>
            <w:tcW w:w="925"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1.2420  </w:t>
            </w:r>
          </w:p>
        </w:tc>
        <w:tc>
          <w:tcPr>
            <w:tcW w:w="9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40.323  </w:t>
            </w:r>
          </w:p>
        </w:tc>
        <w:tc>
          <w:tcPr>
            <w:tcW w:w="576"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4</w:t>
            </w:r>
          </w:p>
        </w:tc>
        <w:tc>
          <w:tcPr>
            <w:tcW w:w="1149"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9"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5</w:t>
            </w:r>
          </w:p>
        </w:tc>
        <w:tc>
          <w:tcPr>
            <w:tcW w:w="203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données RH sont exclusivement gérées sous format numérique.</w:t>
            </w:r>
          </w:p>
        </w:tc>
        <w:tc>
          <w:tcPr>
            <w:tcW w:w="10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3.9647        </w:t>
            </w:r>
          </w:p>
        </w:tc>
        <w:tc>
          <w:tcPr>
            <w:tcW w:w="925"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1.3004  </w:t>
            </w:r>
          </w:p>
        </w:tc>
        <w:tc>
          <w:tcPr>
            <w:tcW w:w="9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39.752  </w:t>
            </w:r>
          </w:p>
        </w:tc>
        <w:tc>
          <w:tcPr>
            <w:tcW w:w="576"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2</w:t>
            </w:r>
          </w:p>
        </w:tc>
        <w:tc>
          <w:tcPr>
            <w:tcW w:w="1149"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9"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6</w:t>
            </w:r>
          </w:p>
        </w:tc>
        <w:tc>
          <w:tcPr>
            <w:tcW w:w="203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eastAsiaTheme="minorHAnsi" w:hAnsiTheme="majorBidi" w:cstheme="majorBidi"/>
                <w:lang w:val="fr-FR"/>
                <w14:ligatures w14:val="standardContextual"/>
              </w:rPr>
              <w:t>La numérisation facilite considérablement la mise à jour des dossiers RH.</w:t>
            </w:r>
          </w:p>
        </w:tc>
        <w:tc>
          <w:tcPr>
            <w:tcW w:w="10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3.6824        </w:t>
            </w:r>
          </w:p>
        </w:tc>
        <w:tc>
          <w:tcPr>
            <w:tcW w:w="925"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1.1431  </w:t>
            </w:r>
          </w:p>
        </w:tc>
        <w:tc>
          <w:tcPr>
            <w:tcW w:w="9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42.000  </w:t>
            </w:r>
          </w:p>
        </w:tc>
        <w:tc>
          <w:tcPr>
            <w:tcW w:w="576"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7</w:t>
            </w:r>
          </w:p>
        </w:tc>
        <w:tc>
          <w:tcPr>
            <w:tcW w:w="1149"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9" w:type="dxa"/>
            <w:shd w:val="clear" w:color="auto" w:fill="D8DCD1"/>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7</w:t>
            </w:r>
          </w:p>
        </w:tc>
        <w:tc>
          <w:tcPr>
            <w:tcW w:w="203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entretiens RH sont parfois enregistrés numériquement pour le suivi.</w:t>
            </w:r>
          </w:p>
        </w:tc>
        <w:tc>
          <w:tcPr>
            <w:tcW w:w="10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4.0353        </w:t>
            </w:r>
          </w:p>
        </w:tc>
        <w:tc>
          <w:tcPr>
            <w:tcW w:w="925"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1.3274  </w:t>
            </w:r>
          </w:p>
        </w:tc>
        <w:tc>
          <w:tcPr>
            <w:tcW w:w="996"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39.636  </w:t>
            </w:r>
          </w:p>
        </w:tc>
        <w:tc>
          <w:tcPr>
            <w:tcW w:w="576"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1</w:t>
            </w:r>
          </w:p>
        </w:tc>
        <w:tc>
          <w:tcPr>
            <w:tcW w:w="1149" w:type="dxa"/>
          </w:tcPr>
          <w:p w:rsidR="00E772DD" w:rsidRPr="008764AA" w:rsidRDefault="00E772DD" w:rsidP="00580F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Tout à fait d'accord</w:t>
            </w:r>
          </w:p>
          <w:p w:rsidR="00E772DD" w:rsidRPr="008764AA" w:rsidRDefault="00E772DD" w:rsidP="00580FEB">
            <w:pPr>
              <w:spacing w:after="240" w:line="360" w:lineRule="auto"/>
              <w:rPr>
                <w:rFonts w:asciiTheme="majorBidi" w:hAnsiTheme="majorBidi" w:cstheme="majorBidi"/>
                <w:lang w:val="fr-FR"/>
              </w:rPr>
            </w:pPr>
          </w:p>
        </w:tc>
      </w:tr>
      <w:tr w:rsidR="00E772DD" w:rsidRPr="008764AA" w:rsidTr="00617E55">
        <w:tc>
          <w:tcPr>
            <w:tcW w:w="569" w:type="dxa"/>
          </w:tcPr>
          <w:p w:rsidR="00E772DD" w:rsidRPr="008764AA" w:rsidRDefault="00E772DD" w:rsidP="00580FEB">
            <w:pPr>
              <w:spacing w:after="240" w:line="360" w:lineRule="auto"/>
              <w:rPr>
                <w:rFonts w:asciiTheme="majorBidi" w:hAnsiTheme="majorBidi" w:cstheme="majorBidi"/>
                <w:lang w:val="fr-FR"/>
              </w:rPr>
            </w:pPr>
          </w:p>
        </w:tc>
        <w:tc>
          <w:tcPr>
            <w:tcW w:w="203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 xml:space="preserve">Total </w:t>
            </w:r>
            <w:r w:rsidRPr="008764AA">
              <w:rPr>
                <w:rFonts w:asciiTheme="majorBidi" w:hAnsiTheme="majorBidi" w:cstheme="majorBidi"/>
                <w:color w:val="000000"/>
                <w:lang w:val="fr-FR"/>
              </w:rPr>
              <w:t>Numérisation</w:t>
            </w:r>
          </w:p>
        </w:tc>
        <w:tc>
          <w:tcPr>
            <w:tcW w:w="1096" w:type="dxa"/>
          </w:tcPr>
          <w:p w:rsidR="00E772DD" w:rsidRPr="008764AA" w:rsidRDefault="00E772DD" w:rsidP="00580FEB">
            <w:pPr>
              <w:rPr>
                <w:rFonts w:asciiTheme="majorBidi" w:hAnsiTheme="majorBidi" w:cstheme="majorBidi"/>
                <w:color w:val="000000"/>
                <w:lang w:val="fr-FR"/>
              </w:rPr>
            </w:pPr>
            <w:r w:rsidRPr="008764AA">
              <w:rPr>
                <w:rFonts w:asciiTheme="majorBidi" w:hAnsiTheme="majorBidi" w:cstheme="majorBidi"/>
                <w:color w:val="000000"/>
                <w:lang w:val="fr-FR"/>
              </w:rPr>
              <w:t>3</w:t>
            </w:r>
            <w:r>
              <w:rPr>
                <w:rFonts w:asciiTheme="majorBidi" w:hAnsiTheme="majorBidi" w:cstheme="majorBidi"/>
                <w:color w:val="000000"/>
                <w:lang w:val="fr-FR"/>
              </w:rPr>
              <w:t>.</w:t>
            </w:r>
            <w:r w:rsidRPr="008764AA">
              <w:rPr>
                <w:rFonts w:asciiTheme="majorBidi" w:hAnsiTheme="majorBidi" w:cstheme="majorBidi"/>
                <w:color w:val="000000"/>
                <w:lang w:val="fr-FR"/>
              </w:rPr>
              <w:t>8269</w:t>
            </w:r>
          </w:p>
        </w:tc>
        <w:tc>
          <w:tcPr>
            <w:tcW w:w="925" w:type="dxa"/>
          </w:tcPr>
          <w:p w:rsidR="00E772DD" w:rsidRPr="008764AA" w:rsidRDefault="00E772DD" w:rsidP="00580FEB">
            <w:pPr>
              <w:rPr>
                <w:rFonts w:asciiTheme="majorBidi" w:hAnsiTheme="majorBidi" w:cstheme="majorBidi"/>
                <w:color w:val="000000"/>
                <w:lang w:val="fr-FR"/>
              </w:rPr>
            </w:pPr>
            <w:r w:rsidRPr="008764AA">
              <w:rPr>
                <w:rFonts w:asciiTheme="majorBidi" w:hAnsiTheme="majorBidi" w:cstheme="majorBidi"/>
                <w:color w:val="000000"/>
                <w:lang w:val="fr-FR"/>
              </w:rPr>
              <w:t>1</w:t>
            </w:r>
            <w:r>
              <w:rPr>
                <w:rFonts w:asciiTheme="majorBidi" w:hAnsiTheme="majorBidi" w:cstheme="majorBidi"/>
                <w:color w:val="000000"/>
                <w:lang w:val="fr-FR"/>
              </w:rPr>
              <w:t>.</w:t>
            </w:r>
            <w:r w:rsidRPr="008764AA">
              <w:rPr>
                <w:rFonts w:asciiTheme="majorBidi" w:hAnsiTheme="majorBidi" w:cstheme="majorBidi"/>
                <w:color w:val="000000"/>
                <w:lang w:val="fr-FR"/>
              </w:rPr>
              <w:t>2253</w:t>
            </w:r>
          </w:p>
        </w:tc>
        <w:tc>
          <w:tcPr>
            <w:tcW w:w="996" w:type="dxa"/>
          </w:tcPr>
          <w:p w:rsidR="00E772DD" w:rsidRPr="008764AA" w:rsidRDefault="00E772DD" w:rsidP="00580FEB">
            <w:pPr>
              <w:rPr>
                <w:rFonts w:asciiTheme="majorBidi" w:hAnsiTheme="majorBidi" w:cstheme="majorBidi"/>
                <w:color w:val="000000"/>
                <w:lang w:val="fr-FR"/>
              </w:rPr>
            </w:pPr>
            <w:r w:rsidRPr="008764AA">
              <w:rPr>
                <w:rFonts w:asciiTheme="majorBidi" w:hAnsiTheme="majorBidi" w:cstheme="majorBidi"/>
                <w:color w:val="000000"/>
                <w:lang w:val="fr-FR"/>
              </w:rPr>
              <w:t>40</w:t>
            </w:r>
            <w:r>
              <w:rPr>
                <w:rFonts w:asciiTheme="majorBidi" w:hAnsiTheme="majorBidi" w:cstheme="majorBidi"/>
                <w:color w:val="000000"/>
                <w:lang w:val="fr-FR"/>
              </w:rPr>
              <w:t>.</w:t>
            </w:r>
            <w:r w:rsidRPr="008764AA">
              <w:rPr>
                <w:rFonts w:asciiTheme="majorBidi" w:hAnsiTheme="majorBidi" w:cstheme="majorBidi"/>
                <w:color w:val="000000"/>
                <w:lang w:val="fr-FR"/>
              </w:rPr>
              <w:t>7752</w:t>
            </w:r>
          </w:p>
        </w:tc>
        <w:tc>
          <w:tcPr>
            <w:tcW w:w="576"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169</w:t>
            </w:r>
          </w:p>
        </w:tc>
        <w:tc>
          <w:tcPr>
            <w:tcW w:w="657" w:type="dxa"/>
          </w:tcPr>
          <w:p w:rsidR="00E772DD" w:rsidRPr="008764AA" w:rsidRDefault="00E772DD" w:rsidP="00580FEB">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580FEB">
            <w:pPr>
              <w:spacing w:after="240" w:line="360" w:lineRule="auto"/>
              <w:rPr>
                <w:rFonts w:asciiTheme="majorBidi" w:hAnsiTheme="majorBidi" w:cstheme="majorBidi"/>
                <w:lang w:val="fr-FR"/>
              </w:rPr>
            </w:pPr>
          </w:p>
        </w:tc>
        <w:tc>
          <w:tcPr>
            <w:tcW w:w="1149" w:type="dxa"/>
          </w:tcPr>
          <w:p w:rsidR="00E772DD" w:rsidRPr="008764AA" w:rsidRDefault="00E772DD" w:rsidP="00580FEB">
            <w:pPr>
              <w:spacing w:after="240" w:line="360" w:lineRule="auto"/>
              <w:rPr>
                <w:rFonts w:asciiTheme="majorBidi" w:hAnsiTheme="majorBidi" w:cstheme="majorBidi"/>
                <w:lang w:val="fr-FR"/>
              </w:rPr>
            </w:pPr>
            <w:r w:rsidRPr="008764AA">
              <w:rPr>
                <w:rFonts w:asciiTheme="majorBidi" w:hAnsiTheme="majorBidi" w:cstheme="majorBidi"/>
                <w:lang w:val="fr-FR"/>
              </w:rPr>
              <w:t>D'accord</w:t>
            </w:r>
          </w:p>
        </w:tc>
      </w:tr>
    </w:tbl>
    <w:p w:rsidR="00E772DD" w:rsidRPr="008764AA" w:rsidRDefault="00E772DD" w:rsidP="00617E55">
      <w:pPr>
        <w:spacing w:line="360" w:lineRule="auto"/>
        <w:jc w:val="center"/>
        <w:rPr>
          <w:rFonts w:asciiTheme="majorBidi" w:hAnsiTheme="majorBidi" w:cstheme="majorBidi"/>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E772DD" w:rsidRPr="008764AA" w:rsidRDefault="00E772DD" w:rsidP="004D32AC">
      <w:pPr>
        <w:pStyle w:val="Paragraphedeliste"/>
        <w:numPr>
          <w:ilvl w:val="0"/>
          <w:numId w:val="139"/>
        </w:numPr>
        <w:autoSpaceDE w:val="0"/>
        <w:autoSpaceDN w:val="0"/>
        <w:adjustRightInd w:val="0"/>
        <w:spacing w:after="100" w:afterAutospacing="1" w:line="360" w:lineRule="auto"/>
        <w:jc w:val="both"/>
        <w:rPr>
          <w:rFonts w:asciiTheme="majorBidi" w:hAnsiTheme="majorBidi" w:cstheme="majorBidi"/>
        </w:rPr>
      </w:pPr>
      <w:r w:rsidRPr="008764AA">
        <w:rPr>
          <w:rFonts w:asciiTheme="majorBidi" w:hAnsiTheme="majorBidi" w:cstheme="majorBidi"/>
        </w:rPr>
        <w:t>L’affirmation numéro 7 arrive en première position avec une valeur t de 39</w:t>
      </w:r>
      <w:r>
        <w:rPr>
          <w:rFonts w:asciiTheme="majorBidi" w:hAnsiTheme="majorBidi" w:cstheme="majorBidi"/>
        </w:rPr>
        <w:t>,</w:t>
      </w:r>
      <w:r w:rsidRPr="008764AA">
        <w:rPr>
          <w:rFonts w:asciiTheme="majorBidi" w:hAnsiTheme="majorBidi" w:cstheme="majorBidi"/>
        </w:rPr>
        <w:t xml:space="preserve">636, bien au-dessus de la valeur critique de </w:t>
      </w:r>
      <w:r>
        <w:rPr>
          <w:rFonts w:asciiTheme="majorBidi" w:hAnsiTheme="majorBidi" w:cstheme="majorBidi"/>
        </w:rPr>
        <w:t>1,974</w:t>
      </w:r>
      <w:r w:rsidRPr="008764AA">
        <w:rPr>
          <w:rFonts w:asciiTheme="majorBidi" w:hAnsiTheme="majorBidi" w:cstheme="majorBidi"/>
        </w:rPr>
        <w:t>, et un niveau de signification de 0,000. Cela indique un très fort consensus parmi les répondants sur le fait que Les entretiens RH sont parfois enregistrés numériquement pour le suivi.</w:t>
      </w:r>
    </w:p>
    <w:p w:rsidR="00E772DD" w:rsidRPr="008764AA" w:rsidRDefault="00E772DD" w:rsidP="004D32AC">
      <w:pPr>
        <w:pStyle w:val="Paragraphedeliste"/>
        <w:numPr>
          <w:ilvl w:val="0"/>
          <w:numId w:val="139"/>
        </w:numPr>
        <w:autoSpaceDE w:val="0"/>
        <w:autoSpaceDN w:val="0"/>
        <w:adjustRightInd w:val="0"/>
        <w:spacing w:after="100" w:afterAutospacing="1" w:line="360" w:lineRule="auto"/>
        <w:jc w:val="both"/>
        <w:rPr>
          <w:rFonts w:asciiTheme="majorBidi" w:hAnsiTheme="majorBidi" w:cstheme="majorBidi"/>
        </w:rPr>
      </w:pPr>
      <w:r w:rsidRPr="008764AA">
        <w:rPr>
          <w:rFonts w:asciiTheme="majorBidi" w:hAnsiTheme="majorBidi" w:cstheme="majorBidi"/>
        </w:rPr>
        <w:lastRenderedPageBreak/>
        <w:t>En deuxième position, on retrouve l’affirmation numéro 5, affichant une valeur t de 39</w:t>
      </w:r>
      <w:r>
        <w:rPr>
          <w:rFonts w:asciiTheme="majorBidi" w:hAnsiTheme="majorBidi" w:cstheme="majorBidi"/>
        </w:rPr>
        <w:t>,</w:t>
      </w:r>
      <w:r w:rsidRPr="008764AA">
        <w:rPr>
          <w:rFonts w:asciiTheme="majorBidi" w:hAnsiTheme="majorBidi" w:cstheme="majorBidi"/>
        </w:rPr>
        <w:t>752 également supérieure à la valeur critique. Les répondants valident massivement que les données RH sont exclusivement gérées sous format numérique.</w:t>
      </w:r>
    </w:p>
    <w:p w:rsidR="00E772DD" w:rsidRPr="008764AA" w:rsidRDefault="00E772DD" w:rsidP="004D32AC">
      <w:pPr>
        <w:pStyle w:val="Paragraphedeliste"/>
        <w:numPr>
          <w:ilvl w:val="0"/>
          <w:numId w:val="139"/>
        </w:numPr>
        <w:autoSpaceDE w:val="0"/>
        <w:autoSpaceDN w:val="0"/>
        <w:adjustRightInd w:val="0"/>
        <w:spacing w:after="100" w:afterAutospacing="1" w:line="360" w:lineRule="auto"/>
        <w:jc w:val="both"/>
        <w:rPr>
          <w:rFonts w:asciiTheme="majorBidi" w:hAnsiTheme="majorBidi" w:cstheme="majorBidi"/>
        </w:rPr>
      </w:pPr>
      <w:r w:rsidRPr="008764AA">
        <w:rPr>
          <w:rFonts w:asciiTheme="majorBidi" w:hAnsiTheme="majorBidi" w:cstheme="majorBidi"/>
        </w:rPr>
        <w:t>L’affirmation numéro 3 occupe la troisième position avec une valeur t de 40</w:t>
      </w:r>
      <w:r>
        <w:rPr>
          <w:rFonts w:asciiTheme="majorBidi" w:hAnsiTheme="majorBidi" w:cstheme="majorBidi"/>
        </w:rPr>
        <w:t>,</w:t>
      </w:r>
      <w:r w:rsidRPr="008764AA">
        <w:rPr>
          <w:rFonts w:asciiTheme="majorBidi" w:hAnsiTheme="majorBidi" w:cstheme="majorBidi"/>
        </w:rPr>
        <w:t>139, ce qui montre une adhésion importante à l’idée que la signature électronique est fréquemment utilisée.</w:t>
      </w:r>
    </w:p>
    <w:p w:rsidR="00E772DD" w:rsidRPr="008764AA" w:rsidRDefault="00E772DD" w:rsidP="004D32AC">
      <w:pPr>
        <w:pStyle w:val="Paragraphedeliste"/>
        <w:numPr>
          <w:ilvl w:val="0"/>
          <w:numId w:val="139"/>
        </w:numPr>
        <w:autoSpaceDE w:val="0"/>
        <w:autoSpaceDN w:val="0"/>
        <w:adjustRightInd w:val="0"/>
        <w:spacing w:after="100" w:afterAutospacing="1" w:line="360" w:lineRule="auto"/>
        <w:jc w:val="both"/>
        <w:rPr>
          <w:rFonts w:asciiTheme="majorBidi" w:hAnsiTheme="majorBidi" w:cstheme="majorBidi"/>
        </w:rPr>
      </w:pPr>
      <w:r w:rsidRPr="008764AA">
        <w:rPr>
          <w:rFonts w:asciiTheme="majorBidi" w:hAnsiTheme="majorBidi" w:cstheme="majorBidi"/>
        </w:rPr>
        <w:t>En quatrième position, figure l’affirmation numéro 4, avec une valeur t de 40</w:t>
      </w:r>
      <w:r>
        <w:rPr>
          <w:rFonts w:asciiTheme="majorBidi" w:hAnsiTheme="majorBidi" w:cstheme="majorBidi"/>
        </w:rPr>
        <w:t>,</w:t>
      </w:r>
      <w:r w:rsidRPr="008764AA">
        <w:rPr>
          <w:rFonts w:asciiTheme="majorBidi" w:hAnsiTheme="majorBidi" w:cstheme="majorBidi"/>
        </w:rPr>
        <w:t>323, toujours significative. Les répondants confirment que les supports de formation sont généralement numériques.</w:t>
      </w:r>
    </w:p>
    <w:p w:rsidR="00E772DD" w:rsidRPr="008764AA" w:rsidRDefault="00E772DD" w:rsidP="004D32AC">
      <w:pPr>
        <w:pStyle w:val="Paragraphedeliste"/>
        <w:numPr>
          <w:ilvl w:val="0"/>
          <w:numId w:val="139"/>
        </w:numPr>
        <w:autoSpaceDE w:val="0"/>
        <w:autoSpaceDN w:val="0"/>
        <w:adjustRightInd w:val="0"/>
        <w:spacing w:after="100" w:afterAutospacing="1" w:line="360" w:lineRule="auto"/>
        <w:jc w:val="both"/>
        <w:rPr>
          <w:rFonts w:asciiTheme="majorBidi" w:hAnsiTheme="majorBidi" w:cstheme="majorBidi"/>
        </w:rPr>
      </w:pPr>
      <w:r w:rsidRPr="008764AA">
        <w:rPr>
          <w:rFonts w:asciiTheme="majorBidi" w:hAnsiTheme="majorBidi" w:cstheme="majorBidi"/>
        </w:rPr>
        <w:t>La cinquième position revient à l’affirmation numéro 1, affichant une valeur t de 41</w:t>
      </w:r>
      <w:r>
        <w:rPr>
          <w:rFonts w:asciiTheme="majorBidi" w:hAnsiTheme="majorBidi" w:cstheme="majorBidi"/>
        </w:rPr>
        <w:t>,</w:t>
      </w:r>
      <w:r w:rsidRPr="008764AA">
        <w:rPr>
          <w:rFonts w:asciiTheme="majorBidi" w:hAnsiTheme="majorBidi" w:cstheme="majorBidi"/>
        </w:rPr>
        <w:t>644. Les participants estiment que les dossiers des candidats sont systématiquement archivés en format numérique.</w:t>
      </w:r>
    </w:p>
    <w:p w:rsidR="00E772DD" w:rsidRPr="008764AA" w:rsidRDefault="00E772DD" w:rsidP="004D32AC">
      <w:pPr>
        <w:pStyle w:val="Paragraphedeliste"/>
        <w:numPr>
          <w:ilvl w:val="0"/>
          <w:numId w:val="139"/>
        </w:numPr>
        <w:autoSpaceDE w:val="0"/>
        <w:autoSpaceDN w:val="0"/>
        <w:adjustRightInd w:val="0"/>
        <w:spacing w:after="100" w:afterAutospacing="1" w:line="360" w:lineRule="auto"/>
        <w:jc w:val="both"/>
        <w:rPr>
          <w:rFonts w:asciiTheme="majorBidi" w:hAnsiTheme="majorBidi" w:cstheme="majorBidi"/>
        </w:rPr>
      </w:pPr>
      <w:r w:rsidRPr="008764AA">
        <w:rPr>
          <w:rFonts w:asciiTheme="majorBidi" w:hAnsiTheme="majorBidi" w:cstheme="majorBidi"/>
        </w:rPr>
        <w:t>L’affirmation numéro 2 se classe en sixième position, avec une valeur t de 41</w:t>
      </w:r>
      <w:r>
        <w:rPr>
          <w:rFonts w:asciiTheme="majorBidi" w:hAnsiTheme="majorBidi" w:cstheme="majorBidi"/>
        </w:rPr>
        <w:t>,</w:t>
      </w:r>
      <w:r w:rsidRPr="008764AA">
        <w:rPr>
          <w:rFonts w:asciiTheme="majorBidi" w:hAnsiTheme="majorBidi" w:cstheme="majorBidi"/>
        </w:rPr>
        <w:t>913, indiquant que Les formulaires RH sont totalement dématérialisés.</w:t>
      </w:r>
    </w:p>
    <w:p w:rsidR="00E772DD" w:rsidRPr="008764AA" w:rsidRDefault="00E772DD" w:rsidP="004D32AC">
      <w:pPr>
        <w:pStyle w:val="Paragraphedeliste"/>
        <w:numPr>
          <w:ilvl w:val="0"/>
          <w:numId w:val="139"/>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 septième position, on retrouve l’affirmation numéro 6, avec une valeur t de 42, confirmant que la numérisation facilite la mise à jour des dossiers RH. Bien que classée en dernier, cette affirmation reste hautement significative et montre que cette idée est largement partagée.</w:t>
      </w:r>
    </w:p>
    <w:p w:rsidR="00E772DD" w:rsidRPr="008764AA" w:rsidRDefault="00E772DD" w:rsidP="00A95EDB">
      <w:pPr>
        <w:spacing w:before="240" w:after="100" w:afterAutospacing="1" w:line="360" w:lineRule="auto"/>
        <w:ind w:left="360"/>
        <w:jc w:val="both"/>
        <w:rPr>
          <w:rFonts w:asciiTheme="majorBidi" w:hAnsiTheme="majorBidi" w:cstheme="majorBidi"/>
          <w:lang w:val="fr-FR"/>
        </w:rPr>
      </w:pPr>
      <w:r w:rsidRPr="008764AA">
        <w:rPr>
          <w:rFonts w:asciiTheme="majorBidi" w:hAnsiTheme="majorBidi" w:cstheme="majorBidi"/>
          <w:color w:val="000000"/>
          <w:lang w:val="fr-FR"/>
        </w:rPr>
        <w:t>Dans l’ensemble, les participants se déclarent d’accord quant au rôle positif de la numérisation dans les processus RH, avec une moyenne générale de 3,827 et un écart-type de 1,225. La valeur t observée (40,775) dépasse largement la valeur t critique (</w:t>
      </w:r>
      <w:r>
        <w:rPr>
          <w:rFonts w:asciiTheme="majorBidi" w:hAnsiTheme="majorBidi" w:cstheme="majorBidi"/>
          <w:color w:val="000000"/>
          <w:lang w:val="fr-FR"/>
        </w:rPr>
        <w:t>1,974</w:t>
      </w:r>
      <w:r w:rsidRPr="008764AA">
        <w:rPr>
          <w:rFonts w:asciiTheme="majorBidi" w:hAnsiTheme="majorBidi" w:cstheme="majorBidi"/>
          <w:color w:val="000000"/>
          <w:lang w:val="fr-FR"/>
        </w:rPr>
        <w:t>), avec un niveau de signification de 0,000, bien en dessous du seuil de 0,05. Ces résultats indiquent une tendance positive marquée en faveur de la numérisation.</w:t>
      </w:r>
    </w:p>
    <w:p w:rsidR="00E772DD" w:rsidRPr="00A53242" w:rsidRDefault="00A53242" w:rsidP="004D32AC">
      <w:pPr>
        <w:pStyle w:val="Titre3"/>
        <w:numPr>
          <w:ilvl w:val="1"/>
          <w:numId w:val="175"/>
        </w:numPr>
        <w:spacing w:after="0" w:afterAutospacing="0" w:line="360" w:lineRule="auto"/>
        <w:rPr>
          <w:sz w:val="24"/>
          <w:szCs w:val="24"/>
          <w:lang w:val="fr-FR"/>
        </w:rPr>
      </w:pPr>
      <w:r>
        <w:rPr>
          <w:sz w:val="24"/>
          <w:szCs w:val="24"/>
          <w:lang w:val="fr-FR"/>
        </w:rPr>
        <w:t xml:space="preserve"> </w:t>
      </w:r>
      <w:bookmarkStart w:id="2322" w:name="_Toc199714578"/>
      <w:bookmarkStart w:id="2323" w:name="_Toc200486854"/>
      <w:bookmarkStart w:id="2324" w:name="_Toc200635632"/>
      <w:bookmarkStart w:id="2325" w:name="_Toc200636020"/>
      <w:bookmarkStart w:id="2326" w:name="_Toc200636409"/>
      <w:bookmarkStart w:id="2327" w:name="_Toc200756150"/>
      <w:r w:rsidR="00E772DD" w:rsidRPr="00A53242">
        <w:rPr>
          <w:sz w:val="24"/>
          <w:szCs w:val="24"/>
          <w:lang w:val="fr-FR"/>
        </w:rPr>
        <w:t>Analyse des résultats de l’axe “Accessibilité numérique”</w:t>
      </w:r>
      <w:bookmarkEnd w:id="2322"/>
      <w:bookmarkEnd w:id="2323"/>
      <w:bookmarkEnd w:id="2324"/>
      <w:bookmarkEnd w:id="2325"/>
      <w:bookmarkEnd w:id="2326"/>
      <w:bookmarkEnd w:id="2327"/>
    </w:p>
    <w:p w:rsidR="00E772DD" w:rsidRPr="008764AA" w:rsidRDefault="00E772DD" w:rsidP="000F4CA3">
      <w:pPr>
        <w:spacing w:line="360" w:lineRule="auto"/>
        <w:jc w:val="center"/>
        <w:rPr>
          <w:color w:val="000000"/>
          <w:lang w:val="fr-FR"/>
        </w:rPr>
      </w:pPr>
      <w:r w:rsidRPr="008764AA">
        <w:rPr>
          <w:b/>
          <w:bCs/>
          <w:color w:val="000000"/>
          <w:lang w:val="fr-FR"/>
        </w:rPr>
        <w:t>Tableau</w:t>
      </w:r>
      <w:r>
        <w:rPr>
          <w:b/>
          <w:bCs/>
          <w:color w:val="000000"/>
          <w:lang w:val="fr-FR"/>
        </w:rPr>
        <w:t xml:space="preserve"> N°35</w:t>
      </w:r>
      <w:r w:rsidRPr="008764AA">
        <w:rPr>
          <w:b/>
          <w:bCs/>
          <w:color w:val="000000"/>
          <w:lang w:val="fr-FR"/>
        </w:rPr>
        <w:t xml:space="preserve"> : </w:t>
      </w:r>
      <w:r w:rsidRPr="00746B9C">
        <w:rPr>
          <w:color w:val="000000"/>
          <w:lang w:val="fr-FR"/>
        </w:rPr>
        <w:t>Test T de l’axe “Accessibilité numérique”</w:t>
      </w:r>
    </w:p>
    <w:tbl>
      <w:tblPr>
        <w:tblStyle w:val="Grilledutableau"/>
        <w:tblW w:w="0" w:type="auto"/>
        <w:tblLook w:val="04A0" w:firstRow="1" w:lastRow="0" w:firstColumn="1" w:lastColumn="0" w:noHBand="0" w:noVBand="1"/>
      </w:tblPr>
      <w:tblGrid>
        <w:gridCol w:w="616"/>
        <w:gridCol w:w="1579"/>
        <w:gridCol w:w="1096"/>
        <w:gridCol w:w="918"/>
        <w:gridCol w:w="1352"/>
        <w:gridCol w:w="601"/>
        <w:gridCol w:w="690"/>
        <w:gridCol w:w="1009"/>
        <w:gridCol w:w="1149"/>
      </w:tblGrid>
      <w:tr w:rsidR="00E772DD" w:rsidRPr="008764AA" w:rsidTr="00AE378F">
        <w:tc>
          <w:tcPr>
            <w:tcW w:w="618"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N°</w:t>
            </w:r>
          </w:p>
        </w:tc>
        <w:tc>
          <w:tcPr>
            <w:tcW w:w="1579"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Intitulé de</w:t>
            </w:r>
          </w:p>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la question</w:t>
            </w:r>
          </w:p>
        </w:tc>
        <w:tc>
          <w:tcPr>
            <w:tcW w:w="1096"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La</w:t>
            </w:r>
          </w:p>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moyenne</w:t>
            </w:r>
          </w:p>
        </w:tc>
        <w:tc>
          <w:tcPr>
            <w:tcW w:w="918"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L’écart</w:t>
            </w:r>
          </w:p>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-type</w:t>
            </w:r>
          </w:p>
        </w:tc>
        <w:tc>
          <w:tcPr>
            <w:tcW w:w="1356"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Test T</w:t>
            </w:r>
          </w:p>
        </w:tc>
        <w:tc>
          <w:tcPr>
            <w:tcW w:w="601"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Ddl</w:t>
            </w:r>
          </w:p>
        </w:tc>
        <w:tc>
          <w:tcPr>
            <w:tcW w:w="690" w:type="dxa"/>
            <w:shd w:val="clear" w:color="auto" w:fill="D8DCD1"/>
          </w:tcPr>
          <w:p w:rsidR="00E772DD" w:rsidRPr="008764AA" w:rsidRDefault="00E772DD" w:rsidP="00023311">
            <w:pPr>
              <w:spacing w:after="240" w:line="360" w:lineRule="auto"/>
              <w:rPr>
                <w:rFonts w:asciiTheme="majorBidi" w:hAnsiTheme="majorBidi" w:cstheme="majorBidi"/>
                <w:lang w:val="fr-FR"/>
              </w:rPr>
            </w:pPr>
            <w:proofErr w:type="spellStart"/>
            <w:r w:rsidRPr="008764AA">
              <w:rPr>
                <w:rFonts w:asciiTheme="majorBidi" w:hAnsiTheme="majorBidi" w:cstheme="majorBidi"/>
                <w:lang w:val="fr-FR"/>
              </w:rPr>
              <w:t>Sig</w:t>
            </w:r>
            <w:proofErr w:type="spellEnd"/>
            <w:r w:rsidRPr="008764AA">
              <w:rPr>
                <w:rFonts w:asciiTheme="majorBidi" w:hAnsiTheme="majorBidi" w:cstheme="majorBidi"/>
                <w:lang w:val="fr-FR"/>
              </w:rPr>
              <w:t>.</w:t>
            </w:r>
            <w:r w:rsidRPr="008764AA">
              <w:rPr>
                <w:rStyle w:val="apple-converted-space"/>
                <w:rFonts w:asciiTheme="majorBidi" w:hAnsiTheme="majorBidi" w:cstheme="majorBidi"/>
                <w:lang w:val="fr-FR"/>
              </w:rPr>
              <w:t> </w:t>
            </w:r>
          </w:p>
        </w:tc>
        <w:tc>
          <w:tcPr>
            <w:tcW w:w="1009"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L’ordre</w:t>
            </w:r>
            <w:r w:rsidRPr="008764AA">
              <w:rPr>
                <w:rStyle w:val="apple-converted-space"/>
                <w:rFonts w:asciiTheme="majorBidi" w:hAnsiTheme="majorBidi" w:cstheme="majorBidi"/>
                <w:sz w:val="24"/>
                <w:szCs w:val="24"/>
              </w:rPr>
              <w:t> </w:t>
            </w:r>
          </w:p>
        </w:tc>
        <w:tc>
          <w:tcPr>
            <w:tcW w:w="1149"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Tendance</w:t>
            </w:r>
          </w:p>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de la</w:t>
            </w:r>
          </w:p>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réponse</w:t>
            </w:r>
          </w:p>
        </w:tc>
      </w:tr>
      <w:tr w:rsidR="00E772DD" w:rsidRPr="008764AA" w:rsidTr="00AE378F">
        <w:tc>
          <w:tcPr>
            <w:tcW w:w="618"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1</w:t>
            </w:r>
          </w:p>
        </w:tc>
        <w:tc>
          <w:tcPr>
            <w:tcW w:w="1579"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outils RH sont toujours accessibles à distance pour les employés.</w:t>
            </w:r>
          </w:p>
        </w:tc>
        <w:tc>
          <w:tcPr>
            <w:tcW w:w="109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3.8941 </w:t>
            </w:r>
          </w:p>
          <w:p w:rsidR="00E772DD" w:rsidRPr="008764AA" w:rsidRDefault="00E772DD" w:rsidP="00023311">
            <w:pPr>
              <w:spacing w:after="240" w:line="360" w:lineRule="auto"/>
              <w:rPr>
                <w:rFonts w:asciiTheme="majorBidi" w:hAnsiTheme="majorBidi" w:cstheme="majorBidi"/>
                <w:lang w:val="fr-FR"/>
              </w:rPr>
            </w:pPr>
          </w:p>
        </w:tc>
        <w:tc>
          <w:tcPr>
            <w:tcW w:w="91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1.2689</w:t>
            </w:r>
          </w:p>
          <w:p w:rsidR="00E772DD" w:rsidRPr="008764AA" w:rsidRDefault="00E772DD" w:rsidP="00023311">
            <w:pPr>
              <w:spacing w:after="240" w:line="360" w:lineRule="auto"/>
              <w:rPr>
                <w:rFonts w:asciiTheme="majorBidi" w:hAnsiTheme="majorBidi" w:cstheme="majorBidi"/>
                <w:lang w:val="fr-FR"/>
              </w:rPr>
            </w:pPr>
          </w:p>
        </w:tc>
        <w:tc>
          <w:tcPr>
            <w:tcW w:w="135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40.014</w:t>
            </w:r>
          </w:p>
          <w:p w:rsidR="00E772DD" w:rsidRPr="008764AA" w:rsidRDefault="00E772DD" w:rsidP="00023311">
            <w:pPr>
              <w:spacing w:after="240" w:line="360" w:lineRule="auto"/>
              <w:rPr>
                <w:rFonts w:asciiTheme="majorBidi" w:hAnsiTheme="majorBidi" w:cstheme="majorBidi"/>
                <w:lang w:val="fr-FR"/>
              </w:rPr>
            </w:pPr>
          </w:p>
        </w:tc>
        <w:tc>
          <w:tcPr>
            <w:tcW w:w="601"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690"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5</w:t>
            </w:r>
          </w:p>
        </w:tc>
        <w:tc>
          <w:tcPr>
            <w:tcW w:w="114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D'accord</w:t>
            </w:r>
          </w:p>
        </w:tc>
      </w:tr>
      <w:tr w:rsidR="00E772DD" w:rsidRPr="008764AA" w:rsidTr="00AE378F">
        <w:tc>
          <w:tcPr>
            <w:tcW w:w="618"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lastRenderedPageBreak/>
              <w:t>2</w:t>
            </w:r>
          </w:p>
        </w:tc>
        <w:tc>
          <w:tcPr>
            <w:tcW w:w="1579"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plateformes RH sont compatibles avec plusieurs appareils</w:t>
            </w:r>
          </w:p>
        </w:tc>
        <w:tc>
          <w:tcPr>
            <w:tcW w:w="109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3.9588 </w:t>
            </w:r>
          </w:p>
          <w:p w:rsidR="00E772DD" w:rsidRPr="008764AA" w:rsidRDefault="00E772DD" w:rsidP="00023311">
            <w:pPr>
              <w:spacing w:after="240" w:line="360" w:lineRule="auto"/>
              <w:rPr>
                <w:rFonts w:asciiTheme="majorBidi" w:hAnsiTheme="majorBidi" w:cstheme="majorBidi"/>
                <w:lang w:val="fr-FR"/>
              </w:rPr>
            </w:pPr>
          </w:p>
        </w:tc>
        <w:tc>
          <w:tcPr>
            <w:tcW w:w="91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1.2980 </w:t>
            </w:r>
          </w:p>
          <w:p w:rsidR="00E772DD" w:rsidRPr="008764AA" w:rsidRDefault="00E772DD" w:rsidP="00023311">
            <w:pPr>
              <w:spacing w:after="240" w:line="360" w:lineRule="auto"/>
              <w:rPr>
                <w:rFonts w:asciiTheme="majorBidi" w:hAnsiTheme="majorBidi" w:cstheme="majorBidi"/>
                <w:lang w:val="fr-FR"/>
              </w:rPr>
            </w:pPr>
          </w:p>
        </w:tc>
        <w:tc>
          <w:tcPr>
            <w:tcW w:w="135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39.768</w:t>
            </w:r>
          </w:p>
          <w:p w:rsidR="00E772DD" w:rsidRPr="008764AA" w:rsidRDefault="00E772DD" w:rsidP="00023311">
            <w:pPr>
              <w:spacing w:after="240" w:line="360" w:lineRule="auto"/>
              <w:rPr>
                <w:rFonts w:asciiTheme="majorBidi" w:hAnsiTheme="majorBidi" w:cstheme="majorBidi"/>
                <w:lang w:val="fr-FR"/>
              </w:rPr>
            </w:pPr>
          </w:p>
        </w:tc>
        <w:tc>
          <w:tcPr>
            <w:tcW w:w="601"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690"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4</w:t>
            </w:r>
          </w:p>
        </w:tc>
        <w:tc>
          <w:tcPr>
            <w:tcW w:w="114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D'accord</w:t>
            </w:r>
          </w:p>
        </w:tc>
      </w:tr>
      <w:tr w:rsidR="00E772DD" w:rsidRPr="008764AA" w:rsidTr="00AE378F">
        <w:tc>
          <w:tcPr>
            <w:tcW w:w="618"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3</w:t>
            </w:r>
          </w:p>
        </w:tc>
        <w:tc>
          <w:tcPr>
            <w:tcW w:w="1579" w:type="dxa"/>
          </w:tcPr>
          <w:p w:rsidR="00E772DD" w:rsidRPr="008764AA" w:rsidRDefault="00E772DD" w:rsidP="00023311">
            <w:pPr>
              <w:autoSpaceDE w:val="0"/>
              <w:autoSpaceDN w:val="0"/>
              <w:adjustRightInd w:val="0"/>
              <w:rPr>
                <w:rFonts w:asciiTheme="majorBidi" w:eastAsiaTheme="minorHAnsi" w:hAnsiTheme="majorBidi" w:cstheme="majorBidi"/>
                <w:lang w:val="fr-FR"/>
                <w14:ligatures w14:val="standardContextual"/>
              </w:rPr>
            </w:pPr>
          </w:p>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collaborateurs peuvent accéder facilement aux informations RH.</w:t>
            </w:r>
          </w:p>
        </w:tc>
        <w:tc>
          <w:tcPr>
            <w:tcW w:w="109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4.2824 </w:t>
            </w:r>
          </w:p>
          <w:p w:rsidR="00E772DD" w:rsidRPr="008764AA" w:rsidRDefault="00E772DD" w:rsidP="00023311">
            <w:pPr>
              <w:spacing w:after="240" w:line="360" w:lineRule="auto"/>
              <w:rPr>
                <w:rFonts w:asciiTheme="majorBidi" w:hAnsiTheme="majorBidi" w:cstheme="majorBidi"/>
                <w:lang w:val="fr-FR"/>
              </w:rPr>
            </w:pPr>
          </w:p>
        </w:tc>
        <w:tc>
          <w:tcPr>
            <w:tcW w:w="91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1.0671</w:t>
            </w:r>
          </w:p>
          <w:p w:rsidR="00E772DD" w:rsidRPr="008764AA" w:rsidRDefault="00E772DD" w:rsidP="00023311">
            <w:pPr>
              <w:spacing w:after="240" w:line="360" w:lineRule="auto"/>
              <w:rPr>
                <w:rFonts w:asciiTheme="majorBidi" w:hAnsiTheme="majorBidi" w:cstheme="majorBidi"/>
                <w:lang w:val="fr-FR"/>
              </w:rPr>
            </w:pPr>
          </w:p>
        </w:tc>
        <w:tc>
          <w:tcPr>
            <w:tcW w:w="135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52.323 </w:t>
            </w:r>
          </w:p>
          <w:p w:rsidR="00E772DD" w:rsidRPr="008764AA" w:rsidRDefault="00E772DD" w:rsidP="00023311">
            <w:pPr>
              <w:spacing w:after="240" w:line="360" w:lineRule="auto"/>
              <w:rPr>
                <w:rFonts w:asciiTheme="majorBidi" w:hAnsiTheme="majorBidi" w:cstheme="majorBidi"/>
                <w:lang w:val="fr-FR"/>
              </w:rPr>
            </w:pPr>
          </w:p>
        </w:tc>
        <w:tc>
          <w:tcPr>
            <w:tcW w:w="601"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690"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1</w:t>
            </w:r>
          </w:p>
        </w:tc>
        <w:tc>
          <w:tcPr>
            <w:tcW w:w="114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Tout à fait d'accord</w:t>
            </w:r>
          </w:p>
        </w:tc>
      </w:tr>
      <w:tr w:rsidR="00E772DD" w:rsidRPr="008764AA" w:rsidTr="00AE378F">
        <w:tc>
          <w:tcPr>
            <w:tcW w:w="618"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4</w:t>
            </w:r>
          </w:p>
        </w:tc>
        <w:tc>
          <w:tcPr>
            <w:tcW w:w="1579"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L'accès aux outils digitaux est généralement simple et rapide.</w:t>
            </w:r>
          </w:p>
        </w:tc>
        <w:tc>
          <w:tcPr>
            <w:tcW w:w="109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4.2176 </w:t>
            </w:r>
          </w:p>
          <w:p w:rsidR="00E772DD" w:rsidRPr="008764AA" w:rsidRDefault="00E772DD" w:rsidP="00023311">
            <w:pPr>
              <w:spacing w:after="240" w:line="360" w:lineRule="auto"/>
              <w:rPr>
                <w:rFonts w:asciiTheme="majorBidi" w:hAnsiTheme="majorBidi" w:cstheme="majorBidi"/>
                <w:lang w:val="fr-FR"/>
              </w:rPr>
            </w:pPr>
          </w:p>
        </w:tc>
        <w:tc>
          <w:tcPr>
            <w:tcW w:w="91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1.1588</w:t>
            </w:r>
          </w:p>
          <w:p w:rsidR="00E772DD" w:rsidRPr="008764AA" w:rsidRDefault="00E772DD" w:rsidP="00023311">
            <w:pPr>
              <w:spacing w:after="240" w:line="360" w:lineRule="auto"/>
              <w:rPr>
                <w:rFonts w:asciiTheme="majorBidi" w:hAnsiTheme="majorBidi" w:cstheme="majorBidi"/>
                <w:lang w:val="fr-FR"/>
              </w:rPr>
            </w:pPr>
          </w:p>
        </w:tc>
        <w:tc>
          <w:tcPr>
            <w:tcW w:w="135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47.454</w:t>
            </w:r>
          </w:p>
          <w:p w:rsidR="00E772DD" w:rsidRPr="008764AA" w:rsidRDefault="00E772DD" w:rsidP="00023311">
            <w:pPr>
              <w:spacing w:after="240" w:line="360" w:lineRule="auto"/>
              <w:rPr>
                <w:rFonts w:asciiTheme="majorBidi" w:hAnsiTheme="majorBidi" w:cstheme="majorBidi"/>
                <w:lang w:val="fr-FR"/>
              </w:rPr>
            </w:pPr>
          </w:p>
        </w:tc>
        <w:tc>
          <w:tcPr>
            <w:tcW w:w="601"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690"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2</w:t>
            </w:r>
          </w:p>
        </w:tc>
        <w:tc>
          <w:tcPr>
            <w:tcW w:w="114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Tout à fait d'accord</w:t>
            </w:r>
          </w:p>
        </w:tc>
      </w:tr>
      <w:tr w:rsidR="00E772DD" w:rsidRPr="008764AA" w:rsidTr="00AE378F">
        <w:tc>
          <w:tcPr>
            <w:tcW w:w="618"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5</w:t>
            </w:r>
          </w:p>
        </w:tc>
        <w:tc>
          <w:tcPr>
            <w:tcW w:w="1579"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L'accessibilité numérique améliore la réactivité des services RH.</w:t>
            </w:r>
          </w:p>
        </w:tc>
        <w:tc>
          <w:tcPr>
            <w:tcW w:w="109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4.0294</w:t>
            </w:r>
          </w:p>
          <w:p w:rsidR="00E772DD" w:rsidRPr="008764AA" w:rsidRDefault="00E772DD" w:rsidP="00023311">
            <w:pPr>
              <w:spacing w:after="240" w:line="360" w:lineRule="auto"/>
              <w:rPr>
                <w:rFonts w:asciiTheme="majorBidi" w:hAnsiTheme="majorBidi" w:cstheme="majorBidi"/>
                <w:lang w:val="fr-FR"/>
              </w:rPr>
            </w:pPr>
          </w:p>
        </w:tc>
        <w:tc>
          <w:tcPr>
            <w:tcW w:w="91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1.3253</w:t>
            </w:r>
          </w:p>
          <w:p w:rsidR="00E772DD" w:rsidRPr="008764AA" w:rsidRDefault="00E772DD" w:rsidP="00023311">
            <w:pPr>
              <w:spacing w:after="240" w:line="360" w:lineRule="auto"/>
              <w:rPr>
                <w:rFonts w:asciiTheme="majorBidi" w:hAnsiTheme="majorBidi" w:cstheme="majorBidi"/>
                <w:lang w:val="fr-FR"/>
              </w:rPr>
            </w:pPr>
          </w:p>
        </w:tc>
        <w:tc>
          <w:tcPr>
            <w:tcW w:w="135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39.640</w:t>
            </w:r>
          </w:p>
          <w:p w:rsidR="00E772DD" w:rsidRPr="008764AA" w:rsidRDefault="00E772DD" w:rsidP="00023311">
            <w:pPr>
              <w:spacing w:after="240" w:line="360" w:lineRule="auto"/>
              <w:rPr>
                <w:rFonts w:asciiTheme="majorBidi" w:hAnsiTheme="majorBidi" w:cstheme="majorBidi"/>
                <w:lang w:val="fr-FR"/>
              </w:rPr>
            </w:pPr>
          </w:p>
        </w:tc>
        <w:tc>
          <w:tcPr>
            <w:tcW w:w="601"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690"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3</w:t>
            </w:r>
          </w:p>
        </w:tc>
        <w:tc>
          <w:tcPr>
            <w:tcW w:w="114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Tout à fait d'accord</w:t>
            </w:r>
          </w:p>
        </w:tc>
      </w:tr>
      <w:tr w:rsidR="00E772DD" w:rsidRPr="008764AA" w:rsidTr="00AE378F">
        <w:tc>
          <w:tcPr>
            <w:tcW w:w="618"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6</w:t>
            </w:r>
          </w:p>
        </w:tc>
        <w:tc>
          <w:tcPr>
            <w:tcW w:w="1579"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formations en ligne sont facilement accessibles pour tous les salariés.</w:t>
            </w:r>
          </w:p>
        </w:tc>
        <w:tc>
          <w:tcPr>
            <w:tcW w:w="109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3.7059</w:t>
            </w:r>
          </w:p>
          <w:p w:rsidR="00E772DD" w:rsidRPr="008764AA" w:rsidRDefault="00E772DD" w:rsidP="00023311">
            <w:pPr>
              <w:spacing w:after="240" w:line="360" w:lineRule="auto"/>
              <w:rPr>
                <w:rFonts w:asciiTheme="majorBidi" w:hAnsiTheme="majorBidi" w:cstheme="majorBidi"/>
                <w:lang w:val="fr-FR"/>
              </w:rPr>
            </w:pPr>
          </w:p>
        </w:tc>
        <w:tc>
          <w:tcPr>
            <w:tcW w:w="91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1.1597</w:t>
            </w:r>
          </w:p>
          <w:p w:rsidR="00E772DD" w:rsidRPr="008764AA" w:rsidRDefault="00E772DD" w:rsidP="00023311">
            <w:pPr>
              <w:spacing w:after="240" w:line="360" w:lineRule="auto"/>
              <w:rPr>
                <w:rFonts w:asciiTheme="majorBidi" w:hAnsiTheme="majorBidi" w:cstheme="majorBidi"/>
                <w:lang w:val="fr-FR"/>
              </w:rPr>
            </w:pPr>
          </w:p>
        </w:tc>
        <w:tc>
          <w:tcPr>
            <w:tcW w:w="135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41.664</w:t>
            </w:r>
          </w:p>
          <w:p w:rsidR="00E772DD" w:rsidRPr="008764AA" w:rsidRDefault="00E772DD" w:rsidP="00023311">
            <w:pPr>
              <w:spacing w:after="240" w:line="360" w:lineRule="auto"/>
              <w:rPr>
                <w:rFonts w:asciiTheme="majorBidi" w:hAnsiTheme="majorBidi" w:cstheme="majorBidi"/>
                <w:lang w:val="fr-FR"/>
              </w:rPr>
            </w:pPr>
          </w:p>
        </w:tc>
        <w:tc>
          <w:tcPr>
            <w:tcW w:w="601"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690"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6</w:t>
            </w:r>
          </w:p>
        </w:tc>
        <w:tc>
          <w:tcPr>
            <w:tcW w:w="114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D'accord</w:t>
            </w:r>
          </w:p>
        </w:tc>
      </w:tr>
      <w:tr w:rsidR="00E772DD" w:rsidRPr="008764AA" w:rsidTr="00AE378F">
        <w:tc>
          <w:tcPr>
            <w:tcW w:w="618" w:type="dxa"/>
            <w:shd w:val="clear" w:color="auto" w:fill="D8DCD1"/>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7</w:t>
            </w:r>
          </w:p>
        </w:tc>
        <w:tc>
          <w:tcPr>
            <w:tcW w:w="1579"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L'entreprise favorise l'utilisation mobile des outils RH.</w:t>
            </w:r>
          </w:p>
        </w:tc>
        <w:tc>
          <w:tcPr>
            <w:tcW w:w="109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3.6647 </w:t>
            </w:r>
          </w:p>
          <w:p w:rsidR="00E772DD" w:rsidRPr="008764AA" w:rsidRDefault="00E772DD" w:rsidP="00023311">
            <w:pPr>
              <w:spacing w:after="240" w:line="360" w:lineRule="auto"/>
              <w:rPr>
                <w:rFonts w:asciiTheme="majorBidi" w:hAnsiTheme="majorBidi" w:cstheme="majorBidi"/>
                <w:lang w:val="fr-FR"/>
              </w:rPr>
            </w:pPr>
          </w:p>
        </w:tc>
        <w:tc>
          <w:tcPr>
            <w:tcW w:w="91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1.1302</w:t>
            </w:r>
          </w:p>
          <w:p w:rsidR="00E772DD" w:rsidRPr="008764AA" w:rsidRDefault="00E772DD" w:rsidP="00023311">
            <w:pPr>
              <w:spacing w:after="240" w:line="360" w:lineRule="auto"/>
              <w:rPr>
                <w:rFonts w:asciiTheme="majorBidi" w:hAnsiTheme="majorBidi" w:cstheme="majorBidi"/>
                <w:lang w:val="fr-FR"/>
              </w:rPr>
            </w:pPr>
          </w:p>
        </w:tc>
        <w:tc>
          <w:tcPr>
            <w:tcW w:w="135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42.276</w:t>
            </w:r>
          </w:p>
          <w:p w:rsidR="00E772DD" w:rsidRPr="008764AA" w:rsidRDefault="00E772DD" w:rsidP="00023311">
            <w:pPr>
              <w:spacing w:after="240" w:line="360" w:lineRule="auto"/>
              <w:rPr>
                <w:rFonts w:asciiTheme="majorBidi" w:hAnsiTheme="majorBidi" w:cstheme="majorBidi"/>
                <w:lang w:val="fr-FR"/>
              </w:rPr>
            </w:pPr>
          </w:p>
        </w:tc>
        <w:tc>
          <w:tcPr>
            <w:tcW w:w="601"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690"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7</w:t>
            </w:r>
          </w:p>
        </w:tc>
        <w:tc>
          <w:tcPr>
            <w:tcW w:w="114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D'accord</w:t>
            </w:r>
          </w:p>
        </w:tc>
      </w:tr>
      <w:tr w:rsidR="00E772DD" w:rsidRPr="008764AA" w:rsidTr="000F4CA3">
        <w:tc>
          <w:tcPr>
            <w:tcW w:w="618" w:type="dxa"/>
          </w:tcPr>
          <w:p w:rsidR="00E772DD" w:rsidRPr="008764AA" w:rsidRDefault="00E772DD" w:rsidP="00023311">
            <w:pPr>
              <w:spacing w:after="240" w:line="360" w:lineRule="auto"/>
              <w:rPr>
                <w:rFonts w:asciiTheme="majorBidi" w:hAnsiTheme="majorBidi" w:cstheme="majorBidi"/>
                <w:lang w:val="fr-FR"/>
              </w:rPr>
            </w:pPr>
          </w:p>
        </w:tc>
        <w:tc>
          <w:tcPr>
            <w:tcW w:w="157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 xml:space="preserve">Total </w:t>
            </w:r>
            <w:r w:rsidRPr="008764AA">
              <w:rPr>
                <w:rFonts w:asciiTheme="majorBidi" w:hAnsiTheme="majorBidi" w:cstheme="majorBidi"/>
                <w:color w:val="000000"/>
                <w:lang w:val="fr-FR"/>
              </w:rPr>
              <w:t>Accessibilité numérique</w:t>
            </w:r>
          </w:p>
        </w:tc>
        <w:tc>
          <w:tcPr>
            <w:tcW w:w="1096" w:type="dxa"/>
          </w:tcPr>
          <w:p w:rsidR="00E772DD" w:rsidRPr="008764AA" w:rsidRDefault="00E772DD" w:rsidP="00023311">
            <w:pPr>
              <w:rPr>
                <w:rFonts w:asciiTheme="majorBidi" w:hAnsiTheme="majorBidi" w:cstheme="majorBidi"/>
                <w:color w:val="000000"/>
                <w:lang w:val="fr-FR"/>
              </w:rPr>
            </w:pPr>
            <w:r w:rsidRPr="008764AA">
              <w:rPr>
                <w:rFonts w:asciiTheme="majorBidi" w:hAnsiTheme="majorBidi" w:cstheme="majorBidi"/>
                <w:color w:val="000000"/>
                <w:lang w:val="fr-FR"/>
              </w:rPr>
              <w:t>3.965</w:t>
            </w:r>
          </w:p>
          <w:p w:rsidR="00E772DD" w:rsidRPr="008764AA" w:rsidRDefault="00E772DD" w:rsidP="00023311">
            <w:pPr>
              <w:spacing w:after="240" w:line="360" w:lineRule="auto"/>
              <w:rPr>
                <w:rFonts w:asciiTheme="majorBidi" w:hAnsiTheme="majorBidi" w:cstheme="majorBidi"/>
                <w:lang w:val="fr-FR"/>
              </w:rPr>
            </w:pPr>
          </w:p>
        </w:tc>
        <w:tc>
          <w:tcPr>
            <w:tcW w:w="918" w:type="dxa"/>
          </w:tcPr>
          <w:p w:rsidR="00E772DD" w:rsidRPr="008764AA" w:rsidRDefault="00E772DD" w:rsidP="00023311">
            <w:pPr>
              <w:rPr>
                <w:rFonts w:asciiTheme="majorBidi" w:hAnsiTheme="majorBidi" w:cstheme="majorBidi"/>
                <w:color w:val="000000"/>
                <w:lang w:val="fr-FR"/>
              </w:rPr>
            </w:pPr>
            <w:r w:rsidRPr="008764AA">
              <w:rPr>
                <w:rFonts w:asciiTheme="majorBidi" w:hAnsiTheme="majorBidi" w:cstheme="majorBidi"/>
                <w:color w:val="000000"/>
                <w:lang w:val="fr-FR"/>
              </w:rPr>
              <w:t>1.201</w:t>
            </w:r>
          </w:p>
          <w:p w:rsidR="00E772DD" w:rsidRPr="008764AA" w:rsidRDefault="00E772DD" w:rsidP="00023311">
            <w:pPr>
              <w:spacing w:after="240" w:line="360" w:lineRule="auto"/>
              <w:rPr>
                <w:rFonts w:asciiTheme="majorBidi" w:hAnsiTheme="majorBidi" w:cstheme="majorBidi"/>
                <w:lang w:val="fr-FR"/>
              </w:rPr>
            </w:pPr>
          </w:p>
        </w:tc>
        <w:tc>
          <w:tcPr>
            <w:tcW w:w="1356" w:type="dxa"/>
          </w:tcPr>
          <w:p w:rsidR="00E772DD" w:rsidRPr="008764AA" w:rsidRDefault="00E772DD" w:rsidP="00023311">
            <w:pPr>
              <w:rPr>
                <w:rFonts w:asciiTheme="majorBidi" w:hAnsiTheme="majorBidi" w:cstheme="majorBidi"/>
                <w:color w:val="000000"/>
                <w:lang w:val="fr-FR"/>
              </w:rPr>
            </w:pPr>
            <w:r w:rsidRPr="008764AA">
              <w:rPr>
                <w:rFonts w:asciiTheme="majorBidi" w:hAnsiTheme="majorBidi" w:cstheme="majorBidi"/>
                <w:color w:val="000000"/>
                <w:lang w:val="fr-FR"/>
              </w:rPr>
              <w:t>43.306</w:t>
            </w:r>
          </w:p>
          <w:p w:rsidR="00E772DD" w:rsidRPr="008764AA" w:rsidRDefault="00E772DD" w:rsidP="00023311">
            <w:pPr>
              <w:spacing w:after="240" w:line="360" w:lineRule="auto"/>
              <w:rPr>
                <w:rFonts w:asciiTheme="majorBidi" w:hAnsiTheme="majorBidi" w:cstheme="majorBidi"/>
                <w:lang w:val="fr-FR"/>
              </w:rPr>
            </w:pPr>
          </w:p>
        </w:tc>
        <w:tc>
          <w:tcPr>
            <w:tcW w:w="601"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690"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.000</w:t>
            </w:r>
          </w:p>
        </w:tc>
        <w:tc>
          <w:tcPr>
            <w:tcW w:w="1009" w:type="dxa"/>
          </w:tcPr>
          <w:p w:rsidR="00E772DD" w:rsidRPr="008764AA" w:rsidRDefault="00E772DD" w:rsidP="00023311">
            <w:pPr>
              <w:spacing w:after="240" w:line="360" w:lineRule="auto"/>
              <w:rPr>
                <w:rFonts w:asciiTheme="majorBidi" w:hAnsiTheme="majorBidi" w:cstheme="majorBidi"/>
                <w:lang w:val="fr-FR"/>
              </w:rPr>
            </w:pPr>
          </w:p>
        </w:tc>
        <w:tc>
          <w:tcPr>
            <w:tcW w:w="1149" w:type="dxa"/>
          </w:tcPr>
          <w:p w:rsidR="00E772DD" w:rsidRPr="008764AA" w:rsidRDefault="00E772DD" w:rsidP="00023311">
            <w:pPr>
              <w:spacing w:after="240" w:line="360" w:lineRule="auto"/>
              <w:rPr>
                <w:rFonts w:asciiTheme="majorBidi" w:hAnsiTheme="majorBidi" w:cstheme="majorBidi"/>
                <w:lang w:val="fr-FR"/>
              </w:rPr>
            </w:pPr>
            <w:r w:rsidRPr="008764AA">
              <w:rPr>
                <w:rFonts w:asciiTheme="majorBidi" w:hAnsiTheme="majorBidi" w:cstheme="majorBidi"/>
                <w:lang w:val="fr-FR"/>
              </w:rPr>
              <w:t>D'accord</w:t>
            </w:r>
          </w:p>
        </w:tc>
      </w:tr>
    </w:tbl>
    <w:p w:rsidR="00E772DD" w:rsidRPr="008764AA" w:rsidRDefault="00E772DD" w:rsidP="000F4CA3">
      <w:pPr>
        <w:spacing w:line="360" w:lineRule="auto"/>
        <w:jc w:val="center"/>
        <w:rPr>
          <w:rFonts w:asciiTheme="majorBidi" w:hAnsiTheme="majorBidi" w:cstheme="majorBidi"/>
          <w:color w:val="0C0C0C"/>
          <w:lang w:val="fr-FR"/>
        </w:rPr>
      </w:pPr>
      <w:r>
        <w:rPr>
          <w:rFonts w:asciiTheme="majorBidi" w:hAnsiTheme="majorBidi" w:cstheme="majorBidi"/>
          <w:b/>
          <w:bCs/>
          <w:color w:val="0C0C0C"/>
          <w:lang w:val="fr-FR"/>
        </w:rPr>
        <w:lastRenderedPageBreak/>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E772DD" w:rsidRPr="008764AA" w:rsidRDefault="00E772DD" w:rsidP="004D32AC">
      <w:pPr>
        <w:pStyle w:val="Paragraphedeliste"/>
        <w:numPr>
          <w:ilvl w:val="0"/>
          <w:numId w:val="140"/>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L’affirmation numéro 3 arrive en première position avec une valeur t de 52</w:t>
      </w:r>
      <w:r>
        <w:rPr>
          <w:rFonts w:asciiTheme="majorBidi" w:hAnsiTheme="majorBidi" w:cstheme="majorBidi"/>
        </w:rPr>
        <w:t>,</w:t>
      </w:r>
      <w:r w:rsidRPr="008764AA">
        <w:rPr>
          <w:rFonts w:asciiTheme="majorBidi" w:hAnsiTheme="majorBidi" w:cstheme="majorBidi"/>
        </w:rPr>
        <w:t xml:space="preserve">323, bien supérieure à la valeur critique de </w:t>
      </w:r>
      <w:r>
        <w:rPr>
          <w:rFonts w:asciiTheme="majorBidi" w:hAnsiTheme="majorBidi" w:cstheme="majorBidi"/>
        </w:rPr>
        <w:t>1,974</w:t>
      </w:r>
      <w:r w:rsidRPr="008764AA">
        <w:rPr>
          <w:rFonts w:asciiTheme="majorBidi" w:hAnsiTheme="majorBidi" w:cstheme="majorBidi"/>
        </w:rPr>
        <w:t xml:space="preserve"> et un niveau de signification de 0,000. Les répondants s’accordent très fortement à dire que les collaborateurs peuvent accéder facilement aux informations RH.</w:t>
      </w:r>
    </w:p>
    <w:p w:rsidR="00E772DD" w:rsidRPr="00E025A3" w:rsidRDefault="00E772DD" w:rsidP="004D32AC">
      <w:pPr>
        <w:pStyle w:val="Paragraphedeliste"/>
        <w:numPr>
          <w:ilvl w:val="0"/>
          <w:numId w:val="140"/>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 deuxième position figure l’affirmation numéro 4, avec une valeur t de 47</w:t>
      </w:r>
      <w:r>
        <w:rPr>
          <w:rFonts w:asciiTheme="majorBidi" w:hAnsiTheme="majorBidi" w:cstheme="majorBidi"/>
        </w:rPr>
        <w:t>,</w:t>
      </w:r>
      <w:r w:rsidRPr="00E025A3">
        <w:rPr>
          <w:rFonts w:asciiTheme="majorBidi" w:hAnsiTheme="majorBidi" w:cstheme="majorBidi"/>
        </w:rPr>
        <w:t>454 et un niveau de signification de 0,000. Les participants indiquent que l’accès aux outils digitaux est généralement simple et rapide.</w:t>
      </w:r>
    </w:p>
    <w:p w:rsidR="00E772DD" w:rsidRPr="008764AA" w:rsidRDefault="00E772DD" w:rsidP="004D32AC">
      <w:pPr>
        <w:pStyle w:val="Paragraphedeliste"/>
        <w:numPr>
          <w:ilvl w:val="0"/>
          <w:numId w:val="140"/>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L’affirmation numéro 5 occupe la troisième position. Elle affiche une valeur t de 39</w:t>
      </w:r>
      <w:r>
        <w:rPr>
          <w:rFonts w:asciiTheme="majorBidi" w:hAnsiTheme="majorBidi" w:cstheme="majorBidi"/>
        </w:rPr>
        <w:t>,</w:t>
      </w:r>
      <w:r w:rsidRPr="008764AA">
        <w:rPr>
          <w:rFonts w:asciiTheme="majorBidi" w:hAnsiTheme="majorBidi" w:cstheme="majorBidi"/>
        </w:rPr>
        <w:t>640, largement supérieure au seuil critique. Les répondants expriment clairement que l’accessibilité numérique améliore la réactivité des services RH.</w:t>
      </w:r>
    </w:p>
    <w:p w:rsidR="00E772DD" w:rsidRPr="008764AA" w:rsidRDefault="00E772DD" w:rsidP="004D32AC">
      <w:pPr>
        <w:pStyle w:val="Paragraphedeliste"/>
        <w:numPr>
          <w:ilvl w:val="0"/>
          <w:numId w:val="140"/>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 quatrième position, on retrouve l’affirmation numéro 2 avec une valeur t de 39</w:t>
      </w:r>
      <w:r>
        <w:rPr>
          <w:rFonts w:asciiTheme="majorBidi" w:hAnsiTheme="majorBidi" w:cstheme="majorBidi"/>
        </w:rPr>
        <w:t>,</w:t>
      </w:r>
      <w:r w:rsidRPr="008764AA">
        <w:rPr>
          <w:rFonts w:asciiTheme="majorBidi" w:hAnsiTheme="majorBidi" w:cstheme="majorBidi"/>
        </w:rPr>
        <w:t>768. Cela montre que les plateformes RH sont compatibles avec plusieurs appareils.</w:t>
      </w:r>
    </w:p>
    <w:p w:rsidR="00E772DD" w:rsidRPr="008764AA" w:rsidRDefault="00E772DD" w:rsidP="004D32AC">
      <w:pPr>
        <w:pStyle w:val="Paragraphedeliste"/>
        <w:numPr>
          <w:ilvl w:val="0"/>
          <w:numId w:val="140"/>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L’affirmation numéro 1 se classe en cinquième position, avec une valeur t de 40</w:t>
      </w:r>
      <w:r>
        <w:rPr>
          <w:rFonts w:asciiTheme="majorBidi" w:hAnsiTheme="majorBidi" w:cstheme="majorBidi"/>
        </w:rPr>
        <w:t>,</w:t>
      </w:r>
      <w:r w:rsidRPr="008764AA">
        <w:rPr>
          <w:rFonts w:asciiTheme="majorBidi" w:hAnsiTheme="majorBidi" w:cstheme="majorBidi"/>
        </w:rPr>
        <w:t>104. Les répondants confirment que les outils RH sont toujours accessibles à distance pour les employés.</w:t>
      </w:r>
    </w:p>
    <w:p w:rsidR="00E772DD" w:rsidRPr="008764AA" w:rsidRDefault="00E772DD" w:rsidP="004D32AC">
      <w:pPr>
        <w:pStyle w:val="Paragraphedeliste"/>
        <w:numPr>
          <w:ilvl w:val="0"/>
          <w:numId w:val="140"/>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 sixième position, on retrouve l’affirmation numéro 6, avec une valeur t de 41</w:t>
      </w:r>
      <w:r>
        <w:rPr>
          <w:rFonts w:asciiTheme="majorBidi" w:hAnsiTheme="majorBidi" w:cstheme="majorBidi"/>
        </w:rPr>
        <w:t>,</w:t>
      </w:r>
      <w:r w:rsidRPr="008764AA">
        <w:rPr>
          <w:rFonts w:asciiTheme="majorBidi" w:hAnsiTheme="majorBidi" w:cstheme="majorBidi"/>
        </w:rPr>
        <w:t>644. Elle reflète l’opinion selon laquelle les formations en ligne sont facilement accessibles pour tous les salariés.</w:t>
      </w:r>
    </w:p>
    <w:p w:rsidR="00E772DD" w:rsidRPr="008764AA" w:rsidRDefault="00E772DD" w:rsidP="004D32AC">
      <w:pPr>
        <w:pStyle w:val="Paragraphedeliste"/>
        <w:numPr>
          <w:ilvl w:val="0"/>
          <w:numId w:val="140"/>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Enfin, l’affirmation numéro 7 occupe la septième place avec une valeur t de 42</w:t>
      </w:r>
      <w:r>
        <w:rPr>
          <w:rFonts w:asciiTheme="majorBidi" w:hAnsiTheme="majorBidi" w:cstheme="majorBidi"/>
        </w:rPr>
        <w:t>,</w:t>
      </w:r>
      <w:r w:rsidRPr="008764AA">
        <w:rPr>
          <w:rFonts w:asciiTheme="majorBidi" w:hAnsiTheme="majorBidi" w:cstheme="majorBidi"/>
        </w:rPr>
        <w:t>276. Bien qu’elle reste significative, cette affirmation est légèrement moins soutenue que les autres. Elle indique que l’entreprise favorise l’utilisation mobile des outils RH.</w:t>
      </w:r>
    </w:p>
    <w:p w:rsidR="00E772DD" w:rsidRPr="008764AA" w:rsidRDefault="00E772DD" w:rsidP="00A95EDB">
      <w:pPr>
        <w:spacing w:after="240" w:line="360" w:lineRule="auto"/>
        <w:jc w:val="both"/>
        <w:rPr>
          <w:lang w:val="fr-FR"/>
        </w:rPr>
      </w:pPr>
      <w:r w:rsidRPr="008764AA">
        <w:rPr>
          <w:color w:val="000000"/>
          <w:lang w:val="fr-FR"/>
        </w:rPr>
        <w:t>Dans l’ensemble, les participants se montrent d’accord sur le fait que l’accessibilité numérique facilite les usages RH, avec une moyenne générale de 3,965 et un écart-type de 1,201. La valeur t obtenue (43,306) est largement supérieure à la valeur t critique (</w:t>
      </w:r>
      <w:r>
        <w:rPr>
          <w:color w:val="000000"/>
          <w:lang w:val="fr-FR"/>
        </w:rPr>
        <w:t>1,974</w:t>
      </w:r>
      <w:r w:rsidRPr="008764AA">
        <w:rPr>
          <w:color w:val="000000"/>
          <w:lang w:val="fr-FR"/>
        </w:rPr>
        <w:t>), avec un seuil de signification de 0,000, bien inférieur à 0,05. Ces résultats traduisent une perception globalement positive de l’accessibilité numérique au sein des services RH.</w:t>
      </w:r>
    </w:p>
    <w:p w:rsidR="00E772DD" w:rsidRPr="00A53242" w:rsidRDefault="00A53242" w:rsidP="004D32AC">
      <w:pPr>
        <w:pStyle w:val="Titre3"/>
        <w:numPr>
          <w:ilvl w:val="1"/>
          <w:numId w:val="175"/>
        </w:numPr>
        <w:spacing w:after="0" w:afterAutospacing="0" w:line="360" w:lineRule="auto"/>
        <w:rPr>
          <w:sz w:val="24"/>
          <w:szCs w:val="24"/>
          <w:lang w:val="fr-FR"/>
        </w:rPr>
      </w:pPr>
      <w:r>
        <w:rPr>
          <w:sz w:val="24"/>
          <w:szCs w:val="24"/>
          <w:lang w:val="fr-FR"/>
        </w:rPr>
        <w:t xml:space="preserve"> </w:t>
      </w:r>
      <w:bookmarkStart w:id="2328" w:name="_Toc199714579"/>
      <w:bookmarkStart w:id="2329" w:name="_Toc200486855"/>
      <w:bookmarkStart w:id="2330" w:name="_Toc200635633"/>
      <w:bookmarkStart w:id="2331" w:name="_Toc200636021"/>
      <w:bookmarkStart w:id="2332" w:name="_Toc200636410"/>
      <w:bookmarkStart w:id="2333" w:name="_Toc200756151"/>
      <w:r w:rsidR="00E772DD" w:rsidRPr="00A53242">
        <w:rPr>
          <w:sz w:val="24"/>
          <w:szCs w:val="24"/>
          <w:lang w:val="fr-FR"/>
        </w:rPr>
        <w:t>Analyse des résultats de l’axe “Processus de recrutement digitalisé”</w:t>
      </w:r>
      <w:bookmarkEnd w:id="2328"/>
      <w:bookmarkEnd w:id="2329"/>
      <w:bookmarkEnd w:id="2330"/>
      <w:bookmarkEnd w:id="2331"/>
      <w:bookmarkEnd w:id="2332"/>
      <w:bookmarkEnd w:id="2333"/>
    </w:p>
    <w:p w:rsidR="0091753F" w:rsidRDefault="0091753F" w:rsidP="000E60F2">
      <w:pPr>
        <w:spacing w:line="360" w:lineRule="auto"/>
        <w:jc w:val="center"/>
        <w:rPr>
          <w:b/>
          <w:bCs/>
          <w:color w:val="000000"/>
          <w:lang w:val="fr-FR"/>
        </w:rPr>
      </w:pPr>
    </w:p>
    <w:p w:rsidR="0091753F" w:rsidRDefault="0091753F" w:rsidP="000E60F2">
      <w:pPr>
        <w:spacing w:line="360" w:lineRule="auto"/>
        <w:jc w:val="center"/>
        <w:rPr>
          <w:b/>
          <w:bCs/>
          <w:color w:val="000000"/>
          <w:lang w:val="fr-FR"/>
        </w:rPr>
      </w:pPr>
    </w:p>
    <w:p w:rsidR="0091753F" w:rsidRDefault="0091753F" w:rsidP="000E60F2">
      <w:pPr>
        <w:spacing w:line="360" w:lineRule="auto"/>
        <w:jc w:val="center"/>
        <w:rPr>
          <w:b/>
          <w:bCs/>
          <w:color w:val="000000"/>
          <w:lang w:val="fr-FR"/>
        </w:rPr>
      </w:pPr>
    </w:p>
    <w:p w:rsidR="0091753F" w:rsidRDefault="0091753F" w:rsidP="000E60F2">
      <w:pPr>
        <w:spacing w:line="360" w:lineRule="auto"/>
        <w:jc w:val="center"/>
        <w:rPr>
          <w:b/>
          <w:bCs/>
          <w:color w:val="000000"/>
          <w:lang w:val="fr-FR"/>
        </w:rPr>
      </w:pPr>
    </w:p>
    <w:p w:rsidR="0091753F" w:rsidRDefault="0091753F" w:rsidP="000E60F2">
      <w:pPr>
        <w:spacing w:line="360" w:lineRule="auto"/>
        <w:jc w:val="center"/>
        <w:rPr>
          <w:b/>
          <w:bCs/>
          <w:color w:val="000000"/>
          <w:lang w:val="fr-FR"/>
        </w:rPr>
      </w:pPr>
    </w:p>
    <w:p w:rsidR="00E772DD" w:rsidRPr="00746B9C" w:rsidRDefault="00E772DD" w:rsidP="000E60F2">
      <w:pPr>
        <w:spacing w:line="360" w:lineRule="auto"/>
        <w:jc w:val="center"/>
        <w:rPr>
          <w:color w:val="000000"/>
          <w:lang w:val="fr-FR"/>
        </w:rPr>
      </w:pPr>
      <w:r w:rsidRPr="008764AA">
        <w:rPr>
          <w:b/>
          <w:bCs/>
          <w:color w:val="000000"/>
          <w:lang w:val="fr-FR"/>
        </w:rPr>
        <w:lastRenderedPageBreak/>
        <w:t>Tableau</w:t>
      </w:r>
      <w:r>
        <w:rPr>
          <w:b/>
          <w:bCs/>
          <w:color w:val="000000"/>
          <w:lang w:val="fr-FR"/>
        </w:rPr>
        <w:t xml:space="preserve"> N°36</w:t>
      </w:r>
      <w:r w:rsidRPr="008764AA">
        <w:rPr>
          <w:b/>
          <w:bCs/>
          <w:color w:val="000000"/>
          <w:lang w:val="fr-FR"/>
        </w:rPr>
        <w:t xml:space="preserve"> : </w:t>
      </w:r>
      <w:r w:rsidRPr="00746B9C">
        <w:rPr>
          <w:color w:val="000000"/>
          <w:lang w:val="fr-FR"/>
        </w:rPr>
        <w:t>Test T de l’axe “</w:t>
      </w:r>
      <w:r w:rsidRPr="00746B9C">
        <w:rPr>
          <w:rFonts w:asciiTheme="majorBidi" w:hAnsiTheme="majorBidi" w:cstheme="majorBidi"/>
          <w:color w:val="000000"/>
          <w:lang w:val="fr-FR"/>
        </w:rPr>
        <w:t>Processus de recrutement digitalisé</w:t>
      </w:r>
      <w:r w:rsidRPr="00746B9C">
        <w:rPr>
          <w:color w:val="000000"/>
          <w:lang w:val="fr-FR"/>
        </w:rPr>
        <w:t>”</w:t>
      </w:r>
    </w:p>
    <w:tbl>
      <w:tblPr>
        <w:tblStyle w:val="Grilledutableau"/>
        <w:tblW w:w="9351" w:type="dxa"/>
        <w:tblLayout w:type="fixed"/>
        <w:tblLook w:val="04A0" w:firstRow="1" w:lastRow="0" w:firstColumn="1" w:lastColumn="0" w:noHBand="0" w:noVBand="1"/>
      </w:tblPr>
      <w:tblGrid>
        <w:gridCol w:w="562"/>
        <w:gridCol w:w="1701"/>
        <w:gridCol w:w="938"/>
        <w:gridCol w:w="1288"/>
        <w:gridCol w:w="1288"/>
        <w:gridCol w:w="597"/>
        <w:gridCol w:w="709"/>
        <w:gridCol w:w="992"/>
        <w:gridCol w:w="1276"/>
      </w:tblGrid>
      <w:tr w:rsidR="00E772DD" w:rsidRPr="008764AA" w:rsidTr="00AE378F">
        <w:tc>
          <w:tcPr>
            <w:tcW w:w="562"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N°</w:t>
            </w:r>
          </w:p>
        </w:tc>
        <w:tc>
          <w:tcPr>
            <w:tcW w:w="1701"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Intitulé de</w:t>
            </w:r>
          </w:p>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la question</w:t>
            </w:r>
          </w:p>
        </w:tc>
        <w:tc>
          <w:tcPr>
            <w:tcW w:w="938"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La</w:t>
            </w:r>
          </w:p>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moyenne</w:t>
            </w:r>
          </w:p>
        </w:tc>
        <w:tc>
          <w:tcPr>
            <w:tcW w:w="1288"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L’écart</w:t>
            </w:r>
          </w:p>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-type</w:t>
            </w:r>
          </w:p>
        </w:tc>
        <w:tc>
          <w:tcPr>
            <w:tcW w:w="1288"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Test T</w:t>
            </w:r>
          </w:p>
        </w:tc>
        <w:tc>
          <w:tcPr>
            <w:tcW w:w="597"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Ddl</w:t>
            </w:r>
          </w:p>
        </w:tc>
        <w:tc>
          <w:tcPr>
            <w:tcW w:w="709" w:type="dxa"/>
            <w:shd w:val="clear" w:color="auto" w:fill="D8DCD1"/>
          </w:tcPr>
          <w:p w:rsidR="00E772DD" w:rsidRPr="008764AA" w:rsidRDefault="00E772DD" w:rsidP="00023311">
            <w:pPr>
              <w:spacing w:after="240"/>
              <w:rPr>
                <w:rFonts w:asciiTheme="majorBidi" w:hAnsiTheme="majorBidi" w:cstheme="majorBidi"/>
                <w:lang w:val="fr-FR"/>
              </w:rPr>
            </w:pPr>
            <w:proofErr w:type="spellStart"/>
            <w:r w:rsidRPr="008764AA">
              <w:rPr>
                <w:rFonts w:asciiTheme="majorBidi" w:hAnsiTheme="majorBidi" w:cstheme="majorBidi"/>
                <w:lang w:val="fr-FR"/>
              </w:rPr>
              <w:t>Sig</w:t>
            </w:r>
            <w:proofErr w:type="spellEnd"/>
            <w:r w:rsidRPr="008764AA">
              <w:rPr>
                <w:rFonts w:asciiTheme="majorBidi" w:hAnsiTheme="majorBidi" w:cstheme="majorBidi"/>
                <w:lang w:val="fr-FR"/>
              </w:rPr>
              <w:t>.</w:t>
            </w:r>
            <w:r w:rsidRPr="008764AA">
              <w:rPr>
                <w:rStyle w:val="apple-converted-space"/>
                <w:rFonts w:asciiTheme="majorBidi" w:hAnsiTheme="majorBidi" w:cstheme="majorBidi"/>
                <w:lang w:val="fr-FR"/>
              </w:rPr>
              <w:t> </w:t>
            </w:r>
          </w:p>
        </w:tc>
        <w:tc>
          <w:tcPr>
            <w:tcW w:w="992"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L’ordre</w:t>
            </w:r>
            <w:r w:rsidRPr="008764AA">
              <w:rPr>
                <w:rStyle w:val="apple-converted-space"/>
                <w:rFonts w:asciiTheme="majorBidi" w:hAnsiTheme="majorBidi" w:cstheme="majorBidi"/>
                <w:sz w:val="24"/>
                <w:szCs w:val="24"/>
              </w:rPr>
              <w:t> </w:t>
            </w:r>
          </w:p>
        </w:tc>
        <w:tc>
          <w:tcPr>
            <w:tcW w:w="1276" w:type="dxa"/>
            <w:shd w:val="clear" w:color="auto" w:fill="D8DCD1"/>
          </w:tcPr>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Tendance</w:t>
            </w:r>
          </w:p>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de la</w:t>
            </w:r>
          </w:p>
          <w:p w:rsidR="00E772DD" w:rsidRPr="008764AA" w:rsidRDefault="00E772DD" w:rsidP="00023311">
            <w:pPr>
              <w:pStyle w:val="p1"/>
              <w:rPr>
                <w:rFonts w:asciiTheme="majorBidi" w:hAnsiTheme="majorBidi" w:cstheme="majorBidi"/>
                <w:sz w:val="24"/>
                <w:szCs w:val="24"/>
              </w:rPr>
            </w:pPr>
            <w:r w:rsidRPr="008764AA">
              <w:rPr>
                <w:rFonts w:asciiTheme="majorBidi" w:hAnsiTheme="majorBidi" w:cstheme="majorBidi"/>
                <w:sz w:val="24"/>
                <w:szCs w:val="24"/>
              </w:rPr>
              <w:t>réponse</w:t>
            </w:r>
          </w:p>
        </w:tc>
      </w:tr>
      <w:tr w:rsidR="00E772DD" w:rsidRPr="008764AA" w:rsidTr="00AE378F">
        <w:tc>
          <w:tcPr>
            <w:tcW w:w="562"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1</w:t>
            </w:r>
          </w:p>
        </w:tc>
        <w:tc>
          <w:tcPr>
            <w:tcW w:w="1701"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offres d'emploi sont principalement publiées en ligne.</w:t>
            </w:r>
          </w:p>
        </w:tc>
        <w:tc>
          <w:tcPr>
            <w:tcW w:w="93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3.7471 </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1.1870</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41.158</w:t>
            </w:r>
          </w:p>
        </w:tc>
        <w:tc>
          <w:tcPr>
            <w:tcW w:w="597"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70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992"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4</w:t>
            </w:r>
          </w:p>
        </w:tc>
        <w:tc>
          <w:tcPr>
            <w:tcW w:w="1276"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2"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2</w:t>
            </w:r>
          </w:p>
        </w:tc>
        <w:tc>
          <w:tcPr>
            <w:tcW w:w="1701" w:type="dxa"/>
          </w:tcPr>
          <w:p w:rsidR="00E772DD" w:rsidRPr="008764AA" w:rsidRDefault="00E772DD" w:rsidP="00023311">
            <w:pPr>
              <w:autoSpaceDE w:val="0"/>
              <w:autoSpaceDN w:val="0"/>
              <w:adjustRightInd w:val="0"/>
              <w:rPr>
                <w:rFonts w:asciiTheme="majorBidi" w:eastAsiaTheme="minorHAnsi" w:hAnsiTheme="majorBidi" w:cstheme="majorBidi"/>
                <w:lang w:val="fr-FR"/>
                <w14:ligatures w14:val="standardContextual"/>
              </w:rPr>
            </w:pPr>
            <w:r w:rsidRPr="008764AA">
              <w:rPr>
                <w:rFonts w:asciiTheme="majorBidi" w:eastAsiaTheme="minorHAnsi" w:hAnsiTheme="majorBidi" w:cstheme="majorBidi"/>
                <w:lang w:val="fr-FR"/>
                <w14:ligatures w14:val="standardContextual"/>
              </w:rPr>
              <w:t>Les candidatures sont fréquemment reçues via des plateformes numériques.</w:t>
            </w:r>
          </w:p>
        </w:tc>
        <w:tc>
          <w:tcPr>
            <w:tcW w:w="93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3.5941 </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1.0742</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43.626</w:t>
            </w:r>
          </w:p>
        </w:tc>
        <w:tc>
          <w:tcPr>
            <w:tcW w:w="597"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70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992"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7</w:t>
            </w:r>
          </w:p>
        </w:tc>
        <w:tc>
          <w:tcPr>
            <w:tcW w:w="1276"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2"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3</w:t>
            </w:r>
          </w:p>
        </w:tc>
        <w:tc>
          <w:tcPr>
            <w:tcW w:w="1701"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entretiens en visioconférence sont souvent privilégiés.</w:t>
            </w:r>
          </w:p>
        </w:tc>
        <w:tc>
          <w:tcPr>
            <w:tcW w:w="93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3.8235 </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1.2325</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40.450</w:t>
            </w:r>
          </w:p>
        </w:tc>
        <w:tc>
          <w:tcPr>
            <w:tcW w:w="597"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70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992"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3</w:t>
            </w:r>
          </w:p>
        </w:tc>
        <w:tc>
          <w:tcPr>
            <w:tcW w:w="1276"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2"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4</w:t>
            </w:r>
          </w:p>
        </w:tc>
        <w:tc>
          <w:tcPr>
            <w:tcW w:w="1701"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 xml:space="preserve">Les réseaux sociaux professionnels sont largement utilisés pour le </w:t>
            </w:r>
            <w:proofErr w:type="spellStart"/>
            <w:r w:rsidRPr="008764AA">
              <w:rPr>
                <w:rFonts w:asciiTheme="majorBidi" w:eastAsiaTheme="minorHAnsi" w:hAnsiTheme="majorBidi" w:cstheme="majorBidi"/>
                <w:lang w:val="fr-FR"/>
                <w14:ligatures w14:val="standardContextual"/>
              </w:rPr>
              <w:t>sourcing</w:t>
            </w:r>
            <w:proofErr w:type="spellEnd"/>
            <w:r w:rsidRPr="008764AA">
              <w:rPr>
                <w:rFonts w:asciiTheme="majorBidi" w:eastAsiaTheme="minorHAnsi" w:hAnsiTheme="majorBidi" w:cstheme="majorBidi"/>
                <w:lang w:val="fr-FR"/>
                <w14:ligatures w14:val="standardContextual"/>
              </w:rPr>
              <w:t>.</w:t>
            </w:r>
          </w:p>
        </w:tc>
        <w:tc>
          <w:tcPr>
            <w:tcW w:w="93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3.6824</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1.1431</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42.000</w:t>
            </w:r>
          </w:p>
        </w:tc>
        <w:tc>
          <w:tcPr>
            <w:tcW w:w="597"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70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992"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5</w:t>
            </w:r>
          </w:p>
        </w:tc>
        <w:tc>
          <w:tcPr>
            <w:tcW w:w="1276"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2"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5</w:t>
            </w:r>
          </w:p>
        </w:tc>
        <w:tc>
          <w:tcPr>
            <w:tcW w:w="1701"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 processus de recrutement est globalement piloté numériquement.</w:t>
            </w:r>
          </w:p>
        </w:tc>
        <w:tc>
          <w:tcPr>
            <w:tcW w:w="93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3.9412</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1.2904</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39.822</w:t>
            </w:r>
          </w:p>
        </w:tc>
        <w:tc>
          <w:tcPr>
            <w:tcW w:w="597"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70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992"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2</w:t>
            </w:r>
          </w:p>
        </w:tc>
        <w:tc>
          <w:tcPr>
            <w:tcW w:w="1276"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2"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6</w:t>
            </w:r>
          </w:p>
        </w:tc>
        <w:tc>
          <w:tcPr>
            <w:tcW w:w="1701"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L’ERP est régulièrement utilisé pour faciliter le processus de recrutement.</w:t>
            </w:r>
          </w:p>
        </w:tc>
        <w:tc>
          <w:tcPr>
            <w:tcW w:w="93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4.1471</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1.3616</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39.711</w:t>
            </w:r>
          </w:p>
          <w:p w:rsidR="00E772DD" w:rsidRPr="008764AA" w:rsidRDefault="00E772DD" w:rsidP="00023311">
            <w:pPr>
              <w:spacing w:after="240"/>
              <w:rPr>
                <w:rFonts w:asciiTheme="majorBidi" w:hAnsiTheme="majorBidi" w:cstheme="majorBidi"/>
                <w:lang w:val="fr-FR"/>
              </w:rPr>
            </w:pPr>
          </w:p>
        </w:tc>
        <w:tc>
          <w:tcPr>
            <w:tcW w:w="597"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70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992"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w:t>
            </w:r>
          </w:p>
        </w:tc>
        <w:tc>
          <w:tcPr>
            <w:tcW w:w="1276"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Tout à fait d'accord </w:t>
            </w:r>
          </w:p>
          <w:p w:rsidR="00E772DD" w:rsidRPr="008764AA" w:rsidRDefault="00E772DD" w:rsidP="00023311">
            <w:pPr>
              <w:spacing w:after="240"/>
              <w:rPr>
                <w:rFonts w:asciiTheme="majorBidi" w:hAnsiTheme="majorBidi" w:cstheme="majorBidi"/>
                <w:lang w:val="fr-FR"/>
              </w:rPr>
            </w:pPr>
          </w:p>
        </w:tc>
      </w:tr>
      <w:tr w:rsidR="00E772DD" w:rsidRPr="008764AA" w:rsidTr="00AE378F">
        <w:tc>
          <w:tcPr>
            <w:tcW w:w="562" w:type="dxa"/>
            <w:shd w:val="clear" w:color="auto" w:fill="D8DCD1"/>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7</w:t>
            </w:r>
          </w:p>
        </w:tc>
        <w:tc>
          <w:tcPr>
            <w:tcW w:w="1701" w:type="dxa"/>
          </w:tcPr>
          <w:p w:rsidR="00E772DD" w:rsidRPr="008764AA" w:rsidRDefault="00E772DD" w:rsidP="00023311">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 xml:space="preserve">Le recrutement digital permet un meilleur </w:t>
            </w:r>
            <w:r w:rsidRPr="008764AA">
              <w:rPr>
                <w:rFonts w:asciiTheme="majorBidi" w:eastAsiaTheme="minorHAnsi" w:hAnsiTheme="majorBidi" w:cstheme="majorBidi"/>
                <w:lang w:val="fr-FR"/>
                <w14:ligatures w14:val="standardContextual"/>
              </w:rPr>
              <w:lastRenderedPageBreak/>
              <w:t>ciblage des profils.</w:t>
            </w:r>
          </w:p>
        </w:tc>
        <w:tc>
          <w:tcPr>
            <w:tcW w:w="93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lastRenderedPageBreak/>
              <w:t>3.6765</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1.1389</w:t>
            </w:r>
          </w:p>
          <w:p w:rsidR="00E772DD" w:rsidRPr="008764AA" w:rsidRDefault="00E772DD" w:rsidP="00023311">
            <w:pPr>
              <w:spacing w:after="240"/>
              <w:rPr>
                <w:rFonts w:asciiTheme="majorBidi" w:hAnsiTheme="majorBidi" w:cstheme="majorBidi"/>
                <w:lang w:val="fr-FR"/>
              </w:rPr>
            </w:pPr>
          </w:p>
        </w:tc>
        <w:tc>
          <w:tcPr>
            <w:tcW w:w="1288"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42.089</w:t>
            </w:r>
          </w:p>
        </w:tc>
        <w:tc>
          <w:tcPr>
            <w:tcW w:w="597"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70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992" w:type="dxa"/>
          </w:tcPr>
          <w:p w:rsidR="00E772DD" w:rsidRPr="008764AA" w:rsidRDefault="00E772DD" w:rsidP="00023311">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6</w:t>
            </w:r>
          </w:p>
        </w:tc>
        <w:tc>
          <w:tcPr>
            <w:tcW w:w="1276"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D'accord</w:t>
            </w:r>
          </w:p>
        </w:tc>
      </w:tr>
      <w:tr w:rsidR="00E772DD" w:rsidRPr="008764AA" w:rsidTr="00AE378F">
        <w:tc>
          <w:tcPr>
            <w:tcW w:w="562" w:type="dxa"/>
          </w:tcPr>
          <w:p w:rsidR="00E772DD" w:rsidRPr="008764AA" w:rsidRDefault="00E772DD" w:rsidP="00023311">
            <w:pPr>
              <w:spacing w:after="240"/>
              <w:rPr>
                <w:rFonts w:asciiTheme="majorBidi" w:hAnsiTheme="majorBidi" w:cstheme="majorBidi"/>
                <w:lang w:val="fr-FR"/>
              </w:rPr>
            </w:pPr>
          </w:p>
        </w:tc>
        <w:tc>
          <w:tcPr>
            <w:tcW w:w="1701" w:type="dxa"/>
          </w:tcPr>
          <w:p w:rsidR="00E772DD" w:rsidRPr="008764AA" w:rsidRDefault="00E772DD" w:rsidP="00023311">
            <w:pPr>
              <w:spacing w:after="240"/>
              <w:rPr>
                <w:rFonts w:asciiTheme="majorBidi" w:hAnsiTheme="majorBidi" w:cstheme="majorBidi"/>
                <w:lang w:val="fr-FR"/>
              </w:rPr>
            </w:pPr>
            <w:r w:rsidRPr="008764AA">
              <w:rPr>
                <w:rFonts w:asciiTheme="majorBidi" w:hAnsiTheme="majorBidi" w:cstheme="majorBidi"/>
                <w:lang w:val="fr-FR"/>
              </w:rPr>
              <w:t xml:space="preserve">Total </w:t>
            </w:r>
            <w:r w:rsidRPr="008764AA">
              <w:rPr>
                <w:rFonts w:asciiTheme="majorBidi" w:hAnsiTheme="majorBidi" w:cstheme="majorBidi"/>
                <w:color w:val="000000"/>
                <w:lang w:val="fr-FR"/>
              </w:rPr>
              <w:t>Processus de recrutement digitalisé</w:t>
            </w:r>
          </w:p>
        </w:tc>
        <w:tc>
          <w:tcPr>
            <w:tcW w:w="938" w:type="dxa"/>
          </w:tcPr>
          <w:p w:rsidR="00E772DD" w:rsidRPr="008764AA" w:rsidRDefault="00E772DD" w:rsidP="00023311">
            <w:pPr>
              <w:rPr>
                <w:rFonts w:asciiTheme="majorBidi" w:hAnsiTheme="majorBidi" w:cstheme="majorBidi"/>
                <w:color w:val="000000"/>
                <w:lang w:val="fr-FR"/>
              </w:rPr>
            </w:pPr>
            <w:r w:rsidRPr="008764AA">
              <w:rPr>
                <w:rFonts w:asciiTheme="majorBidi" w:hAnsiTheme="majorBidi" w:cstheme="majorBidi"/>
                <w:color w:val="000000"/>
                <w:lang w:val="fr-FR"/>
              </w:rPr>
              <w:t>3</w:t>
            </w:r>
            <w:r>
              <w:rPr>
                <w:rFonts w:asciiTheme="majorBidi" w:hAnsiTheme="majorBidi" w:cstheme="majorBidi"/>
                <w:color w:val="000000"/>
                <w:lang w:val="fr-FR"/>
              </w:rPr>
              <w:t>.</w:t>
            </w:r>
            <w:r w:rsidRPr="008764AA">
              <w:rPr>
                <w:rFonts w:asciiTheme="majorBidi" w:hAnsiTheme="majorBidi" w:cstheme="majorBidi"/>
                <w:color w:val="000000"/>
                <w:lang w:val="fr-FR"/>
              </w:rPr>
              <w:t>802</w:t>
            </w:r>
          </w:p>
        </w:tc>
        <w:tc>
          <w:tcPr>
            <w:tcW w:w="1288" w:type="dxa"/>
          </w:tcPr>
          <w:p w:rsidR="00E772DD" w:rsidRPr="008764AA" w:rsidRDefault="00E772DD" w:rsidP="00023311">
            <w:pPr>
              <w:rPr>
                <w:rFonts w:asciiTheme="majorBidi" w:hAnsiTheme="majorBidi" w:cstheme="majorBidi"/>
                <w:color w:val="000000"/>
                <w:lang w:val="fr-FR"/>
              </w:rPr>
            </w:pPr>
            <w:r w:rsidRPr="008764AA">
              <w:rPr>
                <w:rFonts w:asciiTheme="majorBidi" w:hAnsiTheme="majorBidi" w:cstheme="majorBidi"/>
                <w:color w:val="000000"/>
                <w:lang w:val="fr-FR"/>
              </w:rPr>
              <w:t>1</w:t>
            </w:r>
            <w:r>
              <w:rPr>
                <w:rFonts w:asciiTheme="majorBidi" w:hAnsiTheme="majorBidi" w:cstheme="majorBidi"/>
                <w:color w:val="000000"/>
                <w:lang w:val="fr-FR"/>
              </w:rPr>
              <w:t>.</w:t>
            </w:r>
            <w:r w:rsidRPr="008764AA">
              <w:rPr>
                <w:rFonts w:asciiTheme="majorBidi" w:hAnsiTheme="majorBidi" w:cstheme="majorBidi"/>
                <w:color w:val="000000"/>
                <w:lang w:val="fr-FR"/>
              </w:rPr>
              <w:t>203</w:t>
            </w:r>
          </w:p>
        </w:tc>
        <w:tc>
          <w:tcPr>
            <w:tcW w:w="1288" w:type="dxa"/>
          </w:tcPr>
          <w:p w:rsidR="00E772DD" w:rsidRPr="008764AA" w:rsidRDefault="00E772DD" w:rsidP="00023311">
            <w:pPr>
              <w:rPr>
                <w:rFonts w:asciiTheme="majorBidi" w:hAnsiTheme="majorBidi" w:cstheme="majorBidi"/>
                <w:color w:val="000000"/>
                <w:lang w:val="fr-FR"/>
              </w:rPr>
            </w:pPr>
            <w:r w:rsidRPr="008764AA">
              <w:rPr>
                <w:rFonts w:asciiTheme="majorBidi" w:hAnsiTheme="majorBidi" w:cstheme="majorBidi"/>
                <w:color w:val="000000"/>
                <w:lang w:val="fr-FR"/>
              </w:rPr>
              <w:t>41</w:t>
            </w:r>
            <w:r>
              <w:rPr>
                <w:rFonts w:asciiTheme="majorBidi" w:hAnsiTheme="majorBidi" w:cstheme="majorBidi"/>
                <w:color w:val="000000"/>
                <w:lang w:val="fr-FR"/>
              </w:rPr>
              <w:t>.</w:t>
            </w:r>
            <w:r w:rsidRPr="008764AA">
              <w:rPr>
                <w:rFonts w:asciiTheme="majorBidi" w:hAnsiTheme="majorBidi" w:cstheme="majorBidi"/>
                <w:color w:val="000000"/>
                <w:lang w:val="fr-FR"/>
              </w:rPr>
              <w:t>265</w:t>
            </w:r>
          </w:p>
        </w:tc>
        <w:tc>
          <w:tcPr>
            <w:tcW w:w="597"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169</w:t>
            </w:r>
          </w:p>
        </w:tc>
        <w:tc>
          <w:tcPr>
            <w:tcW w:w="709"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.000</w:t>
            </w:r>
          </w:p>
        </w:tc>
        <w:tc>
          <w:tcPr>
            <w:tcW w:w="992" w:type="dxa"/>
          </w:tcPr>
          <w:p w:rsidR="00E772DD" w:rsidRPr="008764AA" w:rsidRDefault="00E772DD" w:rsidP="00023311">
            <w:pPr>
              <w:spacing w:after="240"/>
              <w:rPr>
                <w:rFonts w:asciiTheme="majorBidi" w:hAnsiTheme="majorBidi" w:cstheme="majorBidi"/>
                <w:lang w:val="fr-FR"/>
              </w:rPr>
            </w:pPr>
          </w:p>
        </w:tc>
        <w:tc>
          <w:tcPr>
            <w:tcW w:w="1276" w:type="dxa"/>
          </w:tcPr>
          <w:p w:rsidR="00E772DD" w:rsidRPr="008764AA" w:rsidRDefault="00E772DD" w:rsidP="00023311">
            <w:pPr>
              <w:rPr>
                <w:rFonts w:asciiTheme="majorBidi" w:hAnsiTheme="majorBidi" w:cstheme="majorBidi"/>
                <w:lang w:val="fr-FR"/>
              </w:rPr>
            </w:pPr>
            <w:r w:rsidRPr="008764AA">
              <w:rPr>
                <w:rFonts w:asciiTheme="majorBidi" w:hAnsiTheme="majorBidi" w:cstheme="majorBidi"/>
                <w:lang w:val="fr-FR"/>
              </w:rPr>
              <w:t xml:space="preserve">  D'accord</w:t>
            </w:r>
          </w:p>
        </w:tc>
      </w:tr>
    </w:tbl>
    <w:p w:rsidR="00E772DD" w:rsidRPr="008764AA" w:rsidRDefault="00E772DD" w:rsidP="000F4CA3">
      <w:pPr>
        <w:spacing w:line="360" w:lineRule="auto"/>
        <w:jc w:val="center"/>
        <w:rPr>
          <w:rFonts w:asciiTheme="majorBidi" w:hAnsiTheme="majorBidi" w:cstheme="majorBidi"/>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E772DD" w:rsidRPr="008764AA" w:rsidRDefault="00E772DD" w:rsidP="004D32AC">
      <w:pPr>
        <w:pStyle w:val="Paragraphedeliste"/>
        <w:numPr>
          <w:ilvl w:val="0"/>
          <w:numId w:val="141"/>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6 arrive en tête avec une valeur t de 39</w:t>
      </w:r>
      <w:r>
        <w:rPr>
          <w:rFonts w:asciiTheme="majorBidi" w:hAnsiTheme="majorBidi" w:cstheme="majorBidi"/>
        </w:rPr>
        <w:t>,</w:t>
      </w:r>
      <w:r w:rsidRPr="008764AA">
        <w:rPr>
          <w:rFonts w:asciiTheme="majorBidi" w:hAnsiTheme="majorBidi" w:cstheme="majorBidi"/>
        </w:rPr>
        <w:t>711 et un niveau de signification de 0,000. Les répondants s’accordent très fortement à dire que L’ERP est régulièrement utilisé pour faciliter le processus de recrutement.</w:t>
      </w:r>
    </w:p>
    <w:p w:rsidR="00E772DD" w:rsidRPr="008764AA" w:rsidRDefault="00E772DD" w:rsidP="004D32AC">
      <w:pPr>
        <w:pStyle w:val="Paragraphedeliste"/>
        <w:numPr>
          <w:ilvl w:val="0"/>
          <w:numId w:val="141"/>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En deuxième position se trouve l’affirmation numéro 5, qui obtient une valeur t de 39</w:t>
      </w:r>
      <w:r>
        <w:rPr>
          <w:rFonts w:asciiTheme="majorBidi" w:hAnsiTheme="majorBidi" w:cstheme="majorBidi"/>
        </w:rPr>
        <w:t>,</w:t>
      </w:r>
      <w:r w:rsidRPr="008764AA">
        <w:rPr>
          <w:rFonts w:asciiTheme="majorBidi" w:hAnsiTheme="majorBidi" w:cstheme="majorBidi"/>
        </w:rPr>
        <w:t>822 Elle reflète l’opinion selon laquelle le processus de recrutement est globalement piloté numériquement.</w:t>
      </w:r>
    </w:p>
    <w:p w:rsidR="00E772DD" w:rsidRPr="008764AA" w:rsidRDefault="00E772DD" w:rsidP="004D32AC">
      <w:pPr>
        <w:pStyle w:val="Paragraphedeliste"/>
        <w:numPr>
          <w:ilvl w:val="0"/>
          <w:numId w:val="141"/>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3 suit en troisième position avec une valeur t de 40</w:t>
      </w:r>
      <w:r>
        <w:rPr>
          <w:rFonts w:asciiTheme="majorBidi" w:hAnsiTheme="majorBidi" w:cstheme="majorBidi"/>
        </w:rPr>
        <w:t>,</w:t>
      </w:r>
      <w:r w:rsidRPr="008764AA">
        <w:rPr>
          <w:rFonts w:asciiTheme="majorBidi" w:hAnsiTheme="majorBidi" w:cstheme="majorBidi"/>
        </w:rPr>
        <w:t>450 et un niveau de signification de 0,000. Elle indique que les entretiens en visioconférence sont souvent privilégiés.</w:t>
      </w:r>
    </w:p>
    <w:p w:rsidR="00E772DD" w:rsidRPr="008764AA" w:rsidRDefault="00E772DD" w:rsidP="004D32AC">
      <w:pPr>
        <w:pStyle w:val="Paragraphedeliste"/>
        <w:numPr>
          <w:ilvl w:val="0"/>
          <w:numId w:val="141"/>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En quatrième position, on retrouve l’affirmation numéro 1, avec une valeur t de 41</w:t>
      </w:r>
      <w:r>
        <w:rPr>
          <w:rFonts w:asciiTheme="majorBidi" w:hAnsiTheme="majorBidi" w:cstheme="majorBidi"/>
        </w:rPr>
        <w:t>,</w:t>
      </w:r>
      <w:r w:rsidRPr="008764AA">
        <w:rPr>
          <w:rFonts w:asciiTheme="majorBidi" w:hAnsiTheme="majorBidi" w:cstheme="majorBidi"/>
        </w:rPr>
        <w:t>158 et un niveau de signification de 0,000. Elle exprime le fait que les offres d'emploi sont principalement publiées en ligne.</w:t>
      </w:r>
    </w:p>
    <w:p w:rsidR="00E772DD" w:rsidRPr="008764AA" w:rsidRDefault="00E772DD" w:rsidP="004D32AC">
      <w:pPr>
        <w:pStyle w:val="Paragraphedeliste"/>
        <w:numPr>
          <w:ilvl w:val="0"/>
          <w:numId w:val="141"/>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4 est en cinquième position, avec une valeur t de 42 et un niveau de signification de 0,000. Les participants considèrent que les réseaux sociaux professionnels sont largement utilisés pour le sourcing.</w:t>
      </w:r>
    </w:p>
    <w:p w:rsidR="00E772DD" w:rsidRPr="008764AA" w:rsidRDefault="00E772DD" w:rsidP="004D32AC">
      <w:pPr>
        <w:pStyle w:val="Paragraphedeliste"/>
        <w:numPr>
          <w:ilvl w:val="0"/>
          <w:numId w:val="141"/>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 sixième place revient à l’affirmation numéro 7, avec une valeur t de 42</w:t>
      </w:r>
      <w:r>
        <w:rPr>
          <w:rFonts w:asciiTheme="majorBidi" w:hAnsiTheme="majorBidi" w:cstheme="majorBidi"/>
        </w:rPr>
        <w:t>,</w:t>
      </w:r>
      <w:r w:rsidRPr="008764AA">
        <w:rPr>
          <w:rFonts w:asciiTheme="majorBidi" w:hAnsiTheme="majorBidi" w:cstheme="majorBidi"/>
        </w:rPr>
        <w:t>089 et un niveau de signification de 0,000. Elle montre que Le recrutement digital permet un meilleur ciblage des profils.</w:t>
      </w:r>
    </w:p>
    <w:p w:rsidR="00E772DD" w:rsidRPr="008764AA" w:rsidRDefault="00E772DD" w:rsidP="004D32AC">
      <w:pPr>
        <w:pStyle w:val="Paragraphedeliste"/>
        <w:numPr>
          <w:ilvl w:val="0"/>
          <w:numId w:val="141"/>
        </w:numPr>
        <w:autoSpaceDE w:val="0"/>
        <w:autoSpaceDN w:val="0"/>
        <w:adjustRightInd w:val="0"/>
        <w:spacing w:before="100" w:beforeAutospacing="1" w:line="360" w:lineRule="auto"/>
        <w:jc w:val="both"/>
        <w:rPr>
          <w:rFonts w:asciiTheme="majorBidi" w:hAnsiTheme="majorBidi" w:cstheme="majorBidi"/>
        </w:rPr>
      </w:pPr>
      <w:r w:rsidRPr="008764AA">
        <w:rPr>
          <w:rFonts w:asciiTheme="majorBidi" w:hAnsiTheme="majorBidi" w:cstheme="majorBidi"/>
        </w:rPr>
        <w:t>Enfin, l’affirmation numéro 2, en septième position, présente une valeur t de 43</w:t>
      </w:r>
      <w:r>
        <w:rPr>
          <w:rFonts w:asciiTheme="majorBidi" w:hAnsiTheme="majorBidi" w:cstheme="majorBidi"/>
        </w:rPr>
        <w:t>,</w:t>
      </w:r>
      <w:r w:rsidRPr="008764AA">
        <w:rPr>
          <w:rFonts w:asciiTheme="majorBidi" w:hAnsiTheme="majorBidi" w:cstheme="majorBidi"/>
        </w:rPr>
        <w:t>626 et un niveau de signification de 0,000. Elle met en avant les candidatures sont fréquemment reçues via des plateformes numériques.</w:t>
      </w:r>
    </w:p>
    <w:p w:rsidR="00E772DD" w:rsidRPr="008764AA" w:rsidRDefault="00E772DD" w:rsidP="006E613D">
      <w:pPr>
        <w:spacing w:after="240" w:afterAutospacing="1" w:line="360" w:lineRule="auto"/>
        <w:ind w:left="360"/>
        <w:jc w:val="both"/>
        <w:rPr>
          <w:lang w:val="fr-FR"/>
        </w:rPr>
      </w:pPr>
      <w:r w:rsidRPr="008764AA">
        <w:rPr>
          <w:color w:val="000000"/>
          <w:lang w:val="fr-FR"/>
        </w:rPr>
        <w:t>Globalement, les participants se déclarent d’accord sur l’efficacité du processus de recrutement digitalisé, avec une moyenne générale de 3,802 et un écart-type de 1,203. La valeur t calculée (41,265) dépasse largement la valeur t critique (</w:t>
      </w:r>
      <w:r>
        <w:rPr>
          <w:color w:val="000000"/>
          <w:lang w:val="fr-FR"/>
        </w:rPr>
        <w:t>1,974</w:t>
      </w:r>
      <w:r w:rsidRPr="008764AA">
        <w:rPr>
          <w:color w:val="000000"/>
          <w:lang w:val="fr-FR"/>
        </w:rPr>
        <w:t>), et le niveau de signification de 0,000 confirme la validité statistique de cette tendance. Ces résultats indiquent une appréciation favorable de la digitalisation du recrutement par les répondants.</w:t>
      </w:r>
    </w:p>
    <w:p w:rsidR="00E772DD" w:rsidRPr="00A53242" w:rsidRDefault="00A53242" w:rsidP="004D32AC">
      <w:pPr>
        <w:pStyle w:val="Titre3"/>
        <w:numPr>
          <w:ilvl w:val="1"/>
          <w:numId w:val="175"/>
        </w:numPr>
        <w:spacing w:after="0" w:afterAutospacing="0" w:line="360" w:lineRule="auto"/>
        <w:rPr>
          <w:sz w:val="24"/>
          <w:szCs w:val="24"/>
          <w:lang w:val="fr-FR"/>
        </w:rPr>
      </w:pPr>
      <w:r>
        <w:rPr>
          <w:sz w:val="24"/>
          <w:szCs w:val="24"/>
          <w:lang w:val="fr-FR"/>
        </w:rPr>
        <w:lastRenderedPageBreak/>
        <w:t xml:space="preserve"> </w:t>
      </w:r>
      <w:bookmarkStart w:id="2334" w:name="_Toc199714580"/>
      <w:bookmarkStart w:id="2335" w:name="_Toc200486856"/>
      <w:bookmarkStart w:id="2336" w:name="_Toc200635634"/>
      <w:bookmarkStart w:id="2337" w:name="_Toc200636022"/>
      <w:bookmarkStart w:id="2338" w:name="_Toc200636411"/>
      <w:bookmarkStart w:id="2339" w:name="_Toc200756152"/>
      <w:r w:rsidR="00E772DD" w:rsidRPr="00A53242">
        <w:rPr>
          <w:sz w:val="24"/>
          <w:szCs w:val="24"/>
          <w:lang w:val="fr-FR"/>
        </w:rPr>
        <w:t>Analyse des résultats de l’axe “Processus de formation digitalisée”</w:t>
      </w:r>
      <w:bookmarkEnd w:id="2334"/>
      <w:bookmarkEnd w:id="2335"/>
      <w:bookmarkEnd w:id="2336"/>
      <w:bookmarkEnd w:id="2337"/>
      <w:bookmarkEnd w:id="2338"/>
      <w:bookmarkEnd w:id="2339"/>
    </w:p>
    <w:p w:rsidR="00E772DD" w:rsidRPr="008764AA" w:rsidRDefault="00E772DD" w:rsidP="006E613D">
      <w:pPr>
        <w:spacing w:line="360" w:lineRule="auto"/>
        <w:jc w:val="center"/>
        <w:rPr>
          <w:b/>
          <w:bCs/>
          <w:color w:val="000000"/>
          <w:lang w:val="fr-FR"/>
        </w:rPr>
      </w:pPr>
      <w:r w:rsidRPr="008764AA">
        <w:rPr>
          <w:b/>
          <w:bCs/>
          <w:color w:val="000000"/>
          <w:lang w:val="fr-FR"/>
        </w:rPr>
        <w:t>Tableau</w:t>
      </w:r>
      <w:r>
        <w:rPr>
          <w:b/>
          <w:bCs/>
          <w:color w:val="000000"/>
          <w:lang w:val="fr-FR"/>
        </w:rPr>
        <w:t xml:space="preserve"> N°37</w:t>
      </w:r>
      <w:r w:rsidRPr="008764AA">
        <w:rPr>
          <w:b/>
          <w:bCs/>
          <w:color w:val="000000"/>
          <w:lang w:val="fr-FR"/>
        </w:rPr>
        <w:t xml:space="preserve"> : </w:t>
      </w:r>
      <w:r w:rsidRPr="00746B9C">
        <w:rPr>
          <w:color w:val="000000"/>
          <w:lang w:val="fr-FR"/>
        </w:rPr>
        <w:t>Test T de l’axe “</w:t>
      </w:r>
      <w:r w:rsidRPr="00746B9C">
        <w:rPr>
          <w:rFonts w:asciiTheme="majorBidi" w:hAnsiTheme="majorBidi" w:cstheme="majorBidi"/>
          <w:color w:val="000000"/>
          <w:lang w:val="fr-FR"/>
        </w:rPr>
        <w:t>Processus de formation digitalisée</w:t>
      </w:r>
      <w:r w:rsidRPr="00746B9C">
        <w:rPr>
          <w:color w:val="000000"/>
          <w:lang w:val="fr-FR"/>
        </w:rPr>
        <w:t>”</w:t>
      </w:r>
    </w:p>
    <w:tbl>
      <w:tblPr>
        <w:tblStyle w:val="Grilledutableau"/>
        <w:tblW w:w="9027" w:type="dxa"/>
        <w:tblLook w:val="04A0" w:firstRow="1" w:lastRow="0" w:firstColumn="1" w:lastColumn="0" w:noHBand="0" w:noVBand="1"/>
      </w:tblPr>
      <w:tblGrid>
        <w:gridCol w:w="486"/>
        <w:gridCol w:w="1949"/>
        <w:gridCol w:w="1168"/>
        <w:gridCol w:w="1049"/>
        <w:gridCol w:w="984"/>
        <w:gridCol w:w="576"/>
        <w:gridCol w:w="657"/>
        <w:gridCol w:w="1009"/>
        <w:gridCol w:w="1149"/>
      </w:tblGrid>
      <w:tr w:rsidR="00E772DD" w:rsidRPr="008764AA" w:rsidTr="00AE378F">
        <w:tc>
          <w:tcPr>
            <w:tcW w:w="471" w:type="dxa"/>
            <w:shd w:val="clear" w:color="auto" w:fill="D8DCD1"/>
          </w:tcPr>
          <w:p w:rsidR="00E772DD" w:rsidRPr="008764AA" w:rsidRDefault="00E772DD" w:rsidP="00023311">
            <w:pPr>
              <w:spacing w:after="240"/>
              <w:rPr>
                <w:lang w:val="fr-FR"/>
              </w:rPr>
            </w:pPr>
            <w:r w:rsidRPr="008764AA">
              <w:rPr>
                <w:lang w:val="fr-FR"/>
              </w:rPr>
              <w:t>N°</w:t>
            </w:r>
          </w:p>
        </w:tc>
        <w:tc>
          <w:tcPr>
            <w:tcW w:w="1857" w:type="dxa"/>
            <w:shd w:val="clear" w:color="auto" w:fill="D8DCD1"/>
          </w:tcPr>
          <w:p w:rsidR="00E772DD" w:rsidRPr="008764AA" w:rsidRDefault="00E772DD" w:rsidP="00023311">
            <w:pPr>
              <w:pStyle w:val="p1"/>
              <w:rPr>
                <w:sz w:val="24"/>
                <w:szCs w:val="24"/>
              </w:rPr>
            </w:pPr>
            <w:r w:rsidRPr="008764AA">
              <w:rPr>
                <w:sz w:val="24"/>
                <w:szCs w:val="24"/>
              </w:rPr>
              <w:t>Intitulé de</w:t>
            </w:r>
          </w:p>
          <w:p w:rsidR="00E772DD" w:rsidRPr="008764AA" w:rsidRDefault="00E772DD" w:rsidP="00023311">
            <w:pPr>
              <w:spacing w:after="240"/>
              <w:rPr>
                <w:lang w:val="fr-FR"/>
              </w:rPr>
            </w:pPr>
            <w:r w:rsidRPr="008764AA">
              <w:rPr>
                <w:lang w:val="fr-FR"/>
              </w:rPr>
              <w:t>la question</w:t>
            </w:r>
          </w:p>
        </w:tc>
        <w:tc>
          <w:tcPr>
            <w:tcW w:w="1295" w:type="dxa"/>
            <w:shd w:val="clear" w:color="auto" w:fill="D8DCD1"/>
          </w:tcPr>
          <w:p w:rsidR="00E772DD" w:rsidRPr="008764AA" w:rsidRDefault="00E772DD" w:rsidP="00023311">
            <w:pPr>
              <w:pStyle w:val="p1"/>
              <w:rPr>
                <w:sz w:val="24"/>
                <w:szCs w:val="24"/>
              </w:rPr>
            </w:pPr>
            <w:r w:rsidRPr="008764AA">
              <w:rPr>
                <w:sz w:val="24"/>
                <w:szCs w:val="24"/>
              </w:rPr>
              <w:t>La</w:t>
            </w:r>
          </w:p>
          <w:p w:rsidR="00E772DD" w:rsidRPr="008764AA" w:rsidRDefault="00E772DD" w:rsidP="00023311">
            <w:pPr>
              <w:spacing w:after="240"/>
              <w:rPr>
                <w:lang w:val="fr-FR"/>
              </w:rPr>
            </w:pPr>
            <w:r w:rsidRPr="008764AA">
              <w:rPr>
                <w:lang w:val="fr-FR"/>
              </w:rPr>
              <w:t>moyenne</w:t>
            </w:r>
          </w:p>
        </w:tc>
        <w:tc>
          <w:tcPr>
            <w:tcW w:w="1295" w:type="dxa"/>
            <w:shd w:val="clear" w:color="auto" w:fill="D8DCD1"/>
          </w:tcPr>
          <w:p w:rsidR="00E772DD" w:rsidRPr="008764AA" w:rsidRDefault="00E772DD" w:rsidP="00023311">
            <w:pPr>
              <w:pStyle w:val="p1"/>
              <w:rPr>
                <w:sz w:val="24"/>
                <w:szCs w:val="24"/>
              </w:rPr>
            </w:pPr>
            <w:r w:rsidRPr="008764AA">
              <w:rPr>
                <w:sz w:val="24"/>
                <w:szCs w:val="24"/>
              </w:rPr>
              <w:t>L’écart</w:t>
            </w:r>
          </w:p>
          <w:p w:rsidR="00E772DD" w:rsidRPr="008764AA" w:rsidRDefault="00E772DD" w:rsidP="00023311">
            <w:pPr>
              <w:spacing w:after="240"/>
              <w:rPr>
                <w:lang w:val="fr-FR"/>
              </w:rPr>
            </w:pPr>
            <w:r w:rsidRPr="008764AA">
              <w:rPr>
                <w:lang w:val="fr-FR"/>
              </w:rPr>
              <w:t>-type</w:t>
            </w:r>
          </w:p>
        </w:tc>
        <w:tc>
          <w:tcPr>
            <w:tcW w:w="1173" w:type="dxa"/>
            <w:shd w:val="clear" w:color="auto" w:fill="D8DCD1"/>
          </w:tcPr>
          <w:p w:rsidR="00E772DD" w:rsidRPr="008764AA" w:rsidRDefault="00E772DD" w:rsidP="00023311">
            <w:pPr>
              <w:spacing w:after="240"/>
              <w:rPr>
                <w:lang w:val="fr-FR"/>
              </w:rPr>
            </w:pPr>
            <w:r w:rsidRPr="008764AA">
              <w:rPr>
                <w:lang w:val="fr-FR"/>
              </w:rPr>
              <w:t>Test T</w:t>
            </w:r>
          </w:p>
        </w:tc>
        <w:tc>
          <w:tcPr>
            <w:tcW w:w="236" w:type="dxa"/>
            <w:shd w:val="clear" w:color="auto" w:fill="D8DCD1"/>
          </w:tcPr>
          <w:p w:rsidR="00E772DD" w:rsidRPr="008764AA" w:rsidRDefault="00E772DD" w:rsidP="00023311">
            <w:pPr>
              <w:spacing w:after="240"/>
              <w:rPr>
                <w:lang w:val="fr-FR"/>
              </w:rPr>
            </w:pPr>
            <w:r w:rsidRPr="008764AA">
              <w:rPr>
                <w:lang w:val="fr-FR"/>
              </w:rPr>
              <w:t>Ddl</w:t>
            </w:r>
          </w:p>
        </w:tc>
        <w:tc>
          <w:tcPr>
            <w:tcW w:w="634" w:type="dxa"/>
            <w:shd w:val="clear" w:color="auto" w:fill="D8DCD1"/>
          </w:tcPr>
          <w:p w:rsidR="00E772DD" w:rsidRPr="008764AA" w:rsidRDefault="00E772DD" w:rsidP="00023311">
            <w:pPr>
              <w:spacing w:after="240"/>
              <w:rPr>
                <w:lang w:val="fr-FR"/>
              </w:rPr>
            </w:pPr>
            <w:proofErr w:type="spellStart"/>
            <w:r w:rsidRPr="008764AA">
              <w:rPr>
                <w:lang w:val="fr-FR"/>
              </w:rPr>
              <w:t>Sig</w:t>
            </w:r>
            <w:proofErr w:type="spellEnd"/>
            <w:r w:rsidRPr="008764AA">
              <w:rPr>
                <w:lang w:val="fr-FR"/>
              </w:rPr>
              <w:t>.</w:t>
            </w:r>
            <w:r w:rsidRPr="008764AA">
              <w:rPr>
                <w:rStyle w:val="apple-converted-space"/>
                <w:lang w:val="fr-FR"/>
              </w:rPr>
              <w:t> </w:t>
            </w:r>
          </w:p>
        </w:tc>
        <w:tc>
          <w:tcPr>
            <w:tcW w:w="967" w:type="dxa"/>
            <w:shd w:val="clear" w:color="auto" w:fill="D8DCD1"/>
          </w:tcPr>
          <w:p w:rsidR="00E772DD" w:rsidRPr="008764AA" w:rsidRDefault="00E772DD" w:rsidP="00023311">
            <w:pPr>
              <w:pStyle w:val="p1"/>
              <w:rPr>
                <w:sz w:val="24"/>
                <w:szCs w:val="24"/>
              </w:rPr>
            </w:pPr>
            <w:r w:rsidRPr="008764AA">
              <w:rPr>
                <w:sz w:val="24"/>
                <w:szCs w:val="24"/>
              </w:rPr>
              <w:t>L’ordre</w:t>
            </w:r>
            <w:r w:rsidRPr="008764AA">
              <w:rPr>
                <w:rStyle w:val="apple-converted-space"/>
                <w:sz w:val="24"/>
                <w:szCs w:val="24"/>
              </w:rPr>
              <w:t> </w:t>
            </w:r>
          </w:p>
        </w:tc>
        <w:tc>
          <w:tcPr>
            <w:tcW w:w="1099" w:type="dxa"/>
            <w:shd w:val="clear" w:color="auto" w:fill="D8DCD1"/>
          </w:tcPr>
          <w:p w:rsidR="00E772DD" w:rsidRPr="008764AA" w:rsidRDefault="00E772DD" w:rsidP="00023311">
            <w:pPr>
              <w:pStyle w:val="p1"/>
              <w:rPr>
                <w:sz w:val="24"/>
                <w:szCs w:val="24"/>
              </w:rPr>
            </w:pPr>
            <w:r w:rsidRPr="008764AA">
              <w:rPr>
                <w:sz w:val="24"/>
                <w:szCs w:val="24"/>
              </w:rPr>
              <w:t>Tendance</w:t>
            </w:r>
          </w:p>
          <w:p w:rsidR="00E772DD" w:rsidRPr="008764AA" w:rsidRDefault="00E772DD" w:rsidP="00023311">
            <w:pPr>
              <w:pStyle w:val="p1"/>
              <w:rPr>
                <w:sz w:val="24"/>
                <w:szCs w:val="24"/>
              </w:rPr>
            </w:pPr>
            <w:r w:rsidRPr="008764AA">
              <w:rPr>
                <w:sz w:val="24"/>
                <w:szCs w:val="24"/>
              </w:rPr>
              <w:t>de la</w:t>
            </w:r>
          </w:p>
          <w:p w:rsidR="00E772DD" w:rsidRPr="008764AA" w:rsidRDefault="00E772DD" w:rsidP="00023311">
            <w:pPr>
              <w:pStyle w:val="p1"/>
              <w:rPr>
                <w:sz w:val="24"/>
                <w:szCs w:val="24"/>
              </w:rPr>
            </w:pPr>
            <w:r w:rsidRPr="008764AA">
              <w:rPr>
                <w:sz w:val="24"/>
                <w:szCs w:val="24"/>
              </w:rPr>
              <w:t>réponse</w:t>
            </w:r>
          </w:p>
        </w:tc>
      </w:tr>
      <w:tr w:rsidR="00E772DD" w:rsidRPr="008764AA" w:rsidTr="00AE378F">
        <w:tc>
          <w:tcPr>
            <w:tcW w:w="471" w:type="dxa"/>
            <w:shd w:val="clear" w:color="auto" w:fill="D8DCD1"/>
          </w:tcPr>
          <w:p w:rsidR="00E772DD" w:rsidRPr="008764AA" w:rsidRDefault="00E772DD" w:rsidP="00023311">
            <w:pPr>
              <w:spacing w:after="240"/>
              <w:rPr>
                <w:lang w:val="fr-FR"/>
              </w:rPr>
            </w:pPr>
            <w:r w:rsidRPr="008764AA">
              <w:rPr>
                <w:lang w:val="fr-FR"/>
              </w:rPr>
              <w:t>1</w:t>
            </w:r>
          </w:p>
        </w:tc>
        <w:tc>
          <w:tcPr>
            <w:tcW w:w="1857" w:type="dxa"/>
          </w:tcPr>
          <w:p w:rsidR="00E772DD" w:rsidRPr="008764AA" w:rsidRDefault="00E772DD" w:rsidP="00023311">
            <w:pPr>
              <w:spacing w:after="240"/>
              <w:rPr>
                <w:lang w:val="fr-FR"/>
              </w:rPr>
            </w:pPr>
            <w:r w:rsidRPr="008764AA">
              <w:rPr>
                <w:rFonts w:eastAsiaTheme="minorHAnsi"/>
                <w:lang w:val="fr-FR"/>
                <w14:ligatures w14:val="standardContextual"/>
              </w:rPr>
              <w:t>Les formations sont principalement dispensées en ligne.</w:t>
            </w: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3.7294 </w:t>
            </w:r>
          </w:p>
          <w:p w:rsidR="00E772DD" w:rsidRPr="008764AA" w:rsidRDefault="00E772DD" w:rsidP="00023311">
            <w:pPr>
              <w:spacing w:after="240"/>
              <w:rPr>
                <w:lang w:val="fr-FR"/>
              </w:rPr>
            </w:pP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1.1756</w:t>
            </w:r>
          </w:p>
          <w:p w:rsidR="00E772DD" w:rsidRPr="008764AA" w:rsidRDefault="00E772DD" w:rsidP="00023311">
            <w:pPr>
              <w:spacing w:after="240"/>
              <w:rPr>
                <w:lang w:val="fr-FR"/>
              </w:rPr>
            </w:pPr>
          </w:p>
        </w:tc>
        <w:tc>
          <w:tcPr>
            <w:tcW w:w="1173"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41.363 </w:t>
            </w:r>
          </w:p>
          <w:p w:rsidR="00E772DD" w:rsidRPr="008764AA" w:rsidRDefault="00E772DD" w:rsidP="00023311">
            <w:pPr>
              <w:spacing w:after="240"/>
              <w:rPr>
                <w:lang w:val="fr-FR"/>
              </w:rPr>
            </w:pPr>
          </w:p>
        </w:tc>
        <w:tc>
          <w:tcPr>
            <w:tcW w:w="236" w:type="dxa"/>
          </w:tcPr>
          <w:p w:rsidR="00E772DD" w:rsidRPr="008764AA" w:rsidRDefault="00E772DD" w:rsidP="00023311">
            <w:pPr>
              <w:rPr>
                <w:lang w:val="fr-FR"/>
              </w:rPr>
            </w:pPr>
            <w:r w:rsidRPr="008764AA">
              <w:rPr>
                <w:lang w:val="fr-FR"/>
              </w:rPr>
              <w:t>169</w:t>
            </w:r>
          </w:p>
        </w:tc>
        <w:tc>
          <w:tcPr>
            <w:tcW w:w="634" w:type="dxa"/>
          </w:tcPr>
          <w:p w:rsidR="00E772DD" w:rsidRPr="008764AA" w:rsidRDefault="00E772DD" w:rsidP="00023311">
            <w:pPr>
              <w:rPr>
                <w:lang w:val="fr-FR"/>
              </w:rPr>
            </w:pPr>
            <w:r w:rsidRPr="008764AA">
              <w:rPr>
                <w:lang w:val="fr-FR"/>
              </w:rPr>
              <w:t>.000</w:t>
            </w:r>
          </w:p>
        </w:tc>
        <w:tc>
          <w:tcPr>
            <w:tcW w:w="967" w:type="dxa"/>
          </w:tcPr>
          <w:p w:rsidR="00E772DD" w:rsidRPr="008764AA" w:rsidRDefault="00E772DD" w:rsidP="00023311">
            <w:pPr>
              <w:spacing w:after="240"/>
              <w:rPr>
                <w:lang w:val="fr-FR"/>
              </w:rPr>
            </w:pPr>
            <w:r w:rsidRPr="008764AA">
              <w:rPr>
                <w:lang w:val="fr-FR"/>
              </w:rPr>
              <w:t>6</w:t>
            </w:r>
          </w:p>
        </w:tc>
        <w:tc>
          <w:tcPr>
            <w:tcW w:w="1099"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D'accord </w:t>
            </w:r>
          </w:p>
          <w:p w:rsidR="00E772DD" w:rsidRPr="008764AA" w:rsidRDefault="00E772DD" w:rsidP="00023311">
            <w:pPr>
              <w:spacing w:after="240"/>
              <w:rPr>
                <w:lang w:val="fr-FR"/>
              </w:rPr>
            </w:pPr>
          </w:p>
        </w:tc>
      </w:tr>
      <w:tr w:rsidR="00E772DD" w:rsidRPr="008764AA" w:rsidTr="00AE378F">
        <w:tc>
          <w:tcPr>
            <w:tcW w:w="471" w:type="dxa"/>
            <w:shd w:val="clear" w:color="auto" w:fill="D8DCD1"/>
          </w:tcPr>
          <w:p w:rsidR="00E772DD" w:rsidRPr="008764AA" w:rsidRDefault="00E772DD" w:rsidP="00023311">
            <w:pPr>
              <w:spacing w:after="240"/>
              <w:rPr>
                <w:lang w:val="fr-FR"/>
              </w:rPr>
            </w:pPr>
            <w:r w:rsidRPr="008764AA">
              <w:rPr>
                <w:lang w:val="fr-FR"/>
              </w:rPr>
              <w:t>2</w:t>
            </w:r>
          </w:p>
        </w:tc>
        <w:tc>
          <w:tcPr>
            <w:tcW w:w="1857" w:type="dxa"/>
          </w:tcPr>
          <w:p w:rsidR="00E772DD" w:rsidRPr="008764AA" w:rsidRDefault="00E772DD" w:rsidP="00023311">
            <w:pPr>
              <w:spacing w:after="240"/>
              <w:rPr>
                <w:lang w:val="fr-FR"/>
              </w:rPr>
            </w:pPr>
            <w:r w:rsidRPr="008764AA">
              <w:rPr>
                <w:rFonts w:eastAsiaTheme="minorHAnsi"/>
                <w:lang w:val="fr-FR"/>
                <w14:ligatures w14:val="standardContextual"/>
              </w:rPr>
              <w:t>Les outils digitaux sont régulièrement utilisés pour la formation continue.</w:t>
            </w: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4.2235 </w:t>
            </w:r>
          </w:p>
          <w:p w:rsidR="00E772DD" w:rsidRPr="008764AA" w:rsidRDefault="00E772DD" w:rsidP="00023311">
            <w:pPr>
              <w:spacing w:after="240"/>
              <w:rPr>
                <w:lang w:val="fr-FR"/>
              </w:rPr>
            </w:pP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1.3445</w:t>
            </w:r>
          </w:p>
          <w:p w:rsidR="00E772DD" w:rsidRPr="008764AA" w:rsidRDefault="00E772DD" w:rsidP="00023311">
            <w:pPr>
              <w:spacing w:after="240"/>
              <w:rPr>
                <w:lang w:val="fr-FR"/>
              </w:rPr>
            </w:pPr>
          </w:p>
        </w:tc>
        <w:tc>
          <w:tcPr>
            <w:tcW w:w="1173"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40.958</w:t>
            </w:r>
          </w:p>
          <w:p w:rsidR="00E772DD" w:rsidRPr="008764AA" w:rsidRDefault="00E772DD" w:rsidP="00023311">
            <w:pPr>
              <w:spacing w:after="240"/>
              <w:rPr>
                <w:lang w:val="fr-FR"/>
              </w:rPr>
            </w:pPr>
          </w:p>
        </w:tc>
        <w:tc>
          <w:tcPr>
            <w:tcW w:w="236" w:type="dxa"/>
          </w:tcPr>
          <w:p w:rsidR="00E772DD" w:rsidRPr="008764AA" w:rsidRDefault="00E772DD" w:rsidP="00023311">
            <w:pPr>
              <w:rPr>
                <w:lang w:val="fr-FR"/>
              </w:rPr>
            </w:pPr>
            <w:r w:rsidRPr="008764AA">
              <w:rPr>
                <w:lang w:val="fr-FR"/>
              </w:rPr>
              <w:t>169</w:t>
            </w:r>
          </w:p>
        </w:tc>
        <w:tc>
          <w:tcPr>
            <w:tcW w:w="634" w:type="dxa"/>
          </w:tcPr>
          <w:p w:rsidR="00E772DD" w:rsidRPr="008764AA" w:rsidRDefault="00E772DD" w:rsidP="00023311">
            <w:pPr>
              <w:rPr>
                <w:lang w:val="fr-FR"/>
              </w:rPr>
            </w:pPr>
            <w:r w:rsidRPr="008764AA">
              <w:rPr>
                <w:lang w:val="fr-FR"/>
              </w:rPr>
              <w:t>.000</w:t>
            </w:r>
          </w:p>
        </w:tc>
        <w:tc>
          <w:tcPr>
            <w:tcW w:w="967" w:type="dxa"/>
          </w:tcPr>
          <w:p w:rsidR="00E772DD" w:rsidRPr="008764AA" w:rsidRDefault="00E772DD" w:rsidP="00023311">
            <w:pPr>
              <w:spacing w:after="240"/>
              <w:rPr>
                <w:lang w:val="fr-FR"/>
              </w:rPr>
            </w:pPr>
            <w:r w:rsidRPr="008764AA">
              <w:rPr>
                <w:lang w:val="fr-FR"/>
              </w:rPr>
              <w:t>1</w:t>
            </w:r>
          </w:p>
        </w:tc>
        <w:tc>
          <w:tcPr>
            <w:tcW w:w="1099" w:type="dxa"/>
          </w:tcPr>
          <w:p w:rsidR="00E772DD" w:rsidRPr="008764AA" w:rsidRDefault="00E772DD" w:rsidP="00023311">
            <w:pPr>
              <w:rPr>
                <w:lang w:val="fr-FR"/>
              </w:rPr>
            </w:pPr>
            <w:r w:rsidRPr="008764AA">
              <w:rPr>
                <w:lang w:val="fr-FR"/>
              </w:rPr>
              <w:t>Tout à fait d'accord</w:t>
            </w:r>
          </w:p>
        </w:tc>
      </w:tr>
      <w:tr w:rsidR="00E772DD" w:rsidRPr="008764AA" w:rsidTr="00AE378F">
        <w:tc>
          <w:tcPr>
            <w:tcW w:w="471" w:type="dxa"/>
            <w:shd w:val="clear" w:color="auto" w:fill="D8DCD1"/>
          </w:tcPr>
          <w:p w:rsidR="00E772DD" w:rsidRPr="008764AA" w:rsidRDefault="00E772DD" w:rsidP="00023311">
            <w:pPr>
              <w:spacing w:after="240"/>
              <w:rPr>
                <w:lang w:val="fr-FR"/>
              </w:rPr>
            </w:pPr>
            <w:r w:rsidRPr="008764AA">
              <w:rPr>
                <w:lang w:val="fr-FR"/>
              </w:rPr>
              <w:t>3</w:t>
            </w:r>
          </w:p>
        </w:tc>
        <w:tc>
          <w:tcPr>
            <w:tcW w:w="1857" w:type="dxa"/>
          </w:tcPr>
          <w:p w:rsidR="00E772DD" w:rsidRPr="008764AA" w:rsidRDefault="00E772DD" w:rsidP="00023311">
            <w:pPr>
              <w:spacing w:after="240"/>
              <w:rPr>
                <w:lang w:val="fr-FR"/>
              </w:rPr>
            </w:pPr>
            <w:r w:rsidRPr="008764AA">
              <w:rPr>
                <w:rFonts w:eastAsiaTheme="minorHAnsi"/>
                <w:lang w:val="fr-FR"/>
                <w14:ligatures w14:val="standardContextual"/>
              </w:rPr>
              <w:t>Le suivi des acquis se fait systématiquement via des outils numériques.</w:t>
            </w: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4.1471 </w:t>
            </w:r>
          </w:p>
          <w:p w:rsidR="00E772DD" w:rsidRPr="008764AA" w:rsidRDefault="00E772DD" w:rsidP="00023311">
            <w:pPr>
              <w:spacing w:after="240"/>
              <w:rPr>
                <w:lang w:val="fr-FR"/>
              </w:rPr>
            </w:pP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1.3616</w:t>
            </w:r>
          </w:p>
          <w:p w:rsidR="00E772DD" w:rsidRPr="008764AA" w:rsidRDefault="00E772DD" w:rsidP="00023311">
            <w:pPr>
              <w:spacing w:after="240"/>
              <w:rPr>
                <w:lang w:val="fr-FR"/>
              </w:rPr>
            </w:pPr>
          </w:p>
        </w:tc>
        <w:tc>
          <w:tcPr>
            <w:tcW w:w="1173"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39.711</w:t>
            </w:r>
          </w:p>
          <w:p w:rsidR="00E772DD" w:rsidRPr="008764AA" w:rsidRDefault="00E772DD" w:rsidP="00023311">
            <w:pPr>
              <w:spacing w:after="240"/>
              <w:rPr>
                <w:lang w:val="fr-FR"/>
              </w:rPr>
            </w:pPr>
          </w:p>
        </w:tc>
        <w:tc>
          <w:tcPr>
            <w:tcW w:w="236" w:type="dxa"/>
          </w:tcPr>
          <w:p w:rsidR="00E772DD" w:rsidRPr="008764AA" w:rsidRDefault="00E772DD" w:rsidP="00023311">
            <w:pPr>
              <w:rPr>
                <w:lang w:val="fr-FR"/>
              </w:rPr>
            </w:pPr>
            <w:r w:rsidRPr="008764AA">
              <w:rPr>
                <w:lang w:val="fr-FR"/>
              </w:rPr>
              <w:t>169</w:t>
            </w:r>
          </w:p>
        </w:tc>
        <w:tc>
          <w:tcPr>
            <w:tcW w:w="634" w:type="dxa"/>
          </w:tcPr>
          <w:p w:rsidR="00E772DD" w:rsidRPr="008764AA" w:rsidRDefault="00E772DD" w:rsidP="00023311">
            <w:pPr>
              <w:rPr>
                <w:lang w:val="fr-FR"/>
              </w:rPr>
            </w:pPr>
            <w:r w:rsidRPr="008764AA">
              <w:rPr>
                <w:lang w:val="fr-FR"/>
              </w:rPr>
              <w:t>.000</w:t>
            </w:r>
          </w:p>
        </w:tc>
        <w:tc>
          <w:tcPr>
            <w:tcW w:w="967" w:type="dxa"/>
          </w:tcPr>
          <w:p w:rsidR="00E772DD" w:rsidRPr="008764AA" w:rsidRDefault="00E772DD" w:rsidP="00023311">
            <w:pPr>
              <w:spacing w:after="240"/>
              <w:rPr>
                <w:lang w:val="fr-FR"/>
              </w:rPr>
            </w:pPr>
            <w:r w:rsidRPr="008764AA">
              <w:rPr>
                <w:lang w:val="fr-FR"/>
              </w:rPr>
              <w:t>2</w:t>
            </w:r>
          </w:p>
        </w:tc>
        <w:tc>
          <w:tcPr>
            <w:tcW w:w="1099" w:type="dxa"/>
          </w:tcPr>
          <w:p w:rsidR="00E772DD" w:rsidRPr="008764AA" w:rsidRDefault="00E772DD" w:rsidP="00023311">
            <w:pPr>
              <w:rPr>
                <w:lang w:val="fr-FR"/>
              </w:rPr>
            </w:pPr>
            <w:r w:rsidRPr="008764AA">
              <w:rPr>
                <w:lang w:val="fr-FR"/>
              </w:rPr>
              <w:t>Tout à fait d'accord</w:t>
            </w:r>
          </w:p>
        </w:tc>
      </w:tr>
      <w:tr w:rsidR="00E772DD" w:rsidRPr="008764AA" w:rsidTr="00AE378F">
        <w:tc>
          <w:tcPr>
            <w:tcW w:w="471" w:type="dxa"/>
            <w:shd w:val="clear" w:color="auto" w:fill="D8DCD1"/>
          </w:tcPr>
          <w:p w:rsidR="00E772DD" w:rsidRPr="008764AA" w:rsidRDefault="00E772DD" w:rsidP="00023311">
            <w:pPr>
              <w:spacing w:after="240"/>
              <w:rPr>
                <w:lang w:val="fr-FR"/>
              </w:rPr>
            </w:pPr>
            <w:r w:rsidRPr="008764AA">
              <w:rPr>
                <w:lang w:val="fr-FR"/>
              </w:rPr>
              <w:t>4</w:t>
            </w:r>
          </w:p>
        </w:tc>
        <w:tc>
          <w:tcPr>
            <w:tcW w:w="1857" w:type="dxa"/>
          </w:tcPr>
          <w:p w:rsidR="00E772DD" w:rsidRPr="008764AA" w:rsidRDefault="00E772DD" w:rsidP="00023311">
            <w:pPr>
              <w:spacing w:after="240"/>
              <w:rPr>
                <w:lang w:val="fr-FR"/>
              </w:rPr>
            </w:pPr>
            <w:r w:rsidRPr="008764AA">
              <w:rPr>
                <w:rFonts w:eastAsiaTheme="minorHAnsi"/>
                <w:lang w:val="fr-FR"/>
                <w14:ligatures w14:val="standardContextual"/>
              </w:rPr>
              <w:t>L’ERP est un outil efficace pour planifier et gérer la formation dans l’entreprise.</w:t>
            </w: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3.9353</w:t>
            </w:r>
          </w:p>
          <w:p w:rsidR="00E772DD" w:rsidRPr="008764AA" w:rsidRDefault="00E772DD" w:rsidP="00023311">
            <w:pPr>
              <w:spacing w:after="240"/>
              <w:rPr>
                <w:lang w:val="fr-FR"/>
              </w:rPr>
            </w:pP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1.2878</w:t>
            </w:r>
          </w:p>
          <w:p w:rsidR="00E772DD" w:rsidRPr="008764AA" w:rsidRDefault="00E772DD" w:rsidP="00023311">
            <w:pPr>
              <w:spacing w:after="240"/>
              <w:rPr>
                <w:lang w:val="fr-FR"/>
              </w:rPr>
            </w:pPr>
          </w:p>
        </w:tc>
        <w:tc>
          <w:tcPr>
            <w:tcW w:w="1173"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39.842</w:t>
            </w:r>
          </w:p>
          <w:p w:rsidR="00E772DD" w:rsidRPr="008764AA" w:rsidRDefault="00E772DD" w:rsidP="00023311">
            <w:pPr>
              <w:spacing w:after="240"/>
              <w:rPr>
                <w:lang w:val="fr-FR"/>
              </w:rPr>
            </w:pPr>
          </w:p>
        </w:tc>
        <w:tc>
          <w:tcPr>
            <w:tcW w:w="236" w:type="dxa"/>
          </w:tcPr>
          <w:p w:rsidR="00E772DD" w:rsidRPr="008764AA" w:rsidRDefault="00E772DD" w:rsidP="00023311">
            <w:pPr>
              <w:rPr>
                <w:lang w:val="fr-FR"/>
              </w:rPr>
            </w:pPr>
            <w:r w:rsidRPr="008764AA">
              <w:rPr>
                <w:lang w:val="fr-FR"/>
              </w:rPr>
              <w:t>169</w:t>
            </w:r>
          </w:p>
        </w:tc>
        <w:tc>
          <w:tcPr>
            <w:tcW w:w="634" w:type="dxa"/>
          </w:tcPr>
          <w:p w:rsidR="00E772DD" w:rsidRPr="008764AA" w:rsidRDefault="00E772DD" w:rsidP="00023311">
            <w:pPr>
              <w:rPr>
                <w:lang w:val="fr-FR"/>
              </w:rPr>
            </w:pPr>
            <w:r w:rsidRPr="008764AA">
              <w:rPr>
                <w:lang w:val="fr-FR"/>
              </w:rPr>
              <w:t>.000</w:t>
            </w:r>
          </w:p>
        </w:tc>
        <w:tc>
          <w:tcPr>
            <w:tcW w:w="967" w:type="dxa"/>
          </w:tcPr>
          <w:p w:rsidR="00E772DD" w:rsidRPr="008764AA" w:rsidRDefault="00E772DD" w:rsidP="00023311">
            <w:pPr>
              <w:spacing w:after="240"/>
              <w:rPr>
                <w:lang w:val="fr-FR"/>
              </w:rPr>
            </w:pPr>
            <w:r w:rsidRPr="008764AA">
              <w:rPr>
                <w:lang w:val="fr-FR"/>
              </w:rPr>
              <w:t>3</w:t>
            </w:r>
          </w:p>
        </w:tc>
        <w:tc>
          <w:tcPr>
            <w:tcW w:w="1099" w:type="dxa"/>
          </w:tcPr>
          <w:p w:rsidR="00E772DD" w:rsidRPr="008764AA" w:rsidRDefault="00E772DD" w:rsidP="00023311">
            <w:pPr>
              <w:rPr>
                <w:lang w:val="fr-FR"/>
              </w:rPr>
            </w:pPr>
            <w:r w:rsidRPr="008764AA">
              <w:rPr>
                <w:lang w:val="fr-FR"/>
              </w:rPr>
              <w:t xml:space="preserve">D'accord </w:t>
            </w:r>
          </w:p>
        </w:tc>
      </w:tr>
      <w:tr w:rsidR="00E772DD" w:rsidRPr="008764AA" w:rsidTr="00AE378F">
        <w:tc>
          <w:tcPr>
            <w:tcW w:w="471" w:type="dxa"/>
            <w:shd w:val="clear" w:color="auto" w:fill="D8DCD1"/>
          </w:tcPr>
          <w:p w:rsidR="00E772DD" w:rsidRPr="008764AA" w:rsidRDefault="00E772DD" w:rsidP="00023311">
            <w:pPr>
              <w:spacing w:after="240"/>
              <w:rPr>
                <w:lang w:val="fr-FR"/>
              </w:rPr>
            </w:pPr>
            <w:r w:rsidRPr="008764AA">
              <w:rPr>
                <w:lang w:val="fr-FR"/>
              </w:rPr>
              <w:t>5</w:t>
            </w:r>
          </w:p>
        </w:tc>
        <w:tc>
          <w:tcPr>
            <w:tcW w:w="1857" w:type="dxa"/>
          </w:tcPr>
          <w:p w:rsidR="00E772DD" w:rsidRPr="008764AA" w:rsidRDefault="00E772DD" w:rsidP="00023311">
            <w:pPr>
              <w:spacing w:after="240"/>
              <w:rPr>
                <w:lang w:val="fr-FR"/>
              </w:rPr>
            </w:pPr>
            <w:r w:rsidRPr="008764AA">
              <w:rPr>
                <w:rFonts w:eastAsiaTheme="minorHAnsi"/>
                <w:lang w:val="fr-FR"/>
                <w14:ligatures w14:val="standardContextual"/>
              </w:rPr>
              <w:t>Les parcours de formation sont adaptés numériquement aux besoins individuels.</w:t>
            </w: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3.8706 </w:t>
            </w:r>
          </w:p>
          <w:p w:rsidR="00E772DD" w:rsidRPr="008764AA" w:rsidRDefault="00E772DD" w:rsidP="00023311">
            <w:pPr>
              <w:spacing w:after="240"/>
              <w:rPr>
                <w:lang w:val="fr-FR"/>
              </w:rPr>
            </w:pP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1.2573</w:t>
            </w:r>
          </w:p>
          <w:p w:rsidR="00E772DD" w:rsidRPr="008764AA" w:rsidRDefault="00E772DD" w:rsidP="00023311">
            <w:pPr>
              <w:spacing w:after="240"/>
              <w:rPr>
                <w:lang w:val="fr-FR"/>
              </w:rPr>
            </w:pPr>
          </w:p>
        </w:tc>
        <w:tc>
          <w:tcPr>
            <w:tcW w:w="1173"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40.139 </w:t>
            </w:r>
          </w:p>
          <w:p w:rsidR="00E772DD" w:rsidRPr="008764AA" w:rsidRDefault="00E772DD" w:rsidP="00023311">
            <w:pPr>
              <w:spacing w:after="240"/>
              <w:rPr>
                <w:lang w:val="fr-FR"/>
              </w:rPr>
            </w:pPr>
          </w:p>
        </w:tc>
        <w:tc>
          <w:tcPr>
            <w:tcW w:w="236" w:type="dxa"/>
          </w:tcPr>
          <w:p w:rsidR="00E772DD" w:rsidRPr="008764AA" w:rsidRDefault="00E772DD" w:rsidP="00023311">
            <w:pPr>
              <w:rPr>
                <w:lang w:val="fr-FR"/>
              </w:rPr>
            </w:pPr>
            <w:r w:rsidRPr="008764AA">
              <w:rPr>
                <w:lang w:val="fr-FR"/>
              </w:rPr>
              <w:t>169</w:t>
            </w:r>
          </w:p>
        </w:tc>
        <w:tc>
          <w:tcPr>
            <w:tcW w:w="634" w:type="dxa"/>
          </w:tcPr>
          <w:p w:rsidR="00E772DD" w:rsidRPr="008764AA" w:rsidRDefault="00E772DD" w:rsidP="00023311">
            <w:pPr>
              <w:rPr>
                <w:lang w:val="fr-FR"/>
              </w:rPr>
            </w:pPr>
            <w:r w:rsidRPr="008764AA">
              <w:rPr>
                <w:lang w:val="fr-FR"/>
              </w:rPr>
              <w:t>.000</w:t>
            </w:r>
          </w:p>
        </w:tc>
        <w:tc>
          <w:tcPr>
            <w:tcW w:w="967" w:type="dxa"/>
          </w:tcPr>
          <w:p w:rsidR="00E772DD" w:rsidRPr="008764AA" w:rsidRDefault="00E772DD" w:rsidP="00023311">
            <w:pPr>
              <w:spacing w:after="240"/>
              <w:rPr>
                <w:lang w:val="fr-FR"/>
              </w:rPr>
            </w:pPr>
            <w:r w:rsidRPr="008764AA">
              <w:rPr>
                <w:lang w:val="fr-FR"/>
              </w:rPr>
              <w:t>4</w:t>
            </w:r>
          </w:p>
        </w:tc>
        <w:tc>
          <w:tcPr>
            <w:tcW w:w="1099" w:type="dxa"/>
          </w:tcPr>
          <w:p w:rsidR="00E772DD" w:rsidRPr="008764AA" w:rsidRDefault="00E772DD" w:rsidP="00023311">
            <w:pPr>
              <w:rPr>
                <w:lang w:val="fr-FR"/>
              </w:rPr>
            </w:pPr>
            <w:r w:rsidRPr="008764AA">
              <w:rPr>
                <w:lang w:val="fr-FR"/>
              </w:rPr>
              <w:t xml:space="preserve">D'accord </w:t>
            </w:r>
          </w:p>
        </w:tc>
      </w:tr>
      <w:tr w:rsidR="00E772DD" w:rsidRPr="008764AA" w:rsidTr="00AE378F">
        <w:tc>
          <w:tcPr>
            <w:tcW w:w="471" w:type="dxa"/>
            <w:shd w:val="clear" w:color="auto" w:fill="D8DCD1"/>
          </w:tcPr>
          <w:p w:rsidR="00E772DD" w:rsidRPr="008764AA" w:rsidRDefault="00E772DD" w:rsidP="00023311">
            <w:pPr>
              <w:spacing w:after="240"/>
              <w:rPr>
                <w:lang w:val="fr-FR"/>
              </w:rPr>
            </w:pPr>
            <w:r w:rsidRPr="008764AA">
              <w:rPr>
                <w:lang w:val="fr-FR"/>
              </w:rPr>
              <w:t>6</w:t>
            </w:r>
          </w:p>
        </w:tc>
        <w:tc>
          <w:tcPr>
            <w:tcW w:w="1857" w:type="dxa"/>
          </w:tcPr>
          <w:p w:rsidR="00E772DD" w:rsidRPr="008764AA" w:rsidRDefault="00E772DD" w:rsidP="00023311">
            <w:pPr>
              <w:spacing w:after="240"/>
              <w:rPr>
                <w:lang w:val="fr-FR"/>
              </w:rPr>
            </w:pPr>
            <w:r w:rsidRPr="008764AA">
              <w:rPr>
                <w:rFonts w:eastAsiaTheme="minorHAnsi"/>
                <w:lang w:val="fr-FR"/>
                <w14:ligatures w14:val="standardContextual"/>
              </w:rPr>
              <w:t>La formation digitale est aussi efficace que la formation en présentiel.</w:t>
            </w: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3.7118</w:t>
            </w:r>
          </w:p>
          <w:p w:rsidR="00E772DD" w:rsidRPr="008764AA" w:rsidRDefault="00E772DD" w:rsidP="00023311">
            <w:pPr>
              <w:spacing w:after="240"/>
              <w:rPr>
                <w:lang w:val="fr-FR"/>
              </w:rPr>
            </w:pP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1.1637</w:t>
            </w:r>
          </w:p>
          <w:p w:rsidR="00E772DD" w:rsidRPr="008764AA" w:rsidRDefault="00E772DD" w:rsidP="00023311">
            <w:pPr>
              <w:spacing w:after="240"/>
              <w:rPr>
                <w:lang w:val="fr-FR"/>
              </w:rPr>
            </w:pPr>
          </w:p>
        </w:tc>
        <w:tc>
          <w:tcPr>
            <w:tcW w:w="1173"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41.586</w:t>
            </w:r>
          </w:p>
          <w:p w:rsidR="00E772DD" w:rsidRPr="008764AA" w:rsidRDefault="00E772DD" w:rsidP="00023311">
            <w:pPr>
              <w:spacing w:after="240"/>
              <w:rPr>
                <w:lang w:val="fr-FR"/>
              </w:rPr>
            </w:pPr>
          </w:p>
        </w:tc>
        <w:tc>
          <w:tcPr>
            <w:tcW w:w="236" w:type="dxa"/>
          </w:tcPr>
          <w:p w:rsidR="00E772DD" w:rsidRPr="008764AA" w:rsidRDefault="00E772DD" w:rsidP="00023311">
            <w:pPr>
              <w:rPr>
                <w:lang w:val="fr-FR"/>
              </w:rPr>
            </w:pPr>
            <w:r w:rsidRPr="008764AA">
              <w:rPr>
                <w:lang w:val="fr-FR"/>
              </w:rPr>
              <w:t>169</w:t>
            </w:r>
          </w:p>
        </w:tc>
        <w:tc>
          <w:tcPr>
            <w:tcW w:w="634" w:type="dxa"/>
          </w:tcPr>
          <w:p w:rsidR="00E772DD" w:rsidRPr="008764AA" w:rsidRDefault="00E772DD" w:rsidP="00023311">
            <w:pPr>
              <w:rPr>
                <w:lang w:val="fr-FR"/>
              </w:rPr>
            </w:pPr>
            <w:r w:rsidRPr="008764AA">
              <w:rPr>
                <w:lang w:val="fr-FR"/>
              </w:rPr>
              <w:t>.000</w:t>
            </w:r>
          </w:p>
        </w:tc>
        <w:tc>
          <w:tcPr>
            <w:tcW w:w="967" w:type="dxa"/>
          </w:tcPr>
          <w:p w:rsidR="00E772DD" w:rsidRPr="008764AA" w:rsidRDefault="00E772DD" w:rsidP="00023311">
            <w:pPr>
              <w:spacing w:after="240"/>
              <w:rPr>
                <w:lang w:val="fr-FR"/>
              </w:rPr>
            </w:pPr>
            <w:r w:rsidRPr="008764AA">
              <w:rPr>
                <w:lang w:val="fr-FR"/>
              </w:rPr>
              <w:t>7</w:t>
            </w:r>
          </w:p>
        </w:tc>
        <w:tc>
          <w:tcPr>
            <w:tcW w:w="1099" w:type="dxa"/>
          </w:tcPr>
          <w:p w:rsidR="00E772DD" w:rsidRPr="008764AA" w:rsidRDefault="00E772DD" w:rsidP="00023311">
            <w:pPr>
              <w:rPr>
                <w:lang w:val="fr-FR"/>
              </w:rPr>
            </w:pPr>
            <w:r w:rsidRPr="008764AA">
              <w:rPr>
                <w:lang w:val="fr-FR"/>
              </w:rPr>
              <w:t xml:space="preserve">D'accord </w:t>
            </w:r>
          </w:p>
        </w:tc>
      </w:tr>
      <w:tr w:rsidR="00E772DD" w:rsidRPr="008764AA" w:rsidTr="00AE378F">
        <w:tc>
          <w:tcPr>
            <w:tcW w:w="471" w:type="dxa"/>
            <w:shd w:val="clear" w:color="auto" w:fill="D8DCD1"/>
          </w:tcPr>
          <w:p w:rsidR="00E772DD" w:rsidRPr="008764AA" w:rsidRDefault="00E772DD" w:rsidP="00023311">
            <w:pPr>
              <w:spacing w:after="240"/>
              <w:rPr>
                <w:lang w:val="fr-FR"/>
              </w:rPr>
            </w:pPr>
            <w:r w:rsidRPr="008764AA">
              <w:rPr>
                <w:lang w:val="fr-FR"/>
              </w:rPr>
              <w:t>7</w:t>
            </w:r>
          </w:p>
        </w:tc>
        <w:tc>
          <w:tcPr>
            <w:tcW w:w="1857" w:type="dxa"/>
          </w:tcPr>
          <w:p w:rsidR="00E772DD" w:rsidRPr="008764AA" w:rsidRDefault="00E772DD" w:rsidP="00023311">
            <w:pPr>
              <w:spacing w:after="240"/>
              <w:rPr>
                <w:lang w:val="fr-FR"/>
              </w:rPr>
            </w:pPr>
            <w:r w:rsidRPr="008764AA">
              <w:rPr>
                <w:rFonts w:eastAsiaTheme="minorHAnsi"/>
                <w:lang w:val="fr-FR"/>
                <w14:ligatures w14:val="standardContextual"/>
              </w:rPr>
              <w:t>Les contenus de formation sont mis à jour régulièrement.</w:t>
            </w: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3.7765</w:t>
            </w:r>
          </w:p>
          <w:p w:rsidR="00E772DD" w:rsidRPr="008764AA" w:rsidRDefault="00E772DD" w:rsidP="00023311">
            <w:pPr>
              <w:spacing w:after="240"/>
              <w:rPr>
                <w:lang w:val="fr-FR"/>
              </w:rPr>
            </w:pPr>
          </w:p>
        </w:tc>
        <w:tc>
          <w:tcPr>
            <w:tcW w:w="1295"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1.2053</w:t>
            </w:r>
          </w:p>
          <w:p w:rsidR="00E772DD" w:rsidRPr="008764AA" w:rsidRDefault="00E772DD" w:rsidP="00023311">
            <w:pPr>
              <w:spacing w:after="240"/>
              <w:rPr>
                <w:lang w:val="fr-FR"/>
              </w:rPr>
            </w:pPr>
          </w:p>
        </w:tc>
        <w:tc>
          <w:tcPr>
            <w:tcW w:w="1173"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40.853</w:t>
            </w:r>
          </w:p>
          <w:p w:rsidR="00E772DD" w:rsidRPr="008764AA" w:rsidRDefault="00E772DD" w:rsidP="00023311">
            <w:pPr>
              <w:spacing w:after="240"/>
              <w:rPr>
                <w:lang w:val="fr-FR"/>
              </w:rPr>
            </w:pPr>
          </w:p>
        </w:tc>
        <w:tc>
          <w:tcPr>
            <w:tcW w:w="236" w:type="dxa"/>
          </w:tcPr>
          <w:p w:rsidR="00E772DD" w:rsidRPr="008764AA" w:rsidRDefault="00E772DD" w:rsidP="00023311">
            <w:pPr>
              <w:rPr>
                <w:lang w:val="fr-FR"/>
              </w:rPr>
            </w:pPr>
            <w:r w:rsidRPr="008764AA">
              <w:rPr>
                <w:lang w:val="fr-FR"/>
              </w:rPr>
              <w:t>169</w:t>
            </w:r>
          </w:p>
        </w:tc>
        <w:tc>
          <w:tcPr>
            <w:tcW w:w="634" w:type="dxa"/>
          </w:tcPr>
          <w:p w:rsidR="00E772DD" w:rsidRPr="008764AA" w:rsidRDefault="00E772DD" w:rsidP="00023311">
            <w:pPr>
              <w:rPr>
                <w:lang w:val="fr-FR"/>
              </w:rPr>
            </w:pPr>
            <w:r w:rsidRPr="008764AA">
              <w:rPr>
                <w:lang w:val="fr-FR"/>
              </w:rPr>
              <w:t>.000</w:t>
            </w:r>
          </w:p>
        </w:tc>
        <w:tc>
          <w:tcPr>
            <w:tcW w:w="967" w:type="dxa"/>
          </w:tcPr>
          <w:p w:rsidR="00E772DD" w:rsidRPr="008764AA" w:rsidRDefault="00E772DD" w:rsidP="00023311">
            <w:pPr>
              <w:spacing w:after="240"/>
              <w:rPr>
                <w:lang w:val="fr-FR"/>
              </w:rPr>
            </w:pPr>
            <w:r w:rsidRPr="008764AA">
              <w:rPr>
                <w:lang w:val="fr-FR"/>
              </w:rPr>
              <w:t>5</w:t>
            </w:r>
          </w:p>
        </w:tc>
        <w:tc>
          <w:tcPr>
            <w:tcW w:w="1099" w:type="dxa"/>
          </w:tcPr>
          <w:p w:rsidR="00E772DD" w:rsidRPr="008764AA" w:rsidRDefault="00E772DD" w:rsidP="00023311">
            <w:pPr>
              <w:rPr>
                <w:lang w:val="fr-FR"/>
              </w:rPr>
            </w:pPr>
            <w:r w:rsidRPr="008764AA">
              <w:rPr>
                <w:lang w:val="fr-FR"/>
              </w:rPr>
              <w:t xml:space="preserve">D'accord </w:t>
            </w:r>
          </w:p>
        </w:tc>
      </w:tr>
      <w:tr w:rsidR="00E772DD" w:rsidRPr="008764AA" w:rsidTr="00E720E9">
        <w:tc>
          <w:tcPr>
            <w:tcW w:w="471" w:type="dxa"/>
          </w:tcPr>
          <w:p w:rsidR="00E772DD" w:rsidRPr="008764AA" w:rsidRDefault="00E772DD" w:rsidP="00023311">
            <w:pPr>
              <w:spacing w:after="240"/>
              <w:rPr>
                <w:lang w:val="fr-FR"/>
              </w:rPr>
            </w:pPr>
          </w:p>
        </w:tc>
        <w:tc>
          <w:tcPr>
            <w:tcW w:w="1857" w:type="dxa"/>
          </w:tcPr>
          <w:p w:rsidR="00E772DD" w:rsidRPr="008764AA" w:rsidRDefault="00E772DD" w:rsidP="00023311">
            <w:pPr>
              <w:spacing w:after="240"/>
              <w:rPr>
                <w:lang w:val="fr-FR"/>
              </w:rPr>
            </w:pPr>
            <w:r w:rsidRPr="008764AA">
              <w:rPr>
                <w:lang w:val="fr-FR"/>
              </w:rPr>
              <w:t xml:space="preserve">Total </w:t>
            </w:r>
            <w:r w:rsidRPr="008764AA">
              <w:rPr>
                <w:color w:val="000000"/>
                <w:lang w:val="fr-FR"/>
              </w:rPr>
              <w:t>Processus de formation digitalisée</w:t>
            </w:r>
          </w:p>
        </w:tc>
        <w:tc>
          <w:tcPr>
            <w:tcW w:w="1295" w:type="dxa"/>
          </w:tcPr>
          <w:p w:rsidR="00E772DD" w:rsidRPr="008764AA" w:rsidRDefault="00E772DD" w:rsidP="00023311">
            <w:pPr>
              <w:rPr>
                <w:color w:val="000000"/>
                <w:lang w:val="fr-FR"/>
              </w:rPr>
            </w:pPr>
            <w:r w:rsidRPr="008764AA">
              <w:rPr>
                <w:color w:val="000000"/>
                <w:lang w:val="fr-FR"/>
              </w:rPr>
              <w:t>3</w:t>
            </w:r>
            <w:r>
              <w:rPr>
                <w:color w:val="000000"/>
                <w:lang w:val="fr-FR"/>
              </w:rPr>
              <w:t>.</w:t>
            </w:r>
            <w:r w:rsidRPr="008764AA">
              <w:rPr>
                <w:color w:val="000000"/>
                <w:lang w:val="fr-FR"/>
              </w:rPr>
              <w:t>913</w:t>
            </w:r>
          </w:p>
        </w:tc>
        <w:tc>
          <w:tcPr>
            <w:tcW w:w="1295" w:type="dxa"/>
          </w:tcPr>
          <w:p w:rsidR="00E772DD" w:rsidRPr="008764AA" w:rsidRDefault="00E772DD" w:rsidP="00023311">
            <w:pPr>
              <w:rPr>
                <w:color w:val="000000"/>
                <w:lang w:val="fr-FR"/>
              </w:rPr>
            </w:pPr>
            <w:r w:rsidRPr="008764AA">
              <w:rPr>
                <w:color w:val="000000"/>
                <w:lang w:val="fr-FR"/>
              </w:rPr>
              <w:t>1</w:t>
            </w:r>
            <w:r>
              <w:rPr>
                <w:color w:val="000000"/>
                <w:lang w:val="fr-FR"/>
              </w:rPr>
              <w:t>.</w:t>
            </w:r>
            <w:r w:rsidRPr="008764AA">
              <w:rPr>
                <w:color w:val="000000"/>
                <w:lang w:val="fr-FR"/>
              </w:rPr>
              <w:t>257</w:t>
            </w:r>
          </w:p>
        </w:tc>
        <w:tc>
          <w:tcPr>
            <w:tcW w:w="1173" w:type="dxa"/>
          </w:tcPr>
          <w:p w:rsidR="00E772DD" w:rsidRPr="008764AA" w:rsidRDefault="00E772DD" w:rsidP="00023311">
            <w:pPr>
              <w:rPr>
                <w:color w:val="000000"/>
                <w:lang w:val="fr-FR"/>
              </w:rPr>
            </w:pPr>
            <w:r w:rsidRPr="008764AA">
              <w:rPr>
                <w:color w:val="000000"/>
                <w:lang w:val="fr-FR"/>
              </w:rPr>
              <w:t>40</w:t>
            </w:r>
            <w:r>
              <w:rPr>
                <w:color w:val="000000"/>
                <w:lang w:val="fr-FR"/>
              </w:rPr>
              <w:t>.</w:t>
            </w:r>
            <w:r w:rsidRPr="008764AA">
              <w:rPr>
                <w:color w:val="000000"/>
                <w:lang w:val="fr-FR"/>
              </w:rPr>
              <w:t>636</w:t>
            </w:r>
          </w:p>
        </w:tc>
        <w:tc>
          <w:tcPr>
            <w:tcW w:w="236" w:type="dxa"/>
          </w:tcPr>
          <w:p w:rsidR="00E772DD" w:rsidRPr="008764AA" w:rsidRDefault="00E772DD" w:rsidP="00023311">
            <w:pPr>
              <w:rPr>
                <w:lang w:val="fr-FR"/>
              </w:rPr>
            </w:pPr>
            <w:r w:rsidRPr="008764AA">
              <w:rPr>
                <w:lang w:val="fr-FR"/>
              </w:rPr>
              <w:t>169</w:t>
            </w:r>
          </w:p>
        </w:tc>
        <w:tc>
          <w:tcPr>
            <w:tcW w:w="634" w:type="dxa"/>
          </w:tcPr>
          <w:p w:rsidR="00E772DD" w:rsidRPr="008764AA" w:rsidRDefault="00E772DD" w:rsidP="00023311">
            <w:pPr>
              <w:spacing w:after="240"/>
              <w:rPr>
                <w:lang w:val="fr-FR"/>
              </w:rPr>
            </w:pPr>
            <w:r w:rsidRPr="008764AA">
              <w:rPr>
                <w:lang w:val="fr-FR"/>
              </w:rPr>
              <w:t>.000</w:t>
            </w:r>
          </w:p>
        </w:tc>
        <w:tc>
          <w:tcPr>
            <w:tcW w:w="967" w:type="dxa"/>
          </w:tcPr>
          <w:p w:rsidR="00E772DD" w:rsidRPr="008764AA" w:rsidRDefault="00E772DD" w:rsidP="00023311">
            <w:pPr>
              <w:spacing w:after="240"/>
              <w:rPr>
                <w:lang w:val="fr-FR"/>
              </w:rPr>
            </w:pPr>
          </w:p>
        </w:tc>
        <w:tc>
          <w:tcPr>
            <w:tcW w:w="1099" w:type="dxa"/>
          </w:tcPr>
          <w:p w:rsidR="00E772DD" w:rsidRPr="008764AA" w:rsidRDefault="00E772DD" w:rsidP="00023311">
            <w:pPr>
              <w:pStyle w:val="PrformatHTML"/>
              <w:wordWrap w:val="0"/>
              <w:rPr>
                <w:rFonts w:ascii="Times New Roman" w:hAnsi="Times New Roman" w:cs="Times New Roman"/>
                <w:sz w:val="24"/>
                <w:szCs w:val="24"/>
                <w:lang w:val="fr-FR"/>
              </w:rPr>
            </w:pPr>
            <w:r w:rsidRPr="008764AA">
              <w:rPr>
                <w:rFonts w:ascii="Times New Roman" w:hAnsi="Times New Roman" w:cs="Times New Roman"/>
                <w:sz w:val="24"/>
                <w:szCs w:val="24"/>
                <w:lang w:val="fr-FR"/>
              </w:rPr>
              <w:t xml:space="preserve">D'accord </w:t>
            </w:r>
          </w:p>
          <w:p w:rsidR="00E772DD" w:rsidRPr="008764AA" w:rsidRDefault="00E772DD" w:rsidP="00023311">
            <w:pPr>
              <w:spacing w:after="240"/>
              <w:rPr>
                <w:lang w:val="fr-FR"/>
              </w:rPr>
            </w:pPr>
          </w:p>
        </w:tc>
      </w:tr>
    </w:tbl>
    <w:p w:rsidR="00E772DD" w:rsidRPr="008764AA" w:rsidRDefault="00E772DD" w:rsidP="000F4CA3">
      <w:pPr>
        <w:spacing w:line="360" w:lineRule="auto"/>
        <w:jc w:val="center"/>
        <w:rPr>
          <w:rFonts w:asciiTheme="majorBidi" w:hAnsiTheme="majorBidi" w:cstheme="majorBidi"/>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E772DD" w:rsidRPr="008764AA" w:rsidRDefault="00E772DD" w:rsidP="004D32AC">
      <w:pPr>
        <w:pStyle w:val="Paragraphedeliste"/>
        <w:numPr>
          <w:ilvl w:val="0"/>
          <w:numId w:val="142"/>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L’affirmation numéro 2 arrive en tête avec une valeur t de 40</w:t>
      </w:r>
      <w:r>
        <w:rPr>
          <w:rFonts w:asciiTheme="majorBidi" w:hAnsiTheme="majorBidi" w:cstheme="majorBidi"/>
        </w:rPr>
        <w:t>,</w:t>
      </w:r>
      <w:r w:rsidRPr="008764AA">
        <w:rPr>
          <w:rFonts w:asciiTheme="majorBidi" w:hAnsiTheme="majorBidi" w:cstheme="majorBidi"/>
        </w:rPr>
        <w:t>958 et un niveau de signification de 0,000. Elle révèle que les outils digitaux sont régulièrement utilisés pour la formation continue.</w:t>
      </w:r>
    </w:p>
    <w:p w:rsidR="00E772DD" w:rsidRPr="008764AA" w:rsidRDefault="00E772DD" w:rsidP="004D32AC">
      <w:pPr>
        <w:pStyle w:val="Paragraphedeliste"/>
        <w:numPr>
          <w:ilvl w:val="0"/>
          <w:numId w:val="142"/>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L’affirmation numéro 3 se positionne en deuxième place avec une valeur t de 39</w:t>
      </w:r>
      <w:r>
        <w:rPr>
          <w:rFonts w:asciiTheme="majorBidi" w:hAnsiTheme="majorBidi" w:cstheme="majorBidi"/>
        </w:rPr>
        <w:t>,</w:t>
      </w:r>
      <w:r w:rsidRPr="008764AA">
        <w:rPr>
          <w:rFonts w:asciiTheme="majorBidi" w:hAnsiTheme="majorBidi" w:cstheme="majorBidi"/>
        </w:rPr>
        <w:t>711 et un niveau de signification de 0,000. Elle montre que le suivi des acquis est systématiquement effectué via des outils numériques.</w:t>
      </w:r>
    </w:p>
    <w:p w:rsidR="00E772DD" w:rsidRPr="008764AA" w:rsidRDefault="00E772DD" w:rsidP="004D32AC">
      <w:pPr>
        <w:pStyle w:val="Paragraphedeliste"/>
        <w:numPr>
          <w:ilvl w:val="0"/>
          <w:numId w:val="142"/>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 troisième position figure l’affirmation numéro 4, avec une valeur t de 39</w:t>
      </w:r>
      <w:r>
        <w:rPr>
          <w:rFonts w:asciiTheme="majorBidi" w:hAnsiTheme="majorBidi" w:cstheme="majorBidi"/>
        </w:rPr>
        <w:t>,</w:t>
      </w:r>
      <w:r w:rsidRPr="008764AA">
        <w:rPr>
          <w:rFonts w:asciiTheme="majorBidi" w:hAnsiTheme="majorBidi" w:cstheme="majorBidi"/>
        </w:rPr>
        <w:t>842 et un niveau de signification de 0,000. Selon les répondants, l’ERP constitue un outil efficace pour planifier et gérer les formations dans l’entreprise.</w:t>
      </w:r>
    </w:p>
    <w:p w:rsidR="00E772DD" w:rsidRPr="008764AA" w:rsidRDefault="00E772DD" w:rsidP="004D32AC">
      <w:pPr>
        <w:pStyle w:val="Paragraphedeliste"/>
        <w:numPr>
          <w:ilvl w:val="0"/>
          <w:numId w:val="142"/>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La quatrième place revient à l’affirmation numéro 5, dont la valeur t est de 40</w:t>
      </w:r>
      <w:r>
        <w:rPr>
          <w:rFonts w:asciiTheme="majorBidi" w:hAnsiTheme="majorBidi" w:cstheme="majorBidi"/>
        </w:rPr>
        <w:t>,</w:t>
      </w:r>
      <w:r w:rsidRPr="008764AA">
        <w:rPr>
          <w:rFonts w:asciiTheme="majorBidi" w:hAnsiTheme="majorBidi" w:cstheme="majorBidi"/>
        </w:rPr>
        <w:t>139 et un niveau de signification de 0,000. Elle indique que les parcours de formation sont adaptés numériquement aux besoins individuels.</w:t>
      </w:r>
    </w:p>
    <w:p w:rsidR="00E772DD" w:rsidRPr="008764AA" w:rsidRDefault="00E772DD" w:rsidP="004D32AC">
      <w:pPr>
        <w:pStyle w:val="Paragraphedeliste"/>
        <w:numPr>
          <w:ilvl w:val="0"/>
          <w:numId w:val="142"/>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L’affirmation numéro 7 se classe en cinquième position avec une valeur t de 40</w:t>
      </w:r>
      <w:r>
        <w:rPr>
          <w:rFonts w:asciiTheme="majorBidi" w:hAnsiTheme="majorBidi" w:cstheme="majorBidi"/>
        </w:rPr>
        <w:t>,</w:t>
      </w:r>
      <w:r w:rsidRPr="008764AA">
        <w:rPr>
          <w:rFonts w:asciiTheme="majorBidi" w:hAnsiTheme="majorBidi" w:cstheme="majorBidi"/>
        </w:rPr>
        <w:t>853 et un niveau de signification de 0,000. Elle met en évidence que les contenus de formation sont mis à jour régulièrement.</w:t>
      </w:r>
    </w:p>
    <w:p w:rsidR="00E772DD" w:rsidRPr="008764AA" w:rsidRDefault="00E772DD" w:rsidP="004D32AC">
      <w:pPr>
        <w:pStyle w:val="Paragraphedeliste"/>
        <w:numPr>
          <w:ilvl w:val="0"/>
          <w:numId w:val="142"/>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 sixième position, l’affirmation numéro 1, avec une valeur t de 41</w:t>
      </w:r>
      <w:r>
        <w:rPr>
          <w:rFonts w:asciiTheme="majorBidi" w:hAnsiTheme="majorBidi" w:cstheme="majorBidi"/>
        </w:rPr>
        <w:t>,</w:t>
      </w:r>
      <w:r w:rsidRPr="008764AA">
        <w:rPr>
          <w:rFonts w:asciiTheme="majorBidi" w:hAnsiTheme="majorBidi" w:cstheme="majorBidi"/>
        </w:rPr>
        <w:t>363 et un niveau de signification de 0,000, montre que les formations sont principalement dispensées en ligne.</w:t>
      </w:r>
    </w:p>
    <w:p w:rsidR="00E772DD" w:rsidRPr="008764AA" w:rsidRDefault="00E772DD" w:rsidP="004D32AC">
      <w:pPr>
        <w:pStyle w:val="Paragraphedeliste"/>
        <w:numPr>
          <w:ilvl w:val="0"/>
          <w:numId w:val="142"/>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Enfin, l’affirmation numéro 6 arrive en dernière position avec une valeur t de 41</w:t>
      </w:r>
      <w:r>
        <w:rPr>
          <w:rFonts w:asciiTheme="majorBidi" w:hAnsiTheme="majorBidi" w:cstheme="majorBidi"/>
        </w:rPr>
        <w:t>,</w:t>
      </w:r>
      <w:r w:rsidRPr="008764AA">
        <w:rPr>
          <w:rFonts w:asciiTheme="majorBidi" w:hAnsiTheme="majorBidi" w:cstheme="majorBidi"/>
        </w:rPr>
        <w:t xml:space="preserve">586 et un niveau de signification de 0,000. Les participants considèrent que la formation digitale est aussi efficace que la formation en présentiel. </w:t>
      </w:r>
    </w:p>
    <w:p w:rsidR="00E772DD" w:rsidRPr="008764AA" w:rsidRDefault="00E772DD" w:rsidP="006E613D">
      <w:pPr>
        <w:spacing w:line="360" w:lineRule="auto"/>
        <w:jc w:val="both"/>
        <w:rPr>
          <w:lang w:val="fr-FR"/>
        </w:rPr>
      </w:pPr>
      <w:r w:rsidRPr="008764AA">
        <w:rPr>
          <w:color w:val="000000"/>
          <w:lang w:val="fr-FR"/>
        </w:rPr>
        <w:t>Dans l’ensemble, les participants se montrent d’accord sur le fait que les processus de formation digitalisée sont pertinents, avec une moyenne générale de 3,913 et un écart-type de 1,257. La valeur t obtenue (40,636) est largement supérieure à la valeur t critique (</w:t>
      </w:r>
      <w:r>
        <w:rPr>
          <w:color w:val="000000"/>
          <w:lang w:val="fr-FR"/>
        </w:rPr>
        <w:t>1,974</w:t>
      </w:r>
      <w:r w:rsidRPr="008764AA">
        <w:rPr>
          <w:color w:val="000000"/>
          <w:lang w:val="fr-FR"/>
        </w:rPr>
        <w:t>), avec un seuil de signification de 0,000, bien inférieur au seuil conventionnel de 0,05. Ces résultats indiquent une perception globalement positive des processus de formation digitalisée parmi les répondants.</w:t>
      </w:r>
    </w:p>
    <w:p w:rsidR="00E772DD" w:rsidRPr="00A53242" w:rsidRDefault="00A53242" w:rsidP="004D32AC">
      <w:pPr>
        <w:pStyle w:val="Titre3"/>
        <w:numPr>
          <w:ilvl w:val="1"/>
          <w:numId w:val="175"/>
        </w:numPr>
        <w:spacing w:after="0" w:afterAutospacing="0" w:line="360" w:lineRule="auto"/>
        <w:rPr>
          <w:sz w:val="24"/>
          <w:szCs w:val="24"/>
          <w:lang w:val="fr-FR"/>
        </w:rPr>
      </w:pPr>
      <w:r>
        <w:rPr>
          <w:sz w:val="24"/>
          <w:szCs w:val="24"/>
          <w:lang w:val="fr-FR"/>
        </w:rPr>
        <w:t xml:space="preserve"> </w:t>
      </w:r>
      <w:bookmarkStart w:id="2340" w:name="_Toc199714581"/>
      <w:bookmarkStart w:id="2341" w:name="_Toc200486857"/>
      <w:bookmarkStart w:id="2342" w:name="_Toc200635635"/>
      <w:bookmarkStart w:id="2343" w:name="_Toc200636023"/>
      <w:bookmarkStart w:id="2344" w:name="_Toc200636412"/>
      <w:bookmarkStart w:id="2345" w:name="_Toc200756153"/>
      <w:r w:rsidR="00E772DD" w:rsidRPr="00A53242">
        <w:rPr>
          <w:sz w:val="24"/>
          <w:szCs w:val="24"/>
          <w:lang w:val="fr-FR"/>
        </w:rPr>
        <w:t>Analyse des résultats de l’axe “Performance des RH”</w:t>
      </w:r>
      <w:bookmarkEnd w:id="2340"/>
      <w:bookmarkEnd w:id="2341"/>
      <w:bookmarkEnd w:id="2342"/>
      <w:bookmarkEnd w:id="2343"/>
      <w:bookmarkEnd w:id="2344"/>
      <w:bookmarkEnd w:id="2345"/>
    </w:p>
    <w:p w:rsidR="00E772DD" w:rsidRPr="008764AA" w:rsidRDefault="00E772DD" w:rsidP="000F4CA3">
      <w:pPr>
        <w:spacing w:line="360" w:lineRule="auto"/>
        <w:jc w:val="center"/>
        <w:rPr>
          <w:color w:val="000000"/>
          <w:lang w:val="fr-FR"/>
        </w:rPr>
      </w:pPr>
      <w:r w:rsidRPr="008764AA">
        <w:rPr>
          <w:b/>
          <w:bCs/>
          <w:color w:val="000000"/>
          <w:lang w:val="fr-FR"/>
        </w:rPr>
        <w:t>Tableau</w:t>
      </w:r>
      <w:r>
        <w:rPr>
          <w:b/>
          <w:bCs/>
          <w:color w:val="000000"/>
          <w:lang w:val="fr-FR"/>
        </w:rPr>
        <w:t xml:space="preserve"> N°38</w:t>
      </w:r>
      <w:r w:rsidRPr="008764AA">
        <w:rPr>
          <w:b/>
          <w:bCs/>
          <w:color w:val="000000"/>
          <w:lang w:val="fr-FR"/>
        </w:rPr>
        <w:t xml:space="preserve"> : </w:t>
      </w:r>
      <w:r w:rsidRPr="00746B9C">
        <w:rPr>
          <w:color w:val="000000"/>
          <w:lang w:val="fr-FR"/>
        </w:rPr>
        <w:t>Test T de l’axe “</w:t>
      </w:r>
      <w:r w:rsidRPr="00746B9C">
        <w:rPr>
          <w:rFonts w:asciiTheme="majorBidi" w:hAnsiTheme="majorBidi" w:cstheme="majorBidi"/>
          <w:color w:val="000000"/>
          <w:lang w:val="fr-FR"/>
        </w:rPr>
        <w:t>Performance des RH</w:t>
      </w:r>
      <w:r w:rsidRPr="00746B9C">
        <w:rPr>
          <w:color w:val="000000"/>
          <w:lang w:val="fr-FR"/>
        </w:rPr>
        <w:t>”</w:t>
      </w:r>
    </w:p>
    <w:tbl>
      <w:tblPr>
        <w:tblStyle w:val="Grilledutableau"/>
        <w:tblW w:w="9918" w:type="dxa"/>
        <w:tblLayout w:type="fixed"/>
        <w:tblLook w:val="04A0" w:firstRow="1" w:lastRow="0" w:firstColumn="1" w:lastColumn="0" w:noHBand="0" w:noVBand="1"/>
      </w:tblPr>
      <w:tblGrid>
        <w:gridCol w:w="704"/>
        <w:gridCol w:w="1985"/>
        <w:gridCol w:w="1701"/>
        <w:gridCol w:w="992"/>
        <w:gridCol w:w="992"/>
        <w:gridCol w:w="709"/>
        <w:gridCol w:w="850"/>
        <w:gridCol w:w="709"/>
        <w:gridCol w:w="1276"/>
      </w:tblGrid>
      <w:tr w:rsidR="00E772DD" w:rsidRPr="008764AA" w:rsidTr="00AE378F">
        <w:tc>
          <w:tcPr>
            <w:tcW w:w="704"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lastRenderedPageBreak/>
              <w:t>N°</w:t>
            </w:r>
          </w:p>
        </w:tc>
        <w:tc>
          <w:tcPr>
            <w:tcW w:w="1985" w:type="dxa"/>
            <w:shd w:val="clear" w:color="auto" w:fill="D8DCD1"/>
          </w:tcPr>
          <w:p w:rsidR="00E772DD" w:rsidRPr="008764AA" w:rsidRDefault="00E772DD" w:rsidP="00C91BEB">
            <w:pPr>
              <w:pStyle w:val="p1"/>
              <w:rPr>
                <w:rFonts w:asciiTheme="majorBidi" w:hAnsiTheme="majorBidi" w:cstheme="majorBidi"/>
                <w:sz w:val="24"/>
                <w:szCs w:val="24"/>
              </w:rPr>
            </w:pPr>
            <w:r w:rsidRPr="008764AA">
              <w:rPr>
                <w:rFonts w:asciiTheme="majorBidi" w:hAnsiTheme="majorBidi" w:cstheme="majorBidi"/>
                <w:sz w:val="24"/>
                <w:szCs w:val="24"/>
              </w:rPr>
              <w:t>Intitulé de</w:t>
            </w:r>
          </w:p>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la question</w:t>
            </w:r>
          </w:p>
        </w:tc>
        <w:tc>
          <w:tcPr>
            <w:tcW w:w="1701" w:type="dxa"/>
            <w:shd w:val="clear" w:color="auto" w:fill="D8DCD1"/>
          </w:tcPr>
          <w:p w:rsidR="00E772DD" w:rsidRPr="008764AA" w:rsidRDefault="00E772DD" w:rsidP="00C91BEB">
            <w:pPr>
              <w:pStyle w:val="p1"/>
              <w:rPr>
                <w:rFonts w:asciiTheme="majorBidi" w:hAnsiTheme="majorBidi" w:cstheme="majorBidi"/>
                <w:sz w:val="24"/>
                <w:szCs w:val="24"/>
              </w:rPr>
            </w:pPr>
            <w:r w:rsidRPr="008764AA">
              <w:rPr>
                <w:rFonts w:asciiTheme="majorBidi" w:hAnsiTheme="majorBidi" w:cstheme="majorBidi"/>
                <w:sz w:val="24"/>
                <w:szCs w:val="24"/>
              </w:rPr>
              <w:t>La</w:t>
            </w:r>
          </w:p>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moyenne</w:t>
            </w:r>
          </w:p>
        </w:tc>
        <w:tc>
          <w:tcPr>
            <w:tcW w:w="992" w:type="dxa"/>
            <w:shd w:val="clear" w:color="auto" w:fill="D8DCD1"/>
          </w:tcPr>
          <w:p w:rsidR="00E772DD" w:rsidRPr="008764AA" w:rsidRDefault="00E772DD" w:rsidP="00C91BEB">
            <w:pPr>
              <w:pStyle w:val="p1"/>
              <w:rPr>
                <w:rFonts w:asciiTheme="majorBidi" w:hAnsiTheme="majorBidi" w:cstheme="majorBidi"/>
                <w:sz w:val="24"/>
                <w:szCs w:val="24"/>
              </w:rPr>
            </w:pPr>
            <w:r w:rsidRPr="008764AA">
              <w:rPr>
                <w:rFonts w:asciiTheme="majorBidi" w:hAnsiTheme="majorBidi" w:cstheme="majorBidi"/>
                <w:sz w:val="24"/>
                <w:szCs w:val="24"/>
              </w:rPr>
              <w:t>L’écart</w:t>
            </w:r>
          </w:p>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-type</w:t>
            </w:r>
          </w:p>
        </w:tc>
        <w:tc>
          <w:tcPr>
            <w:tcW w:w="992"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Test T</w:t>
            </w:r>
          </w:p>
        </w:tc>
        <w:tc>
          <w:tcPr>
            <w:tcW w:w="709"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Ddl</w:t>
            </w:r>
          </w:p>
        </w:tc>
        <w:tc>
          <w:tcPr>
            <w:tcW w:w="850" w:type="dxa"/>
            <w:shd w:val="clear" w:color="auto" w:fill="D8DCD1"/>
          </w:tcPr>
          <w:p w:rsidR="00E772DD" w:rsidRPr="008764AA" w:rsidRDefault="00E772DD" w:rsidP="00C91BEB">
            <w:pPr>
              <w:spacing w:after="240"/>
              <w:rPr>
                <w:rFonts w:asciiTheme="majorBidi" w:hAnsiTheme="majorBidi" w:cstheme="majorBidi"/>
                <w:lang w:val="fr-FR"/>
              </w:rPr>
            </w:pPr>
            <w:proofErr w:type="spellStart"/>
            <w:r w:rsidRPr="008764AA">
              <w:rPr>
                <w:rFonts w:asciiTheme="majorBidi" w:hAnsiTheme="majorBidi" w:cstheme="majorBidi"/>
                <w:lang w:val="fr-FR"/>
              </w:rPr>
              <w:t>Sig</w:t>
            </w:r>
            <w:proofErr w:type="spellEnd"/>
            <w:r w:rsidRPr="008764AA">
              <w:rPr>
                <w:rFonts w:asciiTheme="majorBidi" w:hAnsiTheme="majorBidi" w:cstheme="majorBidi"/>
                <w:lang w:val="fr-FR"/>
              </w:rPr>
              <w:t>.</w:t>
            </w:r>
            <w:r w:rsidRPr="008764AA">
              <w:rPr>
                <w:rStyle w:val="apple-converted-space"/>
                <w:rFonts w:asciiTheme="majorBidi" w:hAnsiTheme="majorBidi" w:cstheme="majorBidi"/>
                <w:lang w:val="fr-FR"/>
              </w:rPr>
              <w:t> </w:t>
            </w:r>
          </w:p>
        </w:tc>
        <w:tc>
          <w:tcPr>
            <w:tcW w:w="709" w:type="dxa"/>
            <w:shd w:val="clear" w:color="auto" w:fill="D8DCD1"/>
          </w:tcPr>
          <w:p w:rsidR="00E772DD" w:rsidRPr="008764AA" w:rsidRDefault="00E772DD" w:rsidP="00C91BEB">
            <w:pPr>
              <w:pStyle w:val="p1"/>
              <w:rPr>
                <w:rFonts w:asciiTheme="majorBidi" w:hAnsiTheme="majorBidi" w:cstheme="majorBidi"/>
                <w:sz w:val="24"/>
                <w:szCs w:val="24"/>
              </w:rPr>
            </w:pPr>
            <w:r w:rsidRPr="008764AA">
              <w:rPr>
                <w:rFonts w:asciiTheme="majorBidi" w:hAnsiTheme="majorBidi" w:cstheme="majorBidi"/>
                <w:sz w:val="24"/>
                <w:szCs w:val="24"/>
              </w:rPr>
              <w:t>L’ordre</w:t>
            </w:r>
            <w:r w:rsidRPr="008764AA">
              <w:rPr>
                <w:rStyle w:val="apple-converted-space"/>
                <w:rFonts w:asciiTheme="majorBidi" w:hAnsiTheme="majorBidi" w:cstheme="majorBidi"/>
                <w:sz w:val="24"/>
                <w:szCs w:val="24"/>
              </w:rPr>
              <w:t> </w:t>
            </w:r>
          </w:p>
        </w:tc>
        <w:tc>
          <w:tcPr>
            <w:tcW w:w="1276" w:type="dxa"/>
            <w:shd w:val="clear" w:color="auto" w:fill="D8DCD1"/>
          </w:tcPr>
          <w:p w:rsidR="00E772DD" w:rsidRPr="008764AA" w:rsidRDefault="00E772DD" w:rsidP="00C91BEB">
            <w:pPr>
              <w:pStyle w:val="p1"/>
              <w:rPr>
                <w:rFonts w:asciiTheme="majorBidi" w:hAnsiTheme="majorBidi" w:cstheme="majorBidi"/>
                <w:sz w:val="24"/>
                <w:szCs w:val="24"/>
              </w:rPr>
            </w:pPr>
            <w:r w:rsidRPr="008764AA">
              <w:rPr>
                <w:rFonts w:asciiTheme="majorBidi" w:hAnsiTheme="majorBidi" w:cstheme="majorBidi"/>
                <w:sz w:val="24"/>
                <w:szCs w:val="24"/>
              </w:rPr>
              <w:t>Tendance</w:t>
            </w:r>
          </w:p>
          <w:p w:rsidR="00E772DD" w:rsidRPr="008764AA" w:rsidRDefault="00E772DD" w:rsidP="00C91BEB">
            <w:pPr>
              <w:pStyle w:val="p1"/>
              <w:rPr>
                <w:rFonts w:asciiTheme="majorBidi" w:hAnsiTheme="majorBidi" w:cstheme="majorBidi"/>
                <w:sz w:val="24"/>
                <w:szCs w:val="24"/>
              </w:rPr>
            </w:pPr>
            <w:r w:rsidRPr="008764AA">
              <w:rPr>
                <w:rFonts w:asciiTheme="majorBidi" w:hAnsiTheme="majorBidi" w:cstheme="majorBidi"/>
                <w:sz w:val="24"/>
                <w:szCs w:val="24"/>
              </w:rPr>
              <w:t>de la</w:t>
            </w:r>
          </w:p>
          <w:p w:rsidR="00E772DD" w:rsidRPr="008764AA" w:rsidRDefault="00E772DD" w:rsidP="00C91BEB">
            <w:pPr>
              <w:pStyle w:val="p1"/>
              <w:rPr>
                <w:rFonts w:asciiTheme="majorBidi" w:hAnsiTheme="majorBidi" w:cstheme="majorBidi"/>
                <w:sz w:val="24"/>
                <w:szCs w:val="24"/>
              </w:rPr>
            </w:pPr>
            <w:r w:rsidRPr="008764AA">
              <w:rPr>
                <w:rFonts w:asciiTheme="majorBidi" w:hAnsiTheme="majorBidi" w:cstheme="majorBidi"/>
                <w:sz w:val="24"/>
                <w:szCs w:val="24"/>
              </w:rPr>
              <w:t>réponse</w:t>
            </w:r>
          </w:p>
        </w:tc>
      </w:tr>
      <w:tr w:rsidR="00E772DD" w:rsidRPr="008764AA" w:rsidTr="00AE378F">
        <w:tc>
          <w:tcPr>
            <w:tcW w:w="704"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1</w:t>
            </w:r>
          </w:p>
        </w:tc>
        <w:tc>
          <w:tcPr>
            <w:tcW w:w="1985" w:type="dxa"/>
          </w:tcPr>
          <w:p w:rsidR="00E772DD" w:rsidRPr="008764AA" w:rsidRDefault="00E772DD" w:rsidP="00C91BEB">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 digitalisation a significativement réduit le temps de recrutement.</w:t>
            </w:r>
          </w:p>
        </w:tc>
        <w:tc>
          <w:tcPr>
            <w:tcW w:w="1701"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4.2882</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0.9937</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56.266</w:t>
            </w:r>
          </w:p>
          <w:p w:rsidR="00E772DD" w:rsidRPr="008764AA" w:rsidRDefault="00E772DD" w:rsidP="00C91BEB">
            <w:pPr>
              <w:spacing w:after="240"/>
              <w:rPr>
                <w:rFonts w:asciiTheme="majorBidi" w:hAnsiTheme="majorBidi" w:cstheme="majorBidi"/>
                <w:lang w:val="fr-FR"/>
              </w:rPr>
            </w:pPr>
          </w:p>
        </w:tc>
        <w:tc>
          <w:tcPr>
            <w:tcW w:w="709"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169</w:t>
            </w:r>
          </w:p>
        </w:tc>
        <w:tc>
          <w:tcPr>
            <w:tcW w:w="850"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.000</w:t>
            </w:r>
          </w:p>
        </w:tc>
        <w:tc>
          <w:tcPr>
            <w:tcW w:w="709"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3</w:t>
            </w:r>
          </w:p>
        </w:tc>
        <w:tc>
          <w:tcPr>
            <w:tcW w:w="1276"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Tout à fait d'accord  </w:t>
            </w:r>
          </w:p>
          <w:p w:rsidR="00E772DD" w:rsidRPr="008764AA" w:rsidRDefault="00E772DD" w:rsidP="00C91BEB">
            <w:pPr>
              <w:spacing w:after="240"/>
              <w:rPr>
                <w:rFonts w:asciiTheme="majorBidi" w:hAnsiTheme="majorBidi" w:cstheme="majorBidi"/>
                <w:lang w:val="fr-FR"/>
              </w:rPr>
            </w:pPr>
          </w:p>
        </w:tc>
      </w:tr>
      <w:tr w:rsidR="00E772DD" w:rsidRPr="008764AA" w:rsidTr="00AE378F">
        <w:tc>
          <w:tcPr>
            <w:tcW w:w="704"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2</w:t>
            </w:r>
          </w:p>
        </w:tc>
        <w:tc>
          <w:tcPr>
            <w:tcW w:w="1985" w:type="dxa"/>
          </w:tcPr>
          <w:p w:rsidR="00E772DD" w:rsidRPr="008764AA" w:rsidRDefault="00E772DD" w:rsidP="00C91BEB">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 qualité des candidatures s'est améliorée grâce au digital.</w:t>
            </w:r>
          </w:p>
        </w:tc>
        <w:tc>
          <w:tcPr>
            <w:tcW w:w="1701"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3.8176</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1.2292</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40.495 </w:t>
            </w:r>
          </w:p>
          <w:p w:rsidR="00E772DD" w:rsidRPr="008764AA" w:rsidRDefault="00E772DD" w:rsidP="00C91BEB">
            <w:pPr>
              <w:spacing w:after="240"/>
              <w:rPr>
                <w:rFonts w:asciiTheme="majorBidi" w:hAnsiTheme="majorBidi" w:cstheme="majorBidi"/>
                <w:lang w:val="fr-FR"/>
              </w:rPr>
            </w:pPr>
          </w:p>
        </w:tc>
        <w:tc>
          <w:tcPr>
            <w:tcW w:w="709"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169</w:t>
            </w:r>
          </w:p>
        </w:tc>
        <w:tc>
          <w:tcPr>
            <w:tcW w:w="850"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.000</w:t>
            </w:r>
          </w:p>
        </w:tc>
        <w:tc>
          <w:tcPr>
            <w:tcW w:w="709"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6</w:t>
            </w:r>
          </w:p>
        </w:tc>
        <w:tc>
          <w:tcPr>
            <w:tcW w:w="1276"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D'accord</w:t>
            </w:r>
          </w:p>
          <w:p w:rsidR="00E772DD" w:rsidRPr="008764AA" w:rsidRDefault="00E772DD" w:rsidP="00C91BEB">
            <w:pPr>
              <w:spacing w:after="240"/>
              <w:rPr>
                <w:rFonts w:asciiTheme="majorBidi" w:hAnsiTheme="majorBidi" w:cstheme="majorBidi"/>
                <w:lang w:val="fr-FR"/>
              </w:rPr>
            </w:pPr>
          </w:p>
        </w:tc>
      </w:tr>
      <w:tr w:rsidR="00E772DD" w:rsidRPr="008764AA" w:rsidTr="00AE378F">
        <w:tc>
          <w:tcPr>
            <w:tcW w:w="704"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3</w:t>
            </w:r>
          </w:p>
        </w:tc>
        <w:tc>
          <w:tcPr>
            <w:tcW w:w="1985" w:type="dxa"/>
          </w:tcPr>
          <w:p w:rsidR="00E772DD" w:rsidRPr="008764AA" w:rsidRDefault="00E772DD" w:rsidP="00C91BEB">
            <w:pPr>
              <w:autoSpaceDE w:val="0"/>
              <w:autoSpaceDN w:val="0"/>
              <w:adjustRightInd w:val="0"/>
              <w:rPr>
                <w:rFonts w:asciiTheme="majorBidi" w:eastAsiaTheme="minorHAnsi" w:hAnsiTheme="majorBidi" w:cstheme="majorBidi"/>
                <w:lang w:val="fr-FR"/>
                <w14:ligatures w14:val="standardContextual"/>
              </w:rPr>
            </w:pPr>
            <w:r w:rsidRPr="008764AA">
              <w:rPr>
                <w:rFonts w:asciiTheme="majorBidi" w:eastAsiaTheme="minorHAnsi" w:hAnsiTheme="majorBidi" w:cstheme="majorBidi"/>
                <w:lang w:val="fr-FR"/>
                <w14:ligatures w14:val="standardContextual"/>
              </w:rPr>
              <w:t>La gestion de la formation est devenue plus efficace via les outils numériques.</w:t>
            </w:r>
          </w:p>
          <w:p w:rsidR="00E772DD" w:rsidRPr="008764AA" w:rsidRDefault="00E772DD" w:rsidP="00C91BEB">
            <w:pPr>
              <w:spacing w:after="240"/>
              <w:rPr>
                <w:rFonts w:asciiTheme="majorBidi" w:hAnsiTheme="majorBidi" w:cstheme="majorBidi"/>
                <w:lang w:val="fr-FR"/>
              </w:rPr>
            </w:pPr>
          </w:p>
        </w:tc>
        <w:tc>
          <w:tcPr>
            <w:tcW w:w="1701"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4.3176</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1.0515</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53.539 </w:t>
            </w:r>
          </w:p>
          <w:p w:rsidR="00E772DD" w:rsidRPr="008764AA" w:rsidRDefault="00E772DD" w:rsidP="00C91BEB">
            <w:pPr>
              <w:spacing w:after="240"/>
              <w:rPr>
                <w:rFonts w:asciiTheme="majorBidi" w:hAnsiTheme="majorBidi" w:cstheme="majorBidi"/>
                <w:lang w:val="fr-FR"/>
              </w:rPr>
            </w:pPr>
          </w:p>
        </w:tc>
        <w:tc>
          <w:tcPr>
            <w:tcW w:w="709"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169</w:t>
            </w:r>
          </w:p>
        </w:tc>
        <w:tc>
          <w:tcPr>
            <w:tcW w:w="850"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.000</w:t>
            </w:r>
          </w:p>
        </w:tc>
        <w:tc>
          <w:tcPr>
            <w:tcW w:w="709"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2</w:t>
            </w:r>
          </w:p>
        </w:tc>
        <w:tc>
          <w:tcPr>
            <w:tcW w:w="1276"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Tout à fait d'accord  </w:t>
            </w:r>
          </w:p>
          <w:p w:rsidR="00E772DD" w:rsidRPr="008764AA" w:rsidRDefault="00E772DD" w:rsidP="00C91BEB">
            <w:pPr>
              <w:spacing w:after="240"/>
              <w:rPr>
                <w:rFonts w:asciiTheme="majorBidi" w:hAnsiTheme="majorBidi" w:cstheme="majorBidi"/>
                <w:lang w:val="fr-FR"/>
              </w:rPr>
            </w:pPr>
          </w:p>
        </w:tc>
      </w:tr>
      <w:tr w:rsidR="00E772DD" w:rsidRPr="008764AA" w:rsidTr="00AE378F">
        <w:tc>
          <w:tcPr>
            <w:tcW w:w="704"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4</w:t>
            </w:r>
          </w:p>
        </w:tc>
        <w:tc>
          <w:tcPr>
            <w:tcW w:w="1985" w:type="dxa"/>
          </w:tcPr>
          <w:p w:rsidR="00E772DD" w:rsidRPr="008764AA" w:rsidRDefault="00E772DD" w:rsidP="00C91BEB">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Les outils digitaux ont renforcé l'engagement des employés.</w:t>
            </w:r>
          </w:p>
        </w:tc>
        <w:tc>
          <w:tcPr>
            <w:tcW w:w="1701"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3.9529 </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1.2955</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39.785</w:t>
            </w:r>
          </w:p>
          <w:p w:rsidR="00E772DD" w:rsidRPr="008764AA" w:rsidRDefault="00E772DD" w:rsidP="00C91BEB">
            <w:pPr>
              <w:spacing w:after="240"/>
              <w:rPr>
                <w:rFonts w:asciiTheme="majorBidi" w:hAnsiTheme="majorBidi" w:cstheme="majorBidi"/>
                <w:lang w:val="fr-FR"/>
              </w:rPr>
            </w:pPr>
          </w:p>
        </w:tc>
        <w:tc>
          <w:tcPr>
            <w:tcW w:w="709"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169</w:t>
            </w:r>
          </w:p>
        </w:tc>
        <w:tc>
          <w:tcPr>
            <w:tcW w:w="850"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.000</w:t>
            </w:r>
          </w:p>
        </w:tc>
        <w:tc>
          <w:tcPr>
            <w:tcW w:w="709"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5</w:t>
            </w:r>
          </w:p>
        </w:tc>
        <w:tc>
          <w:tcPr>
            <w:tcW w:w="1276"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D'accord</w:t>
            </w:r>
          </w:p>
          <w:p w:rsidR="00E772DD" w:rsidRPr="008764AA" w:rsidRDefault="00E772DD" w:rsidP="00C91BEB">
            <w:pPr>
              <w:spacing w:after="240"/>
              <w:rPr>
                <w:rFonts w:asciiTheme="majorBidi" w:hAnsiTheme="majorBidi" w:cstheme="majorBidi"/>
                <w:lang w:val="fr-FR"/>
              </w:rPr>
            </w:pPr>
          </w:p>
        </w:tc>
      </w:tr>
      <w:tr w:rsidR="00E772DD" w:rsidRPr="008764AA" w:rsidTr="00AE378F">
        <w:tc>
          <w:tcPr>
            <w:tcW w:w="704"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5</w:t>
            </w:r>
          </w:p>
        </w:tc>
        <w:tc>
          <w:tcPr>
            <w:tcW w:w="1985" w:type="dxa"/>
          </w:tcPr>
          <w:p w:rsidR="00E772DD" w:rsidRPr="008764AA" w:rsidRDefault="00E772DD" w:rsidP="00C91BEB">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 rétention des talents a été améliorée par la digitalisation.</w:t>
            </w:r>
          </w:p>
        </w:tc>
        <w:tc>
          <w:tcPr>
            <w:tcW w:w="1701"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4.2529</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1.3192</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42.033</w:t>
            </w:r>
          </w:p>
          <w:p w:rsidR="00E772DD" w:rsidRPr="008764AA" w:rsidRDefault="00E772DD" w:rsidP="00C91BEB">
            <w:pPr>
              <w:spacing w:after="240"/>
              <w:rPr>
                <w:rFonts w:asciiTheme="majorBidi" w:hAnsiTheme="majorBidi" w:cstheme="majorBidi"/>
                <w:lang w:val="fr-FR"/>
              </w:rPr>
            </w:pPr>
          </w:p>
        </w:tc>
        <w:tc>
          <w:tcPr>
            <w:tcW w:w="709"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169</w:t>
            </w:r>
          </w:p>
        </w:tc>
        <w:tc>
          <w:tcPr>
            <w:tcW w:w="850"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.000</w:t>
            </w:r>
          </w:p>
        </w:tc>
        <w:tc>
          <w:tcPr>
            <w:tcW w:w="709"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4</w:t>
            </w:r>
          </w:p>
        </w:tc>
        <w:tc>
          <w:tcPr>
            <w:tcW w:w="1276"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Tout à fait d'accord  </w:t>
            </w:r>
          </w:p>
          <w:p w:rsidR="00E772DD" w:rsidRPr="008764AA" w:rsidRDefault="00E772DD" w:rsidP="00C91BEB">
            <w:pPr>
              <w:spacing w:after="240"/>
              <w:rPr>
                <w:rFonts w:asciiTheme="majorBidi" w:hAnsiTheme="majorBidi" w:cstheme="majorBidi"/>
                <w:lang w:val="fr-FR"/>
              </w:rPr>
            </w:pPr>
          </w:p>
        </w:tc>
      </w:tr>
      <w:tr w:rsidR="00E772DD" w:rsidRPr="008764AA" w:rsidTr="00AE378F">
        <w:tc>
          <w:tcPr>
            <w:tcW w:w="704"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6</w:t>
            </w:r>
          </w:p>
        </w:tc>
        <w:tc>
          <w:tcPr>
            <w:tcW w:w="1985" w:type="dxa"/>
          </w:tcPr>
          <w:p w:rsidR="00E772DD" w:rsidRPr="008764AA" w:rsidRDefault="00E772DD" w:rsidP="00C91BEB">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L'alignement entre la stratégie RH et l'entreprise est plus visible grâce aux outils digitaux.</w:t>
            </w:r>
          </w:p>
        </w:tc>
        <w:tc>
          <w:tcPr>
            <w:tcW w:w="1701"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3.6882</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1.1474</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41.913</w:t>
            </w:r>
          </w:p>
          <w:p w:rsidR="00E772DD" w:rsidRPr="008764AA" w:rsidRDefault="00E772DD" w:rsidP="00C91BEB">
            <w:pPr>
              <w:spacing w:after="240"/>
              <w:rPr>
                <w:rFonts w:asciiTheme="majorBidi" w:hAnsiTheme="majorBidi" w:cstheme="majorBidi"/>
                <w:lang w:val="fr-FR"/>
              </w:rPr>
            </w:pPr>
          </w:p>
        </w:tc>
        <w:tc>
          <w:tcPr>
            <w:tcW w:w="709"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169</w:t>
            </w:r>
          </w:p>
        </w:tc>
        <w:tc>
          <w:tcPr>
            <w:tcW w:w="850"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.000</w:t>
            </w:r>
          </w:p>
        </w:tc>
        <w:tc>
          <w:tcPr>
            <w:tcW w:w="709"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7</w:t>
            </w:r>
          </w:p>
        </w:tc>
        <w:tc>
          <w:tcPr>
            <w:tcW w:w="1276"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D'accord</w:t>
            </w:r>
          </w:p>
          <w:p w:rsidR="00E772DD" w:rsidRPr="008764AA" w:rsidRDefault="00E772DD" w:rsidP="00C91BEB">
            <w:pPr>
              <w:spacing w:after="240"/>
              <w:rPr>
                <w:rFonts w:asciiTheme="majorBidi" w:hAnsiTheme="majorBidi" w:cstheme="majorBidi"/>
                <w:lang w:val="fr-FR"/>
              </w:rPr>
            </w:pPr>
          </w:p>
        </w:tc>
      </w:tr>
      <w:tr w:rsidR="00E772DD" w:rsidRPr="008764AA" w:rsidTr="00AE378F">
        <w:tc>
          <w:tcPr>
            <w:tcW w:w="704" w:type="dxa"/>
            <w:shd w:val="clear" w:color="auto" w:fill="D8DCD1"/>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7</w:t>
            </w:r>
          </w:p>
        </w:tc>
        <w:tc>
          <w:tcPr>
            <w:tcW w:w="1985" w:type="dxa"/>
          </w:tcPr>
          <w:p w:rsidR="00E772DD" w:rsidRPr="008764AA" w:rsidRDefault="00E772DD" w:rsidP="00C91BEB">
            <w:pPr>
              <w:spacing w:after="240"/>
              <w:rPr>
                <w:rFonts w:asciiTheme="majorBidi" w:hAnsiTheme="majorBidi" w:cstheme="majorBidi"/>
                <w:lang w:val="fr-FR"/>
              </w:rPr>
            </w:pPr>
            <w:r w:rsidRPr="008764AA">
              <w:rPr>
                <w:rFonts w:asciiTheme="majorBidi" w:eastAsiaTheme="minorHAnsi" w:hAnsiTheme="majorBidi" w:cstheme="majorBidi"/>
                <w:lang w:val="fr-FR"/>
                <w14:ligatures w14:val="standardContextual"/>
              </w:rPr>
              <w:t>La fonction RH est globalement plus performante depuis l'adoption du digital.</w:t>
            </w:r>
          </w:p>
        </w:tc>
        <w:tc>
          <w:tcPr>
            <w:tcW w:w="1701"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4.3588 </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1.1386</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49.912</w:t>
            </w:r>
          </w:p>
          <w:p w:rsidR="00E772DD" w:rsidRPr="008764AA" w:rsidRDefault="00E772DD" w:rsidP="00C91BEB">
            <w:pPr>
              <w:spacing w:after="240"/>
              <w:rPr>
                <w:rFonts w:asciiTheme="majorBidi" w:hAnsiTheme="majorBidi" w:cstheme="majorBidi"/>
                <w:lang w:val="fr-FR"/>
              </w:rPr>
            </w:pPr>
          </w:p>
        </w:tc>
        <w:tc>
          <w:tcPr>
            <w:tcW w:w="709"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169</w:t>
            </w:r>
          </w:p>
        </w:tc>
        <w:tc>
          <w:tcPr>
            <w:tcW w:w="850"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.000</w:t>
            </w:r>
          </w:p>
        </w:tc>
        <w:tc>
          <w:tcPr>
            <w:tcW w:w="709"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1</w:t>
            </w:r>
          </w:p>
        </w:tc>
        <w:tc>
          <w:tcPr>
            <w:tcW w:w="1276"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Tout à fait d'accord  </w:t>
            </w:r>
          </w:p>
          <w:p w:rsidR="00E772DD" w:rsidRPr="008764AA" w:rsidRDefault="00E772DD" w:rsidP="00C91BEB">
            <w:pPr>
              <w:spacing w:after="240"/>
              <w:rPr>
                <w:rFonts w:asciiTheme="majorBidi" w:hAnsiTheme="majorBidi" w:cstheme="majorBidi"/>
                <w:lang w:val="fr-FR"/>
              </w:rPr>
            </w:pPr>
          </w:p>
        </w:tc>
      </w:tr>
      <w:tr w:rsidR="00E772DD" w:rsidRPr="008764AA" w:rsidTr="00C91BEB">
        <w:tc>
          <w:tcPr>
            <w:tcW w:w="704" w:type="dxa"/>
          </w:tcPr>
          <w:p w:rsidR="00E772DD" w:rsidRPr="008764AA" w:rsidRDefault="00E772DD" w:rsidP="00C91BEB">
            <w:pPr>
              <w:spacing w:after="240"/>
              <w:rPr>
                <w:rFonts w:asciiTheme="majorBidi" w:hAnsiTheme="majorBidi" w:cstheme="majorBidi"/>
                <w:lang w:val="fr-FR"/>
              </w:rPr>
            </w:pPr>
          </w:p>
        </w:tc>
        <w:tc>
          <w:tcPr>
            <w:tcW w:w="1985"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 xml:space="preserve">Total </w:t>
            </w:r>
            <w:r w:rsidRPr="008764AA">
              <w:rPr>
                <w:rFonts w:asciiTheme="majorBidi" w:hAnsiTheme="majorBidi" w:cstheme="majorBidi"/>
                <w:color w:val="000000"/>
                <w:lang w:val="fr-FR"/>
              </w:rPr>
              <w:t>Performance des RH</w:t>
            </w:r>
          </w:p>
        </w:tc>
        <w:tc>
          <w:tcPr>
            <w:tcW w:w="1701" w:type="dxa"/>
          </w:tcPr>
          <w:p w:rsidR="00E772DD" w:rsidRPr="008764AA" w:rsidRDefault="00E772DD" w:rsidP="00C91BEB">
            <w:pPr>
              <w:rPr>
                <w:rFonts w:asciiTheme="majorBidi" w:hAnsiTheme="majorBidi" w:cstheme="majorBidi"/>
                <w:color w:val="000000"/>
                <w:lang w:val="fr-FR"/>
              </w:rPr>
            </w:pPr>
            <w:r w:rsidRPr="008764AA">
              <w:rPr>
                <w:rFonts w:asciiTheme="majorBidi" w:hAnsiTheme="majorBidi" w:cstheme="majorBidi"/>
                <w:color w:val="000000"/>
                <w:lang w:val="fr-FR"/>
              </w:rPr>
              <w:t>4</w:t>
            </w:r>
            <w:r>
              <w:rPr>
                <w:rFonts w:asciiTheme="majorBidi" w:hAnsiTheme="majorBidi" w:cstheme="majorBidi"/>
                <w:color w:val="000000"/>
                <w:lang w:val="fr-FR"/>
              </w:rPr>
              <w:t>.</w:t>
            </w:r>
            <w:r w:rsidRPr="008764AA">
              <w:rPr>
                <w:rFonts w:asciiTheme="majorBidi" w:hAnsiTheme="majorBidi" w:cstheme="majorBidi"/>
                <w:color w:val="000000"/>
                <w:lang w:val="fr-FR"/>
              </w:rPr>
              <w:t>096</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rPr>
                <w:rFonts w:asciiTheme="majorBidi" w:hAnsiTheme="majorBidi" w:cstheme="majorBidi"/>
                <w:color w:val="000000"/>
                <w:lang w:val="fr-FR"/>
              </w:rPr>
            </w:pPr>
            <w:r w:rsidRPr="008764AA">
              <w:rPr>
                <w:rFonts w:asciiTheme="majorBidi" w:hAnsiTheme="majorBidi" w:cstheme="majorBidi"/>
                <w:color w:val="000000"/>
                <w:lang w:val="fr-FR"/>
              </w:rPr>
              <w:t>1</w:t>
            </w:r>
            <w:r>
              <w:rPr>
                <w:rFonts w:asciiTheme="majorBidi" w:hAnsiTheme="majorBidi" w:cstheme="majorBidi"/>
                <w:color w:val="000000"/>
                <w:lang w:val="fr-FR"/>
              </w:rPr>
              <w:t>.</w:t>
            </w:r>
            <w:r w:rsidRPr="008764AA">
              <w:rPr>
                <w:rFonts w:asciiTheme="majorBidi" w:hAnsiTheme="majorBidi" w:cstheme="majorBidi"/>
                <w:color w:val="000000"/>
                <w:lang w:val="fr-FR"/>
              </w:rPr>
              <w:t>167</w:t>
            </w:r>
          </w:p>
          <w:p w:rsidR="00E772DD" w:rsidRPr="008764AA" w:rsidRDefault="00E772DD" w:rsidP="00C91BEB">
            <w:pPr>
              <w:spacing w:after="240"/>
              <w:rPr>
                <w:rFonts w:asciiTheme="majorBidi" w:hAnsiTheme="majorBidi" w:cstheme="majorBidi"/>
                <w:lang w:val="fr-FR"/>
              </w:rPr>
            </w:pPr>
          </w:p>
        </w:tc>
        <w:tc>
          <w:tcPr>
            <w:tcW w:w="992" w:type="dxa"/>
          </w:tcPr>
          <w:p w:rsidR="00E772DD" w:rsidRPr="008764AA" w:rsidRDefault="00E772DD" w:rsidP="00C91BEB">
            <w:pPr>
              <w:rPr>
                <w:rFonts w:asciiTheme="majorBidi" w:hAnsiTheme="majorBidi" w:cstheme="majorBidi"/>
                <w:color w:val="000000"/>
                <w:lang w:val="fr-FR"/>
              </w:rPr>
            </w:pPr>
            <w:r w:rsidRPr="008764AA">
              <w:rPr>
                <w:rFonts w:asciiTheme="majorBidi" w:hAnsiTheme="majorBidi" w:cstheme="majorBidi"/>
                <w:color w:val="000000"/>
                <w:lang w:val="fr-FR"/>
              </w:rPr>
              <w:t>46</w:t>
            </w:r>
            <w:r>
              <w:rPr>
                <w:rFonts w:asciiTheme="majorBidi" w:hAnsiTheme="majorBidi" w:cstheme="majorBidi"/>
                <w:color w:val="000000"/>
                <w:lang w:val="fr-FR"/>
              </w:rPr>
              <w:t>.</w:t>
            </w:r>
            <w:r w:rsidRPr="008764AA">
              <w:rPr>
                <w:rFonts w:asciiTheme="majorBidi" w:hAnsiTheme="majorBidi" w:cstheme="majorBidi"/>
                <w:color w:val="000000"/>
                <w:lang w:val="fr-FR"/>
              </w:rPr>
              <w:t>277</w:t>
            </w:r>
          </w:p>
        </w:tc>
        <w:tc>
          <w:tcPr>
            <w:tcW w:w="709" w:type="dxa"/>
          </w:tcPr>
          <w:p w:rsidR="00E772DD" w:rsidRPr="008764AA" w:rsidRDefault="00E772DD" w:rsidP="00C91BEB">
            <w:pPr>
              <w:rPr>
                <w:rFonts w:asciiTheme="majorBidi" w:hAnsiTheme="majorBidi" w:cstheme="majorBidi"/>
                <w:lang w:val="fr-FR"/>
              </w:rPr>
            </w:pPr>
            <w:r w:rsidRPr="008764AA">
              <w:rPr>
                <w:rFonts w:asciiTheme="majorBidi" w:hAnsiTheme="majorBidi" w:cstheme="majorBidi"/>
                <w:lang w:val="fr-FR"/>
              </w:rPr>
              <w:t>169</w:t>
            </w:r>
          </w:p>
        </w:tc>
        <w:tc>
          <w:tcPr>
            <w:tcW w:w="850" w:type="dxa"/>
          </w:tcPr>
          <w:p w:rsidR="00E772DD" w:rsidRPr="008764AA" w:rsidRDefault="00E772DD" w:rsidP="00C91BEB">
            <w:pPr>
              <w:spacing w:after="240"/>
              <w:rPr>
                <w:rFonts w:asciiTheme="majorBidi" w:hAnsiTheme="majorBidi" w:cstheme="majorBidi"/>
                <w:lang w:val="fr-FR"/>
              </w:rPr>
            </w:pPr>
            <w:r w:rsidRPr="008764AA">
              <w:rPr>
                <w:rFonts w:asciiTheme="majorBidi" w:hAnsiTheme="majorBidi" w:cstheme="majorBidi"/>
                <w:lang w:val="fr-FR"/>
              </w:rPr>
              <w:t>.000</w:t>
            </w:r>
          </w:p>
        </w:tc>
        <w:tc>
          <w:tcPr>
            <w:tcW w:w="709" w:type="dxa"/>
          </w:tcPr>
          <w:p w:rsidR="00E772DD" w:rsidRPr="008764AA" w:rsidRDefault="00E772DD" w:rsidP="00C91BEB">
            <w:pPr>
              <w:spacing w:after="240"/>
              <w:rPr>
                <w:rFonts w:asciiTheme="majorBidi" w:hAnsiTheme="majorBidi" w:cstheme="majorBidi"/>
                <w:lang w:val="fr-FR"/>
              </w:rPr>
            </w:pPr>
          </w:p>
        </w:tc>
        <w:tc>
          <w:tcPr>
            <w:tcW w:w="1276" w:type="dxa"/>
          </w:tcPr>
          <w:p w:rsidR="00E772DD" w:rsidRPr="008764AA" w:rsidRDefault="00E772DD" w:rsidP="00C91BEB">
            <w:pPr>
              <w:pStyle w:val="PrformatHTML"/>
              <w:wordWrap w:val="0"/>
              <w:rPr>
                <w:rFonts w:asciiTheme="majorBidi" w:hAnsiTheme="majorBidi" w:cstheme="majorBidi"/>
                <w:sz w:val="24"/>
                <w:szCs w:val="24"/>
                <w:lang w:val="fr-FR"/>
              </w:rPr>
            </w:pPr>
            <w:r w:rsidRPr="008764AA">
              <w:rPr>
                <w:rFonts w:asciiTheme="majorBidi" w:hAnsiTheme="majorBidi" w:cstheme="majorBidi"/>
                <w:sz w:val="24"/>
                <w:szCs w:val="24"/>
                <w:lang w:val="fr-FR"/>
              </w:rPr>
              <w:t xml:space="preserve">Tout à fait d'accord  </w:t>
            </w:r>
          </w:p>
          <w:p w:rsidR="00E772DD" w:rsidRPr="008764AA" w:rsidRDefault="00E772DD" w:rsidP="00C91BEB">
            <w:pPr>
              <w:spacing w:after="240"/>
              <w:rPr>
                <w:rFonts w:asciiTheme="majorBidi" w:hAnsiTheme="majorBidi" w:cstheme="majorBidi"/>
                <w:lang w:val="fr-FR"/>
              </w:rPr>
            </w:pPr>
          </w:p>
        </w:tc>
      </w:tr>
    </w:tbl>
    <w:p w:rsidR="00E772DD" w:rsidRPr="008764AA" w:rsidRDefault="00E772DD" w:rsidP="000F4CA3">
      <w:pPr>
        <w:spacing w:line="360" w:lineRule="auto"/>
        <w:jc w:val="center"/>
        <w:rPr>
          <w:rFonts w:asciiTheme="majorBidi" w:hAnsiTheme="majorBidi" w:cstheme="majorBidi"/>
          <w:color w:val="0C0C0C"/>
          <w:lang w:val="fr-FR"/>
        </w:rPr>
      </w:pPr>
      <w:r>
        <w:rPr>
          <w:rFonts w:asciiTheme="majorBidi" w:hAnsiTheme="majorBidi" w:cstheme="majorBidi"/>
          <w:b/>
          <w:bCs/>
          <w:color w:val="0C0C0C"/>
          <w:lang w:val="fr-FR"/>
        </w:rPr>
        <w:t xml:space="preserve">Source : </w:t>
      </w:r>
      <w:r w:rsidRPr="00A43935">
        <w:rPr>
          <w:rFonts w:asciiTheme="majorBidi" w:hAnsiTheme="majorBidi" w:cstheme="majorBidi"/>
          <w:color w:val="0C0C0C"/>
          <w:lang w:val="fr-FR"/>
        </w:rPr>
        <w:t>Résultats de l’étude - Anaconda (</w:t>
      </w:r>
      <w:proofErr w:type="spellStart"/>
      <w:r w:rsidRPr="00A43935">
        <w:rPr>
          <w:rFonts w:asciiTheme="majorBidi" w:hAnsiTheme="majorBidi" w:cstheme="majorBidi"/>
          <w:color w:val="0C0C0C"/>
          <w:lang w:val="fr-FR"/>
        </w:rPr>
        <w:t>Jupyter</w:t>
      </w:r>
      <w:proofErr w:type="spellEnd"/>
      <w:r w:rsidRPr="00A43935">
        <w:rPr>
          <w:rFonts w:asciiTheme="majorBidi" w:hAnsiTheme="majorBidi" w:cstheme="majorBidi"/>
          <w:color w:val="0C0C0C"/>
          <w:lang w:val="fr-FR"/>
        </w:rPr>
        <w:t>) - 2025</w:t>
      </w:r>
      <w:r>
        <w:rPr>
          <w:rFonts w:asciiTheme="majorBidi" w:hAnsiTheme="majorBidi" w:cstheme="majorBidi"/>
          <w:b/>
          <w:bCs/>
          <w:color w:val="0C0C0C"/>
          <w:lang w:val="fr-FR"/>
        </w:rPr>
        <w:t xml:space="preserve"> </w:t>
      </w:r>
    </w:p>
    <w:p w:rsidR="00E772DD" w:rsidRPr="008764AA" w:rsidRDefault="00E772DD" w:rsidP="004D32AC">
      <w:pPr>
        <w:pStyle w:val="Paragraphedeliste"/>
        <w:numPr>
          <w:ilvl w:val="0"/>
          <w:numId w:val="143"/>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lastRenderedPageBreak/>
        <w:t>L’affirmation numéro 7 occupe la première position avec une valeur t de 49</w:t>
      </w:r>
      <w:r>
        <w:rPr>
          <w:rFonts w:asciiTheme="majorBidi" w:hAnsiTheme="majorBidi" w:cstheme="majorBidi"/>
        </w:rPr>
        <w:t>,</w:t>
      </w:r>
      <w:r w:rsidRPr="008764AA">
        <w:rPr>
          <w:rFonts w:asciiTheme="majorBidi" w:hAnsiTheme="majorBidi" w:cstheme="majorBidi"/>
        </w:rPr>
        <w:t xml:space="preserve">912 et un niveau de signification de 0,000. Elle indique que la fonction RH est globalement plus performante depuis l’adoption du digital. </w:t>
      </w:r>
    </w:p>
    <w:p w:rsidR="00E772DD" w:rsidRPr="008764AA" w:rsidRDefault="00E772DD" w:rsidP="004D32AC">
      <w:pPr>
        <w:pStyle w:val="Paragraphedeliste"/>
        <w:numPr>
          <w:ilvl w:val="0"/>
          <w:numId w:val="143"/>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3 arrive en deuxième position avec une valeur t de 53</w:t>
      </w:r>
      <w:r>
        <w:rPr>
          <w:rFonts w:asciiTheme="majorBidi" w:hAnsiTheme="majorBidi" w:cstheme="majorBidi"/>
        </w:rPr>
        <w:t>,</w:t>
      </w:r>
      <w:r w:rsidRPr="008764AA">
        <w:rPr>
          <w:rFonts w:asciiTheme="majorBidi" w:hAnsiTheme="majorBidi" w:cstheme="majorBidi"/>
        </w:rPr>
        <w:t>539 et un niveau de signification de 0,000. Les répondants estiment que la gestion de la formation est devenue plus efficace via les outils numériques.</w:t>
      </w:r>
    </w:p>
    <w:p w:rsidR="00E772DD" w:rsidRPr="008764AA" w:rsidRDefault="00E772DD" w:rsidP="004D32AC">
      <w:pPr>
        <w:pStyle w:val="Paragraphedeliste"/>
        <w:numPr>
          <w:ilvl w:val="0"/>
          <w:numId w:val="143"/>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En troisième place, l’affirmation numéro 1, avec une valeur t de 56</w:t>
      </w:r>
      <w:r>
        <w:rPr>
          <w:rFonts w:asciiTheme="majorBidi" w:hAnsiTheme="majorBidi" w:cstheme="majorBidi"/>
        </w:rPr>
        <w:t>,</w:t>
      </w:r>
      <w:r w:rsidRPr="008764AA">
        <w:rPr>
          <w:rFonts w:asciiTheme="majorBidi" w:hAnsiTheme="majorBidi" w:cstheme="majorBidi"/>
        </w:rPr>
        <w:t xml:space="preserve">266 et un niveau de signification de 0,000, révèle que la digitalisation a significativement réduit le temps de recrutement. </w:t>
      </w:r>
    </w:p>
    <w:p w:rsidR="00E772DD" w:rsidRPr="008764AA" w:rsidRDefault="00E772DD" w:rsidP="004D32AC">
      <w:pPr>
        <w:pStyle w:val="Paragraphedeliste"/>
        <w:numPr>
          <w:ilvl w:val="0"/>
          <w:numId w:val="143"/>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5 se classe en quatrième position avec une valeur t de 42</w:t>
      </w:r>
      <w:r>
        <w:rPr>
          <w:rFonts w:asciiTheme="majorBidi" w:hAnsiTheme="majorBidi" w:cstheme="majorBidi"/>
        </w:rPr>
        <w:t>,</w:t>
      </w:r>
      <w:r w:rsidRPr="008764AA">
        <w:rPr>
          <w:rFonts w:asciiTheme="majorBidi" w:hAnsiTheme="majorBidi" w:cstheme="majorBidi"/>
        </w:rPr>
        <w:t>033 et un niveau de signification de 0,000. Elle suggère que la rétention des talents s’est améliorée grâce à la digitalisation.</w:t>
      </w:r>
    </w:p>
    <w:p w:rsidR="00E772DD" w:rsidRPr="008764AA" w:rsidRDefault="00E772DD" w:rsidP="004D32AC">
      <w:pPr>
        <w:pStyle w:val="Paragraphedeliste"/>
        <w:numPr>
          <w:ilvl w:val="0"/>
          <w:numId w:val="143"/>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 cinquième position est occupée par l’affirmation numéro 4, avec une valeur t de 39</w:t>
      </w:r>
      <w:r>
        <w:rPr>
          <w:rFonts w:asciiTheme="majorBidi" w:hAnsiTheme="majorBidi" w:cstheme="majorBidi"/>
        </w:rPr>
        <w:t>,</w:t>
      </w:r>
      <w:r w:rsidRPr="008764AA">
        <w:rPr>
          <w:rFonts w:asciiTheme="majorBidi" w:hAnsiTheme="majorBidi" w:cstheme="majorBidi"/>
        </w:rPr>
        <w:t>785 et un niveau de signification de 0,000. Les outils digitaux auraient permis de renforcer l’engagement des employés, ce qui montre leur contribution à une meilleure implication au travail.</w:t>
      </w:r>
    </w:p>
    <w:p w:rsidR="00E772DD" w:rsidRPr="008764AA" w:rsidRDefault="00E772DD" w:rsidP="004D32AC">
      <w:pPr>
        <w:pStyle w:val="Paragraphedeliste"/>
        <w:numPr>
          <w:ilvl w:val="0"/>
          <w:numId w:val="143"/>
        </w:numPr>
        <w:autoSpaceDE w:val="0"/>
        <w:autoSpaceDN w:val="0"/>
        <w:adjustRightInd w:val="0"/>
        <w:spacing w:before="100" w:beforeAutospacing="1" w:after="100" w:afterAutospacing="1" w:line="360" w:lineRule="auto"/>
        <w:jc w:val="both"/>
        <w:rPr>
          <w:rFonts w:asciiTheme="majorBidi" w:hAnsiTheme="majorBidi" w:cstheme="majorBidi"/>
        </w:rPr>
      </w:pPr>
      <w:r w:rsidRPr="008764AA">
        <w:rPr>
          <w:rFonts w:asciiTheme="majorBidi" w:hAnsiTheme="majorBidi" w:cstheme="majorBidi"/>
        </w:rPr>
        <w:t>L’affirmation numéro 2 arrive en sixième position avec une valeur t de 40</w:t>
      </w:r>
      <w:r>
        <w:rPr>
          <w:rFonts w:asciiTheme="majorBidi" w:hAnsiTheme="majorBidi" w:cstheme="majorBidi"/>
        </w:rPr>
        <w:t>,</w:t>
      </w:r>
      <w:r w:rsidRPr="008764AA">
        <w:rPr>
          <w:rFonts w:asciiTheme="majorBidi" w:hAnsiTheme="majorBidi" w:cstheme="majorBidi"/>
        </w:rPr>
        <w:t>495 et un niveau de signification de 0,000. Les participants considèrent que la qualité des candidatures s’est améliorée grâce au digital.</w:t>
      </w:r>
    </w:p>
    <w:p w:rsidR="00E772DD" w:rsidRPr="008764AA" w:rsidRDefault="00E772DD" w:rsidP="004D32AC">
      <w:pPr>
        <w:pStyle w:val="Paragraphedeliste"/>
        <w:numPr>
          <w:ilvl w:val="0"/>
          <w:numId w:val="143"/>
        </w:numPr>
        <w:autoSpaceDE w:val="0"/>
        <w:autoSpaceDN w:val="0"/>
        <w:adjustRightInd w:val="0"/>
        <w:spacing w:line="360" w:lineRule="auto"/>
        <w:jc w:val="both"/>
        <w:rPr>
          <w:rFonts w:asciiTheme="majorBidi" w:hAnsiTheme="majorBidi" w:cstheme="majorBidi"/>
        </w:rPr>
      </w:pPr>
      <w:r w:rsidRPr="008764AA">
        <w:rPr>
          <w:rFonts w:asciiTheme="majorBidi" w:hAnsiTheme="majorBidi" w:cstheme="majorBidi"/>
        </w:rPr>
        <w:t>Enfin, l’affirmation numéro 6 se positionne en dernière place avec une valeur t de 41</w:t>
      </w:r>
      <w:r>
        <w:rPr>
          <w:rFonts w:asciiTheme="majorBidi" w:hAnsiTheme="majorBidi" w:cstheme="majorBidi"/>
        </w:rPr>
        <w:t>,</w:t>
      </w:r>
      <w:r w:rsidRPr="008764AA">
        <w:rPr>
          <w:rFonts w:asciiTheme="majorBidi" w:hAnsiTheme="majorBidi" w:cstheme="majorBidi"/>
        </w:rPr>
        <w:t>913 et un niveau de signification de 0,000. Elle affirme que l’alignement entre la stratégie RH et celle de l’entreprise est plus visible grâce aux outils digitaux.</w:t>
      </w:r>
    </w:p>
    <w:p w:rsidR="00E772DD" w:rsidRPr="008764AA" w:rsidRDefault="00E772DD" w:rsidP="00CE1A6A">
      <w:pPr>
        <w:spacing w:after="240" w:line="360" w:lineRule="auto"/>
        <w:ind w:left="360"/>
        <w:jc w:val="both"/>
        <w:rPr>
          <w:rFonts w:asciiTheme="majorBidi" w:hAnsiTheme="majorBidi" w:cstheme="majorBidi"/>
          <w:lang w:val="fr-FR"/>
        </w:rPr>
      </w:pPr>
      <w:r w:rsidRPr="008764AA">
        <w:rPr>
          <w:lang w:val="fr-FR"/>
        </w:rPr>
        <w:t>Dans l’ensemble, les participants se montrent tout à fait d’accord sur le fait que la performance des ressources humaines est élevée, avec une moyenne générale de 4,096 et un écart-type de 1,167. La valeur t obtenue (46,277) dépasse largement la valeur t critique (</w:t>
      </w:r>
      <w:r>
        <w:rPr>
          <w:lang w:val="fr-FR"/>
        </w:rPr>
        <w:t>1,974</w:t>
      </w:r>
      <w:r w:rsidRPr="008764AA">
        <w:rPr>
          <w:lang w:val="fr-FR"/>
        </w:rPr>
        <w:t>), avec un seuil de signification de 0,000, bien inférieur à 0,05. Ces résultats traduisent une perception très favorable de la performance des RH de la part des répondants.</w:t>
      </w:r>
    </w:p>
    <w:p w:rsidR="005353F3" w:rsidRPr="005353F3" w:rsidRDefault="00E772DD" w:rsidP="004D32AC">
      <w:pPr>
        <w:pStyle w:val="Titre3"/>
        <w:numPr>
          <w:ilvl w:val="0"/>
          <w:numId w:val="193"/>
        </w:numPr>
        <w:spacing w:after="0" w:afterAutospacing="0" w:line="360" w:lineRule="auto"/>
        <w:rPr>
          <w:color w:val="000000"/>
          <w:sz w:val="24"/>
          <w:szCs w:val="24"/>
          <w:lang w:val="fr-FR"/>
        </w:rPr>
      </w:pPr>
      <w:bookmarkStart w:id="2346" w:name="_Toc199714582"/>
      <w:bookmarkStart w:id="2347" w:name="_Toc200486858"/>
      <w:bookmarkStart w:id="2348" w:name="_Toc200635636"/>
      <w:bookmarkStart w:id="2349" w:name="_Toc200636024"/>
      <w:bookmarkStart w:id="2350" w:name="_Toc200636413"/>
      <w:bookmarkStart w:id="2351" w:name="_Toc200756154"/>
      <w:r w:rsidRPr="009B4086">
        <w:rPr>
          <w:sz w:val="24"/>
          <w:szCs w:val="24"/>
          <w:lang w:val="fr-FR"/>
        </w:rPr>
        <w:t>Test des hypothèses:</w:t>
      </w:r>
      <w:bookmarkEnd w:id="2346"/>
      <w:bookmarkEnd w:id="2347"/>
      <w:bookmarkEnd w:id="2348"/>
      <w:bookmarkEnd w:id="2349"/>
      <w:bookmarkEnd w:id="2350"/>
      <w:bookmarkEnd w:id="2351"/>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5A25C1">
        <w:rPr>
          <w:rStyle w:val="lev"/>
          <w:rFonts w:asciiTheme="majorBidi" w:hAnsiTheme="majorBidi" w:cstheme="majorBidi"/>
          <w:b w:val="0"/>
          <w:bCs w:val="0"/>
          <w:color w:val="000000" w:themeColor="text1"/>
          <w:lang w:val="fr-FR"/>
        </w:rPr>
        <w:t>Réponses préliminaires aux questions de recherche, n</w:t>
      </w:r>
      <w:r w:rsidRPr="005A25C1">
        <w:rPr>
          <w:rFonts w:asciiTheme="majorBidi" w:hAnsiTheme="majorBidi" w:cstheme="majorBidi"/>
          <w:color w:val="000000" w:themeColor="text1"/>
          <w:lang w:val="fr-FR"/>
        </w:rPr>
        <w:t>ous</w:t>
      </w:r>
      <w:r w:rsidRPr="008764AA">
        <w:rPr>
          <w:rFonts w:asciiTheme="majorBidi" w:hAnsiTheme="majorBidi" w:cstheme="majorBidi"/>
          <w:color w:val="000000" w:themeColor="text1"/>
          <w:lang w:val="fr-FR"/>
        </w:rPr>
        <w:t xml:space="preserve"> commencerons par examiner si les hypothèses formulées sont confirmées ou non, puis nous commenterons les résultats obtenus à partir des tests statistiques, ainsi que ceux issus de l’analyse des dimensions du questionnaire.</w:t>
      </w:r>
      <w:r w:rsidRPr="008764AA">
        <w:rPr>
          <w:rFonts w:asciiTheme="majorBidi" w:hAnsiTheme="majorBidi" w:cstheme="majorBidi"/>
          <w:color w:val="000000" w:themeColor="text1"/>
          <w:lang w:val="fr-FR"/>
        </w:rPr>
        <w:br/>
        <w:t xml:space="preserve">Pour vérifier les hypothèses de l’étude et comprendre la nature de la relation entre la digitalisation des processus RH et la performance des RH , nous appuierons notre analyse sur </w:t>
      </w:r>
      <w:r w:rsidRPr="008764AA">
        <w:rPr>
          <w:rFonts w:asciiTheme="majorBidi" w:hAnsiTheme="majorBidi" w:cstheme="majorBidi"/>
          <w:color w:val="000000" w:themeColor="text1"/>
          <w:lang w:val="fr-FR"/>
        </w:rPr>
        <w:lastRenderedPageBreak/>
        <w:t>le</w:t>
      </w:r>
      <w:r w:rsidRPr="008764AA">
        <w:rPr>
          <w:rStyle w:val="apple-converted-space"/>
          <w:rFonts w:asciiTheme="majorBidi" w:hAnsiTheme="majorBidi" w:cstheme="majorBidi"/>
          <w:color w:val="000000" w:themeColor="text1"/>
          <w:lang w:val="fr-FR"/>
        </w:rPr>
        <w:t> </w:t>
      </w:r>
      <w:r w:rsidRPr="005A25C1">
        <w:rPr>
          <w:rStyle w:val="lev"/>
          <w:rFonts w:asciiTheme="majorBidi" w:hAnsiTheme="majorBidi" w:cstheme="majorBidi"/>
          <w:b w:val="0"/>
          <w:bCs w:val="0"/>
          <w:color w:val="000000" w:themeColor="text1"/>
          <w:lang w:val="fr-FR"/>
        </w:rPr>
        <w:t>coefficient de corrélation de Pearson</w:t>
      </w:r>
      <w:r w:rsidRPr="008764AA">
        <w:rPr>
          <w:rStyle w:val="apple-converted-space"/>
          <w:rFonts w:asciiTheme="majorBidi" w:hAnsiTheme="majorBidi" w:cstheme="majorBidi"/>
          <w:color w:val="000000" w:themeColor="text1"/>
          <w:lang w:val="fr-FR"/>
        </w:rPr>
        <w:t> </w:t>
      </w:r>
      <w:r w:rsidRPr="008764AA">
        <w:rPr>
          <w:rFonts w:asciiTheme="majorBidi" w:hAnsiTheme="majorBidi" w:cstheme="majorBidi"/>
          <w:color w:val="000000" w:themeColor="text1"/>
          <w:lang w:val="fr-FR"/>
        </w:rPr>
        <w:t>et une</w:t>
      </w:r>
      <w:r w:rsidRPr="008764AA">
        <w:rPr>
          <w:rStyle w:val="apple-converted-space"/>
          <w:rFonts w:asciiTheme="majorBidi" w:hAnsiTheme="majorBidi" w:cstheme="majorBidi"/>
          <w:color w:val="000000" w:themeColor="text1"/>
          <w:lang w:val="fr-FR"/>
        </w:rPr>
        <w:t> </w:t>
      </w:r>
      <w:r w:rsidRPr="005A25C1">
        <w:rPr>
          <w:rStyle w:val="lev"/>
          <w:rFonts w:asciiTheme="majorBidi" w:hAnsiTheme="majorBidi" w:cstheme="majorBidi"/>
          <w:b w:val="0"/>
          <w:bCs w:val="0"/>
          <w:color w:val="000000" w:themeColor="text1"/>
          <w:lang w:val="fr-FR"/>
        </w:rPr>
        <w:t>analyse de régression linéaire simple</w:t>
      </w:r>
      <w:r w:rsidRPr="008764AA">
        <w:rPr>
          <w:rFonts w:asciiTheme="majorBidi" w:hAnsiTheme="majorBidi" w:cstheme="majorBidi"/>
          <w:color w:val="000000" w:themeColor="text1"/>
          <w:lang w:val="fr-FR"/>
        </w:rPr>
        <w:t>. Ces outils permettront d’identifier l’existence et la direction des corrélations entre les variables étudiées. Par ailleurs, nous utiliserons le</w:t>
      </w:r>
      <w:r w:rsidRPr="008764AA">
        <w:rPr>
          <w:rStyle w:val="apple-converted-space"/>
          <w:rFonts w:asciiTheme="majorBidi" w:hAnsiTheme="majorBidi" w:cstheme="majorBidi"/>
          <w:color w:val="000000" w:themeColor="text1"/>
          <w:lang w:val="fr-FR"/>
        </w:rPr>
        <w:t> </w:t>
      </w:r>
      <w:r w:rsidRPr="005A25C1">
        <w:rPr>
          <w:rStyle w:val="lev"/>
          <w:rFonts w:asciiTheme="majorBidi" w:hAnsiTheme="majorBidi" w:cstheme="majorBidi"/>
          <w:b w:val="0"/>
          <w:bCs w:val="0"/>
          <w:color w:val="000000" w:themeColor="text1"/>
          <w:lang w:val="fr-FR"/>
        </w:rPr>
        <w:t>coefficient de détermination (R²)</w:t>
      </w:r>
      <w:r w:rsidRPr="008764AA">
        <w:rPr>
          <w:rStyle w:val="apple-converted-space"/>
          <w:rFonts w:asciiTheme="majorBidi" w:hAnsiTheme="majorBidi" w:cstheme="majorBidi"/>
          <w:color w:val="000000" w:themeColor="text1"/>
          <w:lang w:val="fr-FR"/>
        </w:rPr>
        <w:t> </w:t>
      </w:r>
      <w:r w:rsidRPr="008764AA">
        <w:rPr>
          <w:rFonts w:asciiTheme="majorBidi" w:hAnsiTheme="majorBidi" w:cstheme="majorBidi"/>
          <w:color w:val="000000" w:themeColor="text1"/>
          <w:lang w:val="fr-FR"/>
        </w:rPr>
        <w:t>pour mesurer dans quelle proportion la variable indépendante contribue à expliquer la variation de la variable dépendante.</w:t>
      </w:r>
    </w:p>
    <w:p w:rsidR="005353F3" w:rsidRPr="00A53242" w:rsidRDefault="005353F3" w:rsidP="004D32AC">
      <w:pPr>
        <w:pStyle w:val="Titre3"/>
        <w:numPr>
          <w:ilvl w:val="0"/>
          <w:numId w:val="194"/>
        </w:numPr>
        <w:spacing w:after="0" w:afterAutospacing="0" w:line="360" w:lineRule="auto"/>
        <w:rPr>
          <w:sz w:val="24"/>
          <w:szCs w:val="24"/>
        </w:rPr>
      </w:pPr>
      <w:bookmarkStart w:id="2352" w:name="_Toc199714583"/>
      <w:bookmarkStart w:id="2353" w:name="_Toc200486859"/>
      <w:bookmarkStart w:id="2354" w:name="_Toc200635637"/>
      <w:bookmarkStart w:id="2355" w:name="_Toc200636025"/>
      <w:bookmarkStart w:id="2356" w:name="_Toc200636414"/>
      <w:bookmarkStart w:id="2357" w:name="_Toc200756155"/>
      <w:r w:rsidRPr="00A53242">
        <w:rPr>
          <w:sz w:val="24"/>
          <w:szCs w:val="24"/>
        </w:rPr>
        <w:t>Test de la première hypothèse</w:t>
      </w:r>
      <w:bookmarkEnd w:id="2352"/>
      <w:bookmarkEnd w:id="2353"/>
      <w:bookmarkEnd w:id="2354"/>
      <w:bookmarkEnd w:id="2355"/>
      <w:bookmarkEnd w:id="2356"/>
      <w:bookmarkEnd w:id="2357"/>
    </w:p>
    <w:p w:rsidR="005353F3" w:rsidRPr="008764AA" w:rsidRDefault="005353F3" w:rsidP="005353F3">
      <w:pPr>
        <w:pStyle w:val="p1"/>
        <w:spacing w:line="360" w:lineRule="auto"/>
        <w:jc w:val="both"/>
        <w:rPr>
          <w:rFonts w:asciiTheme="majorBidi" w:hAnsiTheme="majorBidi" w:cstheme="majorBidi"/>
          <w:color w:val="000000" w:themeColor="text1"/>
          <w:sz w:val="24"/>
          <w:szCs w:val="24"/>
        </w:rPr>
      </w:pPr>
      <w:r w:rsidRPr="008764AA">
        <w:rPr>
          <w:rFonts w:asciiTheme="majorBidi" w:hAnsiTheme="majorBidi" w:cstheme="majorBidi"/>
          <w:color w:val="000000" w:themeColor="text1"/>
          <w:sz w:val="24"/>
          <w:szCs w:val="24"/>
        </w:rPr>
        <w:t xml:space="preserve">H1: </w:t>
      </w:r>
      <w:r w:rsidR="007B209A">
        <w:rPr>
          <w:rFonts w:asciiTheme="majorBidi" w:hAnsiTheme="majorBidi" w:cstheme="majorBidi"/>
          <w:color w:val="000000" w:themeColor="text1"/>
          <w:sz w:val="24"/>
          <w:szCs w:val="24"/>
        </w:rPr>
        <w:t>La digitalisation des processus RH a un impact positif significatif sur le processus de recrutement</w:t>
      </w:r>
      <w:r w:rsidRPr="008764AA">
        <w:rPr>
          <w:rFonts w:asciiTheme="majorBidi" w:hAnsiTheme="majorBidi" w:cstheme="majorBidi"/>
          <w:color w:val="000000" w:themeColor="text1"/>
          <w:sz w:val="24"/>
          <w:szCs w:val="24"/>
        </w:rPr>
        <w:t xml:space="preserve"> au niveau de signification de 0,05</w:t>
      </w:r>
      <w:r>
        <w:rPr>
          <w:rFonts w:asciiTheme="majorBidi" w:hAnsiTheme="majorBidi" w:cstheme="majorBidi"/>
          <w:color w:val="000000" w:themeColor="text1"/>
          <w:sz w:val="24"/>
          <w:szCs w:val="24"/>
        </w:rPr>
        <w:t>.</w:t>
      </w:r>
    </w:p>
    <w:p w:rsidR="005353F3" w:rsidRPr="008764AA" w:rsidRDefault="005353F3" w:rsidP="004D32AC">
      <w:pPr>
        <w:pStyle w:val="Paragraphedeliste"/>
        <w:numPr>
          <w:ilvl w:val="0"/>
          <w:numId w:val="131"/>
        </w:numPr>
        <w:autoSpaceDE w:val="0"/>
        <w:autoSpaceDN w:val="0"/>
        <w:adjustRightInd w:val="0"/>
        <w:spacing w:line="360" w:lineRule="auto"/>
        <w:jc w:val="both"/>
        <w:rPr>
          <w:rFonts w:asciiTheme="majorBidi" w:eastAsia="Times New Roman" w:hAnsiTheme="majorBidi" w:cstheme="majorBidi"/>
          <w:b/>
          <w:bCs/>
          <w:color w:val="000000" w:themeColor="text1"/>
          <w:lang w:eastAsia="fr-FR"/>
          <w14:ligatures w14:val="none"/>
        </w:rPr>
      </w:pPr>
      <w:r w:rsidRPr="008764AA">
        <w:rPr>
          <w:rFonts w:asciiTheme="majorBidi" w:eastAsia="Times New Roman" w:hAnsiTheme="majorBidi" w:cstheme="majorBidi"/>
          <w:b/>
          <w:bCs/>
          <w:color w:val="000000" w:themeColor="text1"/>
          <w:lang w:eastAsia="fr-FR"/>
          <w14:ligatures w14:val="none"/>
        </w:rPr>
        <w:t>Coefficient de corrélation R</w:t>
      </w:r>
      <w:r w:rsidRPr="008764AA">
        <w:rPr>
          <w:rFonts w:asciiTheme="majorBidi" w:eastAsia="Times New Roman" w:hAnsiTheme="majorBidi" w:cstheme="majorBidi"/>
          <w:b/>
          <w:bCs/>
          <w:color w:val="000000" w:themeColor="text1"/>
          <w:vertAlign w:val="superscript"/>
          <w:lang w:eastAsia="fr-FR"/>
          <w14:ligatures w14:val="none"/>
        </w:rPr>
        <w:t>2</w:t>
      </w:r>
      <w:r w:rsidRPr="008764AA">
        <w:rPr>
          <w:rFonts w:asciiTheme="majorBidi" w:eastAsia="Times New Roman" w:hAnsiTheme="majorBidi" w:cstheme="majorBidi"/>
          <w:b/>
          <w:bCs/>
          <w:color w:val="000000" w:themeColor="text1"/>
          <w:lang w:eastAsia="fr-FR"/>
          <w14:ligatures w14:val="none"/>
        </w:rPr>
        <w:t xml:space="preserve"> (R-square)</w:t>
      </w:r>
      <w:r w:rsidR="00D657FC" w:rsidRPr="007B209A">
        <w:rPr>
          <w:rFonts w:asciiTheme="majorBidi" w:eastAsia="Times New Roman" w:hAnsiTheme="majorBidi" w:cstheme="majorBidi"/>
          <w:b/>
          <w:bCs/>
          <w:color w:val="000000" w:themeColor="text1"/>
          <w:lang w:val="fr-FR" w:eastAsia="fr-FR"/>
          <w14:ligatures w14:val="none"/>
        </w:rPr>
        <w:t xml:space="preserve"> de l’hypothèse H1</w:t>
      </w:r>
      <w:r w:rsidRPr="008764AA">
        <w:rPr>
          <w:rFonts w:asciiTheme="majorBidi" w:eastAsia="Times New Roman" w:hAnsiTheme="majorBidi" w:cstheme="majorBidi"/>
          <w:b/>
          <w:bCs/>
          <w:color w:val="000000" w:themeColor="text1"/>
          <w:lang w:eastAsia="fr-FR"/>
          <w14:ligatures w14:val="none"/>
        </w:rPr>
        <w:t xml:space="preserve"> :</w:t>
      </w:r>
    </w:p>
    <w:p w:rsidR="005353F3" w:rsidRPr="008764AA" w:rsidRDefault="005353F3" w:rsidP="005353F3">
      <w:pPr>
        <w:spacing w:line="360" w:lineRule="auto"/>
        <w:jc w:val="both"/>
        <w:rPr>
          <w:rFonts w:asciiTheme="majorBidi" w:hAnsiTheme="majorBidi" w:cstheme="majorBidi"/>
          <w:b/>
          <w:bCs/>
          <w:color w:val="000000" w:themeColor="text1"/>
          <w:lang w:val="fr-FR"/>
        </w:rPr>
      </w:pPr>
      <w:r w:rsidRPr="008764AA">
        <w:rPr>
          <w:rFonts w:asciiTheme="majorBidi" w:hAnsiTheme="majorBidi" w:cstheme="majorBidi"/>
          <w:color w:val="000000" w:themeColor="text1"/>
          <w:lang w:val="fr-FR"/>
        </w:rPr>
        <w:t>Le coefficient de détermination 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permet d’évaluer la puissance prédictive du modèle. Il indique l’effet global des variables indépendantes sur la variable dépendante latente, autrement dit, dans quelle mesure les variables explicatives parviennent à prédire ou expliquer la variation observée de la variable à expliquer.</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Les valeurs de 0,40 et plus sont considérées comme élevées, tandis que les valeurs comprises entre 0,20 et 0,40 sont jugées acceptables (moyennes). Les valeurs entre 0,10 et 0,20 sont considérées comme faibles, et toute valeur de R carré inférieure à 0,10 est inacceptable.</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N°39</w:t>
      </w:r>
      <w:r w:rsidRPr="008764AA">
        <w:rPr>
          <w:rFonts w:asciiTheme="majorBidi" w:hAnsiTheme="majorBidi" w:cstheme="majorBidi"/>
          <w:b/>
          <w:bCs/>
          <w:color w:val="000000" w:themeColor="text1"/>
          <w:lang w:val="fr-FR"/>
        </w:rPr>
        <w:t xml:space="preserve"> : </w:t>
      </w:r>
      <w:r w:rsidRPr="00746B9C">
        <w:rPr>
          <w:rFonts w:asciiTheme="majorBidi" w:hAnsiTheme="majorBidi" w:cstheme="majorBidi"/>
          <w:color w:val="000000" w:themeColor="text1"/>
          <w:lang w:val="fr-FR"/>
        </w:rPr>
        <w:t>Coefficients de corrélation</w:t>
      </w:r>
      <w:r w:rsidR="009430A7">
        <w:rPr>
          <w:rFonts w:asciiTheme="majorBidi" w:hAnsiTheme="majorBidi" w:cstheme="majorBidi"/>
          <w:color w:val="000000" w:themeColor="text1"/>
          <w:lang w:val="fr-FR"/>
        </w:rPr>
        <w:t xml:space="preserve"> </w:t>
      </w:r>
      <w:r w:rsidR="00716234">
        <w:rPr>
          <w:rFonts w:asciiTheme="majorBidi" w:hAnsiTheme="majorBidi" w:cstheme="majorBidi"/>
          <w:color w:val="000000" w:themeColor="text1"/>
          <w:lang w:val="fr-FR"/>
        </w:rPr>
        <w:t>de l’hypothèse H1</w:t>
      </w:r>
    </w:p>
    <w:tbl>
      <w:tblPr>
        <w:tblStyle w:val="Grilledutableau"/>
        <w:tblW w:w="8789" w:type="dxa"/>
        <w:tblInd w:w="-5" w:type="dxa"/>
        <w:tblLayout w:type="fixed"/>
        <w:tblLook w:val="0000" w:firstRow="0" w:lastRow="0" w:firstColumn="0" w:lastColumn="0" w:noHBand="0" w:noVBand="0"/>
      </w:tblPr>
      <w:tblGrid>
        <w:gridCol w:w="1129"/>
        <w:gridCol w:w="1032"/>
        <w:gridCol w:w="1186"/>
        <w:gridCol w:w="1692"/>
        <w:gridCol w:w="3750"/>
      </w:tblGrid>
      <w:tr w:rsidR="005353F3" w:rsidRPr="008764AA" w:rsidTr="00AE378F">
        <w:tc>
          <w:tcPr>
            <w:tcW w:w="1129" w:type="dxa"/>
            <w:shd w:val="clear" w:color="auto" w:fill="D8DCD1"/>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32" w:type="dxa"/>
            <w:shd w:val="clear" w:color="auto" w:fill="D8DCD1"/>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vAlign w:val="center"/>
          </w:tcPr>
          <w:p w:rsidR="005353F3" w:rsidRPr="008764AA" w:rsidRDefault="005353F3" w:rsidP="00E6084A">
            <w:pPr>
              <w:spacing w:line="360" w:lineRule="auto"/>
              <w:ind w:left="60" w:right="60"/>
              <w:jc w:val="both"/>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shd w:val="clear" w:color="auto" w:fill="D8DCD1"/>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3750" w:type="dxa"/>
            <w:shd w:val="clear" w:color="auto" w:fill="D8DCD1"/>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c>
          <w:tcPr>
            <w:tcW w:w="1129" w:type="dxa"/>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32" w:type="dxa"/>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759</w:t>
            </w:r>
            <w:r w:rsidRPr="008764AA">
              <w:rPr>
                <w:rFonts w:asciiTheme="majorBidi" w:hAnsiTheme="majorBidi" w:cstheme="majorBidi"/>
                <w:color w:val="000000" w:themeColor="text1"/>
                <w:vertAlign w:val="superscript"/>
                <w:lang w:val="fr-FR"/>
              </w:rPr>
              <w:t>a</w:t>
            </w:r>
          </w:p>
        </w:tc>
        <w:tc>
          <w:tcPr>
            <w:tcW w:w="1186" w:type="dxa"/>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576</w:t>
            </w:r>
          </w:p>
        </w:tc>
        <w:tc>
          <w:tcPr>
            <w:tcW w:w="1692" w:type="dxa"/>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573</w:t>
            </w:r>
          </w:p>
        </w:tc>
        <w:tc>
          <w:tcPr>
            <w:tcW w:w="3750" w:type="dxa"/>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65260</w:t>
            </w: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Selon les résultats présentés dans le tableau, le coefficient de détermination R²</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0,576. Cela montre que la digitalisation des processus RH influence le processus de recrutement digitalisé. Par ailleurs, le coefficient de corrélation R</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 xml:space="preserve"> 0,759, indique </w:t>
      </w:r>
      <w:r w:rsidRPr="00E025A3">
        <w:rPr>
          <w:rFonts w:asciiTheme="majorBidi" w:hAnsiTheme="majorBidi" w:cstheme="majorBidi"/>
          <w:b/>
          <w:bCs/>
          <w:color w:val="000000" w:themeColor="text1"/>
        </w:rPr>
        <w:t>une forte relation directe</w:t>
      </w:r>
      <w:r w:rsidRPr="00140F9D">
        <w:rPr>
          <w:rFonts w:asciiTheme="majorBidi" w:hAnsiTheme="majorBidi" w:cstheme="majorBidi"/>
          <w:color w:val="000000" w:themeColor="text1"/>
        </w:rPr>
        <w:t xml:space="preserve"> entre la digitalisation des processus RH et le processus de recrutement digitalisé, avec un taux de corrélation de 75,9 %.</w:t>
      </w:r>
    </w:p>
    <w:p w:rsidR="005353F3" w:rsidRPr="005A25C1" w:rsidRDefault="005353F3" w:rsidP="004D32AC">
      <w:pPr>
        <w:pStyle w:val="Paragraphedeliste"/>
        <w:numPr>
          <w:ilvl w:val="0"/>
          <w:numId w:val="131"/>
        </w:numPr>
        <w:spacing w:line="360" w:lineRule="auto"/>
        <w:jc w:val="both"/>
        <w:rPr>
          <w:rFonts w:asciiTheme="majorBidi" w:hAnsiTheme="majorBidi" w:cstheme="majorBidi"/>
          <w:color w:val="000000" w:themeColor="text1"/>
          <w:lang w:val="fr-FR"/>
        </w:rPr>
      </w:pPr>
      <w:r w:rsidRPr="005A25C1">
        <w:rPr>
          <w:rFonts w:asciiTheme="majorBidi" w:hAnsiTheme="majorBidi" w:cstheme="majorBidi"/>
          <w:b/>
          <w:bCs/>
          <w:color w:val="000000" w:themeColor="text1"/>
          <w:lang w:val="fr-FR"/>
        </w:rPr>
        <w:t xml:space="preserve"> Analyse de la variance ANOVA </w:t>
      </w:r>
      <w:r w:rsidR="00D657FC" w:rsidRPr="00D657FC">
        <w:rPr>
          <w:rFonts w:asciiTheme="majorBidi" w:hAnsiTheme="majorBidi" w:cstheme="majorBidi"/>
          <w:b/>
          <w:bCs/>
          <w:color w:val="000000" w:themeColor="text1"/>
          <w:lang w:val="fr-FR"/>
        </w:rPr>
        <w:t>de l’hypothèse H1</w:t>
      </w:r>
      <w:r w:rsidR="00D657FC">
        <w:rPr>
          <w:rFonts w:asciiTheme="majorBidi" w:hAnsiTheme="majorBidi" w:cstheme="majorBidi"/>
          <w:b/>
          <w:bCs/>
          <w:color w:val="000000" w:themeColor="text1"/>
          <w:lang w:val="fr-FR"/>
        </w:rPr>
        <w:t xml:space="preserve"> </w:t>
      </w:r>
      <w:r w:rsidRPr="005A25C1">
        <w:rPr>
          <w:rFonts w:asciiTheme="majorBidi" w:hAnsiTheme="majorBidi" w:cstheme="majorBidi"/>
          <w:b/>
          <w:bCs/>
          <w:color w:val="000000" w:themeColor="text1"/>
          <w:lang w:val="fr-FR"/>
        </w:rPr>
        <w:t>:</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Le test d’analyse de la variance (ANOVA) est un outil statistique utilisé pour comparer les moyennes de trois groupes ou plus, dans le but de déterminer s’il existe des différences significatives entre eux. Ce test repose sur le rapport de variance F, obtenu en divisant la variance entre les groupes par la variance à l’intérieur des groupes. Si la valeur F calculée est </w:t>
      </w:r>
      <w:r w:rsidRPr="008764AA">
        <w:rPr>
          <w:rFonts w:asciiTheme="majorBidi" w:hAnsiTheme="majorBidi" w:cstheme="majorBidi"/>
          <w:color w:val="000000" w:themeColor="text1"/>
          <w:lang w:val="fr-FR"/>
        </w:rPr>
        <w:lastRenderedPageBreak/>
        <w:t>supérieure à la valeur F critique, nous rejetons l'hypothèse nulle et concluons qu'il existe une différence significative entre les groupes.</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N°40</w:t>
      </w:r>
      <w:r w:rsidRPr="008764AA">
        <w:rPr>
          <w:rFonts w:asciiTheme="majorBidi" w:hAnsiTheme="majorBidi" w:cstheme="majorBidi"/>
          <w:b/>
          <w:bCs/>
          <w:color w:val="000000" w:themeColor="text1"/>
          <w:lang w:val="fr-FR"/>
        </w:rPr>
        <w:t xml:space="preserve"> : </w:t>
      </w:r>
      <w:r w:rsidRPr="00746B9C">
        <w:rPr>
          <w:rFonts w:asciiTheme="majorBidi" w:hAnsiTheme="majorBidi" w:cstheme="majorBidi"/>
          <w:color w:val="000000" w:themeColor="text1"/>
          <w:lang w:val="fr-FR"/>
        </w:rPr>
        <w:t>La variance ANOVA</w:t>
      </w:r>
      <w:r w:rsidR="00716234">
        <w:rPr>
          <w:rFonts w:asciiTheme="majorBidi" w:hAnsiTheme="majorBidi" w:cstheme="majorBidi"/>
          <w:color w:val="000000" w:themeColor="text1"/>
          <w:lang w:val="fr-FR"/>
        </w:rPr>
        <w:t xml:space="preserve"> de l’hypothèse H1</w:t>
      </w:r>
    </w:p>
    <w:tbl>
      <w:tblPr>
        <w:tblStyle w:val="Grilledutableau"/>
        <w:tblW w:w="8998" w:type="dxa"/>
        <w:tblLayout w:type="fixed"/>
        <w:tblLook w:val="0000" w:firstRow="0" w:lastRow="0" w:firstColumn="0" w:lastColumn="0" w:noHBand="0" w:noVBand="0"/>
      </w:tblPr>
      <w:tblGrid>
        <w:gridCol w:w="853"/>
        <w:gridCol w:w="1410"/>
        <w:gridCol w:w="1642"/>
        <w:gridCol w:w="1186"/>
        <w:gridCol w:w="1535"/>
        <w:gridCol w:w="1307"/>
        <w:gridCol w:w="1065"/>
      </w:tblGrid>
      <w:tr w:rsidR="005353F3" w:rsidRPr="008764AA" w:rsidTr="00AE378F">
        <w:tc>
          <w:tcPr>
            <w:tcW w:w="2263"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64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307"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06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41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64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97</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152</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97</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152</w:t>
            </w:r>
          </w:p>
        </w:tc>
        <w:tc>
          <w:tcPr>
            <w:tcW w:w="1307"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228</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117</w:t>
            </w:r>
          </w:p>
        </w:tc>
        <w:tc>
          <w:tcPr>
            <w:tcW w:w="106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410" w:type="dxa"/>
          </w:tcPr>
          <w:p w:rsidR="005353F3" w:rsidRPr="008764AA" w:rsidRDefault="005353F3" w:rsidP="00E6084A">
            <w:pPr>
              <w:pStyle w:val="p1"/>
              <w:spacing w:line="360" w:lineRule="auto"/>
              <w:jc w:val="both"/>
              <w:rPr>
                <w:rFonts w:asciiTheme="majorBidi" w:hAnsiTheme="majorBidi" w:cstheme="majorBidi"/>
                <w:color w:val="000000" w:themeColor="text1"/>
                <w:sz w:val="24"/>
                <w:szCs w:val="24"/>
              </w:rPr>
            </w:pPr>
            <w:r w:rsidRPr="008764AA">
              <w:rPr>
                <w:rFonts w:asciiTheme="majorBidi" w:hAnsiTheme="majorBidi" w:cstheme="majorBidi"/>
                <w:color w:val="000000" w:themeColor="text1"/>
                <w:sz w:val="24"/>
                <w:szCs w:val="24"/>
              </w:rPr>
              <w:t>Résidus</w:t>
            </w:r>
            <w:r w:rsidRPr="008764AA">
              <w:rPr>
                <w:rStyle w:val="apple-converted-space"/>
                <w:rFonts w:asciiTheme="majorBidi" w:hAnsiTheme="majorBidi" w:cstheme="majorBidi"/>
                <w:color w:val="000000" w:themeColor="text1"/>
                <w:sz w:val="24"/>
                <w:szCs w:val="24"/>
              </w:rPr>
              <w:t> </w:t>
            </w:r>
          </w:p>
        </w:tc>
        <w:tc>
          <w:tcPr>
            <w:tcW w:w="164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71</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549</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426</w:t>
            </w:r>
          </w:p>
        </w:tc>
        <w:tc>
          <w:tcPr>
            <w:tcW w:w="1307"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06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41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64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702</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07"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06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FD5561" w:rsidRDefault="005353F3" w:rsidP="005353F3">
      <w:pPr>
        <w:spacing w:after="240"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Le tableau ci-dessus montre que la significativité, égale à 0,000, est inférieure</w:t>
      </w:r>
      <w:r w:rsidRPr="00226CE1">
        <w:rPr>
          <w:rFonts w:asciiTheme="majorBidi" w:hAnsiTheme="majorBidi" w:cstheme="majorBidi"/>
          <w:color w:val="000000" w:themeColor="text1"/>
          <w:lang w:val="fr-FR"/>
        </w:rPr>
        <w:t xml:space="preserve"> à</w:t>
      </w:r>
      <w:r w:rsidRPr="00FD5561">
        <w:rPr>
          <w:rFonts w:asciiTheme="majorBidi" w:hAnsiTheme="majorBidi" w:cstheme="majorBidi"/>
          <w:color w:val="000000" w:themeColor="text1"/>
        </w:rPr>
        <w:t xml:space="preserve"> 0,05. Cela confirme la validité du modèle linéaire et permet de valider l’hypothèse selon laquelle il existe une relation positive et statistiquement significative entre la digitalisation des processus RH et le processus de recrutement digitalisé.</w:t>
      </w:r>
    </w:p>
    <w:p w:rsidR="005353F3" w:rsidRPr="008764AA" w:rsidRDefault="005353F3" w:rsidP="004D32AC">
      <w:pPr>
        <w:pStyle w:val="Paragraphedeliste"/>
        <w:numPr>
          <w:ilvl w:val="0"/>
          <w:numId w:val="133"/>
        </w:numPr>
        <w:autoSpaceDE w:val="0"/>
        <w:autoSpaceDN w:val="0"/>
        <w:adjustRightInd w:val="0"/>
        <w:spacing w:line="360" w:lineRule="auto"/>
        <w:jc w:val="both"/>
        <w:rPr>
          <w:rFonts w:asciiTheme="majorBidi" w:eastAsia="Times New Roman" w:hAnsiTheme="majorBidi" w:cstheme="majorBidi"/>
          <w:b/>
          <w:bCs/>
          <w:color w:val="000000" w:themeColor="text1"/>
          <w:lang w:eastAsia="fr-FR"/>
          <w14:ligatures w14:val="none"/>
        </w:rPr>
      </w:pPr>
      <w:r w:rsidRPr="008764AA">
        <w:rPr>
          <w:rFonts w:asciiTheme="majorBidi" w:eastAsia="Times New Roman" w:hAnsiTheme="majorBidi" w:cstheme="majorBidi"/>
          <w:b/>
          <w:bCs/>
          <w:color w:val="000000" w:themeColor="text1"/>
          <w:lang w:eastAsia="fr-FR"/>
          <w14:ligatures w14:val="none"/>
        </w:rPr>
        <w:t>Coefficients de régression</w:t>
      </w:r>
      <w:r w:rsidR="00D657FC" w:rsidRPr="007B209A">
        <w:rPr>
          <w:rFonts w:asciiTheme="majorBidi" w:eastAsia="Times New Roman" w:hAnsiTheme="majorBidi" w:cstheme="majorBidi"/>
          <w:b/>
          <w:bCs/>
          <w:color w:val="000000" w:themeColor="text1"/>
          <w:lang w:val="fr-FR" w:eastAsia="fr-FR"/>
          <w14:ligatures w14:val="none"/>
        </w:rPr>
        <w:t xml:space="preserve"> </w:t>
      </w:r>
      <w:r w:rsidR="00D657FC" w:rsidRPr="00D657FC">
        <w:rPr>
          <w:rFonts w:asciiTheme="majorBidi" w:hAnsiTheme="majorBidi" w:cstheme="majorBidi"/>
          <w:b/>
          <w:bCs/>
          <w:color w:val="000000" w:themeColor="text1"/>
          <w:lang w:val="fr-FR"/>
        </w:rPr>
        <w:t xml:space="preserve">de l’hypothèse H1 </w:t>
      </w:r>
      <w:r w:rsidRPr="008764AA">
        <w:rPr>
          <w:rFonts w:asciiTheme="majorBidi" w:eastAsia="Times New Roman" w:hAnsiTheme="majorBidi" w:cstheme="majorBidi"/>
          <w:b/>
          <w:bCs/>
          <w:color w:val="000000" w:themeColor="text1"/>
          <w:lang w:eastAsia="fr-FR"/>
          <w14:ligatures w14:val="none"/>
        </w:rPr>
        <w:t>:</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Les coefficients de régression sont des valeurs numériques qui expriment la force et la direction de la relation entre une variable indépendante et une variable dépendante dans un modèle de régression. Autrement dit, ils indiquent dans quelle mesure la variable dépendante est susceptible de varier en réponse à une variation d’une unité de la variable indépendante, toutes les autres variables étant maintenues constantes.</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N°41</w:t>
      </w:r>
      <w:r w:rsidRPr="008764AA">
        <w:rPr>
          <w:rFonts w:asciiTheme="majorBidi" w:hAnsiTheme="majorBidi" w:cstheme="majorBidi"/>
          <w:b/>
          <w:bCs/>
          <w:color w:val="000000" w:themeColor="text1"/>
          <w:lang w:val="fr-FR"/>
        </w:rPr>
        <w:t xml:space="preserve"> : </w:t>
      </w:r>
      <w:r w:rsidRPr="00746B9C">
        <w:rPr>
          <w:rFonts w:asciiTheme="majorBidi" w:hAnsiTheme="majorBidi" w:cstheme="majorBidi"/>
          <w:color w:val="000000" w:themeColor="text1"/>
          <w:lang w:val="fr-FR"/>
        </w:rPr>
        <w:t>Coefficients de régression</w:t>
      </w:r>
      <w:r w:rsidR="00716234">
        <w:rPr>
          <w:rFonts w:asciiTheme="majorBidi" w:hAnsiTheme="majorBidi" w:cstheme="majorBidi"/>
          <w:color w:val="000000" w:themeColor="text1"/>
          <w:lang w:val="fr-FR"/>
        </w:rPr>
        <w:t xml:space="preserve"> de l’hypothèse H1</w:t>
      </w:r>
    </w:p>
    <w:tbl>
      <w:tblPr>
        <w:tblStyle w:val="Grilledutableau"/>
        <w:tblW w:w="9362" w:type="dxa"/>
        <w:tblLayout w:type="fixed"/>
        <w:tblLook w:val="0000" w:firstRow="0" w:lastRow="0" w:firstColumn="0" w:lastColumn="0" w:noHBand="0" w:noVBand="0"/>
      </w:tblPr>
      <w:tblGrid>
        <w:gridCol w:w="831"/>
        <w:gridCol w:w="1718"/>
        <w:gridCol w:w="1185"/>
        <w:gridCol w:w="1661"/>
        <w:gridCol w:w="1661"/>
        <w:gridCol w:w="1153"/>
        <w:gridCol w:w="1153"/>
      </w:tblGrid>
      <w:tr w:rsidR="005353F3" w:rsidRPr="008764AA" w:rsidTr="00AE378F">
        <w:tc>
          <w:tcPr>
            <w:tcW w:w="2549" w:type="dxa"/>
            <w:gridSpan w:val="2"/>
            <w:shd w:val="clear" w:color="auto" w:fill="D8DCD1"/>
          </w:tcPr>
          <w:p w:rsidR="005353F3" w:rsidRPr="008764AA" w:rsidRDefault="005353F3" w:rsidP="00AE378F">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2846" w:type="dxa"/>
            <w:gridSpan w:val="2"/>
            <w:shd w:val="clear" w:color="auto" w:fill="D8DCD1"/>
          </w:tcPr>
          <w:p w:rsidR="005353F3" w:rsidRPr="008764AA" w:rsidRDefault="005353F3" w:rsidP="00AE378F">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w:t>
            </w:r>
            <w:r w:rsidR="00AE378F">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non standardisés</w:t>
            </w:r>
          </w:p>
        </w:tc>
        <w:tc>
          <w:tcPr>
            <w:tcW w:w="1661"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1"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718" w:type="dxa"/>
            <w:tcBorders>
              <w:bottom w:val="nil"/>
            </w:tcBorders>
            <w:vAlign w:val="center"/>
          </w:tcPr>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18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r>
      <w:tr w:rsidR="005353F3" w:rsidRPr="008764AA" w:rsidTr="00E6084A">
        <w:tc>
          <w:tcPr>
            <w:tcW w:w="831" w:type="dxa"/>
            <w:vMerge w:val="restart"/>
            <w:tcBorders>
              <w:top w:val="nil"/>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718" w:type="dxa"/>
            <w:tcBorders>
              <w:top w:val="nil"/>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18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-1.430</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0.350</w:t>
            </w:r>
          </w:p>
        </w:tc>
        <w:tc>
          <w:tcPr>
            <w:tcW w:w="1661"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- 4</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085</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1" w:type="dxa"/>
            <w:vMerge/>
            <w:tcBorders>
              <w:top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718"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Digitalisation </w:t>
            </w:r>
          </w:p>
        </w:tc>
        <w:tc>
          <w:tcPr>
            <w:tcW w:w="118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1.323</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0.088</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0.759</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15</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104</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bl>
    <w:p w:rsidR="005353F3"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r>
        <w:rPr>
          <w:rFonts w:asciiTheme="majorBidi" w:hAnsiTheme="majorBidi" w:cstheme="majorBidi"/>
          <w:color w:val="000000" w:themeColor="text1"/>
          <w:lang w:val="fr-FR"/>
        </w:rPr>
        <w:t>.</w:t>
      </w:r>
    </w:p>
    <w:p w:rsidR="005353F3" w:rsidRPr="00226CE1" w:rsidRDefault="005353F3" w:rsidP="005353F3">
      <w:pPr>
        <w:spacing w:line="360" w:lineRule="auto"/>
        <w:jc w:val="both"/>
        <w:rPr>
          <w:rFonts w:asciiTheme="majorBidi" w:hAnsiTheme="majorBidi" w:cstheme="majorBidi"/>
          <w:color w:val="000000" w:themeColor="text1"/>
          <w:lang w:val="fr-FR"/>
        </w:rPr>
      </w:pPr>
      <w:r w:rsidRPr="005773EA">
        <w:rPr>
          <w:rFonts w:asciiTheme="majorBidi" w:hAnsiTheme="majorBidi" w:cstheme="majorBidi"/>
          <w:color w:val="000000" w:themeColor="text1"/>
        </w:rPr>
        <w:t xml:space="preserve">Les résultats du tableau précédent indiquent que la relation entre </w:t>
      </w:r>
      <w:r w:rsidRPr="00226CE1">
        <w:rPr>
          <w:rFonts w:asciiTheme="majorBidi" w:hAnsiTheme="majorBidi" w:cstheme="majorBidi"/>
          <w:color w:val="000000" w:themeColor="text1"/>
          <w:lang w:val="fr-FR"/>
        </w:rPr>
        <w:t>l</w:t>
      </w:r>
      <w:r w:rsidRPr="008764AA">
        <w:rPr>
          <w:rFonts w:asciiTheme="majorBidi" w:hAnsiTheme="majorBidi" w:cstheme="majorBidi"/>
          <w:color w:val="000000" w:themeColor="text1"/>
        </w:rPr>
        <w:t>a digitalisation des processus RH</w:t>
      </w:r>
      <w:r w:rsidRPr="00226CE1">
        <w:rPr>
          <w:rFonts w:asciiTheme="majorBidi" w:hAnsiTheme="majorBidi" w:cstheme="majorBidi"/>
          <w:color w:val="000000" w:themeColor="text1"/>
          <w:lang w:val="fr-FR"/>
        </w:rPr>
        <w:t xml:space="preserve"> </w:t>
      </w:r>
      <w:r w:rsidRPr="005773EA">
        <w:rPr>
          <w:rFonts w:asciiTheme="majorBidi" w:hAnsiTheme="majorBidi" w:cstheme="majorBidi"/>
          <w:color w:val="000000" w:themeColor="text1"/>
        </w:rPr>
        <w:t xml:space="preserve">et </w:t>
      </w:r>
      <w:r w:rsidRPr="008764AA">
        <w:rPr>
          <w:rFonts w:asciiTheme="majorBidi" w:hAnsiTheme="majorBidi" w:cstheme="majorBidi"/>
          <w:color w:val="000000" w:themeColor="text1"/>
        </w:rPr>
        <w:t>le processus de recrutement</w:t>
      </w:r>
      <w:r w:rsidRPr="00F87435">
        <w:rPr>
          <w:rFonts w:asciiTheme="majorBidi" w:hAnsiTheme="majorBidi" w:cstheme="majorBidi"/>
          <w:color w:val="000000" w:themeColor="text1"/>
          <w:lang w:val="fr-FR"/>
        </w:rPr>
        <w:t xml:space="preserve"> digitalisé</w:t>
      </w:r>
      <w:r w:rsidRPr="005773EA">
        <w:rPr>
          <w:rFonts w:asciiTheme="majorBidi" w:hAnsiTheme="majorBidi" w:cstheme="majorBidi"/>
          <w:color w:val="000000" w:themeColor="text1"/>
        </w:rPr>
        <w:t xml:space="preserve"> peut être modélisée par une équation linéaire</w:t>
      </w:r>
      <w:r w:rsidRPr="00226CE1">
        <w:rPr>
          <w:rFonts w:asciiTheme="majorBidi" w:hAnsiTheme="majorBidi" w:cstheme="majorBidi"/>
          <w:color w:val="000000" w:themeColor="text1"/>
          <w:lang w:val="fr-FR"/>
        </w:rPr>
        <w:t>.</w:t>
      </w:r>
    </w:p>
    <w:p w:rsidR="005353F3" w:rsidRPr="00226CE1" w:rsidRDefault="005353F3" w:rsidP="005353F3">
      <w:pPr>
        <w:spacing w:line="360" w:lineRule="auto"/>
        <w:jc w:val="both"/>
        <w:rPr>
          <w:rFonts w:asciiTheme="majorBidi" w:hAnsiTheme="majorBidi" w:cstheme="majorBidi"/>
          <w:color w:val="000000" w:themeColor="text1"/>
          <w:lang w:val="fr-FR"/>
        </w:rPr>
      </w:pPr>
      <w:r w:rsidRPr="005773EA">
        <w:rPr>
          <w:rFonts w:asciiTheme="majorBidi" w:hAnsiTheme="majorBidi" w:cstheme="majorBidi"/>
          <w:color w:val="000000" w:themeColor="text1"/>
        </w:rPr>
        <w:t>Y = 1,323 X₁ – 1,43</w:t>
      </w:r>
      <w:r w:rsidRPr="00226CE1">
        <w:rPr>
          <w:rFonts w:asciiTheme="majorBidi" w:hAnsiTheme="majorBidi" w:cstheme="majorBidi"/>
          <w:color w:val="000000" w:themeColor="text1"/>
          <w:lang w:val="fr-FR"/>
        </w:rPr>
        <w:t>0</w:t>
      </w:r>
    </w:p>
    <w:p w:rsidR="005353F3" w:rsidRPr="00226CE1" w:rsidRDefault="005353F3" w:rsidP="005353F3">
      <w:pPr>
        <w:spacing w:after="240" w:line="360" w:lineRule="auto"/>
        <w:jc w:val="both"/>
        <w:rPr>
          <w:rFonts w:asciiTheme="majorBidi" w:hAnsiTheme="majorBidi" w:cstheme="majorBidi"/>
          <w:color w:val="000000" w:themeColor="text1"/>
          <w:lang w:val="fr-FR"/>
        </w:rPr>
      </w:pPr>
      <w:r w:rsidRPr="00226CE1">
        <w:rPr>
          <w:rFonts w:asciiTheme="majorBidi" w:hAnsiTheme="majorBidi" w:cstheme="majorBidi"/>
          <w:color w:val="000000" w:themeColor="text1"/>
          <w:lang w:val="fr-FR"/>
        </w:rPr>
        <w:lastRenderedPageBreak/>
        <w:t>O</w:t>
      </w:r>
      <w:r w:rsidRPr="005773EA">
        <w:rPr>
          <w:rFonts w:asciiTheme="majorBidi" w:hAnsiTheme="majorBidi" w:cstheme="majorBidi"/>
          <w:color w:val="000000" w:themeColor="text1"/>
        </w:rPr>
        <w:t xml:space="preserve">ù Y représente la variable dépendante (le processus de recrutement digitalisé), X₁ désigne la variable indépendante (la digitalisation des processus RH) </w:t>
      </w:r>
      <w:r w:rsidRPr="008764AA">
        <w:rPr>
          <w:rFonts w:asciiTheme="majorBidi" w:hAnsiTheme="majorBidi" w:cstheme="majorBidi"/>
          <w:color w:val="000000" w:themeColor="text1"/>
          <w:lang w:val="fr-FR"/>
        </w:rPr>
        <w:t>et le nombre 1,323 est la valeur de β1 de la pente de l’équation de régression.</w:t>
      </w:r>
    </w:p>
    <w:p w:rsidR="005353F3" w:rsidRPr="004D4075" w:rsidRDefault="004D4075" w:rsidP="004D32AC">
      <w:pPr>
        <w:pStyle w:val="Titre3"/>
        <w:numPr>
          <w:ilvl w:val="1"/>
          <w:numId w:val="194"/>
        </w:numPr>
        <w:spacing w:after="0" w:afterAutospacing="0" w:line="360" w:lineRule="auto"/>
        <w:rPr>
          <w:sz w:val="24"/>
          <w:szCs w:val="24"/>
          <w:lang w:val="fr-FR"/>
        </w:rPr>
      </w:pPr>
      <w:r>
        <w:rPr>
          <w:sz w:val="24"/>
          <w:szCs w:val="24"/>
          <w:lang w:val="fr-FR"/>
        </w:rPr>
        <w:t xml:space="preserve"> </w:t>
      </w:r>
      <w:bookmarkStart w:id="2358" w:name="_Toc199714584"/>
      <w:bookmarkStart w:id="2359" w:name="_Toc200486860"/>
      <w:bookmarkStart w:id="2360" w:name="_Toc200635638"/>
      <w:bookmarkStart w:id="2361" w:name="_Toc200636026"/>
      <w:bookmarkStart w:id="2362" w:name="_Toc200636415"/>
      <w:bookmarkStart w:id="2363" w:name="_Toc200756156"/>
      <w:r w:rsidR="005353F3" w:rsidRPr="004D4075">
        <w:rPr>
          <w:sz w:val="24"/>
          <w:szCs w:val="24"/>
          <w:lang w:val="fr-FR"/>
        </w:rPr>
        <w:t>Test de la première sous-hypothèse</w:t>
      </w:r>
      <w:bookmarkEnd w:id="2358"/>
      <w:bookmarkEnd w:id="2359"/>
      <w:bookmarkEnd w:id="2360"/>
      <w:bookmarkEnd w:id="2361"/>
      <w:bookmarkEnd w:id="2362"/>
      <w:bookmarkEnd w:id="2363"/>
      <w:r w:rsidR="005353F3" w:rsidRPr="004D4075">
        <w:rPr>
          <w:sz w:val="24"/>
          <w:szCs w:val="24"/>
          <w:lang w:val="fr-FR"/>
        </w:rPr>
        <w:t> </w:t>
      </w:r>
    </w:p>
    <w:p w:rsidR="002A015A" w:rsidRPr="008764AA" w:rsidRDefault="005353F3" w:rsidP="005D3481">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H1.1= L’automatisation a un impact positif significatif sur le processus de recrutement</w:t>
      </w:r>
      <w:r w:rsidR="005D3481">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au niveau de signification de 0,05</w:t>
      </w:r>
      <w:r>
        <w:rPr>
          <w:rFonts w:asciiTheme="majorBidi" w:hAnsiTheme="majorBidi" w:cstheme="majorBidi"/>
          <w:color w:val="000000" w:themeColor="text1"/>
          <w:lang w:val="fr-FR"/>
        </w:rPr>
        <w:t>.</w:t>
      </w:r>
    </w:p>
    <w:p w:rsidR="005353F3" w:rsidRPr="005A25C1" w:rsidRDefault="005353F3" w:rsidP="004D32AC">
      <w:pPr>
        <w:pStyle w:val="Paragraphedeliste"/>
        <w:numPr>
          <w:ilvl w:val="0"/>
          <w:numId w:val="176"/>
        </w:numPr>
        <w:spacing w:line="360" w:lineRule="auto"/>
        <w:jc w:val="both"/>
        <w:rPr>
          <w:rFonts w:asciiTheme="majorBidi" w:hAnsiTheme="majorBidi" w:cstheme="majorBidi"/>
          <w:color w:val="000000" w:themeColor="text1"/>
          <w:lang w:val="fr-FR"/>
        </w:rPr>
      </w:pPr>
      <w:r w:rsidRPr="005A25C1">
        <w:rPr>
          <w:rFonts w:asciiTheme="majorBidi" w:hAnsiTheme="majorBidi" w:cstheme="majorBidi"/>
          <w:b/>
          <w:bCs/>
          <w:color w:val="000000" w:themeColor="text1"/>
          <w:lang w:val="fr-FR"/>
        </w:rPr>
        <w:t xml:space="preserve"> Coefficient de corrélation R2 (R-square)</w:t>
      </w:r>
      <w:r w:rsidR="00716234">
        <w:rPr>
          <w:rFonts w:asciiTheme="majorBidi" w:hAnsiTheme="majorBidi" w:cstheme="majorBidi"/>
          <w:b/>
          <w:bCs/>
          <w:color w:val="000000" w:themeColor="text1"/>
          <w:lang w:val="fr-FR"/>
        </w:rPr>
        <w:t xml:space="preserve"> </w:t>
      </w:r>
      <w:r w:rsidR="00716234" w:rsidRPr="00716234">
        <w:rPr>
          <w:rFonts w:asciiTheme="majorBidi" w:hAnsiTheme="majorBidi" w:cstheme="majorBidi"/>
          <w:b/>
          <w:bCs/>
          <w:color w:val="000000" w:themeColor="text1"/>
          <w:lang w:val="fr-FR"/>
        </w:rPr>
        <w:t>de la sous-hypothèse H1.1</w:t>
      </w:r>
      <w:r w:rsidRPr="005A25C1">
        <w:rPr>
          <w:rFonts w:asciiTheme="majorBidi" w:hAnsiTheme="majorBidi" w:cstheme="majorBidi"/>
          <w:b/>
          <w:bCs/>
          <w:color w:val="000000" w:themeColor="text1"/>
          <w:lang w:val="fr-FR"/>
        </w:rPr>
        <w:t xml:space="preserve"> :</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N°42</w:t>
      </w:r>
      <w:r w:rsidRPr="008764AA">
        <w:rPr>
          <w:rFonts w:asciiTheme="majorBidi" w:hAnsiTheme="majorBidi" w:cstheme="majorBidi"/>
          <w:b/>
          <w:bCs/>
          <w:color w:val="000000" w:themeColor="text1"/>
          <w:lang w:val="fr-FR"/>
        </w:rPr>
        <w:t xml:space="preserve"> : </w:t>
      </w:r>
      <w:r w:rsidRPr="00746B9C">
        <w:rPr>
          <w:rFonts w:asciiTheme="majorBidi" w:hAnsiTheme="majorBidi" w:cstheme="majorBidi"/>
          <w:color w:val="000000" w:themeColor="text1"/>
          <w:lang w:val="fr-FR"/>
        </w:rPr>
        <w:t>Coefficients de corrélation</w:t>
      </w:r>
      <w:r w:rsidR="00716234">
        <w:rPr>
          <w:rFonts w:asciiTheme="majorBidi" w:hAnsiTheme="majorBidi" w:cstheme="majorBidi"/>
          <w:color w:val="000000" w:themeColor="text1"/>
          <w:lang w:val="fr-FR"/>
        </w:rPr>
        <w:t xml:space="preserve"> de la sous-hypothèse H1.1</w:t>
      </w:r>
    </w:p>
    <w:tbl>
      <w:tblPr>
        <w:tblStyle w:val="Grilledutableau"/>
        <w:tblW w:w="8642" w:type="dxa"/>
        <w:tblLayout w:type="fixed"/>
        <w:tblLook w:val="0000" w:firstRow="0" w:lastRow="0" w:firstColumn="0" w:lastColumn="0" w:noHBand="0" w:noVBand="0"/>
      </w:tblPr>
      <w:tblGrid>
        <w:gridCol w:w="1129"/>
        <w:gridCol w:w="1032"/>
        <w:gridCol w:w="1186"/>
        <w:gridCol w:w="1692"/>
        <w:gridCol w:w="3603"/>
      </w:tblGrid>
      <w:tr w:rsidR="005353F3" w:rsidRPr="008764AA" w:rsidTr="00AE378F">
        <w:tc>
          <w:tcPr>
            <w:tcW w:w="1129"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3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360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c>
          <w:tcPr>
            <w:tcW w:w="112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3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0.637</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0.406</w:t>
            </w:r>
          </w:p>
        </w:tc>
        <w:tc>
          <w:tcPr>
            <w:tcW w:w="169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0.402</w:t>
            </w:r>
          </w:p>
        </w:tc>
        <w:tc>
          <w:tcPr>
            <w:tcW w:w="360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0.77241</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Selon les résultats présentés dans le tableau, le coefficient de détermination R²</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0,</w:t>
      </w:r>
      <w:r w:rsidRPr="00226CE1">
        <w:rPr>
          <w:rFonts w:asciiTheme="majorBidi" w:hAnsiTheme="majorBidi" w:cstheme="majorBidi"/>
          <w:color w:val="000000" w:themeColor="text1"/>
          <w:lang w:val="fr-FR"/>
        </w:rPr>
        <w:t>406</w:t>
      </w:r>
      <w:r w:rsidRPr="00140F9D">
        <w:rPr>
          <w:rFonts w:asciiTheme="majorBidi" w:hAnsiTheme="majorBidi" w:cstheme="majorBidi"/>
          <w:color w:val="000000" w:themeColor="text1"/>
        </w:rPr>
        <w:t xml:space="preserve">. Cela montre que </w:t>
      </w:r>
      <w:r w:rsidRPr="008764AA">
        <w:rPr>
          <w:rFonts w:asciiTheme="majorBidi" w:hAnsiTheme="majorBidi" w:cstheme="majorBidi"/>
          <w:color w:val="000000" w:themeColor="text1"/>
          <w:lang w:val="fr-FR"/>
        </w:rPr>
        <w:t>l’automatisation</w:t>
      </w:r>
      <w:r w:rsidRPr="00140F9D">
        <w:rPr>
          <w:rFonts w:asciiTheme="majorBidi" w:hAnsiTheme="majorBidi" w:cstheme="majorBidi"/>
          <w:color w:val="000000" w:themeColor="text1"/>
        </w:rPr>
        <w:t xml:space="preserve"> influence le processus de recrutement digitalisé. Par ailleurs, le coefficient de corrélation R</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 xml:space="preserve"> 0,</w:t>
      </w:r>
      <w:r w:rsidRPr="00226CE1">
        <w:rPr>
          <w:rFonts w:asciiTheme="majorBidi" w:hAnsiTheme="majorBidi" w:cstheme="majorBidi"/>
          <w:color w:val="000000" w:themeColor="text1"/>
          <w:lang w:val="fr-FR"/>
        </w:rPr>
        <w:t>637</w:t>
      </w:r>
      <w:r w:rsidRPr="00140F9D">
        <w:rPr>
          <w:rFonts w:asciiTheme="majorBidi" w:hAnsiTheme="majorBidi" w:cstheme="majorBidi"/>
          <w:color w:val="000000" w:themeColor="text1"/>
        </w:rPr>
        <w:t xml:space="preserve">, indique </w:t>
      </w:r>
      <w:r w:rsidRPr="00092FF0">
        <w:rPr>
          <w:rFonts w:asciiTheme="majorBidi" w:hAnsiTheme="majorBidi" w:cstheme="majorBidi"/>
          <w:b/>
          <w:bCs/>
          <w:color w:val="000000" w:themeColor="text1"/>
        </w:rPr>
        <w:t>une forte relation directe</w:t>
      </w:r>
      <w:r w:rsidRPr="00140F9D">
        <w:rPr>
          <w:rFonts w:asciiTheme="majorBidi" w:hAnsiTheme="majorBidi" w:cstheme="majorBidi"/>
          <w:color w:val="000000" w:themeColor="text1"/>
        </w:rPr>
        <w:t xml:space="preserve"> entre </w:t>
      </w:r>
      <w:r w:rsidRPr="008764AA">
        <w:rPr>
          <w:rFonts w:asciiTheme="majorBidi" w:hAnsiTheme="majorBidi" w:cstheme="majorBidi"/>
          <w:color w:val="000000" w:themeColor="text1"/>
          <w:lang w:val="fr-FR"/>
        </w:rPr>
        <w:t>l’automatisation</w:t>
      </w:r>
      <w:r w:rsidRPr="00140F9D">
        <w:rPr>
          <w:rFonts w:asciiTheme="majorBidi" w:hAnsiTheme="majorBidi" w:cstheme="majorBidi"/>
          <w:color w:val="000000" w:themeColor="text1"/>
        </w:rPr>
        <w:t xml:space="preserve"> et le processus de recrutement digitalisé, avec un taux de corrélation de </w:t>
      </w:r>
      <w:r w:rsidRPr="00226CE1">
        <w:rPr>
          <w:rFonts w:asciiTheme="majorBidi" w:hAnsiTheme="majorBidi" w:cstheme="majorBidi"/>
          <w:color w:val="000000" w:themeColor="text1"/>
          <w:lang w:val="fr-FR"/>
        </w:rPr>
        <w:t>63,7</w:t>
      </w:r>
      <w:r w:rsidRPr="00140F9D">
        <w:rPr>
          <w:rFonts w:asciiTheme="majorBidi" w:hAnsiTheme="majorBidi" w:cstheme="majorBidi"/>
          <w:color w:val="000000" w:themeColor="text1"/>
        </w:rPr>
        <w:t xml:space="preserve"> %.</w:t>
      </w:r>
    </w:p>
    <w:p w:rsidR="005353F3" w:rsidRPr="003121FA" w:rsidRDefault="005353F3" w:rsidP="004D32AC">
      <w:pPr>
        <w:pStyle w:val="Paragraphedeliste"/>
        <w:numPr>
          <w:ilvl w:val="0"/>
          <w:numId w:val="176"/>
        </w:numPr>
        <w:autoSpaceDE w:val="0"/>
        <w:autoSpaceDN w:val="0"/>
        <w:adjustRightInd w:val="0"/>
        <w:spacing w:line="360" w:lineRule="auto"/>
        <w:jc w:val="both"/>
        <w:rPr>
          <w:rFonts w:asciiTheme="majorBidi" w:hAnsiTheme="majorBidi" w:cstheme="majorBidi"/>
          <w:color w:val="000000" w:themeColor="text1"/>
        </w:rPr>
      </w:pPr>
      <w:r w:rsidRPr="003121FA">
        <w:rPr>
          <w:rFonts w:asciiTheme="majorBidi" w:hAnsiTheme="majorBidi" w:cstheme="majorBidi"/>
          <w:b/>
          <w:bCs/>
          <w:color w:val="000000" w:themeColor="text1"/>
        </w:rPr>
        <w:t xml:space="preserve"> Analyse de la variance ANOVA</w:t>
      </w:r>
      <w:r w:rsidR="00716234" w:rsidRPr="007B209A">
        <w:rPr>
          <w:rFonts w:asciiTheme="majorBidi" w:hAnsiTheme="majorBidi" w:cstheme="majorBidi"/>
          <w:b/>
          <w:bCs/>
          <w:color w:val="000000" w:themeColor="text1"/>
          <w:lang w:val="fr-FR"/>
        </w:rPr>
        <w:t xml:space="preserve"> de la sous-hypothèse H1.1</w:t>
      </w:r>
      <w:r w:rsidRPr="003121FA">
        <w:rPr>
          <w:rFonts w:asciiTheme="majorBidi" w:hAnsiTheme="majorBidi" w:cstheme="majorBidi"/>
          <w:b/>
          <w:bCs/>
          <w:color w:val="000000" w:themeColor="text1"/>
        </w:rPr>
        <w:t xml:space="preserve"> :</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 N</w:t>
      </w:r>
      <w:r>
        <w:rPr>
          <w:rFonts w:asciiTheme="majorBidi" w:hAnsiTheme="majorBidi" w:cstheme="majorBidi"/>
          <w:b/>
          <w:bCs/>
          <w:color w:val="000000" w:themeColor="text1"/>
          <w:lang w:val="fr-FR"/>
        </w:rPr>
        <w:t>°43</w:t>
      </w:r>
      <w:r w:rsidRPr="008764AA">
        <w:rPr>
          <w:rFonts w:asciiTheme="majorBidi" w:hAnsiTheme="majorBidi" w:cstheme="majorBidi"/>
          <w:b/>
          <w:bCs/>
          <w:color w:val="000000" w:themeColor="text1"/>
          <w:lang w:val="fr-FR"/>
        </w:rPr>
        <w:t xml:space="preserve"> : </w:t>
      </w:r>
      <w:r w:rsidRPr="00746B9C">
        <w:rPr>
          <w:rFonts w:asciiTheme="majorBidi" w:hAnsiTheme="majorBidi" w:cstheme="majorBidi"/>
          <w:color w:val="000000" w:themeColor="text1"/>
          <w:lang w:val="fr-FR"/>
        </w:rPr>
        <w:t>La variance ANOVA</w:t>
      </w:r>
      <w:r w:rsidR="00716234">
        <w:rPr>
          <w:rFonts w:asciiTheme="majorBidi" w:hAnsiTheme="majorBidi" w:cstheme="majorBidi"/>
          <w:color w:val="000000" w:themeColor="text1"/>
          <w:lang w:val="fr-FR"/>
        </w:rPr>
        <w:t xml:space="preserve"> de la sous-hypothèse H1.1</w:t>
      </w:r>
    </w:p>
    <w:tbl>
      <w:tblPr>
        <w:tblStyle w:val="Grilledutableau"/>
        <w:tblW w:w="8998" w:type="dxa"/>
        <w:tblLayout w:type="fixed"/>
        <w:tblLook w:val="0000" w:firstRow="0" w:lastRow="0" w:firstColumn="0" w:lastColumn="0" w:noHBand="0" w:noVBand="0"/>
      </w:tblPr>
      <w:tblGrid>
        <w:gridCol w:w="853"/>
        <w:gridCol w:w="1552"/>
        <w:gridCol w:w="1500"/>
        <w:gridCol w:w="1186"/>
        <w:gridCol w:w="1535"/>
        <w:gridCol w:w="1186"/>
        <w:gridCol w:w="1186"/>
      </w:tblGrid>
      <w:tr w:rsidR="005353F3" w:rsidRPr="008764AA" w:rsidTr="00AE378F">
        <w:tc>
          <w:tcPr>
            <w:tcW w:w="2405"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50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C661E">
            <w:pPr>
              <w:spacing w:before="240"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68.470</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68.470</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114.765</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pStyle w:val="p1"/>
              <w:spacing w:line="360" w:lineRule="auto"/>
              <w:jc w:val="both"/>
              <w:rPr>
                <w:rFonts w:asciiTheme="majorBidi" w:hAnsiTheme="majorBidi" w:cstheme="majorBidi"/>
                <w:color w:val="000000" w:themeColor="text1"/>
                <w:sz w:val="24"/>
                <w:szCs w:val="24"/>
              </w:rPr>
            </w:pPr>
            <w:r w:rsidRPr="008764AA">
              <w:rPr>
                <w:rFonts w:asciiTheme="majorBidi" w:hAnsiTheme="majorBidi" w:cstheme="majorBidi"/>
                <w:color w:val="000000" w:themeColor="text1"/>
                <w:sz w:val="24"/>
                <w:szCs w:val="24"/>
              </w:rPr>
              <w:t xml:space="preserve"> Résidus</w:t>
            </w:r>
            <w:r w:rsidRPr="008764AA">
              <w:rPr>
                <w:rStyle w:val="apple-converted-space"/>
                <w:rFonts w:asciiTheme="majorBidi" w:hAnsiTheme="majorBidi" w:cstheme="majorBidi"/>
                <w:color w:val="000000" w:themeColor="text1"/>
                <w:sz w:val="24"/>
                <w:szCs w:val="24"/>
              </w:rPr>
              <w:t> </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100.231</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0.597</w:t>
            </w: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168.702</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r>
        <w:rPr>
          <w:rFonts w:asciiTheme="majorBidi" w:hAnsiTheme="majorBidi" w:cstheme="majorBidi"/>
          <w:color w:val="000000" w:themeColor="text1"/>
          <w:lang w:val="fr-FR"/>
        </w:rPr>
        <w:t>.</w:t>
      </w:r>
    </w:p>
    <w:p w:rsidR="0091753F" w:rsidRPr="008764AA" w:rsidRDefault="005353F3" w:rsidP="0091753F">
      <w:pPr>
        <w:spacing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 xml:space="preserve">Le tableau ci-dessus montre que </w:t>
      </w:r>
      <w:r w:rsidRPr="008764AA">
        <w:rPr>
          <w:rFonts w:asciiTheme="majorBidi" w:hAnsiTheme="majorBidi" w:cstheme="majorBidi"/>
          <w:color w:val="000000" w:themeColor="text1"/>
          <w:lang w:val="fr-FR"/>
        </w:rPr>
        <w:t>la significativité est égale à 0,000 était inférieure à 0,05, Cela 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 relation positive statistiquement significative entre l’automatisation et le processus de recrutement digitalisé.</w:t>
      </w:r>
    </w:p>
    <w:p w:rsidR="0091753F" w:rsidRPr="0091753F" w:rsidRDefault="005353F3" w:rsidP="0091753F">
      <w:pPr>
        <w:pStyle w:val="Paragraphedeliste"/>
        <w:numPr>
          <w:ilvl w:val="0"/>
          <w:numId w:val="176"/>
        </w:numPr>
        <w:spacing w:line="360" w:lineRule="auto"/>
        <w:jc w:val="both"/>
        <w:rPr>
          <w:rFonts w:asciiTheme="majorBidi" w:eastAsia="Times New Roman" w:hAnsiTheme="majorBidi" w:cstheme="majorBidi"/>
          <w:b/>
          <w:bCs/>
          <w:color w:val="000000" w:themeColor="text1"/>
          <w:lang w:eastAsia="fr-FR"/>
          <w14:ligatures w14:val="none"/>
        </w:rPr>
      </w:pPr>
      <w:r w:rsidRPr="008764AA">
        <w:rPr>
          <w:rFonts w:asciiTheme="majorBidi" w:eastAsia="Times New Roman" w:hAnsiTheme="majorBidi" w:cstheme="majorBidi"/>
          <w:b/>
          <w:bCs/>
          <w:color w:val="000000" w:themeColor="text1"/>
          <w:lang w:eastAsia="fr-FR"/>
          <w14:ligatures w14:val="none"/>
        </w:rPr>
        <w:t>Coefficients de régression</w:t>
      </w:r>
      <w:r w:rsidR="00716234" w:rsidRPr="007B209A">
        <w:rPr>
          <w:rFonts w:asciiTheme="majorBidi" w:eastAsia="Times New Roman" w:hAnsiTheme="majorBidi" w:cstheme="majorBidi"/>
          <w:b/>
          <w:bCs/>
          <w:color w:val="000000" w:themeColor="text1"/>
          <w:lang w:val="fr-FR" w:eastAsia="fr-FR"/>
          <w14:ligatures w14:val="none"/>
        </w:rPr>
        <w:t xml:space="preserve"> de la sous-hypothèse H1.1 </w:t>
      </w:r>
      <w:r w:rsidRPr="008764AA">
        <w:rPr>
          <w:rFonts w:asciiTheme="majorBidi" w:eastAsia="Times New Roman" w:hAnsiTheme="majorBidi" w:cstheme="majorBidi"/>
          <w:b/>
          <w:bCs/>
          <w:color w:val="000000" w:themeColor="text1"/>
          <w:lang w:eastAsia="fr-FR"/>
          <w14:ligatures w14:val="none"/>
        </w:rPr>
        <w:t>:</w:t>
      </w:r>
    </w:p>
    <w:p w:rsidR="005353F3" w:rsidRPr="00746B9C"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N°44 </w:t>
      </w:r>
      <w:r w:rsidRPr="008764AA">
        <w:rPr>
          <w:rFonts w:asciiTheme="majorBidi" w:hAnsiTheme="majorBidi" w:cstheme="majorBidi"/>
          <w:b/>
          <w:bCs/>
          <w:color w:val="000000" w:themeColor="text1"/>
          <w:lang w:val="fr-FR"/>
        </w:rPr>
        <w:t xml:space="preserve">: </w:t>
      </w:r>
      <w:r w:rsidRPr="00746B9C">
        <w:rPr>
          <w:rFonts w:asciiTheme="majorBidi" w:hAnsiTheme="majorBidi" w:cstheme="majorBidi"/>
          <w:color w:val="000000" w:themeColor="text1"/>
          <w:lang w:val="fr-FR"/>
        </w:rPr>
        <w:t>Coefficients de régression</w:t>
      </w:r>
      <w:r w:rsidR="00716234">
        <w:rPr>
          <w:rFonts w:asciiTheme="majorBidi" w:hAnsiTheme="majorBidi" w:cstheme="majorBidi"/>
          <w:color w:val="000000" w:themeColor="text1"/>
          <w:lang w:val="fr-FR"/>
        </w:rPr>
        <w:t xml:space="preserve"> de la sous-hypothèse H1.1</w:t>
      </w:r>
    </w:p>
    <w:tbl>
      <w:tblPr>
        <w:tblStyle w:val="Grilledutableau"/>
        <w:tblW w:w="9362" w:type="dxa"/>
        <w:tblLayout w:type="fixed"/>
        <w:tblLook w:val="0000" w:firstRow="0" w:lastRow="0" w:firstColumn="0" w:lastColumn="0" w:noHBand="0" w:noVBand="0"/>
      </w:tblPr>
      <w:tblGrid>
        <w:gridCol w:w="832"/>
        <w:gridCol w:w="7"/>
        <w:gridCol w:w="1333"/>
        <w:gridCol w:w="1560"/>
        <w:gridCol w:w="1662"/>
        <w:gridCol w:w="1662"/>
        <w:gridCol w:w="1153"/>
        <w:gridCol w:w="1153"/>
      </w:tblGrid>
      <w:tr w:rsidR="005353F3" w:rsidRPr="008764AA" w:rsidTr="00EC661E">
        <w:tc>
          <w:tcPr>
            <w:tcW w:w="2172" w:type="dxa"/>
            <w:gridSpan w:val="3"/>
            <w:shd w:val="clear" w:color="auto" w:fill="D8DCD1"/>
          </w:tcPr>
          <w:p w:rsidR="005353F3" w:rsidRPr="008764AA" w:rsidRDefault="00EC661E" w:rsidP="00EC661E">
            <w:pPr>
              <w:spacing w:line="360" w:lineRule="auto"/>
              <w:ind w:left="60" w:right="60"/>
              <w:rPr>
                <w:rFonts w:asciiTheme="majorBidi" w:hAnsiTheme="majorBidi" w:cstheme="majorBidi"/>
                <w:color w:val="000000" w:themeColor="text1"/>
                <w:lang w:val="fr-FR"/>
              </w:rPr>
            </w:pPr>
            <w:r>
              <w:rPr>
                <w:rFonts w:asciiTheme="majorBidi" w:hAnsiTheme="majorBidi" w:cstheme="majorBidi"/>
                <w:color w:val="000000" w:themeColor="text1"/>
                <w:lang w:val="fr-FR"/>
              </w:rPr>
              <w:t>Modèle</w:t>
            </w:r>
          </w:p>
          <w:p w:rsidR="005353F3" w:rsidRPr="008764AA" w:rsidRDefault="005353F3" w:rsidP="00EC661E">
            <w:pPr>
              <w:spacing w:line="360" w:lineRule="auto"/>
              <w:ind w:right="60"/>
              <w:rPr>
                <w:rFonts w:asciiTheme="majorBidi" w:hAnsiTheme="majorBidi" w:cstheme="majorBidi"/>
                <w:color w:val="000000" w:themeColor="text1"/>
                <w:lang w:val="fr-FR"/>
              </w:rPr>
            </w:pPr>
          </w:p>
        </w:tc>
        <w:tc>
          <w:tcPr>
            <w:tcW w:w="322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AE378F" w:rsidRPr="008764AA" w:rsidTr="00EC661E">
        <w:tc>
          <w:tcPr>
            <w:tcW w:w="839" w:type="dxa"/>
            <w:gridSpan w:val="2"/>
            <w:tcBorders>
              <w:bottom w:val="nil"/>
            </w:tcBorders>
          </w:tcPr>
          <w:p w:rsidR="00AE378F" w:rsidRPr="008764AA" w:rsidRDefault="00EC661E" w:rsidP="00EC661E">
            <w:pPr>
              <w:spacing w:before="240" w:line="360" w:lineRule="auto"/>
              <w:jc w:val="center"/>
              <w:rPr>
                <w:rFonts w:asciiTheme="majorBidi" w:hAnsiTheme="majorBidi" w:cstheme="majorBidi"/>
                <w:color w:val="000000" w:themeColor="text1"/>
                <w:lang w:val="fr-FR"/>
              </w:rPr>
            </w:pPr>
            <w:r>
              <w:rPr>
                <w:rFonts w:asciiTheme="majorBidi" w:hAnsiTheme="majorBidi" w:cstheme="majorBidi"/>
                <w:color w:val="000000" w:themeColor="text1"/>
                <w:lang w:val="fr-FR"/>
              </w:rPr>
              <w:lastRenderedPageBreak/>
              <w:t>1</w:t>
            </w:r>
          </w:p>
        </w:tc>
        <w:tc>
          <w:tcPr>
            <w:tcW w:w="1333" w:type="dxa"/>
            <w:tcBorders>
              <w:bottom w:val="nil"/>
            </w:tcBorders>
            <w:vAlign w:val="center"/>
          </w:tcPr>
          <w:p w:rsidR="00AE378F" w:rsidRPr="008764AA" w:rsidRDefault="00AE378F" w:rsidP="00EC661E">
            <w:pPr>
              <w:spacing w:line="360" w:lineRule="auto"/>
              <w:rPr>
                <w:rFonts w:asciiTheme="majorBidi" w:hAnsiTheme="majorBidi" w:cstheme="majorBidi"/>
                <w:color w:val="000000" w:themeColor="text1"/>
                <w:lang w:val="fr-FR"/>
              </w:rPr>
            </w:pPr>
            <w:r>
              <w:rPr>
                <w:rFonts w:asciiTheme="majorBidi" w:hAnsiTheme="majorBidi" w:cstheme="majorBidi"/>
                <w:color w:val="000000" w:themeColor="text1"/>
                <w:lang w:val="fr-FR"/>
              </w:rPr>
              <w:t>Constant</w:t>
            </w:r>
          </w:p>
        </w:tc>
        <w:tc>
          <w:tcPr>
            <w:tcW w:w="1560" w:type="dxa"/>
          </w:tcPr>
          <w:p w:rsidR="00AE378F" w:rsidRPr="008764AA" w:rsidRDefault="00AE378F"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2" w:type="dxa"/>
          </w:tcPr>
          <w:p w:rsidR="00AE378F" w:rsidRPr="008764AA" w:rsidRDefault="00AE378F"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2" w:type="dxa"/>
          </w:tcPr>
          <w:p w:rsidR="00AE378F" w:rsidRPr="008764AA" w:rsidRDefault="00AE378F"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vAlign w:val="center"/>
          </w:tcPr>
          <w:p w:rsidR="00AE378F" w:rsidRPr="008764AA" w:rsidRDefault="00AE378F"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vAlign w:val="center"/>
          </w:tcPr>
          <w:p w:rsidR="00AE378F" w:rsidRPr="008764AA" w:rsidRDefault="00AE378F"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r>
      <w:tr w:rsidR="005353F3" w:rsidRPr="008764AA" w:rsidTr="00EC661E">
        <w:tc>
          <w:tcPr>
            <w:tcW w:w="832" w:type="dxa"/>
            <w:vMerge w:val="restart"/>
            <w:tcBorders>
              <w:top w:val="nil"/>
            </w:tcBorders>
          </w:tcPr>
          <w:p w:rsidR="005353F3" w:rsidRPr="008764AA" w:rsidRDefault="005353F3" w:rsidP="00EC661E">
            <w:pPr>
              <w:spacing w:line="360" w:lineRule="auto"/>
              <w:ind w:right="60"/>
              <w:jc w:val="center"/>
              <w:rPr>
                <w:rFonts w:asciiTheme="majorBidi" w:hAnsiTheme="majorBidi" w:cstheme="majorBidi"/>
                <w:color w:val="000000" w:themeColor="text1"/>
                <w:lang w:val="fr-FR"/>
              </w:rPr>
            </w:pPr>
          </w:p>
        </w:tc>
        <w:tc>
          <w:tcPr>
            <w:tcW w:w="1340" w:type="dxa"/>
            <w:gridSpan w:val="2"/>
            <w:tcBorders>
              <w:top w:val="nil"/>
            </w:tcBorders>
          </w:tcPr>
          <w:p w:rsidR="005353F3" w:rsidRPr="008764AA" w:rsidRDefault="005353F3" w:rsidP="00AE378F">
            <w:pPr>
              <w:spacing w:line="360" w:lineRule="auto"/>
              <w:ind w:right="60"/>
              <w:jc w:val="both"/>
              <w:rPr>
                <w:rFonts w:asciiTheme="majorBidi" w:hAnsiTheme="majorBidi" w:cstheme="majorBidi"/>
                <w:color w:val="000000" w:themeColor="text1"/>
                <w:lang w:val="fr-FR"/>
              </w:rPr>
            </w:pP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1.260</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0</w:t>
            </w:r>
            <w:r w:rsidRPr="008764AA">
              <w:rPr>
                <w:rFonts w:asciiTheme="majorBidi" w:hAnsiTheme="majorBidi" w:cstheme="majorBidi"/>
                <w:color w:val="000000" w:themeColor="text1"/>
                <w:lang w:val="fr-FR"/>
              </w:rPr>
              <w:t>.245</w:t>
            </w:r>
          </w:p>
        </w:tc>
        <w:tc>
          <w:tcPr>
            <w:tcW w:w="166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5.155</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&lt;.001</w:t>
            </w:r>
          </w:p>
        </w:tc>
      </w:tr>
      <w:tr w:rsidR="005353F3" w:rsidRPr="008764AA" w:rsidTr="00EC661E">
        <w:tc>
          <w:tcPr>
            <w:tcW w:w="832" w:type="dxa"/>
            <w:vMerge/>
            <w:tcBorders>
              <w:top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40" w:type="dxa"/>
            <w:gridSpan w:val="2"/>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Auto</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0</w:t>
            </w:r>
            <w:r w:rsidRPr="008764AA">
              <w:rPr>
                <w:rFonts w:asciiTheme="majorBidi" w:hAnsiTheme="majorBidi" w:cstheme="majorBidi"/>
                <w:color w:val="000000" w:themeColor="text1"/>
                <w:lang w:val="fr-FR"/>
              </w:rPr>
              <w:t>.624</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0</w:t>
            </w:r>
            <w:r w:rsidRPr="008764AA">
              <w:rPr>
                <w:rFonts w:asciiTheme="majorBidi" w:hAnsiTheme="majorBidi" w:cstheme="majorBidi"/>
                <w:color w:val="000000" w:themeColor="text1"/>
                <w:lang w:val="fr-FR"/>
              </w:rPr>
              <w:t>.058</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0</w:t>
            </w:r>
            <w:r w:rsidRPr="008764AA">
              <w:rPr>
                <w:rFonts w:asciiTheme="majorBidi" w:hAnsiTheme="majorBidi" w:cstheme="majorBidi"/>
                <w:color w:val="000000" w:themeColor="text1"/>
                <w:lang w:val="fr-FR"/>
              </w:rPr>
              <w:t>.637</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10.713</w:t>
            </w:r>
          </w:p>
        </w:tc>
        <w:tc>
          <w:tcPr>
            <w:tcW w:w="1153" w:type="dxa"/>
            <w:tcBorders>
              <w:bottom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&lt;.001</w:t>
            </w:r>
          </w:p>
        </w:tc>
      </w:tr>
    </w:tbl>
    <w:p w:rsidR="005353F3" w:rsidRPr="00F8115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r>
        <w:rPr>
          <w:rFonts w:asciiTheme="majorBidi" w:hAnsiTheme="majorBidi" w:cstheme="majorBidi"/>
          <w:color w:val="000000" w:themeColor="text1"/>
          <w:lang w:val="fr-FR"/>
        </w:rPr>
        <w:t>.</w:t>
      </w:r>
    </w:p>
    <w:p w:rsidR="005353F3" w:rsidRPr="008764AA" w:rsidRDefault="005353F3" w:rsidP="005353F3">
      <w:pPr>
        <w:pStyle w:val="p2"/>
        <w:spacing w:line="360" w:lineRule="auto"/>
        <w:jc w:val="both"/>
        <w:rPr>
          <w:rFonts w:asciiTheme="majorBidi" w:hAnsiTheme="majorBidi" w:cstheme="majorBidi"/>
          <w:color w:val="000000" w:themeColor="text1"/>
          <w:sz w:val="24"/>
          <w:szCs w:val="24"/>
          <w:lang w:val="fr-FR"/>
        </w:rPr>
      </w:pPr>
      <w:r w:rsidRPr="00030919">
        <w:rPr>
          <w:rFonts w:asciiTheme="majorBidi" w:hAnsiTheme="majorBidi" w:cstheme="majorBidi"/>
          <w:color w:val="000000" w:themeColor="text1"/>
          <w:sz w:val="24"/>
          <w:szCs w:val="24"/>
        </w:rPr>
        <w:t xml:space="preserve">Les résultats du tableau précédent indiquent que </w:t>
      </w:r>
      <w:r w:rsidRPr="008764AA">
        <w:rPr>
          <w:rFonts w:asciiTheme="majorBidi" w:hAnsiTheme="majorBidi" w:cstheme="majorBidi"/>
          <w:color w:val="000000" w:themeColor="text1"/>
          <w:sz w:val="24"/>
          <w:szCs w:val="24"/>
          <w:lang w:val="fr-FR"/>
        </w:rPr>
        <w:t xml:space="preserve">la relation </w:t>
      </w:r>
      <w:r w:rsidRPr="002630AF">
        <w:rPr>
          <w:rFonts w:asciiTheme="majorBidi" w:hAnsiTheme="majorBidi" w:cstheme="majorBidi"/>
          <w:color w:val="000000" w:themeColor="text1"/>
          <w:sz w:val="24"/>
          <w:szCs w:val="24"/>
          <w:lang w:val="fr-FR"/>
        </w:rPr>
        <w:t>entre l’automatisation et le processus de recrutement digitalisé</w:t>
      </w:r>
      <w:r w:rsidRPr="008764AA">
        <w:rPr>
          <w:rFonts w:asciiTheme="majorBidi" w:hAnsiTheme="majorBidi" w:cstheme="majorBidi"/>
          <w:color w:val="000000" w:themeColor="text1"/>
          <w:sz w:val="24"/>
          <w:szCs w:val="24"/>
          <w:lang w:val="fr-FR"/>
        </w:rPr>
        <w:t>, est un modèle linéaire.</w:t>
      </w:r>
    </w:p>
    <w:p w:rsidR="005353F3" w:rsidRDefault="005353F3" w:rsidP="005353F3">
      <w:pPr>
        <w:pStyle w:val="p2"/>
        <w:spacing w:line="360" w:lineRule="auto"/>
        <w:jc w:val="both"/>
        <w:rPr>
          <w:rFonts w:asciiTheme="majorBidi" w:hAnsiTheme="majorBidi" w:cstheme="majorBidi"/>
          <w:color w:val="000000" w:themeColor="text1"/>
          <w:sz w:val="24"/>
          <w:szCs w:val="24"/>
          <w:lang w:val="fr-FR"/>
        </w:rPr>
      </w:pPr>
      <w:r w:rsidRPr="008764AA">
        <w:rPr>
          <w:rFonts w:asciiTheme="majorBidi" w:hAnsiTheme="majorBidi" w:cstheme="majorBidi"/>
          <w:color w:val="000000" w:themeColor="text1"/>
          <w:sz w:val="24"/>
          <w:szCs w:val="24"/>
          <w:lang w:val="fr-FR"/>
        </w:rPr>
        <w:t>Y = 0,624 X</w:t>
      </w:r>
      <w:r w:rsidRPr="008764AA">
        <w:rPr>
          <w:rStyle w:val="s1"/>
          <w:rFonts w:asciiTheme="majorBidi" w:hAnsiTheme="majorBidi" w:cstheme="majorBidi"/>
          <w:color w:val="000000" w:themeColor="text1"/>
          <w:sz w:val="24"/>
          <w:szCs w:val="24"/>
          <w:vertAlign w:val="subscript"/>
          <w:lang w:val="fr-FR"/>
        </w:rPr>
        <w:t>2</w:t>
      </w:r>
      <w:r w:rsidRPr="008764AA">
        <w:rPr>
          <w:rFonts w:asciiTheme="majorBidi" w:hAnsiTheme="majorBidi" w:cstheme="majorBidi"/>
          <w:color w:val="000000" w:themeColor="text1"/>
          <w:sz w:val="24"/>
          <w:szCs w:val="24"/>
          <w:lang w:val="fr-FR"/>
        </w:rPr>
        <w:t xml:space="preserve"> + 1,260</w:t>
      </w:r>
      <w:r>
        <w:rPr>
          <w:rFonts w:asciiTheme="majorBidi" w:hAnsiTheme="majorBidi" w:cstheme="majorBidi"/>
          <w:color w:val="000000" w:themeColor="text1"/>
          <w:sz w:val="24"/>
          <w:szCs w:val="24"/>
          <w:lang w:val="fr-FR"/>
        </w:rPr>
        <w:t xml:space="preserve">  </w:t>
      </w:r>
    </w:p>
    <w:p w:rsidR="005353F3" w:rsidRPr="003121FA" w:rsidRDefault="005353F3" w:rsidP="005353F3">
      <w:pPr>
        <w:pStyle w:val="p2"/>
        <w:spacing w:after="240" w:line="360" w:lineRule="auto"/>
        <w:jc w:val="both"/>
        <w:rPr>
          <w:rFonts w:asciiTheme="majorBidi" w:hAnsiTheme="majorBidi" w:cstheme="majorBidi"/>
          <w:color w:val="000000" w:themeColor="text1"/>
          <w:sz w:val="24"/>
          <w:szCs w:val="24"/>
          <w:lang w:val="fr-FR"/>
        </w:rPr>
      </w:pPr>
      <w:r w:rsidRPr="008764AA">
        <w:rPr>
          <w:rFonts w:asciiTheme="majorBidi" w:hAnsiTheme="majorBidi" w:cstheme="majorBidi"/>
          <w:color w:val="000000" w:themeColor="text1"/>
          <w:sz w:val="24"/>
          <w:szCs w:val="24"/>
          <w:lang w:val="fr-FR"/>
        </w:rPr>
        <w:t>Où Y représente la variable dépendante (le processus de recrutement digitalisé)</w:t>
      </w:r>
      <w:r>
        <w:rPr>
          <w:rFonts w:asciiTheme="majorBidi" w:hAnsiTheme="majorBidi" w:cstheme="majorBidi"/>
          <w:color w:val="000000" w:themeColor="text1"/>
          <w:sz w:val="24"/>
          <w:szCs w:val="24"/>
          <w:lang w:val="fr-FR"/>
        </w:rPr>
        <w:t>,</w:t>
      </w:r>
      <w:r w:rsidRPr="008764AA">
        <w:rPr>
          <w:rFonts w:asciiTheme="majorBidi" w:hAnsiTheme="majorBidi" w:cstheme="majorBidi"/>
          <w:color w:val="000000" w:themeColor="text1"/>
          <w:sz w:val="24"/>
          <w:szCs w:val="24"/>
          <w:lang w:val="fr-FR"/>
        </w:rPr>
        <w:t xml:space="preserve"> X</w:t>
      </w:r>
      <w:r w:rsidRPr="008764AA">
        <w:rPr>
          <w:rStyle w:val="s1"/>
          <w:rFonts w:asciiTheme="majorBidi" w:hAnsiTheme="majorBidi" w:cstheme="majorBidi"/>
          <w:color w:val="000000" w:themeColor="text1"/>
          <w:sz w:val="24"/>
          <w:szCs w:val="24"/>
          <w:vertAlign w:val="subscript"/>
          <w:lang w:val="fr-FR"/>
        </w:rPr>
        <w:t>2</w:t>
      </w:r>
      <w:r w:rsidRPr="008764AA">
        <w:rPr>
          <w:rFonts w:asciiTheme="majorBidi" w:hAnsiTheme="majorBidi" w:cstheme="majorBidi"/>
          <w:color w:val="000000" w:themeColor="text1"/>
          <w:sz w:val="24"/>
          <w:szCs w:val="24"/>
          <w:lang w:val="fr-FR"/>
        </w:rPr>
        <w:t xml:space="preserve"> </w:t>
      </w:r>
      <w:r w:rsidRPr="00030919">
        <w:rPr>
          <w:rFonts w:asciiTheme="majorBidi" w:hAnsiTheme="majorBidi" w:cstheme="majorBidi"/>
          <w:color w:val="000000" w:themeColor="text1"/>
          <w:sz w:val="24"/>
          <w:szCs w:val="24"/>
        </w:rPr>
        <w:t>désigne</w:t>
      </w:r>
      <w:r w:rsidRPr="008764AA">
        <w:rPr>
          <w:rFonts w:asciiTheme="majorBidi" w:hAnsiTheme="majorBidi" w:cstheme="majorBidi"/>
          <w:color w:val="000000" w:themeColor="text1"/>
          <w:sz w:val="24"/>
          <w:szCs w:val="24"/>
          <w:lang w:val="fr-FR"/>
        </w:rPr>
        <w:t xml:space="preserve"> la variable indépendante (L’automatisation) et le nombre 0,624 est la valeur de β2 de la pente de l’équation de régression. </w:t>
      </w:r>
    </w:p>
    <w:p w:rsidR="005353F3" w:rsidRPr="004D4075" w:rsidRDefault="004D4075" w:rsidP="005D3481">
      <w:pPr>
        <w:pStyle w:val="Titre3"/>
        <w:numPr>
          <w:ilvl w:val="1"/>
          <w:numId w:val="194"/>
        </w:numPr>
        <w:spacing w:after="0" w:afterAutospacing="0" w:line="360" w:lineRule="auto"/>
        <w:rPr>
          <w:sz w:val="24"/>
          <w:szCs w:val="24"/>
          <w:lang w:val="fr-FR"/>
        </w:rPr>
      </w:pPr>
      <w:r>
        <w:rPr>
          <w:sz w:val="24"/>
          <w:szCs w:val="24"/>
          <w:lang w:val="fr-FR"/>
        </w:rPr>
        <w:t xml:space="preserve"> </w:t>
      </w:r>
      <w:bookmarkStart w:id="2364" w:name="_Toc199714585"/>
      <w:bookmarkStart w:id="2365" w:name="_Toc200486861"/>
      <w:bookmarkStart w:id="2366" w:name="_Toc200635639"/>
      <w:bookmarkStart w:id="2367" w:name="_Toc200636027"/>
      <w:bookmarkStart w:id="2368" w:name="_Toc200636416"/>
      <w:bookmarkStart w:id="2369" w:name="_Toc200756157"/>
      <w:r w:rsidR="005353F3" w:rsidRPr="004D4075">
        <w:rPr>
          <w:sz w:val="24"/>
          <w:szCs w:val="24"/>
          <w:lang w:val="fr-FR"/>
        </w:rPr>
        <w:t>Test de la deuxième sous-hypothèse :</w:t>
      </w:r>
      <w:bookmarkEnd w:id="2364"/>
      <w:bookmarkEnd w:id="2365"/>
      <w:bookmarkEnd w:id="2366"/>
      <w:bookmarkEnd w:id="2367"/>
      <w:bookmarkEnd w:id="2368"/>
      <w:bookmarkEnd w:id="2369"/>
    </w:p>
    <w:p w:rsidR="005353F3" w:rsidRPr="008764AA" w:rsidRDefault="005353F3" w:rsidP="005D3481">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H1.</w:t>
      </w:r>
      <w:r>
        <w:rPr>
          <w:rFonts w:asciiTheme="majorBidi" w:hAnsiTheme="majorBidi" w:cstheme="majorBidi"/>
          <w:color w:val="000000" w:themeColor="text1"/>
          <w:lang w:val="fr-FR"/>
        </w:rPr>
        <w:t>2</w:t>
      </w:r>
      <w:r w:rsidRPr="008764AA">
        <w:rPr>
          <w:rFonts w:asciiTheme="majorBidi" w:hAnsiTheme="majorBidi" w:cstheme="majorBidi"/>
          <w:color w:val="000000" w:themeColor="text1"/>
          <w:lang w:val="fr-FR"/>
        </w:rPr>
        <w:t>= La numérisation a un impact positif significatif sur le processus de recrutement</w:t>
      </w:r>
      <w:r w:rsidR="005D3481">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au niveau de signification de 0,05</w:t>
      </w:r>
      <w:r>
        <w:rPr>
          <w:rFonts w:asciiTheme="majorBidi" w:hAnsiTheme="majorBidi" w:cstheme="majorBidi"/>
          <w:color w:val="000000" w:themeColor="text1"/>
          <w:lang w:val="fr-FR"/>
        </w:rPr>
        <w:t>.</w:t>
      </w:r>
    </w:p>
    <w:p w:rsidR="005353F3" w:rsidRPr="003121FA" w:rsidRDefault="005353F3" w:rsidP="004D32AC">
      <w:pPr>
        <w:pStyle w:val="Paragraphedeliste"/>
        <w:numPr>
          <w:ilvl w:val="0"/>
          <w:numId w:val="177"/>
        </w:numPr>
        <w:spacing w:line="360" w:lineRule="auto"/>
        <w:jc w:val="both"/>
        <w:rPr>
          <w:rFonts w:asciiTheme="majorBidi" w:hAnsiTheme="majorBidi" w:cstheme="majorBidi"/>
          <w:color w:val="000000" w:themeColor="text1"/>
          <w:lang w:val="fr-FR"/>
        </w:rPr>
      </w:pPr>
      <w:r w:rsidRPr="003121FA">
        <w:rPr>
          <w:rFonts w:asciiTheme="majorBidi" w:hAnsiTheme="majorBidi" w:cstheme="majorBidi"/>
          <w:b/>
          <w:bCs/>
          <w:color w:val="000000" w:themeColor="text1"/>
          <w:lang w:val="fr-FR"/>
        </w:rPr>
        <w:t xml:space="preserve"> Coefficient de corrélation R2 (R-square) </w:t>
      </w:r>
      <w:r w:rsidR="00716234" w:rsidRPr="00716234">
        <w:rPr>
          <w:rFonts w:asciiTheme="majorBidi" w:hAnsiTheme="majorBidi" w:cstheme="majorBidi"/>
          <w:b/>
          <w:bCs/>
          <w:color w:val="000000" w:themeColor="text1"/>
          <w:lang w:val="fr-FR"/>
        </w:rPr>
        <w:t>de la sous-hypothèse H1.2</w:t>
      </w:r>
      <w:r w:rsidR="00716234">
        <w:rPr>
          <w:rFonts w:asciiTheme="majorBidi" w:hAnsiTheme="majorBidi" w:cstheme="majorBidi"/>
          <w:color w:val="000000" w:themeColor="text1"/>
          <w:lang w:val="fr-FR"/>
        </w:rPr>
        <w:t xml:space="preserve"> </w:t>
      </w:r>
      <w:r w:rsidRPr="003121FA">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N°45</w:t>
      </w:r>
      <w:r w:rsidRPr="008764AA">
        <w:rPr>
          <w:rFonts w:asciiTheme="majorBidi" w:hAnsiTheme="majorBidi" w:cstheme="majorBidi"/>
          <w:b/>
          <w:bCs/>
          <w:color w:val="000000" w:themeColor="text1"/>
          <w:lang w:val="fr-FR"/>
        </w:rPr>
        <w:t xml:space="preserve"> : </w:t>
      </w:r>
      <w:r w:rsidRPr="00FA517F">
        <w:rPr>
          <w:rFonts w:asciiTheme="majorBidi" w:hAnsiTheme="majorBidi" w:cstheme="majorBidi"/>
          <w:color w:val="000000" w:themeColor="text1"/>
          <w:lang w:val="fr-FR"/>
        </w:rPr>
        <w:t>Coefficients de corrélation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H1.2</w:t>
      </w:r>
    </w:p>
    <w:tbl>
      <w:tblPr>
        <w:tblStyle w:val="Grilledutableau"/>
        <w:tblW w:w="8926" w:type="dxa"/>
        <w:tblLayout w:type="fixed"/>
        <w:tblLook w:val="0000" w:firstRow="0" w:lastRow="0" w:firstColumn="0" w:lastColumn="0" w:noHBand="0" w:noVBand="0"/>
      </w:tblPr>
      <w:tblGrid>
        <w:gridCol w:w="1129"/>
        <w:gridCol w:w="1032"/>
        <w:gridCol w:w="1186"/>
        <w:gridCol w:w="1692"/>
        <w:gridCol w:w="3887"/>
      </w:tblGrid>
      <w:tr w:rsidR="005353F3" w:rsidRPr="008764AA" w:rsidTr="00EC661E">
        <w:tc>
          <w:tcPr>
            <w:tcW w:w="1129" w:type="dxa"/>
            <w:tcBorders>
              <w:top w:val="single" w:sz="4" w:space="0" w:color="auto"/>
            </w:tcBorders>
            <w:shd w:val="clear" w:color="auto" w:fill="D8DCD1"/>
          </w:tcPr>
          <w:p w:rsidR="005353F3" w:rsidRPr="008764AA" w:rsidRDefault="005353F3" w:rsidP="00E6084A">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32" w:type="dxa"/>
            <w:tcBorders>
              <w:top w:val="single" w:sz="4" w:space="0" w:color="auto"/>
            </w:tcBorders>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tcBorders>
              <w:top w:val="single" w:sz="4" w:space="0" w:color="auto"/>
            </w:tcBorders>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tcBorders>
              <w:top w:val="single" w:sz="4" w:space="0" w:color="auto"/>
            </w:tcBorders>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3887" w:type="dxa"/>
            <w:tcBorders>
              <w:top w:val="single" w:sz="4" w:space="0" w:color="auto"/>
              <w:right w:val="single" w:sz="4" w:space="0" w:color="auto"/>
            </w:tcBorders>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c>
          <w:tcPr>
            <w:tcW w:w="112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3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0.393</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0.154</w:t>
            </w:r>
          </w:p>
        </w:tc>
        <w:tc>
          <w:tcPr>
            <w:tcW w:w="169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0.149</w:t>
            </w:r>
          </w:p>
        </w:tc>
        <w:tc>
          <w:tcPr>
            <w:tcW w:w="3887"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0.92148</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91753F" w:rsidRPr="0091753F" w:rsidRDefault="005353F3" w:rsidP="0091753F">
      <w:pPr>
        <w:spacing w:after="240" w:line="360" w:lineRule="auto"/>
        <w:jc w:val="both"/>
        <w:rPr>
          <w:rFonts w:asciiTheme="majorBidi" w:hAnsiTheme="majorBidi" w:cstheme="majorBidi"/>
          <w:color w:val="000000" w:themeColor="text1"/>
        </w:rPr>
      </w:pPr>
      <w:r w:rsidRPr="00140F9D">
        <w:rPr>
          <w:rFonts w:asciiTheme="majorBidi" w:hAnsiTheme="majorBidi" w:cstheme="majorBidi"/>
          <w:color w:val="000000" w:themeColor="text1"/>
        </w:rPr>
        <w:t>Selon les résultats présentés dans le tableau, le coefficient de détermination R²</w:t>
      </w:r>
      <w:r w:rsidRPr="00226CE1">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0,154</w:t>
      </w:r>
      <w:r w:rsidRPr="00140F9D">
        <w:rPr>
          <w:rFonts w:asciiTheme="majorBidi" w:hAnsiTheme="majorBidi" w:cstheme="majorBidi"/>
          <w:color w:val="000000" w:themeColor="text1"/>
        </w:rPr>
        <w:t xml:space="preserve">. Cela montre que </w:t>
      </w:r>
      <w:r w:rsidRPr="00226CE1">
        <w:rPr>
          <w:rFonts w:asciiTheme="majorBidi" w:hAnsiTheme="majorBidi" w:cstheme="majorBidi"/>
          <w:color w:val="000000" w:themeColor="text1"/>
          <w:lang w:val="fr-FR"/>
        </w:rPr>
        <w:t xml:space="preserve">la </w:t>
      </w:r>
      <w:r w:rsidRPr="008764AA">
        <w:rPr>
          <w:rFonts w:asciiTheme="majorBidi" w:hAnsiTheme="majorBidi" w:cstheme="majorBidi"/>
          <w:color w:val="000000" w:themeColor="text1"/>
          <w:lang w:val="fr-FR"/>
        </w:rPr>
        <w:t>numérisation</w:t>
      </w:r>
      <w:r w:rsidRPr="00140F9D">
        <w:rPr>
          <w:rFonts w:asciiTheme="majorBidi" w:hAnsiTheme="majorBidi" w:cstheme="majorBidi"/>
          <w:color w:val="000000" w:themeColor="text1"/>
        </w:rPr>
        <w:t xml:space="preserve"> influence le processus de recrutement digitalisé. Par ailleurs, le coefficient de corrélation R</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 xml:space="preserve"> </w:t>
      </w:r>
      <w:r w:rsidRPr="008764AA">
        <w:rPr>
          <w:rFonts w:asciiTheme="majorBidi" w:hAnsiTheme="majorBidi" w:cstheme="majorBidi"/>
          <w:color w:val="000000" w:themeColor="text1"/>
          <w:lang w:val="fr-FR"/>
        </w:rPr>
        <w:t>0,393</w:t>
      </w:r>
      <w:r w:rsidRPr="00140F9D">
        <w:rPr>
          <w:rFonts w:asciiTheme="majorBidi" w:hAnsiTheme="majorBidi" w:cstheme="majorBidi"/>
          <w:color w:val="000000" w:themeColor="text1"/>
        </w:rPr>
        <w:t xml:space="preserve">, indique </w:t>
      </w:r>
      <w:r w:rsidRPr="00092FF0">
        <w:rPr>
          <w:rFonts w:asciiTheme="majorBidi" w:hAnsiTheme="majorBidi" w:cstheme="majorBidi"/>
          <w:b/>
          <w:bCs/>
          <w:color w:val="000000" w:themeColor="text1"/>
        </w:rPr>
        <w:t>une forte relation directe</w:t>
      </w:r>
      <w:r w:rsidRPr="00140F9D">
        <w:rPr>
          <w:rFonts w:asciiTheme="majorBidi" w:hAnsiTheme="majorBidi" w:cstheme="majorBidi"/>
          <w:color w:val="000000" w:themeColor="text1"/>
        </w:rPr>
        <w:t xml:space="preserve"> entre </w:t>
      </w:r>
      <w:r w:rsidRPr="00226CE1">
        <w:rPr>
          <w:rFonts w:asciiTheme="majorBidi" w:hAnsiTheme="majorBidi" w:cstheme="majorBidi"/>
          <w:color w:val="000000" w:themeColor="text1"/>
          <w:lang w:val="fr-FR"/>
        </w:rPr>
        <w:t xml:space="preserve">la </w:t>
      </w:r>
      <w:r w:rsidRPr="008764AA">
        <w:rPr>
          <w:rFonts w:asciiTheme="majorBidi" w:hAnsiTheme="majorBidi" w:cstheme="majorBidi"/>
          <w:color w:val="000000" w:themeColor="text1"/>
          <w:lang w:val="fr-FR"/>
        </w:rPr>
        <w:t>numérisation</w:t>
      </w:r>
      <w:r w:rsidRPr="00140F9D">
        <w:rPr>
          <w:rFonts w:asciiTheme="majorBidi" w:hAnsiTheme="majorBidi" w:cstheme="majorBidi"/>
          <w:color w:val="000000" w:themeColor="text1"/>
        </w:rPr>
        <w:t xml:space="preserve"> et le processus de recrutement digitalisé, avec un taux de corrélation de </w:t>
      </w:r>
      <w:r w:rsidRPr="008764AA">
        <w:rPr>
          <w:rFonts w:asciiTheme="majorBidi" w:hAnsiTheme="majorBidi" w:cstheme="majorBidi"/>
          <w:color w:val="000000" w:themeColor="text1"/>
          <w:lang w:val="fr-FR"/>
        </w:rPr>
        <w:t>39,3</w:t>
      </w:r>
      <w:r w:rsidRPr="00140F9D">
        <w:rPr>
          <w:rFonts w:asciiTheme="majorBidi" w:hAnsiTheme="majorBidi" w:cstheme="majorBidi"/>
          <w:color w:val="000000" w:themeColor="text1"/>
        </w:rPr>
        <w:t>%.</w:t>
      </w:r>
    </w:p>
    <w:p w:rsidR="005353F3" w:rsidRPr="00ED2535" w:rsidRDefault="005353F3" w:rsidP="004D32AC">
      <w:pPr>
        <w:pStyle w:val="Paragraphedeliste"/>
        <w:numPr>
          <w:ilvl w:val="0"/>
          <w:numId w:val="177"/>
        </w:numPr>
        <w:spacing w:line="360" w:lineRule="auto"/>
        <w:jc w:val="both"/>
        <w:rPr>
          <w:rFonts w:asciiTheme="majorBidi" w:hAnsiTheme="majorBidi" w:cstheme="majorBidi"/>
          <w:b/>
          <w:bCs/>
          <w:color w:val="000000" w:themeColor="text1"/>
          <w:lang w:val="fr-FR"/>
        </w:rPr>
      </w:pPr>
      <w:r w:rsidRPr="00ED2535">
        <w:rPr>
          <w:rFonts w:asciiTheme="majorBidi" w:hAnsiTheme="majorBidi" w:cstheme="majorBidi"/>
          <w:b/>
          <w:bCs/>
          <w:color w:val="000000" w:themeColor="text1"/>
          <w:lang w:val="fr-FR"/>
        </w:rPr>
        <w:t xml:space="preserve">Analyse de la variance ANOVA </w:t>
      </w:r>
      <w:r w:rsidR="00D657FC" w:rsidRPr="00716234">
        <w:rPr>
          <w:rFonts w:asciiTheme="majorBidi" w:hAnsiTheme="majorBidi" w:cstheme="majorBidi"/>
          <w:b/>
          <w:bCs/>
          <w:color w:val="000000" w:themeColor="text1"/>
          <w:lang w:val="fr-FR"/>
        </w:rPr>
        <w:t>de la sous-hypothèse H1.2</w:t>
      </w:r>
      <w:r w:rsidR="00D657FC">
        <w:rPr>
          <w:rFonts w:asciiTheme="majorBidi" w:hAnsiTheme="majorBidi" w:cstheme="majorBidi"/>
          <w:b/>
          <w:bCs/>
          <w:color w:val="000000" w:themeColor="text1"/>
          <w:lang w:val="fr-FR"/>
        </w:rPr>
        <w:t xml:space="preserve"> </w:t>
      </w:r>
      <w:r w:rsidRPr="00ED2535">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b/>
          <w:bCs/>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N°46</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La variance ANOVA</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H1.2</w:t>
      </w:r>
    </w:p>
    <w:tbl>
      <w:tblPr>
        <w:tblStyle w:val="Grilledutableau"/>
        <w:tblW w:w="8998" w:type="dxa"/>
        <w:tblInd w:w="-5" w:type="dxa"/>
        <w:tblLayout w:type="fixed"/>
        <w:tblLook w:val="0000" w:firstRow="0" w:lastRow="0" w:firstColumn="0" w:lastColumn="0" w:noHBand="0" w:noVBand="0"/>
      </w:tblPr>
      <w:tblGrid>
        <w:gridCol w:w="853"/>
        <w:gridCol w:w="1552"/>
        <w:gridCol w:w="1500"/>
        <w:gridCol w:w="1186"/>
        <w:gridCol w:w="1535"/>
        <w:gridCol w:w="1186"/>
        <w:gridCol w:w="1186"/>
      </w:tblGrid>
      <w:tr w:rsidR="005353F3" w:rsidRPr="008764AA" w:rsidTr="00EC661E">
        <w:tc>
          <w:tcPr>
            <w:tcW w:w="2405"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50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26.049</w:t>
            </w:r>
          </w:p>
        </w:tc>
        <w:tc>
          <w:tcPr>
            <w:tcW w:w="1186" w:type="dxa"/>
            <w:vAlign w:val="center"/>
          </w:tcPr>
          <w:p w:rsidR="005353F3" w:rsidRPr="008764AA" w:rsidRDefault="005353F3" w:rsidP="00E6084A">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26.049</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30.677</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0.000</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pStyle w:val="p1"/>
              <w:spacing w:line="360" w:lineRule="auto"/>
              <w:jc w:val="both"/>
              <w:rPr>
                <w:rFonts w:asciiTheme="majorBidi" w:hAnsiTheme="majorBidi" w:cstheme="majorBidi"/>
                <w:color w:val="000000" w:themeColor="text1"/>
                <w:sz w:val="24"/>
                <w:szCs w:val="24"/>
              </w:rPr>
            </w:pPr>
            <w:r w:rsidRPr="008764AA">
              <w:rPr>
                <w:rFonts w:asciiTheme="majorBidi" w:hAnsiTheme="majorBidi" w:cstheme="majorBidi"/>
                <w:color w:val="000000" w:themeColor="text1"/>
                <w:sz w:val="24"/>
                <w:szCs w:val="24"/>
              </w:rPr>
              <w:t>Résidus</w:t>
            </w:r>
            <w:r w:rsidRPr="008764AA">
              <w:rPr>
                <w:rStyle w:val="apple-converted-space"/>
                <w:rFonts w:asciiTheme="majorBidi" w:hAnsiTheme="majorBidi" w:cstheme="majorBidi"/>
                <w:color w:val="000000" w:themeColor="text1"/>
                <w:sz w:val="24"/>
                <w:szCs w:val="24"/>
              </w:rPr>
              <w:t> </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142.653</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0</w:t>
            </w:r>
            <w:r w:rsidRPr="008764AA">
              <w:rPr>
                <w:rFonts w:asciiTheme="majorBidi" w:hAnsiTheme="majorBidi" w:cstheme="majorBidi"/>
                <w:color w:val="000000" w:themeColor="text1"/>
                <w:lang w:val="fr-FR"/>
              </w:rPr>
              <w:t>.849</w:t>
            </w: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Borders>
              <w:bottom w:val="single" w:sz="4" w:space="0" w:color="auto"/>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Borders>
              <w:bottom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500" w:type="dxa"/>
            <w:tcBorders>
              <w:bottom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168.702</w:t>
            </w:r>
          </w:p>
        </w:tc>
        <w:tc>
          <w:tcPr>
            <w:tcW w:w="1186" w:type="dxa"/>
            <w:tcBorders>
              <w:bottom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Borders>
              <w:bottom w:val="single" w:sz="4" w:space="0" w:color="auto"/>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Borders>
              <w:bottom w:val="single" w:sz="4" w:space="0" w:color="auto"/>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Borders>
              <w:bottom w:val="single" w:sz="4" w:space="0" w:color="auto"/>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lastRenderedPageBreak/>
        <w:t xml:space="preserve">Le tableau ci-dessus montre que </w:t>
      </w:r>
      <w:r w:rsidRPr="008764AA">
        <w:rPr>
          <w:rFonts w:asciiTheme="majorBidi" w:hAnsiTheme="majorBidi" w:cstheme="majorBidi"/>
          <w:color w:val="000000" w:themeColor="text1"/>
          <w:lang w:val="fr-FR"/>
        </w:rPr>
        <w:t>la significativité est égale à 0,000 était inférieure à 0,05, Cela</w:t>
      </w:r>
    </w:p>
    <w:p w:rsidR="002A015A" w:rsidRPr="0091753F" w:rsidRDefault="005353F3" w:rsidP="0091753F">
      <w:pPr>
        <w:spacing w:after="240" w:line="360" w:lineRule="auto"/>
        <w:jc w:val="both"/>
        <w:rPr>
          <w:rFonts w:asciiTheme="majorBidi" w:hAnsiTheme="majorBidi" w:cstheme="majorBidi"/>
          <w:b/>
          <w:bCs/>
          <w:color w:val="000000" w:themeColor="text1"/>
          <w:lang w:val="fr-FR"/>
        </w:rPr>
      </w:pPr>
      <w:r w:rsidRPr="008764AA">
        <w:rPr>
          <w:rFonts w:asciiTheme="majorBidi" w:hAnsiTheme="majorBidi" w:cstheme="majorBidi"/>
          <w:color w:val="000000" w:themeColor="text1"/>
          <w:lang w:val="fr-FR"/>
        </w:rPr>
        <w:t>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relation positive statistiquement significative entre la numérisation et le processus de recrutement digitalisé.</w:t>
      </w:r>
      <w:r w:rsidRPr="008764AA">
        <w:rPr>
          <w:rFonts w:asciiTheme="majorBidi" w:hAnsiTheme="majorBidi" w:cstheme="majorBidi"/>
          <w:b/>
          <w:bCs/>
          <w:color w:val="000000" w:themeColor="text1"/>
          <w:lang w:val="fr-FR"/>
        </w:rPr>
        <w:t xml:space="preserve"> </w:t>
      </w:r>
    </w:p>
    <w:p w:rsidR="005353F3" w:rsidRPr="00ED2535" w:rsidRDefault="005353F3" w:rsidP="004D32AC">
      <w:pPr>
        <w:pStyle w:val="Paragraphedeliste"/>
        <w:numPr>
          <w:ilvl w:val="0"/>
          <w:numId w:val="177"/>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t>Coefficients de régression</w:t>
      </w:r>
      <w:r w:rsidR="00D657FC">
        <w:rPr>
          <w:rFonts w:asciiTheme="majorBidi" w:hAnsiTheme="majorBidi" w:cstheme="majorBidi"/>
          <w:b/>
          <w:bCs/>
          <w:color w:val="000000" w:themeColor="text1"/>
          <w:lang w:val="fr-FR"/>
        </w:rPr>
        <w:t xml:space="preserve"> </w:t>
      </w:r>
      <w:r w:rsidR="00D657FC" w:rsidRPr="00716234">
        <w:rPr>
          <w:rFonts w:asciiTheme="majorBidi" w:hAnsiTheme="majorBidi" w:cstheme="majorBidi"/>
          <w:b/>
          <w:bCs/>
          <w:color w:val="000000" w:themeColor="text1"/>
          <w:lang w:val="fr-FR"/>
        </w:rPr>
        <w:t>de la sous-hypothèse H1.2</w:t>
      </w:r>
      <w:r w:rsidR="00D657FC">
        <w:rPr>
          <w:rFonts w:asciiTheme="majorBidi" w:hAnsiTheme="majorBidi" w:cstheme="majorBidi"/>
          <w:color w:val="000000" w:themeColor="text1"/>
          <w:lang w:val="fr-FR"/>
        </w:rPr>
        <w:t xml:space="preserve"> </w:t>
      </w:r>
      <w:r w:rsidRPr="00ED2535">
        <w:rPr>
          <w:rFonts w:asciiTheme="majorBidi" w:hAnsiTheme="majorBidi" w:cstheme="majorBidi"/>
          <w:b/>
          <w:bCs/>
          <w:color w:val="000000" w:themeColor="text1"/>
          <w:lang w:val="fr-FR"/>
        </w:rPr>
        <w:t xml:space="preserve"> :</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N°47</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Coefficients de régression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H1.2</w:t>
      </w:r>
    </w:p>
    <w:tbl>
      <w:tblPr>
        <w:tblStyle w:val="Grilledutableau"/>
        <w:tblW w:w="9362" w:type="dxa"/>
        <w:tblLayout w:type="fixed"/>
        <w:tblLook w:val="0000" w:firstRow="0" w:lastRow="0" w:firstColumn="0" w:lastColumn="0" w:noHBand="0" w:noVBand="0"/>
      </w:tblPr>
      <w:tblGrid>
        <w:gridCol w:w="833"/>
        <w:gridCol w:w="1339"/>
        <w:gridCol w:w="1560"/>
        <w:gridCol w:w="1662"/>
        <w:gridCol w:w="1662"/>
        <w:gridCol w:w="1153"/>
        <w:gridCol w:w="1153"/>
      </w:tblGrid>
      <w:tr w:rsidR="005353F3" w:rsidRPr="008764AA" w:rsidTr="00EC661E">
        <w:tc>
          <w:tcPr>
            <w:tcW w:w="217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322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3" w:type="dxa"/>
            <w:tcBorders>
              <w:bottom w:val="nil"/>
            </w:tcBorders>
          </w:tcPr>
          <w:p w:rsidR="005353F3" w:rsidRPr="008764AA" w:rsidRDefault="00EC661E" w:rsidP="00E6084A">
            <w:pPr>
              <w:spacing w:line="360" w:lineRule="auto"/>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1</w:t>
            </w:r>
          </w:p>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39" w:type="dxa"/>
            <w:tcBorders>
              <w:bottom w:val="nil"/>
            </w:tcBorders>
          </w:tcPr>
          <w:p w:rsidR="005353F3" w:rsidRPr="008764AA" w:rsidRDefault="00EC661E" w:rsidP="00E6084A">
            <w:pPr>
              <w:spacing w:line="360" w:lineRule="auto"/>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Constant</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r>
      <w:tr w:rsidR="005353F3" w:rsidRPr="008764AA" w:rsidTr="00E6084A">
        <w:tc>
          <w:tcPr>
            <w:tcW w:w="833" w:type="dxa"/>
            <w:vMerge w:val="restart"/>
            <w:tcBorders>
              <w:top w:val="nil"/>
              <w:right w:val="single" w:sz="4" w:space="0" w:color="auto"/>
            </w:tcBorders>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339" w:type="dxa"/>
            <w:tcBorders>
              <w:top w:val="nil"/>
              <w:left w:val="single" w:sz="4" w:space="0" w:color="auto"/>
            </w:tcBorders>
            <w:vAlign w:val="center"/>
          </w:tcPr>
          <w:p w:rsidR="005353F3" w:rsidRPr="008764AA" w:rsidRDefault="005353F3" w:rsidP="00E6084A">
            <w:pPr>
              <w:spacing w:line="360" w:lineRule="auto"/>
              <w:ind w:right="60"/>
              <w:jc w:val="both"/>
              <w:rPr>
                <w:rFonts w:asciiTheme="majorBidi" w:hAnsiTheme="majorBidi" w:cstheme="majorBidi"/>
                <w:color w:val="000000" w:themeColor="text1"/>
                <w:lang w:val="fr-FR"/>
              </w:rPr>
            </w:pP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2.396</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0.263</w:t>
            </w:r>
          </w:p>
        </w:tc>
        <w:tc>
          <w:tcPr>
            <w:tcW w:w="166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9.099</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3" w:type="dxa"/>
            <w:vMerge/>
            <w:tcBorders>
              <w:top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3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Num</w:t>
            </w:r>
            <w:proofErr w:type="spellEnd"/>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0.367</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0.066</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0.393</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5.539</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t xml:space="preserve">Les résultats du tableau précédent indiquent que </w:t>
      </w:r>
      <w:r w:rsidRPr="008764AA">
        <w:rPr>
          <w:rFonts w:asciiTheme="majorBidi" w:hAnsiTheme="majorBidi" w:cstheme="majorBidi"/>
          <w:color w:val="000000" w:themeColor="text1"/>
          <w:lang w:val="fr-FR"/>
        </w:rPr>
        <w:t>la relation entre la numérisation et le processus de recrutement digitalisé,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Y = 0,367 X</w:t>
      </w:r>
      <w:r w:rsidRPr="008764AA">
        <w:rPr>
          <w:rFonts w:asciiTheme="majorBidi" w:hAnsiTheme="majorBidi" w:cstheme="majorBidi"/>
          <w:color w:val="000000" w:themeColor="text1"/>
          <w:vertAlign w:val="subscript"/>
          <w:lang w:val="fr-FR"/>
        </w:rPr>
        <w:t>3</w:t>
      </w:r>
      <w:r w:rsidRPr="008764AA">
        <w:rPr>
          <w:rFonts w:asciiTheme="majorBidi" w:hAnsiTheme="majorBidi" w:cstheme="majorBidi"/>
          <w:color w:val="000000" w:themeColor="text1"/>
          <w:lang w:val="fr-FR"/>
        </w:rPr>
        <w:t xml:space="preserve"> + 2,396</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Où Y représente la variable dépendante (le processus de recrutement digitalisé)</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X</w:t>
      </w:r>
      <w:r w:rsidRPr="008764AA">
        <w:rPr>
          <w:rFonts w:asciiTheme="majorBidi" w:hAnsiTheme="majorBidi" w:cstheme="majorBidi"/>
          <w:color w:val="000000" w:themeColor="text1"/>
          <w:vertAlign w:val="subscript"/>
          <w:lang w:val="fr-FR"/>
        </w:rPr>
        <w:t>3</w:t>
      </w:r>
      <w:r w:rsidRPr="008764AA">
        <w:rPr>
          <w:rFonts w:asciiTheme="majorBidi" w:hAnsiTheme="majorBidi" w:cstheme="majorBidi"/>
          <w:color w:val="000000" w:themeColor="text1"/>
          <w:lang w:val="fr-FR"/>
        </w:rPr>
        <w:t xml:space="preserve"> </w:t>
      </w:r>
      <w:r>
        <w:rPr>
          <w:rFonts w:asciiTheme="majorBidi" w:hAnsiTheme="majorBidi" w:cstheme="majorBidi"/>
          <w:color w:val="000000" w:themeColor="text1"/>
          <w:lang w:val="fr-FR"/>
        </w:rPr>
        <w:t>désigne</w:t>
      </w:r>
      <w:r w:rsidRPr="008764AA">
        <w:rPr>
          <w:rFonts w:asciiTheme="majorBidi" w:hAnsiTheme="majorBidi" w:cstheme="majorBidi"/>
          <w:color w:val="000000" w:themeColor="text1"/>
          <w:lang w:val="fr-FR"/>
        </w:rPr>
        <w:t xml:space="preserve"> la variable indépendante (la numérisation) et le nombre 0,367 est la valeur de β3 de la pente de l’équation de régression.</w:t>
      </w:r>
    </w:p>
    <w:p w:rsidR="005353F3" w:rsidRPr="004D4075" w:rsidRDefault="004D4075" w:rsidP="004D32AC">
      <w:pPr>
        <w:pStyle w:val="Titre3"/>
        <w:numPr>
          <w:ilvl w:val="1"/>
          <w:numId w:val="194"/>
        </w:numPr>
        <w:spacing w:after="0" w:afterAutospacing="0" w:line="360" w:lineRule="auto"/>
        <w:rPr>
          <w:sz w:val="24"/>
          <w:szCs w:val="24"/>
          <w:lang w:val="fr-FR"/>
        </w:rPr>
      </w:pPr>
      <w:r>
        <w:rPr>
          <w:sz w:val="24"/>
          <w:szCs w:val="24"/>
          <w:lang w:val="fr-FR"/>
        </w:rPr>
        <w:t xml:space="preserve"> </w:t>
      </w:r>
      <w:bookmarkStart w:id="2370" w:name="_Toc199714586"/>
      <w:bookmarkStart w:id="2371" w:name="_Toc200486862"/>
      <w:bookmarkStart w:id="2372" w:name="_Toc200635640"/>
      <w:bookmarkStart w:id="2373" w:name="_Toc200636028"/>
      <w:bookmarkStart w:id="2374" w:name="_Toc200636417"/>
      <w:bookmarkStart w:id="2375" w:name="_Toc200756158"/>
      <w:r w:rsidR="005353F3" w:rsidRPr="004D4075">
        <w:rPr>
          <w:sz w:val="24"/>
          <w:szCs w:val="24"/>
          <w:lang w:val="fr-FR"/>
        </w:rPr>
        <w:t>Test de la troisième sous-hypothèse :</w:t>
      </w:r>
      <w:bookmarkEnd w:id="2370"/>
      <w:bookmarkEnd w:id="2371"/>
      <w:bookmarkEnd w:id="2372"/>
      <w:bookmarkEnd w:id="2373"/>
      <w:bookmarkEnd w:id="2374"/>
      <w:bookmarkEnd w:id="2375"/>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H1.</w:t>
      </w:r>
      <w:r>
        <w:rPr>
          <w:rFonts w:asciiTheme="majorBidi" w:hAnsiTheme="majorBidi" w:cstheme="majorBidi"/>
          <w:color w:val="000000" w:themeColor="text1"/>
          <w:lang w:val="fr-FR"/>
        </w:rPr>
        <w:t>3</w:t>
      </w:r>
      <w:r w:rsidRPr="008764AA">
        <w:rPr>
          <w:rFonts w:asciiTheme="majorBidi" w:hAnsiTheme="majorBidi" w:cstheme="majorBidi"/>
          <w:color w:val="000000" w:themeColor="text1"/>
          <w:lang w:val="fr-FR"/>
        </w:rPr>
        <w:t>= L’accessibilité numérique a un impact positif significatif sur le processus de recrutement au niveau de signification de 0,05.</w:t>
      </w:r>
    </w:p>
    <w:p w:rsidR="005353F3" w:rsidRPr="00ED2535" w:rsidRDefault="005353F3" w:rsidP="004D32AC">
      <w:pPr>
        <w:pStyle w:val="Paragraphedeliste"/>
        <w:numPr>
          <w:ilvl w:val="2"/>
          <w:numId w:val="160"/>
        </w:numPr>
        <w:autoSpaceDE w:val="0"/>
        <w:autoSpaceDN w:val="0"/>
        <w:adjustRightInd w:val="0"/>
        <w:spacing w:line="360" w:lineRule="auto"/>
        <w:jc w:val="both"/>
        <w:rPr>
          <w:rFonts w:asciiTheme="majorBidi" w:hAnsiTheme="majorBidi" w:cstheme="majorBidi"/>
          <w:b/>
          <w:bCs/>
          <w:color w:val="000000" w:themeColor="text1"/>
        </w:rPr>
      </w:pPr>
      <w:r w:rsidRPr="00ED2535">
        <w:rPr>
          <w:rFonts w:asciiTheme="majorBidi" w:hAnsiTheme="majorBidi" w:cstheme="majorBidi"/>
          <w:b/>
          <w:bCs/>
          <w:color w:val="000000" w:themeColor="text1"/>
        </w:rPr>
        <w:t>Coefficient de corrélation R2 (R-square)</w:t>
      </w:r>
      <w:r w:rsidR="00D657FC" w:rsidRPr="007B209A">
        <w:rPr>
          <w:rFonts w:asciiTheme="majorBidi" w:hAnsiTheme="majorBidi" w:cstheme="majorBidi"/>
          <w:b/>
          <w:bCs/>
          <w:color w:val="000000" w:themeColor="text1"/>
          <w:lang w:val="fr-FR"/>
        </w:rPr>
        <w:t xml:space="preserve"> </w:t>
      </w:r>
      <w:r w:rsidR="00D657FC" w:rsidRPr="00716234">
        <w:rPr>
          <w:rFonts w:asciiTheme="majorBidi" w:hAnsiTheme="majorBidi" w:cstheme="majorBidi"/>
          <w:b/>
          <w:bCs/>
          <w:color w:val="000000" w:themeColor="text1"/>
          <w:lang w:val="fr-FR"/>
        </w:rPr>
        <w:t>de la sous-hypothèse H1.</w:t>
      </w:r>
      <w:r w:rsidR="00D657FC">
        <w:rPr>
          <w:rFonts w:asciiTheme="majorBidi" w:hAnsiTheme="majorBidi" w:cstheme="majorBidi"/>
          <w:b/>
          <w:bCs/>
          <w:color w:val="000000" w:themeColor="text1"/>
          <w:lang w:val="fr-FR"/>
        </w:rPr>
        <w:t>3</w:t>
      </w:r>
      <w:r w:rsidR="00D657FC" w:rsidRPr="007B209A">
        <w:rPr>
          <w:rFonts w:asciiTheme="majorBidi" w:hAnsiTheme="majorBidi" w:cstheme="majorBidi"/>
          <w:b/>
          <w:bCs/>
          <w:color w:val="000000" w:themeColor="text1"/>
          <w:lang w:val="fr-FR"/>
        </w:rPr>
        <w:t xml:space="preserve"> </w:t>
      </w:r>
      <w:r w:rsidRPr="00ED2535">
        <w:rPr>
          <w:rFonts w:asciiTheme="majorBidi" w:hAnsiTheme="majorBidi" w:cstheme="majorBidi"/>
          <w:b/>
          <w:bCs/>
          <w:color w:val="000000" w:themeColor="text1"/>
        </w:rPr>
        <w:t>:</w:t>
      </w:r>
    </w:p>
    <w:p w:rsidR="005353F3" w:rsidRPr="007B209A" w:rsidRDefault="005353F3" w:rsidP="005353F3">
      <w:pPr>
        <w:spacing w:line="360" w:lineRule="auto"/>
        <w:jc w:val="center"/>
        <w:rPr>
          <w:rFonts w:asciiTheme="majorBidi" w:hAnsiTheme="majorBidi" w:cstheme="majorBidi"/>
          <w:color w:val="000000" w:themeColor="text1"/>
          <w:lang w:val="fr-FR"/>
        </w:rPr>
      </w:pPr>
      <w:r w:rsidRPr="00092FF0">
        <w:rPr>
          <w:rFonts w:asciiTheme="majorBidi" w:hAnsiTheme="majorBidi" w:cstheme="majorBidi"/>
          <w:b/>
          <w:bCs/>
          <w:color w:val="000000" w:themeColor="text1"/>
        </w:rPr>
        <w:t>Tableau</w:t>
      </w:r>
      <w:r>
        <w:rPr>
          <w:rFonts w:asciiTheme="majorBidi" w:hAnsiTheme="majorBidi" w:cstheme="majorBidi"/>
          <w:b/>
          <w:bCs/>
          <w:color w:val="000000" w:themeColor="text1"/>
          <w:lang w:val="fr-FR"/>
        </w:rPr>
        <w:t xml:space="preserve"> N°48</w:t>
      </w:r>
      <w:r w:rsidRPr="00092FF0">
        <w:rPr>
          <w:rFonts w:asciiTheme="majorBidi" w:hAnsiTheme="majorBidi" w:cstheme="majorBidi"/>
          <w:b/>
          <w:bCs/>
          <w:color w:val="000000" w:themeColor="text1"/>
        </w:rPr>
        <w:t xml:space="preserve"> : </w:t>
      </w:r>
      <w:r w:rsidRPr="0071110F">
        <w:rPr>
          <w:rFonts w:asciiTheme="majorBidi" w:hAnsiTheme="majorBidi" w:cstheme="majorBidi"/>
          <w:color w:val="000000" w:themeColor="text1"/>
        </w:rPr>
        <w:t>Coefficients de corrélation</w:t>
      </w:r>
      <w:r w:rsidR="00D657FC" w:rsidRPr="007B209A">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H1.3</w:t>
      </w:r>
    </w:p>
    <w:tbl>
      <w:tblPr>
        <w:tblStyle w:val="Grilledutableau"/>
        <w:tblW w:w="8505" w:type="dxa"/>
        <w:tblInd w:w="-5" w:type="dxa"/>
        <w:tblLayout w:type="fixed"/>
        <w:tblLook w:val="0000" w:firstRow="0" w:lastRow="0" w:firstColumn="0" w:lastColumn="0" w:noHBand="0" w:noVBand="0"/>
      </w:tblPr>
      <w:tblGrid>
        <w:gridCol w:w="1134"/>
        <w:gridCol w:w="1027"/>
        <w:gridCol w:w="1186"/>
        <w:gridCol w:w="1692"/>
        <w:gridCol w:w="3466"/>
      </w:tblGrid>
      <w:tr w:rsidR="005353F3" w:rsidRPr="008764AA" w:rsidTr="00D657FC">
        <w:tc>
          <w:tcPr>
            <w:tcW w:w="1134"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27"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346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D657FC">
        <w:tc>
          <w:tcPr>
            <w:tcW w:w="1134"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27"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0.226</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0.051</w:t>
            </w:r>
          </w:p>
        </w:tc>
        <w:tc>
          <w:tcPr>
            <w:tcW w:w="169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0.045</w:t>
            </w:r>
          </w:p>
        </w:tc>
        <w:tc>
          <w:tcPr>
            <w:tcW w:w="346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0.97619</w:t>
            </w:r>
          </w:p>
        </w:tc>
      </w:tr>
    </w:tbl>
    <w:p w:rsidR="005353F3" w:rsidRPr="008764AA" w:rsidRDefault="005353F3" w:rsidP="00982387">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D657FC" w:rsidRPr="008764AA" w:rsidRDefault="005353F3" w:rsidP="0091753F">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Selon les résultats présentés dans le tableau, le coefficient de détermination R²</w:t>
      </w:r>
      <w:r w:rsidRPr="00226CE1">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0,051</w:t>
      </w:r>
      <w:r w:rsidRPr="00140F9D">
        <w:rPr>
          <w:rFonts w:asciiTheme="majorBidi" w:hAnsiTheme="majorBidi" w:cstheme="majorBidi"/>
          <w:color w:val="000000" w:themeColor="text1"/>
        </w:rPr>
        <w:t xml:space="preserve">. Cela montre que </w:t>
      </w:r>
      <w:r w:rsidRPr="008764AA">
        <w:rPr>
          <w:rFonts w:asciiTheme="majorBidi" w:hAnsiTheme="majorBidi" w:cstheme="majorBidi"/>
          <w:color w:val="000000" w:themeColor="text1"/>
          <w:lang w:val="fr-FR"/>
        </w:rPr>
        <w:t>l’accessibilité numérique</w:t>
      </w:r>
      <w:r w:rsidRPr="00140F9D">
        <w:rPr>
          <w:rFonts w:asciiTheme="majorBidi" w:hAnsiTheme="majorBidi" w:cstheme="majorBidi"/>
          <w:color w:val="000000" w:themeColor="text1"/>
        </w:rPr>
        <w:t xml:space="preserve"> influence le processus de recrutement digitalisé. Par ailleurs, le coefficient de corrélation R</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 xml:space="preserve"> </w:t>
      </w:r>
      <w:r w:rsidRPr="008764AA">
        <w:rPr>
          <w:rFonts w:asciiTheme="majorBidi" w:hAnsiTheme="majorBidi" w:cstheme="majorBidi"/>
          <w:color w:val="000000" w:themeColor="text1"/>
          <w:lang w:val="fr-FR"/>
        </w:rPr>
        <w:t>0,226</w:t>
      </w:r>
      <w:r w:rsidRPr="00140F9D">
        <w:rPr>
          <w:rFonts w:asciiTheme="majorBidi" w:hAnsiTheme="majorBidi" w:cstheme="majorBidi"/>
          <w:color w:val="000000" w:themeColor="text1"/>
        </w:rPr>
        <w:t xml:space="preserve">, indique </w:t>
      </w:r>
      <w:r w:rsidRPr="008764AA">
        <w:rPr>
          <w:rFonts w:asciiTheme="majorBidi" w:hAnsiTheme="majorBidi" w:cstheme="majorBidi"/>
          <w:b/>
          <w:bCs/>
          <w:color w:val="000000" w:themeColor="text1"/>
          <w:lang w:val="fr-FR"/>
        </w:rPr>
        <w:t>une relation modérée directe</w:t>
      </w:r>
      <w:r w:rsidRPr="008764AA">
        <w:rPr>
          <w:rFonts w:asciiTheme="majorBidi" w:hAnsiTheme="majorBidi" w:cstheme="majorBidi"/>
          <w:color w:val="000000" w:themeColor="text1"/>
          <w:lang w:val="fr-FR"/>
        </w:rPr>
        <w:t xml:space="preserve"> </w:t>
      </w:r>
      <w:r w:rsidRPr="00140F9D">
        <w:rPr>
          <w:rFonts w:asciiTheme="majorBidi" w:hAnsiTheme="majorBidi" w:cstheme="majorBidi"/>
          <w:color w:val="000000" w:themeColor="text1"/>
        </w:rPr>
        <w:t xml:space="preserve">entre </w:t>
      </w:r>
      <w:r w:rsidRPr="008764AA">
        <w:rPr>
          <w:rFonts w:asciiTheme="majorBidi" w:hAnsiTheme="majorBidi" w:cstheme="majorBidi"/>
          <w:color w:val="000000" w:themeColor="text1"/>
          <w:lang w:val="fr-FR"/>
        </w:rPr>
        <w:t>l’accessibilité numérique</w:t>
      </w:r>
      <w:r w:rsidRPr="00140F9D">
        <w:rPr>
          <w:rFonts w:asciiTheme="majorBidi" w:hAnsiTheme="majorBidi" w:cstheme="majorBidi"/>
          <w:color w:val="000000" w:themeColor="text1"/>
        </w:rPr>
        <w:t xml:space="preserve"> et le processus de recrutement digitalisé, avec un taux de corrélation de </w:t>
      </w:r>
      <w:r w:rsidRPr="008764AA">
        <w:rPr>
          <w:rFonts w:asciiTheme="majorBidi" w:hAnsiTheme="majorBidi" w:cstheme="majorBidi"/>
          <w:color w:val="000000" w:themeColor="text1"/>
          <w:lang w:val="fr-FR"/>
        </w:rPr>
        <w:t>22,6%.</w:t>
      </w:r>
    </w:p>
    <w:p w:rsidR="005353F3" w:rsidRPr="00ED2535" w:rsidRDefault="005353F3" w:rsidP="004D32AC">
      <w:pPr>
        <w:pStyle w:val="Paragraphedeliste"/>
        <w:numPr>
          <w:ilvl w:val="2"/>
          <w:numId w:val="160"/>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lastRenderedPageBreak/>
        <w:t xml:space="preserve"> Analyse de la variance ANOVA</w:t>
      </w:r>
      <w:r w:rsidR="00D657FC">
        <w:rPr>
          <w:rFonts w:asciiTheme="majorBidi" w:hAnsiTheme="majorBidi" w:cstheme="majorBidi"/>
          <w:b/>
          <w:bCs/>
          <w:color w:val="000000" w:themeColor="text1"/>
          <w:lang w:val="fr-FR"/>
        </w:rPr>
        <w:t xml:space="preserve"> </w:t>
      </w:r>
      <w:r w:rsidR="00D657FC" w:rsidRPr="00716234">
        <w:rPr>
          <w:rFonts w:asciiTheme="majorBidi" w:hAnsiTheme="majorBidi" w:cstheme="majorBidi"/>
          <w:b/>
          <w:bCs/>
          <w:color w:val="000000" w:themeColor="text1"/>
          <w:lang w:val="fr-FR"/>
        </w:rPr>
        <w:t>de la sous-hypothèse H1.</w:t>
      </w:r>
      <w:r w:rsidR="00D657FC">
        <w:rPr>
          <w:rFonts w:asciiTheme="majorBidi" w:hAnsiTheme="majorBidi" w:cstheme="majorBidi"/>
          <w:b/>
          <w:bCs/>
          <w:color w:val="000000" w:themeColor="text1"/>
          <w:lang w:val="fr-FR"/>
        </w:rPr>
        <w:t xml:space="preserve">3 </w:t>
      </w:r>
      <w:r w:rsidRPr="00ED2535">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N°49</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La variance ANOVA</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H1.3</w:t>
      </w:r>
    </w:p>
    <w:tbl>
      <w:tblPr>
        <w:tblStyle w:val="Grilledutableau"/>
        <w:tblW w:w="8998" w:type="dxa"/>
        <w:tblLayout w:type="fixed"/>
        <w:tblLook w:val="0000" w:firstRow="0" w:lastRow="0" w:firstColumn="0" w:lastColumn="0" w:noHBand="0" w:noVBand="0"/>
      </w:tblPr>
      <w:tblGrid>
        <w:gridCol w:w="853"/>
        <w:gridCol w:w="1552"/>
        <w:gridCol w:w="1500"/>
        <w:gridCol w:w="1186"/>
        <w:gridCol w:w="1535"/>
        <w:gridCol w:w="1186"/>
        <w:gridCol w:w="1186"/>
      </w:tblGrid>
      <w:tr w:rsidR="005353F3" w:rsidRPr="008764AA" w:rsidTr="00EC661E">
        <w:tc>
          <w:tcPr>
            <w:tcW w:w="2405" w:type="dxa"/>
            <w:gridSpan w:val="2"/>
            <w:shd w:val="clear" w:color="auto" w:fill="D8DCD1"/>
          </w:tcPr>
          <w:p w:rsidR="005353F3" w:rsidRPr="008764AA" w:rsidRDefault="005353F3" w:rsidP="00EC661E">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50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8.605</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8.605</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9.030</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.003</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Résidus</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160.096</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0.953</w:t>
            </w: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168.702</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 xml:space="preserve">Le tableau ci-dessus montre que </w:t>
      </w:r>
      <w:r w:rsidRPr="008764AA">
        <w:rPr>
          <w:rFonts w:asciiTheme="majorBidi" w:hAnsiTheme="majorBidi" w:cstheme="majorBidi"/>
          <w:color w:val="000000" w:themeColor="text1"/>
          <w:lang w:val="fr-FR"/>
        </w:rPr>
        <w:t>la significativité est égale à 0,003 était inférieure à 0,05, Cela</w:t>
      </w:r>
    </w:p>
    <w:p w:rsidR="005353F3" w:rsidRPr="00FD5561"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relation positive statistiquement significative entre l’accessibilité numérique et le processus de recrutement digitalisé.</w:t>
      </w:r>
    </w:p>
    <w:p w:rsidR="005353F3" w:rsidRPr="00ED2535" w:rsidRDefault="005353F3" w:rsidP="004D32AC">
      <w:pPr>
        <w:pStyle w:val="Paragraphedeliste"/>
        <w:numPr>
          <w:ilvl w:val="2"/>
          <w:numId w:val="160"/>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t xml:space="preserve"> Coefficients de régression</w:t>
      </w:r>
      <w:r w:rsidR="00D657FC">
        <w:rPr>
          <w:rFonts w:asciiTheme="majorBidi" w:hAnsiTheme="majorBidi" w:cstheme="majorBidi"/>
          <w:b/>
          <w:bCs/>
          <w:color w:val="000000" w:themeColor="text1"/>
          <w:lang w:val="fr-FR"/>
        </w:rPr>
        <w:t xml:space="preserve"> </w:t>
      </w:r>
      <w:r w:rsidR="00D657FC" w:rsidRPr="00716234">
        <w:rPr>
          <w:rFonts w:asciiTheme="majorBidi" w:hAnsiTheme="majorBidi" w:cstheme="majorBidi"/>
          <w:b/>
          <w:bCs/>
          <w:color w:val="000000" w:themeColor="text1"/>
          <w:lang w:val="fr-FR"/>
        </w:rPr>
        <w:t>de la sous-hypothèse H1.</w:t>
      </w:r>
      <w:r w:rsidR="00D657FC">
        <w:rPr>
          <w:rFonts w:asciiTheme="majorBidi" w:hAnsiTheme="majorBidi" w:cstheme="majorBidi"/>
          <w:b/>
          <w:bCs/>
          <w:color w:val="000000" w:themeColor="text1"/>
          <w:lang w:val="fr-FR"/>
        </w:rPr>
        <w:t xml:space="preserve">3 </w:t>
      </w:r>
      <w:r w:rsidRPr="00ED2535">
        <w:rPr>
          <w:rFonts w:asciiTheme="majorBidi" w:hAnsiTheme="majorBidi" w:cstheme="majorBidi"/>
          <w:b/>
          <w:bCs/>
          <w:color w:val="000000" w:themeColor="text1"/>
          <w:lang w:val="fr-FR"/>
        </w:rPr>
        <w:t>:</w:t>
      </w:r>
    </w:p>
    <w:p w:rsidR="005353F3" w:rsidRPr="0071110F"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N°50</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Coefficients de régression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H1.3</w:t>
      </w:r>
    </w:p>
    <w:tbl>
      <w:tblPr>
        <w:tblStyle w:val="Grilledutableau"/>
        <w:tblW w:w="9362" w:type="dxa"/>
        <w:tblLayout w:type="fixed"/>
        <w:tblLook w:val="0000" w:firstRow="0" w:lastRow="0" w:firstColumn="0" w:lastColumn="0" w:noHBand="0" w:noVBand="0"/>
      </w:tblPr>
      <w:tblGrid>
        <w:gridCol w:w="833"/>
        <w:gridCol w:w="1714"/>
        <w:gridCol w:w="1185"/>
        <w:gridCol w:w="1662"/>
        <w:gridCol w:w="1662"/>
        <w:gridCol w:w="1153"/>
        <w:gridCol w:w="1153"/>
      </w:tblGrid>
      <w:tr w:rsidR="005353F3" w:rsidRPr="008764AA" w:rsidTr="00EC661E">
        <w:tc>
          <w:tcPr>
            <w:tcW w:w="2547" w:type="dxa"/>
            <w:gridSpan w:val="2"/>
            <w:shd w:val="clear" w:color="auto" w:fill="D8DCD1"/>
          </w:tcPr>
          <w:p w:rsidR="005353F3" w:rsidRPr="008764AA" w:rsidRDefault="005353F3" w:rsidP="00EC661E">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2847"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3"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714"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r>
      <w:tr w:rsidR="005353F3" w:rsidRPr="008764AA" w:rsidTr="00E6084A">
        <w:tc>
          <w:tcPr>
            <w:tcW w:w="833" w:type="dxa"/>
            <w:vMerge w:val="restart"/>
            <w:tcBorders>
              <w:top w:val="nil"/>
              <w:righ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714" w:type="dxa"/>
            <w:tcBorders>
              <w:top w:val="nil"/>
              <w:lef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18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2.942</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0.296</w:t>
            </w:r>
          </w:p>
        </w:tc>
        <w:tc>
          <w:tcPr>
            <w:tcW w:w="166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9.943</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3" w:type="dxa"/>
            <w:vMerge/>
            <w:tcBorders>
              <w:top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714"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Acces</w:t>
            </w:r>
            <w:proofErr w:type="spellEnd"/>
          </w:p>
        </w:tc>
        <w:tc>
          <w:tcPr>
            <w:tcW w:w="118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0.217</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0.072</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0.226</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3.005</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.003</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t xml:space="preserve">Les résultats du tableau précédent indiquent que </w:t>
      </w:r>
      <w:r w:rsidRPr="008764AA">
        <w:rPr>
          <w:rFonts w:asciiTheme="majorBidi" w:hAnsiTheme="majorBidi" w:cstheme="majorBidi"/>
          <w:color w:val="000000" w:themeColor="text1"/>
          <w:lang w:val="fr-FR"/>
        </w:rPr>
        <w:t>la relation entre l’accessibilité numérique et le processus de recrutement digitalisé,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Y = 0,367 X</w:t>
      </w:r>
      <w:r>
        <w:rPr>
          <w:rFonts w:asciiTheme="majorBidi" w:hAnsiTheme="majorBidi" w:cstheme="majorBidi"/>
          <w:color w:val="000000" w:themeColor="text1"/>
          <w:vertAlign w:val="subscript"/>
          <w:lang w:val="fr-FR"/>
        </w:rPr>
        <w:t>4</w:t>
      </w:r>
      <w:r w:rsidRPr="008764AA">
        <w:rPr>
          <w:rFonts w:asciiTheme="majorBidi" w:hAnsiTheme="majorBidi" w:cstheme="majorBidi"/>
          <w:color w:val="000000" w:themeColor="text1"/>
          <w:lang w:val="fr-FR"/>
        </w:rPr>
        <w:t xml:space="preserve"> + 2,396</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Où Y représente la variable dépendante (le processus de recrutement digitalisé)</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X</w:t>
      </w:r>
      <w:r>
        <w:rPr>
          <w:rFonts w:asciiTheme="majorBidi" w:hAnsiTheme="majorBidi" w:cstheme="majorBidi"/>
          <w:color w:val="000000" w:themeColor="text1"/>
          <w:vertAlign w:val="subscript"/>
          <w:lang w:val="fr-FR"/>
        </w:rPr>
        <w:t>4</w:t>
      </w:r>
      <w:r w:rsidRPr="008764AA">
        <w:rPr>
          <w:rFonts w:asciiTheme="majorBidi" w:hAnsiTheme="majorBidi" w:cstheme="majorBidi"/>
          <w:color w:val="000000" w:themeColor="text1"/>
          <w:lang w:val="fr-FR"/>
        </w:rPr>
        <w:t xml:space="preserve"> </w:t>
      </w:r>
      <w:r>
        <w:rPr>
          <w:rFonts w:asciiTheme="majorBidi" w:hAnsiTheme="majorBidi" w:cstheme="majorBidi"/>
          <w:color w:val="000000" w:themeColor="text1"/>
          <w:lang w:val="fr-FR"/>
        </w:rPr>
        <w:t>désigne</w:t>
      </w:r>
      <w:r w:rsidRPr="008764AA">
        <w:rPr>
          <w:rFonts w:asciiTheme="majorBidi" w:hAnsiTheme="majorBidi" w:cstheme="majorBidi"/>
          <w:color w:val="000000" w:themeColor="text1"/>
          <w:lang w:val="fr-FR"/>
        </w:rPr>
        <w:t xml:space="preserve"> la variable indépendante (l’accessibilité numérique) et le nombre 0,367 est la valeur de β</w:t>
      </w:r>
      <w:r>
        <w:rPr>
          <w:rFonts w:asciiTheme="majorBidi" w:hAnsiTheme="majorBidi" w:cstheme="majorBidi"/>
          <w:color w:val="000000" w:themeColor="text1"/>
          <w:lang w:val="fr-FR"/>
        </w:rPr>
        <w:t>4</w:t>
      </w:r>
      <w:r w:rsidRPr="008764AA">
        <w:rPr>
          <w:rFonts w:asciiTheme="majorBidi" w:hAnsiTheme="majorBidi" w:cstheme="majorBidi"/>
          <w:color w:val="000000" w:themeColor="text1"/>
          <w:lang w:val="fr-FR"/>
        </w:rPr>
        <w:t xml:space="preserve"> de la pente de l’équation de régression.</w:t>
      </w:r>
    </w:p>
    <w:p w:rsidR="005353F3" w:rsidRPr="004D4075" w:rsidRDefault="005353F3" w:rsidP="004D32AC">
      <w:pPr>
        <w:pStyle w:val="Titre3"/>
        <w:numPr>
          <w:ilvl w:val="0"/>
          <w:numId w:val="194"/>
        </w:numPr>
        <w:spacing w:after="0" w:afterAutospacing="0" w:line="360" w:lineRule="auto"/>
        <w:rPr>
          <w:sz w:val="24"/>
          <w:szCs w:val="24"/>
          <w:lang w:val="fr-FR"/>
        </w:rPr>
      </w:pPr>
      <w:bookmarkStart w:id="2376" w:name="_Toc199714587"/>
      <w:bookmarkStart w:id="2377" w:name="_Toc200486863"/>
      <w:bookmarkStart w:id="2378" w:name="_Toc200635641"/>
      <w:bookmarkStart w:id="2379" w:name="_Toc200636029"/>
      <w:bookmarkStart w:id="2380" w:name="_Toc200636418"/>
      <w:bookmarkStart w:id="2381" w:name="_Toc200756159"/>
      <w:r w:rsidRPr="004D4075">
        <w:rPr>
          <w:sz w:val="24"/>
          <w:szCs w:val="24"/>
          <w:lang w:val="fr-FR"/>
        </w:rPr>
        <w:t>Test de la deuxième hypothèse :</w:t>
      </w:r>
      <w:bookmarkEnd w:id="2376"/>
      <w:bookmarkEnd w:id="2377"/>
      <w:bookmarkEnd w:id="2378"/>
      <w:bookmarkEnd w:id="2379"/>
      <w:bookmarkEnd w:id="2380"/>
      <w:bookmarkEnd w:id="2381"/>
    </w:p>
    <w:p w:rsidR="002A015A" w:rsidRDefault="005353F3" w:rsidP="00982387">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H2: </w:t>
      </w:r>
      <w:r w:rsidR="007B209A">
        <w:rPr>
          <w:rFonts w:asciiTheme="majorBidi" w:hAnsiTheme="majorBidi" w:cstheme="majorBidi"/>
          <w:color w:val="000000" w:themeColor="text1"/>
          <w:lang w:val="fr-FR"/>
        </w:rPr>
        <w:t xml:space="preserve">La digitalisation des processus RH a un impact positif significatif sur le processus de formation </w:t>
      </w:r>
      <w:r w:rsidRPr="008764AA">
        <w:rPr>
          <w:rFonts w:asciiTheme="majorBidi" w:hAnsiTheme="majorBidi" w:cstheme="majorBidi"/>
          <w:color w:val="000000" w:themeColor="text1"/>
          <w:lang w:val="fr-FR"/>
        </w:rPr>
        <w:t>au niveau de signification de 0,05.</w:t>
      </w:r>
    </w:p>
    <w:p w:rsidR="00982387" w:rsidRDefault="00982387" w:rsidP="00982387">
      <w:pPr>
        <w:spacing w:after="240" w:line="360" w:lineRule="auto"/>
        <w:jc w:val="both"/>
        <w:rPr>
          <w:rFonts w:asciiTheme="majorBidi" w:hAnsiTheme="majorBidi" w:cstheme="majorBidi"/>
          <w:color w:val="000000" w:themeColor="text1"/>
          <w:lang w:val="fr-FR"/>
        </w:rPr>
      </w:pPr>
    </w:p>
    <w:p w:rsidR="005353F3" w:rsidRPr="00ED2535" w:rsidRDefault="005353F3" w:rsidP="004D32AC">
      <w:pPr>
        <w:pStyle w:val="Paragraphedeliste"/>
        <w:numPr>
          <w:ilvl w:val="2"/>
          <w:numId w:val="195"/>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lastRenderedPageBreak/>
        <w:t>Coefficient de corrélation R2 (R-square)</w:t>
      </w:r>
      <w:r w:rsidR="00D657FC">
        <w:rPr>
          <w:rFonts w:asciiTheme="majorBidi" w:hAnsiTheme="majorBidi" w:cstheme="majorBidi"/>
          <w:b/>
          <w:bCs/>
          <w:color w:val="000000" w:themeColor="text1"/>
          <w:lang w:val="fr-FR"/>
        </w:rPr>
        <w:t xml:space="preserve"> </w:t>
      </w:r>
      <w:r w:rsidR="00D657FC" w:rsidRPr="00716234">
        <w:rPr>
          <w:rFonts w:asciiTheme="majorBidi" w:hAnsiTheme="majorBidi" w:cstheme="majorBidi"/>
          <w:b/>
          <w:bCs/>
          <w:color w:val="000000" w:themeColor="text1"/>
          <w:lang w:val="fr-FR"/>
        </w:rPr>
        <w:t>de l</w:t>
      </w:r>
      <w:r w:rsidR="00D657FC">
        <w:rPr>
          <w:rFonts w:asciiTheme="majorBidi" w:hAnsiTheme="majorBidi" w:cstheme="majorBidi"/>
          <w:b/>
          <w:bCs/>
          <w:color w:val="000000" w:themeColor="text1"/>
          <w:lang w:val="fr-FR"/>
        </w:rPr>
        <w:t>’</w:t>
      </w:r>
      <w:r w:rsidR="00D657FC" w:rsidRPr="00716234">
        <w:rPr>
          <w:rFonts w:asciiTheme="majorBidi" w:hAnsiTheme="majorBidi" w:cstheme="majorBidi"/>
          <w:b/>
          <w:bCs/>
          <w:color w:val="000000" w:themeColor="text1"/>
          <w:lang w:val="fr-FR"/>
        </w:rPr>
        <w:t>hypothèse H</w:t>
      </w:r>
      <w:r w:rsidR="00D657FC">
        <w:rPr>
          <w:rFonts w:asciiTheme="majorBidi" w:hAnsiTheme="majorBidi" w:cstheme="majorBidi"/>
          <w:b/>
          <w:bCs/>
          <w:color w:val="000000" w:themeColor="text1"/>
          <w:lang w:val="fr-FR"/>
        </w:rPr>
        <w:t>2</w:t>
      </w:r>
      <w:r w:rsidRPr="00ED2535">
        <w:rPr>
          <w:rFonts w:asciiTheme="majorBidi" w:hAnsiTheme="majorBidi" w:cstheme="majorBidi"/>
          <w:b/>
          <w:bCs/>
          <w:color w:val="000000" w:themeColor="text1"/>
          <w:lang w:val="fr-FR"/>
        </w:rPr>
        <w:t xml:space="preserve"> :</w:t>
      </w:r>
    </w:p>
    <w:p w:rsidR="005353F3" w:rsidRPr="0071110F"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N°51</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Coefficients de corrélation</w:t>
      </w:r>
      <w:r w:rsidR="00D657FC">
        <w:rPr>
          <w:rFonts w:asciiTheme="majorBidi" w:hAnsiTheme="majorBidi" w:cstheme="majorBidi"/>
          <w:color w:val="000000" w:themeColor="text1"/>
          <w:lang w:val="fr-FR"/>
        </w:rPr>
        <w:t xml:space="preserve"> de l’hypothèse H2</w:t>
      </w:r>
    </w:p>
    <w:tbl>
      <w:tblPr>
        <w:tblStyle w:val="Grilledutableau"/>
        <w:tblW w:w="9067" w:type="dxa"/>
        <w:tblLayout w:type="fixed"/>
        <w:tblLook w:val="0000" w:firstRow="0" w:lastRow="0" w:firstColumn="0" w:lastColumn="0" w:noHBand="0" w:noVBand="0"/>
      </w:tblPr>
      <w:tblGrid>
        <w:gridCol w:w="1129"/>
        <w:gridCol w:w="1032"/>
        <w:gridCol w:w="1186"/>
        <w:gridCol w:w="1692"/>
        <w:gridCol w:w="4028"/>
      </w:tblGrid>
      <w:tr w:rsidR="005353F3" w:rsidRPr="008764AA" w:rsidTr="00EC661E">
        <w:tc>
          <w:tcPr>
            <w:tcW w:w="1129" w:type="dxa"/>
            <w:shd w:val="clear" w:color="auto" w:fill="D8DCD1"/>
          </w:tcPr>
          <w:p w:rsidR="005353F3" w:rsidRPr="008764AA" w:rsidRDefault="005353F3" w:rsidP="00E6084A">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3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4028"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c>
          <w:tcPr>
            <w:tcW w:w="112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3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0.634</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0.402</w:t>
            </w:r>
          </w:p>
        </w:tc>
        <w:tc>
          <w:tcPr>
            <w:tcW w:w="169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0.398</w:t>
            </w:r>
          </w:p>
        </w:tc>
        <w:tc>
          <w:tcPr>
            <w:tcW w:w="4028"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0.78736</w:t>
            </w: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Selon les résultats présentés dans le tableau, le coefficient de détermination R²</w:t>
      </w:r>
      <w:r w:rsidRPr="00226CE1">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0,402</w:t>
      </w:r>
      <w:r w:rsidRPr="00140F9D">
        <w:rPr>
          <w:rFonts w:asciiTheme="majorBidi" w:hAnsiTheme="majorBidi" w:cstheme="majorBidi"/>
          <w:color w:val="000000" w:themeColor="text1"/>
        </w:rPr>
        <w:t xml:space="preserve">. Cela montre </w:t>
      </w:r>
      <w:r w:rsidRPr="008764AA">
        <w:rPr>
          <w:rFonts w:asciiTheme="majorBidi" w:hAnsiTheme="majorBidi" w:cstheme="majorBidi"/>
          <w:color w:val="000000" w:themeColor="text1"/>
          <w:lang w:val="fr-FR"/>
        </w:rPr>
        <w:t>que la digitalisation des processus RH</w:t>
      </w:r>
      <w:r>
        <w:rPr>
          <w:rFonts w:asciiTheme="majorBidi" w:hAnsiTheme="majorBidi" w:cstheme="majorBidi"/>
          <w:color w:val="000000" w:themeColor="text1"/>
          <w:lang w:val="fr-FR"/>
        </w:rPr>
        <w:t xml:space="preserve"> </w:t>
      </w:r>
      <w:r w:rsidRPr="00140F9D">
        <w:rPr>
          <w:rFonts w:asciiTheme="majorBidi" w:hAnsiTheme="majorBidi" w:cstheme="majorBidi"/>
          <w:color w:val="000000" w:themeColor="text1"/>
        </w:rPr>
        <w:t xml:space="preserve">influence </w:t>
      </w:r>
      <w:r w:rsidRPr="008764AA">
        <w:rPr>
          <w:rFonts w:asciiTheme="majorBidi" w:hAnsiTheme="majorBidi" w:cstheme="majorBidi"/>
          <w:color w:val="000000" w:themeColor="text1"/>
          <w:lang w:val="fr-FR"/>
        </w:rPr>
        <w:t>le processus de formation digitalisée</w:t>
      </w:r>
      <w:r w:rsidRPr="00140F9D">
        <w:rPr>
          <w:rFonts w:asciiTheme="majorBidi" w:hAnsiTheme="majorBidi" w:cstheme="majorBidi"/>
          <w:color w:val="000000" w:themeColor="text1"/>
        </w:rPr>
        <w:t>. Par ailleurs, le coefficient de corrélation R</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 xml:space="preserve"> </w:t>
      </w: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634</w:t>
      </w:r>
      <w:r>
        <w:rPr>
          <w:rFonts w:asciiTheme="majorBidi" w:hAnsiTheme="majorBidi" w:cstheme="majorBidi"/>
          <w:color w:val="000000" w:themeColor="text1"/>
          <w:vertAlign w:val="superscript"/>
          <w:lang w:val="fr-FR"/>
        </w:rPr>
        <w:t xml:space="preserve"> </w:t>
      </w:r>
      <w:r w:rsidRPr="00140F9D">
        <w:rPr>
          <w:rFonts w:asciiTheme="majorBidi" w:hAnsiTheme="majorBidi" w:cstheme="majorBidi"/>
          <w:color w:val="000000" w:themeColor="text1"/>
        </w:rPr>
        <w:t xml:space="preserve">, indique </w:t>
      </w:r>
      <w:r w:rsidRPr="008764AA">
        <w:rPr>
          <w:rFonts w:asciiTheme="majorBidi" w:hAnsiTheme="majorBidi" w:cstheme="majorBidi"/>
          <w:b/>
          <w:bCs/>
          <w:color w:val="000000" w:themeColor="text1"/>
          <w:lang w:val="fr-FR"/>
        </w:rPr>
        <w:t>une forte relation</w:t>
      </w:r>
      <w:r>
        <w:rPr>
          <w:rFonts w:asciiTheme="majorBidi" w:hAnsiTheme="majorBidi" w:cstheme="majorBidi"/>
          <w:b/>
          <w:bCs/>
          <w:color w:val="000000" w:themeColor="text1"/>
          <w:lang w:val="fr-FR"/>
        </w:rPr>
        <w:t xml:space="preserve"> directe</w:t>
      </w:r>
      <w:r w:rsidRPr="008764AA">
        <w:rPr>
          <w:rFonts w:asciiTheme="majorBidi" w:hAnsiTheme="majorBidi" w:cstheme="majorBidi"/>
          <w:color w:val="000000" w:themeColor="text1"/>
          <w:lang w:val="fr-FR"/>
        </w:rPr>
        <w:t xml:space="preserve"> </w:t>
      </w:r>
      <w:r w:rsidRPr="00140F9D">
        <w:rPr>
          <w:rFonts w:asciiTheme="majorBidi" w:hAnsiTheme="majorBidi" w:cstheme="majorBidi"/>
          <w:color w:val="000000" w:themeColor="text1"/>
        </w:rPr>
        <w:t xml:space="preserve">entre </w:t>
      </w:r>
      <w:r w:rsidRPr="008764AA">
        <w:rPr>
          <w:rFonts w:asciiTheme="majorBidi" w:hAnsiTheme="majorBidi" w:cstheme="majorBidi"/>
          <w:color w:val="000000" w:themeColor="text1"/>
          <w:lang w:val="fr-FR"/>
        </w:rPr>
        <w:t xml:space="preserve">la digitalisation des processus RH </w:t>
      </w:r>
      <w:r>
        <w:rPr>
          <w:rFonts w:asciiTheme="majorBidi" w:hAnsiTheme="majorBidi" w:cstheme="majorBidi"/>
          <w:color w:val="000000" w:themeColor="text1"/>
          <w:lang w:val="fr-FR"/>
        </w:rPr>
        <w:t>et</w:t>
      </w:r>
      <w:r w:rsidRPr="008764AA">
        <w:rPr>
          <w:rFonts w:asciiTheme="majorBidi" w:hAnsiTheme="majorBidi" w:cstheme="majorBidi"/>
          <w:color w:val="000000" w:themeColor="text1"/>
          <w:lang w:val="fr-FR"/>
        </w:rPr>
        <w:t xml:space="preserve"> le processus de formation digitalisée</w:t>
      </w:r>
      <w:r w:rsidRPr="00140F9D">
        <w:rPr>
          <w:rFonts w:asciiTheme="majorBidi" w:hAnsiTheme="majorBidi" w:cstheme="majorBidi"/>
          <w:color w:val="000000" w:themeColor="text1"/>
        </w:rPr>
        <w:t xml:space="preserve">, avec un taux de corrélation de </w:t>
      </w:r>
      <w:r w:rsidRPr="008764AA">
        <w:rPr>
          <w:rFonts w:asciiTheme="majorBidi" w:hAnsiTheme="majorBidi" w:cstheme="majorBidi"/>
          <w:color w:val="000000" w:themeColor="text1"/>
          <w:lang w:val="fr-FR"/>
        </w:rPr>
        <w:t>63,4%.</w:t>
      </w:r>
    </w:p>
    <w:p w:rsidR="005353F3" w:rsidRPr="00ED2535" w:rsidRDefault="005353F3" w:rsidP="004D32AC">
      <w:pPr>
        <w:pStyle w:val="Paragraphedeliste"/>
        <w:numPr>
          <w:ilvl w:val="2"/>
          <w:numId w:val="195"/>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t xml:space="preserve">Analyse de la variance ANOVA </w:t>
      </w:r>
      <w:r w:rsidR="00D657FC" w:rsidRPr="00716234">
        <w:rPr>
          <w:rFonts w:asciiTheme="majorBidi" w:hAnsiTheme="majorBidi" w:cstheme="majorBidi"/>
          <w:b/>
          <w:bCs/>
          <w:color w:val="000000" w:themeColor="text1"/>
          <w:lang w:val="fr-FR"/>
        </w:rPr>
        <w:t>de l</w:t>
      </w:r>
      <w:r w:rsidR="00D657FC">
        <w:rPr>
          <w:rFonts w:asciiTheme="majorBidi" w:hAnsiTheme="majorBidi" w:cstheme="majorBidi"/>
          <w:b/>
          <w:bCs/>
          <w:color w:val="000000" w:themeColor="text1"/>
          <w:lang w:val="fr-FR"/>
        </w:rPr>
        <w:t>’</w:t>
      </w:r>
      <w:r w:rsidR="00D657FC" w:rsidRPr="00716234">
        <w:rPr>
          <w:rFonts w:asciiTheme="majorBidi" w:hAnsiTheme="majorBidi" w:cstheme="majorBidi"/>
          <w:b/>
          <w:bCs/>
          <w:color w:val="000000" w:themeColor="text1"/>
          <w:lang w:val="fr-FR"/>
        </w:rPr>
        <w:t>hypothèse H</w:t>
      </w:r>
      <w:r w:rsidR="00D657FC">
        <w:rPr>
          <w:rFonts w:asciiTheme="majorBidi" w:hAnsiTheme="majorBidi" w:cstheme="majorBidi"/>
          <w:b/>
          <w:bCs/>
          <w:color w:val="000000" w:themeColor="text1"/>
          <w:lang w:val="fr-FR"/>
        </w:rPr>
        <w:t xml:space="preserve">2 </w:t>
      </w:r>
      <w:r w:rsidRPr="00ED2535">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N°52</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La variance ANOVA</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l’hypothèse H2</w:t>
      </w:r>
    </w:p>
    <w:tbl>
      <w:tblPr>
        <w:tblStyle w:val="Grilledutableau"/>
        <w:tblW w:w="8998" w:type="dxa"/>
        <w:tblInd w:w="-5" w:type="dxa"/>
        <w:tblLayout w:type="fixed"/>
        <w:tblLook w:val="0000" w:firstRow="0" w:lastRow="0" w:firstColumn="0" w:lastColumn="0" w:noHBand="0" w:noVBand="0"/>
      </w:tblPr>
      <w:tblGrid>
        <w:gridCol w:w="853"/>
        <w:gridCol w:w="1699"/>
        <w:gridCol w:w="1559"/>
        <w:gridCol w:w="980"/>
        <w:gridCol w:w="1535"/>
        <w:gridCol w:w="1312"/>
        <w:gridCol w:w="1060"/>
      </w:tblGrid>
      <w:tr w:rsidR="005353F3" w:rsidRPr="008764AA" w:rsidTr="00EC661E">
        <w:tc>
          <w:tcPr>
            <w:tcW w:w="255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559"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98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31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06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69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69.985</w:t>
            </w:r>
          </w:p>
        </w:tc>
        <w:tc>
          <w:tcPr>
            <w:tcW w:w="98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69.985</w:t>
            </w:r>
          </w:p>
        </w:tc>
        <w:tc>
          <w:tcPr>
            <w:tcW w:w="131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112.890</w:t>
            </w:r>
          </w:p>
        </w:tc>
        <w:tc>
          <w:tcPr>
            <w:tcW w:w="10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69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Résidus</w:t>
            </w:r>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104.150</w:t>
            </w:r>
          </w:p>
        </w:tc>
        <w:tc>
          <w:tcPr>
            <w:tcW w:w="98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0.620</w:t>
            </w:r>
          </w:p>
        </w:tc>
        <w:tc>
          <w:tcPr>
            <w:tcW w:w="131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060"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69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174.135</w:t>
            </w:r>
          </w:p>
        </w:tc>
        <w:tc>
          <w:tcPr>
            <w:tcW w:w="98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1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060"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 xml:space="preserve">Le tableau ci-dessus montre que </w:t>
      </w:r>
      <w:r w:rsidRPr="008764AA">
        <w:rPr>
          <w:rFonts w:asciiTheme="majorBidi" w:hAnsiTheme="majorBidi" w:cstheme="majorBidi"/>
          <w:color w:val="000000" w:themeColor="text1"/>
          <w:lang w:val="fr-FR"/>
        </w:rPr>
        <w:t>la significativité est égale à 0,000 était inférieure à 0,05, Cela</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relation positive statistiquement significative entre la digitalisation des processus RH et le processus de formation digitalisée.</w:t>
      </w:r>
    </w:p>
    <w:p w:rsidR="005353F3" w:rsidRPr="00ED2535" w:rsidRDefault="005353F3" w:rsidP="004D32AC">
      <w:pPr>
        <w:pStyle w:val="Paragraphedeliste"/>
        <w:numPr>
          <w:ilvl w:val="2"/>
          <w:numId w:val="195"/>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t>Coefficients de régression</w:t>
      </w:r>
      <w:r w:rsidR="00D657FC">
        <w:rPr>
          <w:rFonts w:asciiTheme="majorBidi" w:hAnsiTheme="majorBidi" w:cstheme="majorBidi"/>
          <w:b/>
          <w:bCs/>
          <w:color w:val="000000" w:themeColor="text1"/>
          <w:lang w:val="fr-FR"/>
        </w:rPr>
        <w:t xml:space="preserve"> </w:t>
      </w:r>
      <w:r w:rsidR="00D657FC" w:rsidRPr="00716234">
        <w:rPr>
          <w:rFonts w:asciiTheme="majorBidi" w:hAnsiTheme="majorBidi" w:cstheme="majorBidi"/>
          <w:b/>
          <w:bCs/>
          <w:color w:val="000000" w:themeColor="text1"/>
          <w:lang w:val="fr-FR"/>
        </w:rPr>
        <w:t>de l</w:t>
      </w:r>
      <w:r w:rsidR="00D657FC">
        <w:rPr>
          <w:rFonts w:asciiTheme="majorBidi" w:hAnsiTheme="majorBidi" w:cstheme="majorBidi"/>
          <w:b/>
          <w:bCs/>
          <w:color w:val="000000" w:themeColor="text1"/>
          <w:lang w:val="fr-FR"/>
        </w:rPr>
        <w:t>’</w:t>
      </w:r>
      <w:r w:rsidR="00D657FC" w:rsidRPr="00716234">
        <w:rPr>
          <w:rFonts w:asciiTheme="majorBidi" w:hAnsiTheme="majorBidi" w:cstheme="majorBidi"/>
          <w:b/>
          <w:bCs/>
          <w:color w:val="000000" w:themeColor="text1"/>
          <w:lang w:val="fr-FR"/>
        </w:rPr>
        <w:t>hypothèse H</w:t>
      </w:r>
      <w:r w:rsidR="00D657FC">
        <w:rPr>
          <w:rFonts w:asciiTheme="majorBidi" w:hAnsiTheme="majorBidi" w:cstheme="majorBidi"/>
          <w:b/>
          <w:bCs/>
          <w:color w:val="000000" w:themeColor="text1"/>
          <w:lang w:val="fr-FR"/>
        </w:rPr>
        <w:t xml:space="preserve">2 </w:t>
      </w:r>
      <w:r w:rsidRPr="00ED2535">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N°53</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Coefficients de régression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l’hypothèse H2</w:t>
      </w:r>
    </w:p>
    <w:tbl>
      <w:tblPr>
        <w:tblStyle w:val="Grilledutableau"/>
        <w:tblW w:w="9362" w:type="dxa"/>
        <w:tblLayout w:type="fixed"/>
        <w:tblLook w:val="0000" w:firstRow="0" w:lastRow="0" w:firstColumn="0" w:lastColumn="0" w:noHBand="0" w:noVBand="0"/>
      </w:tblPr>
      <w:tblGrid>
        <w:gridCol w:w="833"/>
        <w:gridCol w:w="1339"/>
        <w:gridCol w:w="1560"/>
        <w:gridCol w:w="1662"/>
        <w:gridCol w:w="1662"/>
        <w:gridCol w:w="1153"/>
        <w:gridCol w:w="1153"/>
      </w:tblGrid>
      <w:tr w:rsidR="005353F3" w:rsidRPr="008764AA" w:rsidTr="00EC661E">
        <w:tc>
          <w:tcPr>
            <w:tcW w:w="2172" w:type="dxa"/>
            <w:gridSpan w:val="2"/>
            <w:shd w:val="clear" w:color="auto" w:fill="D8DCD1"/>
          </w:tcPr>
          <w:p w:rsidR="005353F3" w:rsidRPr="008764AA" w:rsidRDefault="005353F3" w:rsidP="00EC661E">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322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339"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r>
      <w:tr w:rsidR="005353F3" w:rsidRPr="008764AA" w:rsidTr="00E6084A">
        <w:tc>
          <w:tcPr>
            <w:tcW w:w="833" w:type="dxa"/>
            <w:vMerge/>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339" w:type="dxa"/>
            <w:vMerge/>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-0.527</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0.422</w:t>
            </w:r>
          </w:p>
        </w:tc>
        <w:tc>
          <w:tcPr>
            <w:tcW w:w="166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-1.247</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.214</w:t>
            </w:r>
          </w:p>
        </w:tc>
      </w:tr>
      <w:tr w:rsidR="005353F3" w:rsidRPr="008764AA" w:rsidTr="00E6084A">
        <w:tc>
          <w:tcPr>
            <w:tcW w:w="83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3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digit</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1.123</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0.106</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0.634</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10.625</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lastRenderedPageBreak/>
        <w:t xml:space="preserve">Les résultats du tableau précédent indiquent que </w:t>
      </w:r>
      <w:r w:rsidRPr="008764AA">
        <w:rPr>
          <w:rFonts w:asciiTheme="majorBidi" w:hAnsiTheme="majorBidi" w:cstheme="majorBidi"/>
          <w:color w:val="000000" w:themeColor="text1"/>
          <w:lang w:val="fr-FR"/>
        </w:rPr>
        <w:t>la relation entre la digitalisation des processus RH et le processus de formation digitalisée,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Y = 1,123 X</w:t>
      </w:r>
      <w:r w:rsidRPr="008764AA">
        <w:rPr>
          <w:rFonts w:asciiTheme="majorBidi" w:hAnsiTheme="majorBidi" w:cstheme="majorBidi"/>
          <w:color w:val="000000" w:themeColor="text1"/>
          <w:vertAlign w:val="subscript"/>
          <w:lang w:val="fr-FR"/>
        </w:rPr>
        <w:t>5</w:t>
      </w:r>
      <w:r w:rsidRPr="008764AA">
        <w:rPr>
          <w:rFonts w:asciiTheme="majorBidi" w:hAnsiTheme="majorBidi" w:cstheme="majorBidi"/>
          <w:color w:val="000000" w:themeColor="text1"/>
          <w:lang w:val="fr-FR"/>
        </w:rPr>
        <w:t xml:space="preserve"> – 0,527</w:t>
      </w:r>
    </w:p>
    <w:p w:rsidR="005353F3"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Où Y représente la variable dépendante (le processus de formation digitalisée,)</w:t>
      </w:r>
      <w:r>
        <w:rPr>
          <w:rFonts w:asciiTheme="majorBidi" w:hAnsiTheme="majorBidi" w:cstheme="majorBidi"/>
          <w:color w:val="000000" w:themeColor="text1"/>
          <w:lang w:val="fr-FR"/>
        </w:rPr>
        <w:t xml:space="preserve"> et </w:t>
      </w:r>
      <w:r w:rsidRPr="008764AA">
        <w:rPr>
          <w:rFonts w:asciiTheme="majorBidi" w:hAnsiTheme="majorBidi" w:cstheme="majorBidi"/>
          <w:color w:val="000000" w:themeColor="text1"/>
          <w:lang w:val="fr-FR"/>
        </w:rPr>
        <w:t>X</w:t>
      </w:r>
      <w:r w:rsidRPr="008764AA">
        <w:rPr>
          <w:rFonts w:asciiTheme="majorBidi" w:hAnsiTheme="majorBidi" w:cstheme="majorBidi"/>
          <w:color w:val="000000" w:themeColor="text1"/>
          <w:vertAlign w:val="subscript"/>
          <w:lang w:val="fr-FR"/>
        </w:rPr>
        <w:t>5</w:t>
      </w:r>
      <w:r w:rsidRPr="008764AA">
        <w:rPr>
          <w:rFonts w:asciiTheme="majorBidi" w:hAnsiTheme="majorBidi" w:cstheme="majorBidi"/>
          <w:color w:val="000000" w:themeColor="text1"/>
          <w:lang w:val="fr-FR"/>
        </w:rPr>
        <w:t xml:space="preserve"> </w:t>
      </w:r>
      <w:r>
        <w:rPr>
          <w:rFonts w:asciiTheme="majorBidi" w:hAnsiTheme="majorBidi" w:cstheme="majorBidi"/>
          <w:color w:val="000000" w:themeColor="text1"/>
          <w:lang w:val="fr-FR"/>
        </w:rPr>
        <w:t>désigne</w:t>
      </w:r>
      <w:r w:rsidRPr="008764AA">
        <w:rPr>
          <w:rFonts w:asciiTheme="majorBidi" w:hAnsiTheme="majorBidi" w:cstheme="majorBidi"/>
          <w:color w:val="000000" w:themeColor="text1"/>
          <w:lang w:val="fr-FR"/>
        </w:rPr>
        <w:t xml:space="preserve"> la variable indépendante (digitalisation des processus RH) et le nombre 1,123 est la valeur de β5 de la pente de l’équation de régression.</w:t>
      </w:r>
    </w:p>
    <w:p w:rsidR="005353F3" w:rsidRPr="004D4075" w:rsidRDefault="004D4075" w:rsidP="004D32AC">
      <w:pPr>
        <w:pStyle w:val="Titre3"/>
        <w:numPr>
          <w:ilvl w:val="1"/>
          <w:numId w:val="194"/>
        </w:numPr>
        <w:spacing w:after="0" w:afterAutospacing="0" w:line="360" w:lineRule="auto"/>
        <w:rPr>
          <w:sz w:val="24"/>
          <w:szCs w:val="24"/>
          <w:lang w:val="fr-FR"/>
        </w:rPr>
      </w:pPr>
      <w:r>
        <w:rPr>
          <w:sz w:val="24"/>
          <w:szCs w:val="24"/>
          <w:lang w:val="fr-FR"/>
        </w:rPr>
        <w:t xml:space="preserve"> </w:t>
      </w:r>
      <w:bookmarkStart w:id="2382" w:name="_Toc199714588"/>
      <w:bookmarkStart w:id="2383" w:name="_Toc200486864"/>
      <w:bookmarkStart w:id="2384" w:name="_Toc200635642"/>
      <w:bookmarkStart w:id="2385" w:name="_Toc200636030"/>
      <w:bookmarkStart w:id="2386" w:name="_Toc200636419"/>
      <w:bookmarkStart w:id="2387" w:name="_Toc200756160"/>
      <w:r w:rsidR="005353F3" w:rsidRPr="004D4075">
        <w:rPr>
          <w:sz w:val="24"/>
          <w:szCs w:val="24"/>
          <w:lang w:val="fr-FR"/>
        </w:rPr>
        <w:t>Test de la première sous-hypothèse :</w:t>
      </w:r>
      <w:bookmarkEnd w:id="2382"/>
      <w:bookmarkEnd w:id="2383"/>
      <w:bookmarkEnd w:id="2384"/>
      <w:bookmarkEnd w:id="2385"/>
      <w:bookmarkEnd w:id="2386"/>
      <w:bookmarkEnd w:id="2387"/>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H</w:t>
      </w:r>
      <w:r>
        <w:rPr>
          <w:rFonts w:asciiTheme="majorBidi" w:hAnsiTheme="majorBidi" w:cstheme="majorBidi"/>
          <w:color w:val="000000" w:themeColor="text1"/>
          <w:lang w:val="fr-FR"/>
        </w:rPr>
        <w:t>2.1</w:t>
      </w:r>
      <w:r w:rsidRPr="008764AA">
        <w:rPr>
          <w:rFonts w:asciiTheme="majorBidi" w:hAnsiTheme="majorBidi" w:cstheme="majorBidi"/>
          <w:color w:val="000000" w:themeColor="text1"/>
          <w:lang w:val="fr-FR"/>
        </w:rPr>
        <w:t> : L’automatisation a un impact positif significatif sur le processus de formation digitalisée au niveau de signification de 0,05</w:t>
      </w:r>
      <w:r>
        <w:rPr>
          <w:rFonts w:asciiTheme="majorBidi" w:hAnsiTheme="majorBidi" w:cstheme="majorBidi"/>
          <w:color w:val="000000" w:themeColor="text1"/>
          <w:lang w:val="fr-FR"/>
        </w:rPr>
        <w:t>.</w:t>
      </w:r>
    </w:p>
    <w:p w:rsidR="005353F3" w:rsidRPr="00ED2535" w:rsidRDefault="005353F3" w:rsidP="004D32AC">
      <w:pPr>
        <w:pStyle w:val="Paragraphedeliste"/>
        <w:numPr>
          <w:ilvl w:val="2"/>
          <w:numId w:val="163"/>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t>Coefficient de corrélation R</w:t>
      </w:r>
      <w:r w:rsidRPr="00ED2535">
        <w:rPr>
          <w:rFonts w:asciiTheme="majorBidi" w:hAnsiTheme="majorBidi" w:cstheme="majorBidi"/>
          <w:b/>
          <w:bCs/>
          <w:color w:val="000000" w:themeColor="text1"/>
          <w:vertAlign w:val="superscript"/>
          <w:lang w:val="fr-FR"/>
        </w:rPr>
        <w:t>2</w:t>
      </w:r>
      <w:r w:rsidRPr="00ED2535">
        <w:rPr>
          <w:rFonts w:asciiTheme="majorBidi" w:hAnsiTheme="majorBidi" w:cstheme="majorBidi"/>
          <w:b/>
          <w:bCs/>
          <w:color w:val="000000" w:themeColor="text1"/>
          <w:lang w:val="fr-FR"/>
        </w:rPr>
        <w:t xml:space="preserve"> (R-square)</w:t>
      </w:r>
      <w:r w:rsidR="00D657FC">
        <w:rPr>
          <w:rFonts w:asciiTheme="majorBidi" w:hAnsiTheme="majorBidi" w:cstheme="majorBidi"/>
          <w:b/>
          <w:bCs/>
          <w:color w:val="000000" w:themeColor="text1"/>
          <w:lang w:val="fr-FR"/>
        </w:rPr>
        <w:t xml:space="preserve"> 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H2.1 </w:t>
      </w:r>
      <w:r w:rsidRPr="00ED2535">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N°54 </w:t>
      </w:r>
      <w:r w:rsidRPr="008764AA">
        <w:rPr>
          <w:rFonts w:asciiTheme="majorBidi" w:hAnsiTheme="majorBidi" w:cstheme="majorBidi"/>
          <w:b/>
          <w:bCs/>
          <w:color w:val="000000" w:themeColor="text1"/>
          <w:lang w:val="fr-FR"/>
        </w:rPr>
        <w:t xml:space="preserve">: </w:t>
      </w:r>
      <w:r w:rsidRPr="0071110F">
        <w:rPr>
          <w:rFonts w:asciiTheme="majorBidi" w:hAnsiTheme="majorBidi" w:cstheme="majorBidi"/>
          <w:color w:val="000000" w:themeColor="text1"/>
          <w:lang w:val="fr-FR"/>
        </w:rPr>
        <w:t>Coefficients de corrélation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H2.1</w:t>
      </w:r>
    </w:p>
    <w:tbl>
      <w:tblPr>
        <w:tblStyle w:val="Grilledutableau"/>
        <w:tblW w:w="8359" w:type="dxa"/>
        <w:jc w:val="center"/>
        <w:tblLayout w:type="fixed"/>
        <w:tblLook w:val="0000" w:firstRow="0" w:lastRow="0" w:firstColumn="0" w:lastColumn="0" w:noHBand="0" w:noVBand="0"/>
      </w:tblPr>
      <w:tblGrid>
        <w:gridCol w:w="1134"/>
        <w:gridCol w:w="1027"/>
        <w:gridCol w:w="1186"/>
        <w:gridCol w:w="1692"/>
        <w:gridCol w:w="3320"/>
      </w:tblGrid>
      <w:tr w:rsidR="005353F3" w:rsidRPr="008764AA" w:rsidTr="00EC661E">
        <w:trPr>
          <w:jc w:val="center"/>
        </w:trPr>
        <w:tc>
          <w:tcPr>
            <w:tcW w:w="1134" w:type="dxa"/>
            <w:shd w:val="clear" w:color="auto" w:fill="D8DCD1"/>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27" w:type="dxa"/>
            <w:shd w:val="clear" w:color="auto" w:fill="D8DCD1"/>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tcPr>
          <w:p w:rsidR="005353F3" w:rsidRPr="008764AA" w:rsidRDefault="005353F3" w:rsidP="00E6084A">
            <w:pPr>
              <w:spacing w:line="360" w:lineRule="auto"/>
              <w:ind w:left="60" w:right="60"/>
              <w:jc w:val="center"/>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shd w:val="clear" w:color="auto" w:fill="D8DCD1"/>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3320" w:type="dxa"/>
            <w:shd w:val="clear" w:color="auto" w:fill="D8DCD1"/>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C661E">
        <w:trPr>
          <w:jc w:val="center"/>
        </w:trPr>
        <w:tc>
          <w:tcPr>
            <w:tcW w:w="1134" w:type="dxa"/>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27" w:type="dxa"/>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0.041</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0.002</w:t>
            </w:r>
          </w:p>
        </w:tc>
        <w:tc>
          <w:tcPr>
            <w:tcW w:w="1692" w:type="dxa"/>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-0.004</w:t>
            </w:r>
          </w:p>
        </w:tc>
        <w:tc>
          <w:tcPr>
            <w:tcW w:w="3320" w:type="dxa"/>
          </w:tcPr>
          <w:p w:rsidR="005353F3" w:rsidRPr="008764AA" w:rsidRDefault="005353F3" w:rsidP="00E6084A">
            <w:pPr>
              <w:spacing w:line="360" w:lineRule="auto"/>
              <w:ind w:left="60" w:right="60"/>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1.01724</w:t>
            </w: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D'après les résultats du tableau, nous constatons que le coefficient de détermination 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=0,002</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Cela indique que l’automatisation n’affecte pas le processus de formation digitalisée.</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Le coefficient de corrélation R=0,041 qu'il inacceptable.</w:t>
      </w:r>
    </w:p>
    <w:p w:rsidR="005353F3" w:rsidRPr="00ED2535" w:rsidRDefault="005353F3" w:rsidP="004D32AC">
      <w:pPr>
        <w:pStyle w:val="Paragraphedeliste"/>
        <w:numPr>
          <w:ilvl w:val="2"/>
          <w:numId w:val="163"/>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t xml:space="preserve">Analyse de la variance ANOVA </w:t>
      </w:r>
      <w:r w:rsidR="00D657FC">
        <w:rPr>
          <w:rFonts w:asciiTheme="majorBidi" w:hAnsiTheme="majorBidi" w:cstheme="majorBidi"/>
          <w:b/>
          <w:bCs/>
          <w:color w:val="000000" w:themeColor="text1"/>
          <w:lang w:val="fr-FR"/>
        </w:rPr>
        <w:t xml:space="preserve">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H2.1 </w:t>
      </w:r>
      <w:r w:rsidRPr="00ED2535">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N°55</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La variance ANOVA</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H2.1</w:t>
      </w:r>
    </w:p>
    <w:tbl>
      <w:tblPr>
        <w:tblStyle w:val="Grilledutableau"/>
        <w:tblW w:w="8998" w:type="dxa"/>
        <w:tblLayout w:type="fixed"/>
        <w:tblLook w:val="0000" w:firstRow="0" w:lastRow="0" w:firstColumn="0" w:lastColumn="0" w:noHBand="0" w:noVBand="0"/>
      </w:tblPr>
      <w:tblGrid>
        <w:gridCol w:w="853"/>
        <w:gridCol w:w="1552"/>
        <w:gridCol w:w="1500"/>
        <w:gridCol w:w="1186"/>
        <w:gridCol w:w="1535"/>
        <w:gridCol w:w="1186"/>
        <w:gridCol w:w="1186"/>
      </w:tblGrid>
      <w:tr w:rsidR="005353F3" w:rsidRPr="008764AA" w:rsidTr="00EC661E">
        <w:tc>
          <w:tcPr>
            <w:tcW w:w="2405"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50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0.294</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0.294</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0.284</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.595</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Résidus</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173.841</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1.035</w:t>
            </w: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174.135</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établi par nous même à l'aide de SPSS21</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On note dans le tableau ci-dessus la significativité est égale à 0,595 était supérieure à 0,05.</w:t>
      </w:r>
    </w:p>
    <w:p w:rsidR="005353F3"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Nous rejetons l'hypothèse qui dit il existe une relation positive statistiquement significative entre l’automatisation et le processus de formation digitalisée.</w:t>
      </w:r>
    </w:p>
    <w:p w:rsidR="00B30595" w:rsidRDefault="00B30595" w:rsidP="005353F3">
      <w:pPr>
        <w:spacing w:after="240" w:line="360" w:lineRule="auto"/>
        <w:jc w:val="both"/>
        <w:rPr>
          <w:rFonts w:asciiTheme="majorBidi" w:hAnsiTheme="majorBidi" w:cstheme="majorBidi"/>
          <w:color w:val="000000" w:themeColor="text1"/>
          <w:lang w:val="fr-FR"/>
        </w:rPr>
      </w:pPr>
    </w:p>
    <w:p w:rsidR="009832B3" w:rsidRPr="008764AA" w:rsidRDefault="009832B3" w:rsidP="005353F3">
      <w:pPr>
        <w:spacing w:after="240" w:line="360" w:lineRule="auto"/>
        <w:jc w:val="both"/>
        <w:rPr>
          <w:rFonts w:asciiTheme="majorBidi" w:hAnsiTheme="majorBidi" w:cstheme="majorBidi"/>
          <w:color w:val="000000" w:themeColor="text1"/>
          <w:lang w:val="fr-FR"/>
        </w:rPr>
      </w:pPr>
    </w:p>
    <w:p w:rsidR="005353F3" w:rsidRPr="00ED2535" w:rsidRDefault="005353F3" w:rsidP="004D32AC">
      <w:pPr>
        <w:pStyle w:val="Paragraphedeliste"/>
        <w:numPr>
          <w:ilvl w:val="2"/>
          <w:numId w:val="163"/>
        </w:numPr>
        <w:spacing w:line="360" w:lineRule="auto"/>
        <w:jc w:val="both"/>
        <w:rPr>
          <w:rFonts w:asciiTheme="majorBidi" w:hAnsiTheme="majorBidi" w:cstheme="majorBidi"/>
          <w:color w:val="000000" w:themeColor="text1"/>
          <w:lang w:val="fr-FR"/>
        </w:rPr>
      </w:pPr>
      <w:r w:rsidRPr="00ED2535">
        <w:rPr>
          <w:rFonts w:asciiTheme="majorBidi" w:hAnsiTheme="majorBidi" w:cstheme="majorBidi"/>
          <w:b/>
          <w:bCs/>
          <w:color w:val="000000" w:themeColor="text1"/>
          <w:lang w:val="fr-FR"/>
        </w:rPr>
        <w:lastRenderedPageBreak/>
        <w:t>Coefficients de régression</w:t>
      </w:r>
      <w:r w:rsidR="00D657FC">
        <w:rPr>
          <w:rFonts w:asciiTheme="majorBidi" w:hAnsiTheme="majorBidi" w:cstheme="majorBidi"/>
          <w:b/>
          <w:bCs/>
          <w:color w:val="000000" w:themeColor="text1"/>
          <w:lang w:val="fr-FR"/>
        </w:rPr>
        <w:t xml:space="preserve"> 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H2.1 </w:t>
      </w:r>
      <w:r w:rsidRPr="00ED2535">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 N</w:t>
      </w:r>
      <w:r>
        <w:rPr>
          <w:rFonts w:asciiTheme="majorBidi" w:hAnsiTheme="majorBidi" w:cstheme="majorBidi"/>
          <w:b/>
          <w:bCs/>
          <w:color w:val="000000" w:themeColor="text1"/>
          <w:lang w:val="fr-FR"/>
        </w:rPr>
        <w:t xml:space="preserve">°56 </w:t>
      </w:r>
      <w:r w:rsidRPr="008764AA">
        <w:rPr>
          <w:rFonts w:asciiTheme="majorBidi" w:hAnsiTheme="majorBidi" w:cstheme="majorBidi"/>
          <w:b/>
          <w:bCs/>
          <w:color w:val="000000" w:themeColor="text1"/>
          <w:lang w:val="fr-FR"/>
        </w:rPr>
        <w:t xml:space="preserve">: </w:t>
      </w:r>
      <w:r w:rsidRPr="0071110F">
        <w:rPr>
          <w:rFonts w:asciiTheme="majorBidi" w:hAnsiTheme="majorBidi" w:cstheme="majorBidi"/>
          <w:color w:val="000000" w:themeColor="text1"/>
          <w:lang w:val="fr-FR"/>
        </w:rPr>
        <w:t>Coefficients de régression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H2.1</w:t>
      </w:r>
    </w:p>
    <w:tbl>
      <w:tblPr>
        <w:tblStyle w:val="Grilledutableau"/>
        <w:tblW w:w="9362" w:type="dxa"/>
        <w:tblLayout w:type="fixed"/>
        <w:tblLook w:val="0000" w:firstRow="0" w:lastRow="0" w:firstColumn="0" w:lastColumn="0" w:noHBand="0" w:noVBand="0"/>
      </w:tblPr>
      <w:tblGrid>
        <w:gridCol w:w="833"/>
        <w:gridCol w:w="1339"/>
        <w:gridCol w:w="1560"/>
        <w:gridCol w:w="1662"/>
        <w:gridCol w:w="1662"/>
        <w:gridCol w:w="1153"/>
        <w:gridCol w:w="1153"/>
      </w:tblGrid>
      <w:tr w:rsidR="005353F3" w:rsidRPr="008764AA" w:rsidTr="00EC661E">
        <w:tc>
          <w:tcPr>
            <w:tcW w:w="2172" w:type="dxa"/>
            <w:gridSpan w:val="2"/>
            <w:shd w:val="clear" w:color="auto" w:fill="D8DCD1"/>
          </w:tcPr>
          <w:p w:rsidR="005353F3" w:rsidRPr="008764AA" w:rsidRDefault="005353F3" w:rsidP="00E6084A">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322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339"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vAlign w:val="center"/>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vAlign w:val="center"/>
          </w:tcPr>
          <w:p w:rsidR="005353F3" w:rsidRPr="008764AA" w:rsidRDefault="005353F3" w:rsidP="00E6084A">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r>
      <w:tr w:rsidR="005353F3" w:rsidRPr="008764AA" w:rsidTr="00E6084A">
        <w:tc>
          <w:tcPr>
            <w:tcW w:w="833" w:type="dxa"/>
            <w:vMerge/>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339" w:type="dxa"/>
            <w:vMerge/>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3.747</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0.322</w:t>
            </w:r>
          </w:p>
        </w:tc>
        <w:tc>
          <w:tcPr>
            <w:tcW w:w="166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11.637</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3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Auto</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0.041</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0.077</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.041</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0.533</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.595</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établi par nous même à l'aide de SPSS21</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t xml:space="preserve">Les résultats du tableau précédent indiquent que </w:t>
      </w:r>
      <w:r w:rsidRPr="008764AA">
        <w:rPr>
          <w:rFonts w:asciiTheme="majorBidi" w:hAnsiTheme="majorBidi" w:cstheme="majorBidi"/>
          <w:color w:val="000000" w:themeColor="text1"/>
          <w:lang w:val="fr-FR"/>
        </w:rPr>
        <w:t>la relation entre l’automatisation et le processus de formation digitalisée,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Y = 0,041 X</w:t>
      </w:r>
      <w:r w:rsidRPr="008764AA">
        <w:rPr>
          <w:rFonts w:asciiTheme="majorBidi" w:hAnsiTheme="majorBidi" w:cstheme="majorBidi"/>
          <w:color w:val="000000" w:themeColor="text1"/>
          <w:vertAlign w:val="subscript"/>
          <w:lang w:val="fr-FR"/>
        </w:rPr>
        <w:t>6</w:t>
      </w:r>
      <w:r w:rsidRPr="008764AA">
        <w:rPr>
          <w:rFonts w:asciiTheme="majorBidi" w:hAnsiTheme="majorBidi" w:cstheme="majorBidi"/>
          <w:color w:val="000000" w:themeColor="text1"/>
          <w:lang w:val="fr-FR"/>
        </w:rPr>
        <w:t xml:space="preserve"> + 3,747</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Où Y représente la variable dépendante (le processus de formation digitalisée) et X</w:t>
      </w:r>
      <w:r w:rsidRPr="008764AA">
        <w:rPr>
          <w:rFonts w:asciiTheme="majorBidi" w:hAnsiTheme="majorBidi" w:cstheme="majorBidi"/>
          <w:color w:val="000000" w:themeColor="text1"/>
          <w:vertAlign w:val="subscript"/>
          <w:lang w:val="fr-FR"/>
        </w:rPr>
        <w:t>6</w:t>
      </w:r>
      <w:r w:rsidRPr="008764AA">
        <w:rPr>
          <w:rFonts w:asciiTheme="majorBidi" w:hAnsiTheme="majorBidi" w:cstheme="majorBidi"/>
          <w:color w:val="000000" w:themeColor="text1"/>
          <w:lang w:val="fr-FR"/>
        </w:rPr>
        <w:t xml:space="preserve"> est la variable indépendante (l’automatisation) et le nombre 0,041 est la valeur de β6 de la pente de l’équation de régression est également très faible, corroborant la faible relation.</w:t>
      </w:r>
    </w:p>
    <w:p w:rsidR="005353F3"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Malgré l'existence mathématique de l'équation, la relation n'est pas statistiquement prouvée, donc l'équation n'est pas un modèle fiable de la relation entre l’automatisation et le processus de formation digitalisée.</w:t>
      </w:r>
    </w:p>
    <w:p w:rsidR="005353F3" w:rsidRPr="004D4075" w:rsidRDefault="004D4075" w:rsidP="004D32AC">
      <w:pPr>
        <w:pStyle w:val="Titre3"/>
        <w:numPr>
          <w:ilvl w:val="1"/>
          <w:numId w:val="194"/>
        </w:numPr>
        <w:rPr>
          <w:sz w:val="24"/>
          <w:szCs w:val="24"/>
          <w:lang w:val="fr-FR"/>
        </w:rPr>
      </w:pPr>
      <w:r>
        <w:rPr>
          <w:sz w:val="24"/>
          <w:szCs w:val="24"/>
          <w:lang w:val="fr-FR"/>
        </w:rPr>
        <w:t xml:space="preserve"> </w:t>
      </w:r>
      <w:bookmarkStart w:id="2388" w:name="_Toc199714589"/>
      <w:bookmarkStart w:id="2389" w:name="_Toc200486865"/>
      <w:bookmarkStart w:id="2390" w:name="_Toc200635643"/>
      <w:bookmarkStart w:id="2391" w:name="_Toc200636031"/>
      <w:bookmarkStart w:id="2392" w:name="_Toc200636420"/>
      <w:bookmarkStart w:id="2393" w:name="_Toc200756161"/>
      <w:r w:rsidR="005353F3" w:rsidRPr="004D4075">
        <w:rPr>
          <w:sz w:val="24"/>
          <w:szCs w:val="24"/>
          <w:lang w:val="fr-FR"/>
        </w:rPr>
        <w:t>Test de la deuxième sous-hypothèse :</w:t>
      </w:r>
      <w:bookmarkEnd w:id="2388"/>
      <w:bookmarkEnd w:id="2389"/>
      <w:bookmarkEnd w:id="2390"/>
      <w:bookmarkEnd w:id="2391"/>
      <w:bookmarkEnd w:id="2392"/>
      <w:bookmarkEnd w:id="2393"/>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H</w:t>
      </w:r>
      <w:r>
        <w:rPr>
          <w:rFonts w:asciiTheme="majorBidi" w:hAnsiTheme="majorBidi" w:cstheme="majorBidi"/>
          <w:color w:val="000000" w:themeColor="text1"/>
          <w:lang w:val="fr-FR"/>
        </w:rPr>
        <w:t>2.2</w:t>
      </w:r>
      <w:r w:rsidRPr="008764AA">
        <w:rPr>
          <w:rFonts w:asciiTheme="majorBidi" w:hAnsiTheme="majorBidi" w:cstheme="majorBidi"/>
          <w:color w:val="000000" w:themeColor="text1"/>
          <w:lang w:val="fr-FR"/>
        </w:rPr>
        <w:t xml:space="preserve"> : La numérisation a un impact positif significatif sur le processus de formation digitalisée au niveau de signification de 0,05</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 xml:space="preserve"> </w:t>
      </w:r>
    </w:p>
    <w:p w:rsidR="005353F3" w:rsidRPr="00F77332" w:rsidRDefault="005353F3" w:rsidP="004D32AC">
      <w:pPr>
        <w:pStyle w:val="Paragraphedeliste"/>
        <w:numPr>
          <w:ilvl w:val="0"/>
          <w:numId w:val="178"/>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 xml:space="preserve"> Coefficient de corrélation R2 (R-square) </w:t>
      </w:r>
      <w:r w:rsidR="00D657FC">
        <w:rPr>
          <w:rFonts w:asciiTheme="majorBidi" w:hAnsiTheme="majorBidi" w:cstheme="majorBidi"/>
          <w:b/>
          <w:bCs/>
          <w:color w:val="000000" w:themeColor="text1"/>
          <w:lang w:val="fr-FR"/>
        </w:rPr>
        <w:t xml:space="preserve">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H2.2 </w:t>
      </w:r>
      <w:r w:rsidRPr="00F77332">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N°57</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Coefficients de corrélation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H2.2</w:t>
      </w:r>
    </w:p>
    <w:tbl>
      <w:tblPr>
        <w:tblStyle w:val="Grilledutableau"/>
        <w:tblW w:w="9067" w:type="dxa"/>
        <w:tblLayout w:type="fixed"/>
        <w:tblLook w:val="0000" w:firstRow="0" w:lastRow="0" w:firstColumn="0" w:lastColumn="0" w:noHBand="0" w:noVBand="0"/>
      </w:tblPr>
      <w:tblGrid>
        <w:gridCol w:w="1271"/>
        <w:gridCol w:w="1134"/>
        <w:gridCol w:w="1276"/>
        <w:gridCol w:w="1358"/>
        <w:gridCol w:w="4028"/>
      </w:tblGrid>
      <w:tr w:rsidR="005353F3" w:rsidRPr="008764AA" w:rsidTr="00EC661E">
        <w:tc>
          <w:tcPr>
            <w:tcW w:w="1271"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134"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27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358"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4028"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c>
          <w:tcPr>
            <w:tcW w:w="127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134"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0.612</w:t>
            </w:r>
            <w:r w:rsidRPr="008764AA">
              <w:rPr>
                <w:rFonts w:asciiTheme="majorBidi" w:hAnsiTheme="majorBidi" w:cstheme="majorBidi"/>
                <w:color w:val="000000" w:themeColor="text1"/>
                <w:vertAlign w:val="superscript"/>
                <w:lang w:val="fr-FR"/>
              </w:rPr>
              <w:t>a</w:t>
            </w:r>
          </w:p>
        </w:tc>
        <w:tc>
          <w:tcPr>
            <w:tcW w:w="127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0.375</w:t>
            </w:r>
          </w:p>
        </w:tc>
        <w:tc>
          <w:tcPr>
            <w:tcW w:w="1358"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0.371</w:t>
            </w:r>
          </w:p>
        </w:tc>
        <w:tc>
          <w:tcPr>
            <w:tcW w:w="4028"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0.80500</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Default="005353F3" w:rsidP="005353F3">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Selon les résultats présentés dans le tableau, le coefficient de détermination R²</w:t>
      </w:r>
      <w:r w:rsidRPr="00226CE1">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0,375</w:t>
      </w:r>
      <w:r w:rsidRPr="00140F9D">
        <w:rPr>
          <w:rFonts w:asciiTheme="majorBidi" w:hAnsiTheme="majorBidi" w:cstheme="majorBidi"/>
          <w:color w:val="000000" w:themeColor="text1"/>
        </w:rPr>
        <w:t xml:space="preserve">. Cela montre </w:t>
      </w:r>
      <w:r w:rsidRPr="008764AA">
        <w:rPr>
          <w:rFonts w:asciiTheme="majorBidi" w:hAnsiTheme="majorBidi" w:cstheme="majorBidi"/>
          <w:color w:val="000000" w:themeColor="text1"/>
          <w:lang w:val="fr-FR"/>
        </w:rPr>
        <w:t>que la numérisation</w:t>
      </w:r>
      <w:r w:rsidRPr="00140F9D">
        <w:rPr>
          <w:rFonts w:asciiTheme="majorBidi" w:hAnsiTheme="majorBidi" w:cstheme="majorBidi"/>
          <w:color w:val="000000" w:themeColor="text1"/>
        </w:rPr>
        <w:t xml:space="preserve"> influence </w:t>
      </w:r>
      <w:r w:rsidRPr="008764AA">
        <w:rPr>
          <w:rFonts w:asciiTheme="majorBidi" w:hAnsiTheme="majorBidi" w:cstheme="majorBidi"/>
          <w:color w:val="000000" w:themeColor="text1"/>
          <w:lang w:val="fr-FR"/>
        </w:rPr>
        <w:t>le processus de formation digitalisée</w:t>
      </w:r>
      <w:r w:rsidRPr="00140F9D">
        <w:rPr>
          <w:rFonts w:asciiTheme="majorBidi" w:hAnsiTheme="majorBidi" w:cstheme="majorBidi"/>
          <w:color w:val="000000" w:themeColor="text1"/>
        </w:rPr>
        <w:t>. Par ailleurs, le coefficient de corrélation R</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 xml:space="preserve"> </w:t>
      </w:r>
      <w:r w:rsidRPr="008764AA">
        <w:rPr>
          <w:rFonts w:asciiTheme="majorBidi" w:hAnsiTheme="majorBidi" w:cstheme="majorBidi"/>
          <w:color w:val="000000" w:themeColor="text1"/>
          <w:lang w:val="fr-FR"/>
        </w:rPr>
        <w:t>0.6</w:t>
      </w:r>
      <w:r>
        <w:rPr>
          <w:rFonts w:asciiTheme="majorBidi" w:hAnsiTheme="majorBidi" w:cstheme="majorBidi"/>
          <w:color w:val="000000" w:themeColor="text1"/>
          <w:lang w:val="fr-FR"/>
        </w:rPr>
        <w:t>12</w:t>
      </w:r>
      <w:r>
        <w:rPr>
          <w:rFonts w:asciiTheme="majorBidi" w:hAnsiTheme="majorBidi" w:cstheme="majorBidi"/>
          <w:color w:val="000000" w:themeColor="text1"/>
          <w:vertAlign w:val="superscript"/>
          <w:lang w:val="fr-FR"/>
        </w:rPr>
        <w:t xml:space="preserve"> </w:t>
      </w:r>
      <w:r w:rsidRPr="00140F9D">
        <w:rPr>
          <w:rFonts w:asciiTheme="majorBidi" w:hAnsiTheme="majorBidi" w:cstheme="majorBidi"/>
          <w:color w:val="000000" w:themeColor="text1"/>
        </w:rPr>
        <w:t xml:space="preserve">, indique </w:t>
      </w:r>
      <w:r w:rsidRPr="008764AA">
        <w:rPr>
          <w:rFonts w:asciiTheme="majorBidi" w:hAnsiTheme="majorBidi" w:cstheme="majorBidi"/>
          <w:b/>
          <w:bCs/>
          <w:color w:val="000000" w:themeColor="text1"/>
          <w:lang w:val="fr-FR"/>
        </w:rPr>
        <w:t>une forte relation</w:t>
      </w:r>
      <w:r>
        <w:rPr>
          <w:rFonts w:asciiTheme="majorBidi" w:hAnsiTheme="majorBidi" w:cstheme="majorBidi"/>
          <w:b/>
          <w:bCs/>
          <w:color w:val="000000" w:themeColor="text1"/>
          <w:lang w:val="fr-FR"/>
        </w:rPr>
        <w:t xml:space="preserve"> directe</w:t>
      </w:r>
      <w:r w:rsidRPr="008764AA">
        <w:rPr>
          <w:rFonts w:asciiTheme="majorBidi" w:hAnsiTheme="majorBidi" w:cstheme="majorBidi"/>
          <w:color w:val="000000" w:themeColor="text1"/>
          <w:lang w:val="fr-FR"/>
        </w:rPr>
        <w:t xml:space="preserve"> </w:t>
      </w:r>
      <w:r w:rsidRPr="00140F9D">
        <w:rPr>
          <w:rFonts w:asciiTheme="majorBidi" w:hAnsiTheme="majorBidi" w:cstheme="majorBidi"/>
          <w:color w:val="000000" w:themeColor="text1"/>
        </w:rPr>
        <w:t xml:space="preserve">entre </w:t>
      </w:r>
      <w:r w:rsidRPr="008764AA">
        <w:rPr>
          <w:rFonts w:asciiTheme="majorBidi" w:hAnsiTheme="majorBidi" w:cstheme="majorBidi"/>
          <w:color w:val="000000" w:themeColor="text1"/>
          <w:lang w:val="fr-FR"/>
        </w:rPr>
        <w:t>la numérisation</w:t>
      </w:r>
      <w:r w:rsidRPr="00140F9D">
        <w:rPr>
          <w:rFonts w:asciiTheme="majorBidi" w:hAnsiTheme="majorBidi" w:cstheme="majorBidi"/>
          <w:color w:val="000000" w:themeColor="text1"/>
        </w:rPr>
        <w:t xml:space="preserve"> </w:t>
      </w:r>
      <w:r>
        <w:rPr>
          <w:rFonts w:asciiTheme="majorBidi" w:hAnsiTheme="majorBidi" w:cstheme="majorBidi"/>
          <w:color w:val="000000" w:themeColor="text1"/>
          <w:lang w:val="fr-FR"/>
        </w:rPr>
        <w:t>et</w:t>
      </w:r>
      <w:r w:rsidRPr="008764AA">
        <w:rPr>
          <w:rFonts w:asciiTheme="majorBidi" w:hAnsiTheme="majorBidi" w:cstheme="majorBidi"/>
          <w:color w:val="000000" w:themeColor="text1"/>
          <w:lang w:val="fr-FR"/>
        </w:rPr>
        <w:t xml:space="preserve"> le processus de formation digitalisée</w:t>
      </w:r>
      <w:r w:rsidRPr="00140F9D">
        <w:rPr>
          <w:rFonts w:asciiTheme="majorBidi" w:hAnsiTheme="majorBidi" w:cstheme="majorBidi"/>
          <w:color w:val="000000" w:themeColor="text1"/>
        </w:rPr>
        <w:t xml:space="preserve">, avec un taux de corrélation de </w:t>
      </w:r>
      <w:r w:rsidRPr="008764AA">
        <w:rPr>
          <w:rFonts w:asciiTheme="majorBidi" w:hAnsiTheme="majorBidi" w:cstheme="majorBidi"/>
          <w:color w:val="000000" w:themeColor="text1"/>
          <w:lang w:val="fr-FR"/>
        </w:rPr>
        <w:t>6</w:t>
      </w:r>
      <w:r>
        <w:rPr>
          <w:rFonts w:asciiTheme="majorBidi" w:hAnsiTheme="majorBidi" w:cstheme="majorBidi"/>
          <w:color w:val="000000" w:themeColor="text1"/>
          <w:lang w:val="fr-FR"/>
        </w:rPr>
        <w:t>1</w:t>
      </w:r>
      <w:r w:rsidRPr="008764AA">
        <w:rPr>
          <w:rFonts w:asciiTheme="majorBidi" w:hAnsiTheme="majorBidi" w:cstheme="majorBidi"/>
          <w:color w:val="000000" w:themeColor="text1"/>
          <w:lang w:val="fr-FR"/>
        </w:rPr>
        <w:t>,</w:t>
      </w:r>
      <w:r>
        <w:rPr>
          <w:rFonts w:asciiTheme="majorBidi" w:hAnsiTheme="majorBidi" w:cstheme="majorBidi"/>
          <w:color w:val="000000" w:themeColor="text1"/>
          <w:lang w:val="fr-FR"/>
        </w:rPr>
        <w:t>2</w:t>
      </w:r>
      <w:r w:rsidRPr="008764AA">
        <w:rPr>
          <w:rFonts w:asciiTheme="majorBidi" w:hAnsiTheme="majorBidi" w:cstheme="majorBidi"/>
          <w:color w:val="000000" w:themeColor="text1"/>
          <w:lang w:val="fr-FR"/>
        </w:rPr>
        <w:t>%.</w:t>
      </w:r>
    </w:p>
    <w:p w:rsidR="00B30595" w:rsidRPr="008764AA" w:rsidRDefault="00B30595" w:rsidP="005353F3">
      <w:pPr>
        <w:spacing w:after="240" w:line="360" w:lineRule="auto"/>
        <w:jc w:val="both"/>
        <w:rPr>
          <w:rFonts w:asciiTheme="majorBidi" w:hAnsiTheme="majorBidi" w:cstheme="majorBidi"/>
          <w:color w:val="000000" w:themeColor="text1"/>
          <w:lang w:val="fr-FR"/>
        </w:rPr>
      </w:pPr>
    </w:p>
    <w:p w:rsidR="005353F3" w:rsidRPr="00F77332" w:rsidRDefault="005353F3" w:rsidP="004D32AC">
      <w:pPr>
        <w:pStyle w:val="Paragraphedeliste"/>
        <w:numPr>
          <w:ilvl w:val="0"/>
          <w:numId w:val="178"/>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lastRenderedPageBreak/>
        <w:t xml:space="preserve"> Analyse de la variance ANOVA </w:t>
      </w:r>
      <w:r w:rsidR="00D657FC">
        <w:rPr>
          <w:rFonts w:asciiTheme="majorBidi" w:hAnsiTheme="majorBidi" w:cstheme="majorBidi"/>
          <w:b/>
          <w:bCs/>
          <w:color w:val="000000" w:themeColor="text1"/>
          <w:lang w:val="fr-FR"/>
        </w:rPr>
        <w:t xml:space="preserve">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H2.2 </w:t>
      </w:r>
      <w:r w:rsidRPr="00F77332">
        <w:rPr>
          <w:rFonts w:asciiTheme="majorBidi" w:hAnsiTheme="majorBidi" w:cstheme="majorBidi"/>
          <w:b/>
          <w:bCs/>
          <w:color w:val="000000" w:themeColor="text1"/>
          <w:lang w:val="fr-FR"/>
        </w:rPr>
        <w:t>:</w:t>
      </w:r>
    </w:p>
    <w:p w:rsidR="005353F3" w:rsidRPr="0071110F"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N°58</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La variance ANOVA</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H2.2</w:t>
      </w:r>
    </w:p>
    <w:tbl>
      <w:tblPr>
        <w:tblStyle w:val="Grilledutableau"/>
        <w:tblW w:w="8931" w:type="dxa"/>
        <w:tblInd w:w="-5" w:type="dxa"/>
        <w:tblLayout w:type="fixed"/>
        <w:tblLook w:val="0000" w:firstRow="0" w:lastRow="0" w:firstColumn="0" w:lastColumn="0" w:noHBand="0" w:noVBand="0"/>
      </w:tblPr>
      <w:tblGrid>
        <w:gridCol w:w="853"/>
        <w:gridCol w:w="1841"/>
        <w:gridCol w:w="1275"/>
        <w:gridCol w:w="1122"/>
        <w:gridCol w:w="1535"/>
        <w:gridCol w:w="1312"/>
        <w:gridCol w:w="993"/>
      </w:tblGrid>
      <w:tr w:rsidR="005353F3" w:rsidRPr="008764AA" w:rsidTr="00EC661E">
        <w:tc>
          <w:tcPr>
            <w:tcW w:w="2694" w:type="dxa"/>
            <w:gridSpan w:val="2"/>
            <w:shd w:val="clear" w:color="auto" w:fill="D8DCD1"/>
          </w:tcPr>
          <w:p w:rsidR="005353F3" w:rsidRPr="008764AA" w:rsidRDefault="005353F3" w:rsidP="00E6084A">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27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2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31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99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C661E">
        <w:trPr>
          <w:trHeight w:val="437"/>
        </w:trPr>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84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27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65.267</w:t>
            </w:r>
          </w:p>
        </w:tc>
        <w:tc>
          <w:tcPr>
            <w:tcW w:w="112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65.267</w:t>
            </w:r>
          </w:p>
        </w:tc>
        <w:tc>
          <w:tcPr>
            <w:tcW w:w="131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100.716</w:t>
            </w:r>
          </w:p>
        </w:tc>
        <w:tc>
          <w:tcPr>
            <w:tcW w:w="99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r w:rsidRPr="008764AA">
              <w:rPr>
                <w:rFonts w:asciiTheme="majorBidi" w:hAnsiTheme="majorBidi" w:cstheme="majorBidi"/>
                <w:color w:val="000000" w:themeColor="text1"/>
                <w:vertAlign w:val="superscript"/>
                <w:lang w:val="fr-FR"/>
              </w:rPr>
              <w:t>b</w:t>
            </w:r>
          </w:p>
        </w:tc>
      </w:tr>
      <w:tr w:rsidR="005353F3" w:rsidRPr="008764AA" w:rsidTr="00EC661E">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84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Résidus</w:t>
            </w:r>
          </w:p>
        </w:tc>
        <w:tc>
          <w:tcPr>
            <w:tcW w:w="127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108.868</w:t>
            </w:r>
          </w:p>
        </w:tc>
        <w:tc>
          <w:tcPr>
            <w:tcW w:w="112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.648</w:t>
            </w:r>
          </w:p>
        </w:tc>
        <w:tc>
          <w:tcPr>
            <w:tcW w:w="131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993"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C661E">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84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27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174.135</w:t>
            </w:r>
          </w:p>
        </w:tc>
        <w:tc>
          <w:tcPr>
            <w:tcW w:w="112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1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993"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 xml:space="preserve">Le tableau ci-dessus montre que </w:t>
      </w:r>
      <w:r w:rsidRPr="008764AA">
        <w:rPr>
          <w:rFonts w:asciiTheme="majorBidi" w:hAnsiTheme="majorBidi" w:cstheme="majorBidi"/>
          <w:color w:val="000000" w:themeColor="text1"/>
          <w:lang w:val="fr-FR"/>
        </w:rPr>
        <w:t>la significativité est égale à 0,000 était inférieure à 0,05, Cela 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 relation positive statistiquement significative entre la numérisation et le processus de formation digitalisée.</w:t>
      </w:r>
    </w:p>
    <w:p w:rsidR="005353F3" w:rsidRPr="00F77332" w:rsidRDefault="005353F3" w:rsidP="004D32AC">
      <w:pPr>
        <w:pStyle w:val="Paragraphedeliste"/>
        <w:numPr>
          <w:ilvl w:val="0"/>
          <w:numId w:val="178"/>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Coefficients de régression</w:t>
      </w:r>
      <w:r w:rsidR="00D657FC">
        <w:rPr>
          <w:rFonts w:asciiTheme="majorBidi" w:hAnsiTheme="majorBidi" w:cstheme="majorBidi"/>
          <w:b/>
          <w:bCs/>
          <w:color w:val="000000" w:themeColor="text1"/>
          <w:lang w:val="fr-FR"/>
        </w:rPr>
        <w:t xml:space="preserve"> 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H2.2 </w:t>
      </w:r>
      <w:r w:rsidRPr="00F77332">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N°59 </w:t>
      </w:r>
      <w:r w:rsidRPr="008764AA">
        <w:rPr>
          <w:rFonts w:asciiTheme="majorBidi" w:hAnsiTheme="majorBidi" w:cstheme="majorBidi"/>
          <w:b/>
          <w:bCs/>
          <w:color w:val="000000" w:themeColor="text1"/>
          <w:lang w:val="fr-FR"/>
        </w:rPr>
        <w:t xml:space="preserve">: </w:t>
      </w:r>
      <w:r w:rsidRPr="0071110F">
        <w:rPr>
          <w:rFonts w:asciiTheme="majorBidi" w:hAnsiTheme="majorBidi" w:cstheme="majorBidi"/>
          <w:color w:val="000000" w:themeColor="text1"/>
          <w:lang w:val="fr-FR"/>
        </w:rPr>
        <w:t>Coefficients de régression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H2.2</w:t>
      </w:r>
    </w:p>
    <w:tbl>
      <w:tblPr>
        <w:tblStyle w:val="Grilledutableau"/>
        <w:tblW w:w="9362" w:type="dxa"/>
        <w:tblLayout w:type="fixed"/>
        <w:tblLook w:val="0000" w:firstRow="0" w:lastRow="0" w:firstColumn="0" w:lastColumn="0" w:noHBand="0" w:noVBand="0"/>
      </w:tblPr>
      <w:tblGrid>
        <w:gridCol w:w="832"/>
        <w:gridCol w:w="1340"/>
        <w:gridCol w:w="1560"/>
        <w:gridCol w:w="1662"/>
        <w:gridCol w:w="1662"/>
        <w:gridCol w:w="1153"/>
        <w:gridCol w:w="1153"/>
      </w:tblGrid>
      <w:tr w:rsidR="005353F3" w:rsidRPr="008764AA" w:rsidTr="00EC661E">
        <w:tc>
          <w:tcPr>
            <w:tcW w:w="217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322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2"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340"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r>
      <w:tr w:rsidR="005353F3" w:rsidRPr="008764AA" w:rsidTr="00E6084A">
        <w:tc>
          <w:tcPr>
            <w:tcW w:w="832" w:type="dxa"/>
            <w:vMerge w:val="restart"/>
            <w:tcBorders>
              <w:top w:val="nil"/>
              <w:righ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340" w:type="dxa"/>
            <w:tcBorders>
              <w:top w:val="nil"/>
              <w:lef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1.689</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0.230</w:t>
            </w:r>
          </w:p>
        </w:tc>
        <w:tc>
          <w:tcPr>
            <w:tcW w:w="166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7.342</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2" w:type="dxa"/>
            <w:vMerge/>
            <w:tcBorders>
              <w:top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4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Num</w:t>
            </w:r>
            <w:proofErr w:type="spellEnd"/>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0.581</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0.058</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0.612</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10.036</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t xml:space="preserve">Les résultats du tableau précédent indiquent que </w:t>
      </w:r>
      <w:r w:rsidRPr="008764AA">
        <w:rPr>
          <w:rFonts w:asciiTheme="majorBidi" w:hAnsiTheme="majorBidi" w:cstheme="majorBidi"/>
          <w:color w:val="000000" w:themeColor="text1"/>
          <w:lang w:val="fr-FR"/>
        </w:rPr>
        <w:t xml:space="preserve">la relation entre </w:t>
      </w:r>
      <w:r>
        <w:rPr>
          <w:rFonts w:asciiTheme="majorBidi" w:hAnsiTheme="majorBidi" w:cstheme="majorBidi"/>
          <w:color w:val="000000" w:themeColor="text1"/>
          <w:lang w:val="fr-FR"/>
        </w:rPr>
        <w:t>l</w:t>
      </w:r>
      <w:r w:rsidRPr="008764AA">
        <w:rPr>
          <w:rFonts w:asciiTheme="majorBidi" w:hAnsiTheme="majorBidi" w:cstheme="majorBidi"/>
          <w:color w:val="000000" w:themeColor="text1"/>
          <w:lang w:val="fr-FR"/>
        </w:rPr>
        <w:t>a numérisation et le processus de formation digitalisée,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Y = 0,581 X</w:t>
      </w:r>
      <w:r>
        <w:rPr>
          <w:rFonts w:asciiTheme="majorBidi" w:hAnsiTheme="majorBidi" w:cstheme="majorBidi"/>
          <w:color w:val="000000" w:themeColor="text1"/>
          <w:vertAlign w:val="subscript"/>
          <w:lang w:val="fr-FR"/>
        </w:rPr>
        <w:t>7</w:t>
      </w:r>
      <w:r w:rsidRPr="008764AA">
        <w:rPr>
          <w:rFonts w:asciiTheme="majorBidi" w:hAnsiTheme="majorBidi" w:cstheme="majorBidi"/>
          <w:color w:val="000000" w:themeColor="text1"/>
          <w:lang w:val="fr-FR"/>
        </w:rPr>
        <w:t xml:space="preserve"> + 1,689</w:t>
      </w:r>
    </w:p>
    <w:p w:rsidR="005353F3" w:rsidRPr="0080428E" w:rsidRDefault="005353F3" w:rsidP="005353F3">
      <w:pPr>
        <w:spacing w:line="360" w:lineRule="auto"/>
        <w:jc w:val="both"/>
        <w:rPr>
          <w:rFonts w:asciiTheme="majorBidi" w:hAnsiTheme="majorBidi" w:cstheme="majorBidi"/>
          <w:color w:val="000000" w:themeColor="text1"/>
          <w:vertAlign w:val="subscript"/>
          <w:lang w:val="fr-FR"/>
        </w:rPr>
      </w:pPr>
      <w:r w:rsidRPr="008764AA">
        <w:rPr>
          <w:rFonts w:asciiTheme="majorBidi" w:hAnsiTheme="majorBidi" w:cstheme="majorBidi"/>
          <w:color w:val="000000" w:themeColor="text1"/>
          <w:lang w:val="fr-FR"/>
        </w:rPr>
        <w:t>Où Y représente la variable dépendante (le processus de formation digitalisée) et X</w:t>
      </w:r>
      <w:r>
        <w:rPr>
          <w:rFonts w:asciiTheme="majorBidi" w:hAnsiTheme="majorBidi" w:cstheme="majorBidi"/>
          <w:color w:val="000000" w:themeColor="text1"/>
          <w:vertAlign w:val="subscript"/>
          <w:lang w:val="fr-FR"/>
        </w:rPr>
        <w:t>7</w:t>
      </w:r>
      <w:r>
        <w:rPr>
          <w:rFonts w:asciiTheme="majorBidi" w:hAnsiTheme="majorBidi" w:cstheme="majorBidi"/>
          <w:color w:val="000000" w:themeColor="text1"/>
          <w:lang w:val="fr-FR"/>
        </w:rPr>
        <w:t xml:space="preserve"> désigne</w:t>
      </w:r>
      <w:r w:rsidRPr="008764AA">
        <w:rPr>
          <w:rFonts w:asciiTheme="majorBidi" w:hAnsiTheme="majorBidi" w:cstheme="majorBidi"/>
          <w:color w:val="000000" w:themeColor="text1"/>
          <w:lang w:val="fr-FR"/>
        </w:rPr>
        <w:t xml:space="preserve"> la variable </w:t>
      </w:r>
      <w:r>
        <w:rPr>
          <w:rFonts w:asciiTheme="majorBidi" w:hAnsiTheme="majorBidi" w:cstheme="majorBidi"/>
          <w:color w:val="000000" w:themeColor="text1"/>
          <w:lang w:val="fr-FR"/>
        </w:rPr>
        <w:t>i</w:t>
      </w:r>
      <w:r w:rsidRPr="008764AA">
        <w:rPr>
          <w:rFonts w:asciiTheme="majorBidi" w:hAnsiTheme="majorBidi" w:cstheme="majorBidi"/>
          <w:color w:val="000000" w:themeColor="text1"/>
          <w:lang w:val="fr-FR"/>
        </w:rPr>
        <w:t>ndépendante (la numérisation) et le nombre 0,581 est la valeur de β</w:t>
      </w:r>
      <w:r>
        <w:rPr>
          <w:rFonts w:asciiTheme="majorBidi" w:hAnsiTheme="majorBidi" w:cstheme="majorBidi"/>
          <w:color w:val="000000" w:themeColor="text1"/>
          <w:lang w:val="fr-FR"/>
        </w:rPr>
        <w:t>7</w:t>
      </w:r>
      <w:r w:rsidRPr="008764AA">
        <w:rPr>
          <w:rFonts w:asciiTheme="majorBidi" w:hAnsiTheme="majorBidi" w:cstheme="majorBidi"/>
          <w:color w:val="000000" w:themeColor="text1"/>
          <w:lang w:val="fr-FR"/>
        </w:rPr>
        <w:t xml:space="preserve"> de la pente de l’équation de régression.</w:t>
      </w:r>
    </w:p>
    <w:p w:rsidR="005353F3" w:rsidRPr="004D4075" w:rsidRDefault="004D4075" w:rsidP="004D32AC">
      <w:pPr>
        <w:pStyle w:val="Titre3"/>
        <w:numPr>
          <w:ilvl w:val="1"/>
          <w:numId w:val="194"/>
        </w:numPr>
        <w:spacing w:after="0" w:afterAutospacing="0" w:line="360" w:lineRule="auto"/>
        <w:rPr>
          <w:sz w:val="24"/>
          <w:szCs w:val="24"/>
          <w:lang w:val="fr-FR"/>
        </w:rPr>
      </w:pPr>
      <w:r>
        <w:rPr>
          <w:sz w:val="24"/>
          <w:szCs w:val="24"/>
          <w:lang w:val="fr-FR"/>
        </w:rPr>
        <w:t xml:space="preserve"> </w:t>
      </w:r>
      <w:bookmarkStart w:id="2394" w:name="_Toc199714590"/>
      <w:bookmarkStart w:id="2395" w:name="_Toc200486866"/>
      <w:bookmarkStart w:id="2396" w:name="_Toc200635644"/>
      <w:bookmarkStart w:id="2397" w:name="_Toc200636032"/>
      <w:bookmarkStart w:id="2398" w:name="_Toc200636421"/>
      <w:bookmarkStart w:id="2399" w:name="_Toc200756162"/>
      <w:r w:rsidR="005353F3" w:rsidRPr="004D4075">
        <w:rPr>
          <w:sz w:val="24"/>
          <w:szCs w:val="24"/>
          <w:lang w:val="fr-FR"/>
        </w:rPr>
        <w:t>Test de la troisième sous-hypothèse :</w:t>
      </w:r>
      <w:bookmarkEnd w:id="2394"/>
      <w:bookmarkEnd w:id="2395"/>
      <w:bookmarkEnd w:id="2396"/>
      <w:bookmarkEnd w:id="2397"/>
      <w:bookmarkEnd w:id="2398"/>
      <w:bookmarkEnd w:id="2399"/>
    </w:p>
    <w:p w:rsidR="00B30595" w:rsidRDefault="005353F3" w:rsidP="009832B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H</w:t>
      </w:r>
      <w:r>
        <w:rPr>
          <w:rFonts w:asciiTheme="majorBidi" w:hAnsiTheme="majorBidi" w:cstheme="majorBidi"/>
          <w:color w:val="000000" w:themeColor="text1"/>
          <w:lang w:val="fr-FR"/>
        </w:rPr>
        <w:t>2.3</w:t>
      </w:r>
      <w:r w:rsidRPr="008764AA">
        <w:rPr>
          <w:rFonts w:asciiTheme="majorBidi" w:hAnsiTheme="majorBidi" w:cstheme="majorBidi"/>
          <w:color w:val="000000" w:themeColor="text1"/>
          <w:lang w:val="fr-FR"/>
        </w:rPr>
        <w:t xml:space="preserve"> : L’accessibilité numérique a un impact positif significatif sur le processus de formation digitalisée au niveau de signification de 0,05</w:t>
      </w:r>
    </w:p>
    <w:p w:rsidR="009832B3" w:rsidRDefault="009832B3" w:rsidP="009832B3">
      <w:pPr>
        <w:spacing w:line="360" w:lineRule="auto"/>
        <w:jc w:val="both"/>
        <w:rPr>
          <w:rFonts w:asciiTheme="majorBidi" w:hAnsiTheme="majorBidi" w:cstheme="majorBidi"/>
          <w:color w:val="000000" w:themeColor="text1"/>
          <w:lang w:val="fr-FR"/>
        </w:rPr>
      </w:pPr>
    </w:p>
    <w:p w:rsidR="009832B3" w:rsidRDefault="009832B3" w:rsidP="009832B3">
      <w:pPr>
        <w:spacing w:line="360" w:lineRule="auto"/>
        <w:jc w:val="both"/>
        <w:rPr>
          <w:rFonts w:asciiTheme="majorBidi" w:hAnsiTheme="majorBidi" w:cstheme="majorBidi"/>
          <w:color w:val="000000" w:themeColor="text1"/>
          <w:lang w:val="fr-FR"/>
        </w:rPr>
      </w:pPr>
    </w:p>
    <w:p w:rsidR="009832B3" w:rsidRPr="008764AA" w:rsidRDefault="009832B3" w:rsidP="009832B3">
      <w:pPr>
        <w:spacing w:line="360" w:lineRule="auto"/>
        <w:jc w:val="both"/>
        <w:rPr>
          <w:rFonts w:asciiTheme="majorBidi" w:hAnsiTheme="majorBidi" w:cstheme="majorBidi"/>
          <w:color w:val="000000" w:themeColor="text1"/>
          <w:lang w:val="fr-FR"/>
        </w:rPr>
      </w:pPr>
    </w:p>
    <w:p w:rsidR="005353F3" w:rsidRPr="00F77332" w:rsidRDefault="005353F3" w:rsidP="004D32AC">
      <w:pPr>
        <w:pStyle w:val="Paragraphedeliste"/>
        <w:numPr>
          <w:ilvl w:val="0"/>
          <w:numId w:val="179"/>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lastRenderedPageBreak/>
        <w:t xml:space="preserve"> Coefficient de corrélation R2 (R-square) </w:t>
      </w:r>
      <w:r w:rsidR="00D657FC">
        <w:rPr>
          <w:rFonts w:asciiTheme="majorBidi" w:hAnsiTheme="majorBidi" w:cstheme="majorBidi"/>
          <w:b/>
          <w:bCs/>
          <w:color w:val="000000" w:themeColor="text1"/>
          <w:lang w:val="fr-FR"/>
        </w:rPr>
        <w:t xml:space="preserve">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H2.3 </w:t>
      </w:r>
      <w:r w:rsidRPr="00F77332">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N°60 </w:t>
      </w:r>
      <w:r w:rsidRPr="008764AA">
        <w:rPr>
          <w:rFonts w:asciiTheme="majorBidi" w:hAnsiTheme="majorBidi" w:cstheme="majorBidi"/>
          <w:b/>
          <w:bCs/>
          <w:color w:val="000000" w:themeColor="text1"/>
          <w:lang w:val="fr-FR"/>
        </w:rPr>
        <w:t xml:space="preserve">: </w:t>
      </w:r>
      <w:r w:rsidRPr="0071110F">
        <w:rPr>
          <w:rFonts w:asciiTheme="majorBidi" w:hAnsiTheme="majorBidi" w:cstheme="majorBidi"/>
          <w:color w:val="000000" w:themeColor="text1"/>
          <w:lang w:val="fr-FR"/>
        </w:rPr>
        <w:t>Coefficients de corrélation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H2.3</w:t>
      </w:r>
    </w:p>
    <w:tbl>
      <w:tblPr>
        <w:tblStyle w:val="Grilledutableau"/>
        <w:tblW w:w="8500" w:type="dxa"/>
        <w:tblLayout w:type="fixed"/>
        <w:tblLook w:val="0000" w:firstRow="0" w:lastRow="0" w:firstColumn="0" w:lastColumn="0" w:noHBand="0" w:noVBand="0"/>
      </w:tblPr>
      <w:tblGrid>
        <w:gridCol w:w="1129"/>
        <w:gridCol w:w="1032"/>
        <w:gridCol w:w="1186"/>
        <w:gridCol w:w="1692"/>
        <w:gridCol w:w="3461"/>
      </w:tblGrid>
      <w:tr w:rsidR="005353F3" w:rsidRPr="008764AA" w:rsidTr="00EC661E">
        <w:tc>
          <w:tcPr>
            <w:tcW w:w="1129"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3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R-deux</w:t>
            </w:r>
          </w:p>
        </w:tc>
        <w:tc>
          <w:tcPr>
            <w:tcW w:w="169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R-deux ajusté</w:t>
            </w:r>
          </w:p>
        </w:tc>
        <w:tc>
          <w:tcPr>
            <w:tcW w:w="3461"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c>
          <w:tcPr>
            <w:tcW w:w="112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3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0.378</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0.143</w:t>
            </w:r>
          </w:p>
        </w:tc>
        <w:tc>
          <w:tcPr>
            <w:tcW w:w="169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0.138</w:t>
            </w:r>
          </w:p>
        </w:tc>
        <w:tc>
          <w:tcPr>
            <w:tcW w:w="34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0</w:t>
            </w:r>
            <w:r w:rsidRPr="008764AA">
              <w:rPr>
                <w:rFonts w:asciiTheme="majorBidi" w:hAnsiTheme="majorBidi" w:cstheme="majorBidi"/>
                <w:color w:val="000000" w:themeColor="text1"/>
                <w:lang w:val="fr-FR"/>
              </w:rPr>
              <w:t>.94239</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Selon les résultats présentés dans le tableau, le coefficient de détermination R²</w:t>
      </w:r>
      <w:r w:rsidRPr="00226CE1">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143</w:t>
      </w:r>
      <w:r w:rsidRPr="00140F9D">
        <w:rPr>
          <w:rFonts w:asciiTheme="majorBidi" w:hAnsiTheme="majorBidi" w:cstheme="majorBidi"/>
          <w:color w:val="000000" w:themeColor="text1"/>
        </w:rPr>
        <w:t xml:space="preserve">. Cela montre </w:t>
      </w:r>
      <w:r w:rsidRPr="008764AA">
        <w:rPr>
          <w:rFonts w:asciiTheme="majorBidi" w:hAnsiTheme="majorBidi" w:cstheme="majorBidi"/>
          <w:color w:val="000000" w:themeColor="text1"/>
          <w:lang w:val="fr-FR"/>
        </w:rPr>
        <w:t xml:space="preserve">que l’accessibilité numérique </w:t>
      </w:r>
      <w:r w:rsidRPr="00140F9D">
        <w:rPr>
          <w:rFonts w:asciiTheme="majorBidi" w:hAnsiTheme="majorBidi" w:cstheme="majorBidi"/>
          <w:color w:val="000000" w:themeColor="text1"/>
        </w:rPr>
        <w:t xml:space="preserve">influence </w:t>
      </w:r>
      <w:r w:rsidRPr="008764AA">
        <w:rPr>
          <w:rFonts w:asciiTheme="majorBidi" w:hAnsiTheme="majorBidi" w:cstheme="majorBidi"/>
          <w:color w:val="000000" w:themeColor="text1"/>
          <w:lang w:val="fr-FR"/>
        </w:rPr>
        <w:t>le processus de formation digitalisée</w:t>
      </w:r>
      <w:r w:rsidRPr="00140F9D">
        <w:rPr>
          <w:rFonts w:asciiTheme="majorBidi" w:hAnsiTheme="majorBidi" w:cstheme="majorBidi"/>
          <w:color w:val="000000" w:themeColor="text1"/>
        </w:rPr>
        <w:t>. Par ailleurs, le coefficient de corrélation R</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 xml:space="preserve"> </w:t>
      </w: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378</w:t>
      </w:r>
      <w:r>
        <w:rPr>
          <w:rFonts w:asciiTheme="majorBidi" w:hAnsiTheme="majorBidi" w:cstheme="majorBidi"/>
          <w:color w:val="000000" w:themeColor="text1"/>
          <w:vertAlign w:val="superscript"/>
          <w:lang w:val="fr-FR"/>
        </w:rPr>
        <w:t xml:space="preserve"> </w:t>
      </w:r>
      <w:r w:rsidRPr="00140F9D">
        <w:rPr>
          <w:rFonts w:asciiTheme="majorBidi" w:hAnsiTheme="majorBidi" w:cstheme="majorBidi"/>
          <w:color w:val="000000" w:themeColor="text1"/>
        </w:rPr>
        <w:t xml:space="preserve">, indique </w:t>
      </w:r>
      <w:r w:rsidRPr="008764AA">
        <w:rPr>
          <w:rFonts w:asciiTheme="majorBidi" w:hAnsiTheme="majorBidi" w:cstheme="majorBidi"/>
          <w:b/>
          <w:bCs/>
          <w:color w:val="000000" w:themeColor="text1"/>
          <w:lang w:val="fr-FR"/>
        </w:rPr>
        <w:t>relation modérée</w:t>
      </w:r>
      <w:r w:rsidRPr="008764AA">
        <w:rPr>
          <w:rFonts w:asciiTheme="majorBidi" w:hAnsiTheme="majorBidi" w:cstheme="majorBidi"/>
          <w:color w:val="000000" w:themeColor="text1"/>
          <w:lang w:val="fr-FR"/>
        </w:rPr>
        <w:t xml:space="preserve"> </w:t>
      </w:r>
      <w:r w:rsidRPr="00092FF0">
        <w:rPr>
          <w:rFonts w:asciiTheme="majorBidi" w:hAnsiTheme="majorBidi" w:cstheme="majorBidi"/>
          <w:b/>
          <w:bCs/>
          <w:color w:val="000000" w:themeColor="text1"/>
          <w:lang w:val="fr-FR"/>
        </w:rPr>
        <w:t>directe</w:t>
      </w:r>
      <w:r w:rsidRPr="008764AA">
        <w:rPr>
          <w:rFonts w:asciiTheme="majorBidi" w:hAnsiTheme="majorBidi" w:cstheme="majorBidi"/>
          <w:color w:val="000000" w:themeColor="text1"/>
          <w:lang w:val="fr-FR"/>
        </w:rPr>
        <w:t xml:space="preserve"> </w:t>
      </w:r>
      <w:r w:rsidRPr="00140F9D">
        <w:rPr>
          <w:rFonts w:asciiTheme="majorBidi" w:hAnsiTheme="majorBidi" w:cstheme="majorBidi"/>
          <w:color w:val="000000" w:themeColor="text1"/>
        </w:rPr>
        <w:t xml:space="preserve">entre </w:t>
      </w:r>
      <w:r w:rsidRPr="008764AA">
        <w:rPr>
          <w:rFonts w:asciiTheme="majorBidi" w:hAnsiTheme="majorBidi" w:cstheme="majorBidi"/>
          <w:color w:val="000000" w:themeColor="text1"/>
          <w:lang w:val="fr-FR"/>
        </w:rPr>
        <w:t>l’accessibilité numérique</w:t>
      </w:r>
      <w:r w:rsidRPr="00140F9D">
        <w:rPr>
          <w:rFonts w:asciiTheme="majorBidi" w:hAnsiTheme="majorBidi" w:cstheme="majorBidi"/>
          <w:color w:val="000000" w:themeColor="text1"/>
        </w:rPr>
        <w:t xml:space="preserve"> </w:t>
      </w:r>
      <w:r>
        <w:rPr>
          <w:rFonts w:asciiTheme="majorBidi" w:hAnsiTheme="majorBidi" w:cstheme="majorBidi"/>
          <w:color w:val="000000" w:themeColor="text1"/>
          <w:lang w:val="fr-FR"/>
        </w:rPr>
        <w:t>et</w:t>
      </w:r>
      <w:r w:rsidRPr="008764AA">
        <w:rPr>
          <w:rFonts w:asciiTheme="majorBidi" w:hAnsiTheme="majorBidi" w:cstheme="majorBidi"/>
          <w:color w:val="000000" w:themeColor="text1"/>
          <w:lang w:val="fr-FR"/>
        </w:rPr>
        <w:t xml:space="preserve"> le processus de formation digitalisée</w:t>
      </w:r>
      <w:r w:rsidRPr="00140F9D">
        <w:rPr>
          <w:rFonts w:asciiTheme="majorBidi" w:hAnsiTheme="majorBidi" w:cstheme="majorBidi"/>
          <w:color w:val="000000" w:themeColor="text1"/>
        </w:rPr>
        <w:t xml:space="preserve">, avec un taux de corrélation de </w:t>
      </w:r>
      <w:r>
        <w:rPr>
          <w:rFonts w:asciiTheme="majorBidi" w:hAnsiTheme="majorBidi" w:cstheme="majorBidi"/>
          <w:color w:val="000000" w:themeColor="text1"/>
          <w:lang w:val="fr-FR"/>
        </w:rPr>
        <w:t>37,8</w:t>
      </w:r>
      <w:r w:rsidRPr="008764AA">
        <w:rPr>
          <w:rFonts w:asciiTheme="majorBidi" w:hAnsiTheme="majorBidi" w:cstheme="majorBidi"/>
          <w:color w:val="000000" w:themeColor="text1"/>
          <w:lang w:val="fr-FR"/>
        </w:rPr>
        <w:t>%.</w:t>
      </w:r>
    </w:p>
    <w:p w:rsidR="005353F3" w:rsidRPr="00F77332" w:rsidRDefault="005353F3" w:rsidP="004D32AC">
      <w:pPr>
        <w:pStyle w:val="Paragraphedeliste"/>
        <w:numPr>
          <w:ilvl w:val="0"/>
          <w:numId w:val="179"/>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 xml:space="preserve"> Analyse de la variance ANOVA </w:t>
      </w:r>
      <w:r w:rsidR="00D657FC">
        <w:rPr>
          <w:rFonts w:asciiTheme="majorBidi" w:hAnsiTheme="majorBidi" w:cstheme="majorBidi"/>
          <w:b/>
          <w:bCs/>
          <w:color w:val="000000" w:themeColor="text1"/>
          <w:lang w:val="fr-FR"/>
        </w:rPr>
        <w:t xml:space="preserve">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H2.3 </w:t>
      </w:r>
      <w:r w:rsidRPr="00F77332">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N°61 </w:t>
      </w:r>
      <w:r w:rsidRPr="008764AA">
        <w:rPr>
          <w:rFonts w:asciiTheme="majorBidi" w:hAnsiTheme="majorBidi" w:cstheme="majorBidi"/>
          <w:b/>
          <w:bCs/>
          <w:color w:val="000000" w:themeColor="text1"/>
          <w:lang w:val="fr-FR"/>
        </w:rPr>
        <w:t xml:space="preserve">: </w:t>
      </w:r>
      <w:r w:rsidRPr="0071110F">
        <w:rPr>
          <w:rFonts w:asciiTheme="majorBidi" w:hAnsiTheme="majorBidi" w:cstheme="majorBidi"/>
          <w:color w:val="000000" w:themeColor="text1"/>
          <w:lang w:val="fr-FR"/>
        </w:rPr>
        <w:t>La variance ANOVA</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H2.3</w:t>
      </w:r>
    </w:p>
    <w:tbl>
      <w:tblPr>
        <w:tblStyle w:val="Grilledutableau"/>
        <w:tblW w:w="8998" w:type="dxa"/>
        <w:tblLayout w:type="fixed"/>
        <w:tblLook w:val="0000" w:firstRow="0" w:lastRow="0" w:firstColumn="0" w:lastColumn="0" w:noHBand="0" w:noVBand="0"/>
      </w:tblPr>
      <w:tblGrid>
        <w:gridCol w:w="853"/>
        <w:gridCol w:w="1552"/>
        <w:gridCol w:w="1500"/>
        <w:gridCol w:w="1186"/>
        <w:gridCol w:w="1535"/>
        <w:gridCol w:w="1186"/>
        <w:gridCol w:w="1186"/>
      </w:tblGrid>
      <w:tr w:rsidR="005353F3" w:rsidRPr="008764AA" w:rsidTr="00EC661E">
        <w:tc>
          <w:tcPr>
            <w:tcW w:w="2405"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50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24.934</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24.934</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28.076</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Résidus</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149.201</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0.888</w:t>
            </w: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174.135</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 xml:space="preserve">Le tableau ci-dessus montre que </w:t>
      </w:r>
      <w:r w:rsidRPr="008764AA">
        <w:rPr>
          <w:rFonts w:asciiTheme="majorBidi" w:hAnsiTheme="majorBidi" w:cstheme="majorBidi"/>
          <w:color w:val="000000" w:themeColor="text1"/>
          <w:lang w:val="fr-FR"/>
        </w:rPr>
        <w:t>la significativité est égale à 0,000 était inférieure à 0,05, Cela 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 relation positive statistiquement significative entre l’accessibilité numérique et le processus de formation digitalisée.</w:t>
      </w:r>
    </w:p>
    <w:p w:rsidR="005353F3" w:rsidRPr="00F77332" w:rsidRDefault="005353F3" w:rsidP="004D32AC">
      <w:pPr>
        <w:pStyle w:val="Paragraphedeliste"/>
        <w:numPr>
          <w:ilvl w:val="0"/>
          <w:numId w:val="179"/>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Coefficients de régression</w:t>
      </w:r>
      <w:r w:rsidR="00D657FC">
        <w:rPr>
          <w:rFonts w:asciiTheme="majorBidi" w:hAnsiTheme="majorBidi" w:cstheme="majorBidi"/>
          <w:b/>
          <w:bCs/>
          <w:color w:val="000000" w:themeColor="text1"/>
          <w:lang w:val="fr-FR"/>
        </w:rPr>
        <w:t xml:space="preserve"> de </w:t>
      </w:r>
      <w:r w:rsidR="00D657FC" w:rsidRPr="00716234">
        <w:rPr>
          <w:rFonts w:asciiTheme="majorBidi" w:hAnsiTheme="majorBidi" w:cstheme="majorBidi"/>
          <w:b/>
          <w:bCs/>
          <w:color w:val="000000" w:themeColor="text1"/>
          <w:lang w:val="fr-FR"/>
        </w:rPr>
        <w:t>la sous-hypothèse</w:t>
      </w:r>
      <w:r w:rsidR="00D657FC">
        <w:rPr>
          <w:rFonts w:asciiTheme="majorBidi" w:hAnsiTheme="majorBidi" w:cstheme="majorBidi"/>
          <w:b/>
          <w:bCs/>
          <w:color w:val="000000" w:themeColor="text1"/>
          <w:lang w:val="fr-FR"/>
        </w:rPr>
        <w:t xml:space="preserve"> H2.3 </w:t>
      </w:r>
      <w:r w:rsidRPr="00F77332">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N°62</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Coefficients de régression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la sous-hypothèse H2.3</w:t>
      </w:r>
    </w:p>
    <w:tbl>
      <w:tblPr>
        <w:tblStyle w:val="Grilledutableau"/>
        <w:tblW w:w="9362" w:type="dxa"/>
        <w:tblLayout w:type="fixed"/>
        <w:tblLook w:val="0000" w:firstRow="0" w:lastRow="0" w:firstColumn="0" w:lastColumn="0" w:noHBand="0" w:noVBand="0"/>
      </w:tblPr>
      <w:tblGrid>
        <w:gridCol w:w="835"/>
        <w:gridCol w:w="1340"/>
        <w:gridCol w:w="1559"/>
        <w:gridCol w:w="1661"/>
        <w:gridCol w:w="1661"/>
        <w:gridCol w:w="1153"/>
        <w:gridCol w:w="1153"/>
      </w:tblGrid>
      <w:tr w:rsidR="005353F3" w:rsidRPr="008764AA" w:rsidTr="00EC661E">
        <w:tc>
          <w:tcPr>
            <w:tcW w:w="2175" w:type="dxa"/>
            <w:gridSpan w:val="2"/>
            <w:shd w:val="clear" w:color="auto" w:fill="D8DCD1"/>
          </w:tcPr>
          <w:p w:rsidR="005353F3" w:rsidRPr="008764AA" w:rsidRDefault="005353F3" w:rsidP="00EC661E">
            <w:pPr>
              <w:spacing w:line="360" w:lineRule="auto"/>
              <w:ind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3220"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1"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5" w:type="dxa"/>
            <w:vMerge w:val="restart"/>
            <w:tcBorders>
              <w:righ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340" w:type="dxa"/>
            <w:vMerge w:val="restart"/>
            <w:tcBorders>
              <w:lef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r>
      <w:tr w:rsidR="005353F3" w:rsidRPr="008764AA" w:rsidTr="00E6084A">
        <w:tc>
          <w:tcPr>
            <w:tcW w:w="835" w:type="dxa"/>
            <w:vMerge/>
            <w:tcBorders>
              <w:righ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340" w:type="dxa"/>
            <w:vMerge/>
            <w:tcBorders>
              <w:lef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2.449</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0.286</w:t>
            </w:r>
          </w:p>
        </w:tc>
        <w:tc>
          <w:tcPr>
            <w:tcW w:w="1661"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8.576</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5" w:type="dxa"/>
            <w:vMerge/>
            <w:tcBorders>
              <w:right w:val="single" w:sz="4" w:space="0" w:color="auto"/>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40" w:type="dxa"/>
            <w:tcBorders>
              <w:lef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Acces</w:t>
            </w:r>
            <w:proofErr w:type="spellEnd"/>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0.369</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0.070</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0.378</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5.299</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lastRenderedPageBreak/>
        <w:t xml:space="preserve">Les résultats du tableau précédent indiquent que </w:t>
      </w:r>
      <w:r w:rsidRPr="008764AA">
        <w:rPr>
          <w:rFonts w:asciiTheme="majorBidi" w:hAnsiTheme="majorBidi" w:cstheme="majorBidi"/>
          <w:color w:val="000000" w:themeColor="text1"/>
          <w:lang w:val="fr-FR"/>
        </w:rPr>
        <w:t>la relation entre l’accessibilité numérique et le processus de formation digitalisée,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Y = 0,369 X</w:t>
      </w:r>
      <w:r w:rsidRPr="008764AA">
        <w:rPr>
          <w:rFonts w:asciiTheme="majorBidi" w:hAnsiTheme="majorBidi" w:cstheme="majorBidi"/>
          <w:color w:val="000000" w:themeColor="text1"/>
          <w:vertAlign w:val="subscript"/>
          <w:lang w:val="fr-FR"/>
        </w:rPr>
        <w:t>8</w:t>
      </w:r>
      <w:r w:rsidRPr="008764AA">
        <w:rPr>
          <w:rFonts w:asciiTheme="majorBidi" w:hAnsiTheme="majorBidi" w:cstheme="majorBidi"/>
          <w:color w:val="000000" w:themeColor="text1"/>
          <w:lang w:val="fr-FR"/>
        </w:rPr>
        <w:t xml:space="preserve"> + 1,689</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Où Y représente la variable dépendante (le processus de formation digitalisée) </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X</w:t>
      </w:r>
      <w:r w:rsidRPr="008764AA">
        <w:rPr>
          <w:rFonts w:asciiTheme="majorBidi" w:hAnsiTheme="majorBidi" w:cstheme="majorBidi"/>
          <w:color w:val="000000" w:themeColor="text1"/>
          <w:vertAlign w:val="subscript"/>
          <w:lang w:val="fr-FR"/>
        </w:rPr>
        <w:t>8</w:t>
      </w:r>
      <w:r w:rsidRPr="008764AA">
        <w:rPr>
          <w:rFonts w:asciiTheme="majorBidi" w:hAnsiTheme="majorBidi" w:cstheme="majorBidi"/>
          <w:color w:val="000000" w:themeColor="text1"/>
          <w:lang w:val="fr-FR"/>
        </w:rPr>
        <w:t xml:space="preserve"> </w:t>
      </w:r>
      <w:r>
        <w:rPr>
          <w:rFonts w:asciiTheme="majorBidi" w:hAnsiTheme="majorBidi" w:cstheme="majorBidi"/>
          <w:color w:val="000000" w:themeColor="text1"/>
          <w:lang w:val="fr-FR"/>
        </w:rPr>
        <w:t>désigne</w:t>
      </w:r>
      <w:r w:rsidRPr="008764AA">
        <w:rPr>
          <w:rFonts w:asciiTheme="majorBidi" w:hAnsiTheme="majorBidi" w:cstheme="majorBidi"/>
          <w:color w:val="000000" w:themeColor="text1"/>
          <w:lang w:val="fr-FR"/>
        </w:rPr>
        <w:t xml:space="preserve"> la variable </w:t>
      </w:r>
      <w:r>
        <w:rPr>
          <w:rFonts w:asciiTheme="majorBidi" w:hAnsiTheme="majorBidi" w:cstheme="majorBidi"/>
          <w:color w:val="000000" w:themeColor="text1"/>
          <w:lang w:val="fr-FR"/>
        </w:rPr>
        <w:t>i</w:t>
      </w:r>
      <w:r w:rsidRPr="008764AA">
        <w:rPr>
          <w:rFonts w:asciiTheme="majorBidi" w:hAnsiTheme="majorBidi" w:cstheme="majorBidi"/>
          <w:color w:val="000000" w:themeColor="text1"/>
          <w:lang w:val="fr-FR"/>
        </w:rPr>
        <w:t>ndépendante (l’accessibilité numérique) et le nombre 0,369 est la valeur de β8 de la pente de l’équation de régression.</w:t>
      </w:r>
    </w:p>
    <w:p w:rsidR="005353F3" w:rsidRPr="004D4075" w:rsidRDefault="005353F3" w:rsidP="0091753F">
      <w:pPr>
        <w:pStyle w:val="Titre3"/>
        <w:numPr>
          <w:ilvl w:val="0"/>
          <w:numId w:val="194"/>
        </w:numPr>
        <w:spacing w:after="0" w:afterAutospacing="0" w:line="360" w:lineRule="auto"/>
        <w:rPr>
          <w:sz w:val="24"/>
          <w:szCs w:val="24"/>
          <w:lang w:val="fr-FR"/>
        </w:rPr>
      </w:pPr>
      <w:bookmarkStart w:id="2400" w:name="_Toc199714591"/>
      <w:bookmarkStart w:id="2401" w:name="_Toc200486867"/>
      <w:bookmarkStart w:id="2402" w:name="_Toc200635645"/>
      <w:bookmarkStart w:id="2403" w:name="_Toc200636033"/>
      <w:bookmarkStart w:id="2404" w:name="_Toc200636422"/>
      <w:bookmarkStart w:id="2405" w:name="_Toc200756163"/>
      <w:r w:rsidRPr="004D4075">
        <w:rPr>
          <w:sz w:val="24"/>
          <w:szCs w:val="24"/>
          <w:lang w:val="fr-FR"/>
        </w:rPr>
        <w:t>Test de la troisième hypothèse :</w:t>
      </w:r>
      <w:bookmarkEnd w:id="2400"/>
      <w:bookmarkEnd w:id="2401"/>
      <w:bookmarkEnd w:id="2402"/>
      <w:bookmarkEnd w:id="2403"/>
      <w:bookmarkEnd w:id="2404"/>
      <w:bookmarkEnd w:id="2405"/>
    </w:p>
    <w:p w:rsidR="005353F3" w:rsidRPr="00847F4A" w:rsidRDefault="005353F3" w:rsidP="0091753F">
      <w:pPr>
        <w:pStyle w:val="p1"/>
        <w:spacing w:after="240" w:line="360" w:lineRule="auto"/>
        <w:jc w:val="both"/>
        <w:rPr>
          <w:rFonts w:asciiTheme="majorBidi" w:hAnsiTheme="majorBidi" w:cstheme="majorBidi"/>
          <w:color w:val="000000" w:themeColor="text1"/>
          <w:sz w:val="24"/>
          <w:szCs w:val="24"/>
          <w:lang w:val="fr-FR"/>
        </w:rPr>
      </w:pPr>
      <w:r w:rsidRPr="008764AA">
        <w:rPr>
          <w:rFonts w:asciiTheme="majorBidi" w:hAnsiTheme="majorBidi" w:cstheme="majorBidi"/>
          <w:b/>
          <w:bCs/>
          <w:color w:val="000000" w:themeColor="text1"/>
          <w:sz w:val="24"/>
          <w:szCs w:val="24"/>
        </w:rPr>
        <w:t>H</w:t>
      </w:r>
      <w:r>
        <w:rPr>
          <w:rFonts w:asciiTheme="majorBidi" w:hAnsiTheme="majorBidi" w:cstheme="majorBidi"/>
          <w:b/>
          <w:bCs/>
          <w:color w:val="000000" w:themeColor="text1"/>
          <w:sz w:val="24"/>
          <w:szCs w:val="24"/>
        </w:rPr>
        <w:t>3</w:t>
      </w:r>
      <w:r w:rsidRPr="008764AA">
        <w:rPr>
          <w:rFonts w:asciiTheme="majorBidi" w:hAnsiTheme="majorBidi" w:cstheme="majorBidi"/>
          <w:b/>
          <w:bCs/>
          <w:color w:val="000000" w:themeColor="text1"/>
          <w:sz w:val="24"/>
          <w:szCs w:val="24"/>
        </w:rPr>
        <w:t xml:space="preserve">: </w:t>
      </w:r>
      <w:r w:rsidRPr="008764AA">
        <w:rPr>
          <w:rFonts w:asciiTheme="majorBidi" w:hAnsiTheme="majorBidi" w:cstheme="majorBidi"/>
          <w:color w:val="000000" w:themeColor="text1"/>
          <w:sz w:val="24"/>
          <w:szCs w:val="24"/>
        </w:rPr>
        <w:t>La digitalisation des processus RH à un impact positif significatif sur la performance des RH au niveau de signification de 0,05</w:t>
      </w:r>
      <w:r w:rsidRPr="00847F4A">
        <w:rPr>
          <w:rFonts w:asciiTheme="majorBidi" w:hAnsiTheme="majorBidi" w:cstheme="majorBidi"/>
          <w:color w:val="000000" w:themeColor="text1"/>
          <w:sz w:val="24"/>
          <w:szCs w:val="24"/>
          <w:lang w:val="fr-FR"/>
        </w:rPr>
        <w:t>.</w:t>
      </w:r>
    </w:p>
    <w:p w:rsidR="005353F3" w:rsidRPr="00F77332" w:rsidRDefault="005353F3" w:rsidP="004D32AC">
      <w:pPr>
        <w:pStyle w:val="Paragraphedeliste"/>
        <w:numPr>
          <w:ilvl w:val="0"/>
          <w:numId w:val="180"/>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 xml:space="preserve"> Coefficient de corrélation R2 (R-square)</w:t>
      </w:r>
      <w:r w:rsidR="00D657FC" w:rsidRPr="00D657FC">
        <w:rPr>
          <w:rFonts w:asciiTheme="majorBidi" w:hAnsiTheme="majorBidi" w:cstheme="majorBidi"/>
          <w:b/>
          <w:bCs/>
          <w:color w:val="000000" w:themeColor="text1"/>
          <w:lang w:val="fr-FR"/>
        </w:rPr>
        <w:t xml:space="preserve"> </w:t>
      </w:r>
      <w:r w:rsidR="00D657FC">
        <w:rPr>
          <w:rFonts w:asciiTheme="majorBidi" w:hAnsiTheme="majorBidi" w:cstheme="majorBidi"/>
          <w:b/>
          <w:bCs/>
          <w:color w:val="000000" w:themeColor="text1"/>
          <w:lang w:val="fr-FR"/>
        </w:rPr>
        <w:t xml:space="preserve">de </w:t>
      </w:r>
      <w:r w:rsidR="00D657FC" w:rsidRPr="00716234">
        <w:rPr>
          <w:rFonts w:asciiTheme="majorBidi" w:hAnsiTheme="majorBidi" w:cstheme="majorBidi"/>
          <w:b/>
          <w:bCs/>
          <w:color w:val="000000" w:themeColor="text1"/>
          <w:lang w:val="fr-FR"/>
        </w:rPr>
        <w:t>l</w:t>
      </w:r>
      <w:r w:rsidR="00D657FC">
        <w:rPr>
          <w:rFonts w:asciiTheme="majorBidi" w:hAnsiTheme="majorBidi" w:cstheme="majorBidi"/>
          <w:b/>
          <w:bCs/>
          <w:color w:val="000000" w:themeColor="text1"/>
          <w:lang w:val="fr-FR"/>
        </w:rPr>
        <w:t>’</w:t>
      </w:r>
      <w:r w:rsidR="00D657FC" w:rsidRPr="00716234">
        <w:rPr>
          <w:rFonts w:asciiTheme="majorBidi" w:hAnsiTheme="majorBidi" w:cstheme="majorBidi"/>
          <w:b/>
          <w:bCs/>
          <w:color w:val="000000" w:themeColor="text1"/>
          <w:lang w:val="fr-FR"/>
        </w:rPr>
        <w:t>hypothèse</w:t>
      </w:r>
      <w:r w:rsidR="00D657FC">
        <w:rPr>
          <w:rFonts w:asciiTheme="majorBidi" w:hAnsiTheme="majorBidi" w:cstheme="majorBidi"/>
          <w:b/>
          <w:bCs/>
          <w:color w:val="000000" w:themeColor="text1"/>
          <w:lang w:val="fr-FR"/>
        </w:rPr>
        <w:t xml:space="preserve"> H3</w:t>
      </w:r>
      <w:r w:rsidRPr="00F77332">
        <w:rPr>
          <w:rFonts w:asciiTheme="majorBidi" w:hAnsiTheme="majorBidi" w:cstheme="majorBidi"/>
          <w:b/>
          <w:bCs/>
          <w:color w:val="000000" w:themeColor="text1"/>
          <w:lang w:val="fr-FR"/>
        </w:rPr>
        <w:t xml:space="preserve"> :</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N°63 </w:t>
      </w:r>
      <w:r w:rsidRPr="008764AA">
        <w:rPr>
          <w:rFonts w:asciiTheme="majorBidi" w:hAnsiTheme="majorBidi" w:cstheme="majorBidi"/>
          <w:b/>
          <w:bCs/>
          <w:color w:val="000000" w:themeColor="text1"/>
          <w:lang w:val="fr-FR"/>
        </w:rPr>
        <w:t xml:space="preserve">: </w:t>
      </w:r>
      <w:r w:rsidRPr="0071110F">
        <w:rPr>
          <w:rFonts w:asciiTheme="majorBidi" w:hAnsiTheme="majorBidi" w:cstheme="majorBidi"/>
          <w:color w:val="000000" w:themeColor="text1"/>
          <w:lang w:val="fr-FR"/>
        </w:rPr>
        <w:t>Coefficients de corrélation</w:t>
      </w:r>
    </w:p>
    <w:tbl>
      <w:tblPr>
        <w:tblStyle w:val="Grilledutableau"/>
        <w:tblW w:w="9351" w:type="dxa"/>
        <w:tblLayout w:type="fixed"/>
        <w:tblLook w:val="0000" w:firstRow="0" w:lastRow="0" w:firstColumn="0" w:lastColumn="0" w:noHBand="0" w:noVBand="0"/>
      </w:tblPr>
      <w:tblGrid>
        <w:gridCol w:w="1129"/>
        <w:gridCol w:w="1032"/>
        <w:gridCol w:w="1186"/>
        <w:gridCol w:w="1692"/>
        <w:gridCol w:w="4312"/>
      </w:tblGrid>
      <w:tr w:rsidR="005353F3" w:rsidRPr="008764AA" w:rsidTr="00EC661E">
        <w:tc>
          <w:tcPr>
            <w:tcW w:w="1129"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3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431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c>
          <w:tcPr>
            <w:tcW w:w="112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3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0.827</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0.684</w:t>
            </w:r>
          </w:p>
        </w:tc>
        <w:tc>
          <w:tcPr>
            <w:tcW w:w="169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0.682</w:t>
            </w:r>
          </w:p>
        </w:tc>
        <w:tc>
          <w:tcPr>
            <w:tcW w:w="431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0.54171</w:t>
            </w: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Selon les résultats présentés dans le tableau, le coefficient de détermination R²</w:t>
      </w:r>
      <w:r w:rsidRPr="00226CE1">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0,684</w:t>
      </w:r>
      <w:r w:rsidRPr="00140F9D">
        <w:rPr>
          <w:rFonts w:asciiTheme="majorBidi" w:hAnsiTheme="majorBidi" w:cstheme="majorBidi"/>
          <w:color w:val="000000" w:themeColor="text1"/>
        </w:rPr>
        <w:t xml:space="preserve">. Cela montre </w:t>
      </w:r>
      <w:r w:rsidRPr="008764AA">
        <w:rPr>
          <w:rFonts w:asciiTheme="majorBidi" w:hAnsiTheme="majorBidi" w:cstheme="majorBidi"/>
          <w:color w:val="000000" w:themeColor="text1"/>
          <w:lang w:val="fr-FR"/>
        </w:rPr>
        <w:t xml:space="preserve">que la digitalisation des processus RH </w:t>
      </w:r>
      <w:r w:rsidRPr="00140F9D">
        <w:rPr>
          <w:rFonts w:asciiTheme="majorBidi" w:hAnsiTheme="majorBidi" w:cstheme="majorBidi"/>
          <w:color w:val="000000" w:themeColor="text1"/>
        </w:rPr>
        <w:t xml:space="preserve">influence </w:t>
      </w:r>
      <w:r w:rsidRPr="008764AA">
        <w:rPr>
          <w:rFonts w:asciiTheme="majorBidi" w:hAnsiTheme="majorBidi" w:cstheme="majorBidi"/>
          <w:color w:val="000000" w:themeColor="text1"/>
          <w:lang w:val="fr-FR"/>
        </w:rPr>
        <w:t>la performance des RH</w:t>
      </w:r>
      <w:r w:rsidRPr="00140F9D">
        <w:rPr>
          <w:rFonts w:asciiTheme="majorBidi" w:hAnsiTheme="majorBidi" w:cstheme="majorBidi"/>
          <w:color w:val="000000" w:themeColor="text1"/>
        </w:rPr>
        <w:t>. Par ailleurs, le coefficient de corrélation R</w:t>
      </w:r>
      <w:r w:rsidRPr="00226CE1">
        <w:rPr>
          <w:rFonts w:asciiTheme="majorBidi" w:hAnsiTheme="majorBidi" w:cstheme="majorBidi"/>
          <w:color w:val="000000" w:themeColor="text1"/>
          <w:lang w:val="fr-FR"/>
        </w:rPr>
        <w:t>=</w:t>
      </w:r>
      <w:r w:rsidRPr="00140F9D">
        <w:rPr>
          <w:rFonts w:asciiTheme="majorBidi" w:hAnsiTheme="majorBidi" w:cstheme="majorBidi"/>
          <w:color w:val="000000" w:themeColor="text1"/>
        </w:rPr>
        <w:t xml:space="preserve"> </w:t>
      </w:r>
      <w:r w:rsidRPr="008764AA">
        <w:rPr>
          <w:rFonts w:asciiTheme="majorBidi" w:hAnsiTheme="majorBidi" w:cstheme="majorBidi"/>
          <w:color w:val="000000" w:themeColor="text1"/>
          <w:lang w:val="fr-FR"/>
        </w:rPr>
        <w:t>0</w:t>
      </w:r>
      <w:r>
        <w:rPr>
          <w:rFonts w:asciiTheme="majorBidi" w:hAnsiTheme="majorBidi" w:cstheme="majorBidi"/>
          <w:color w:val="000000" w:themeColor="text1"/>
          <w:lang w:val="fr-FR"/>
        </w:rPr>
        <w:t>,827</w:t>
      </w:r>
      <w:r>
        <w:rPr>
          <w:rFonts w:asciiTheme="majorBidi" w:hAnsiTheme="majorBidi" w:cstheme="majorBidi"/>
          <w:color w:val="000000" w:themeColor="text1"/>
          <w:vertAlign w:val="superscript"/>
          <w:lang w:val="fr-FR"/>
        </w:rPr>
        <w:t xml:space="preserve"> </w:t>
      </w:r>
      <w:r w:rsidRPr="00140F9D">
        <w:rPr>
          <w:rFonts w:asciiTheme="majorBidi" w:hAnsiTheme="majorBidi" w:cstheme="majorBidi"/>
          <w:color w:val="000000" w:themeColor="text1"/>
        </w:rPr>
        <w:t xml:space="preserve">, indique </w:t>
      </w:r>
      <w:r w:rsidRPr="008764AA">
        <w:rPr>
          <w:rFonts w:asciiTheme="majorBidi" w:hAnsiTheme="majorBidi" w:cstheme="majorBidi"/>
          <w:b/>
          <w:bCs/>
          <w:color w:val="000000" w:themeColor="text1"/>
          <w:lang w:val="fr-FR"/>
        </w:rPr>
        <w:t>une forte relation</w:t>
      </w:r>
      <w:r w:rsidRPr="008764AA">
        <w:rPr>
          <w:rFonts w:asciiTheme="majorBidi" w:hAnsiTheme="majorBidi" w:cstheme="majorBidi"/>
          <w:color w:val="000000" w:themeColor="text1"/>
          <w:lang w:val="fr-FR"/>
        </w:rPr>
        <w:t xml:space="preserve"> </w:t>
      </w:r>
      <w:r w:rsidRPr="00092FF0">
        <w:rPr>
          <w:rFonts w:asciiTheme="majorBidi" w:hAnsiTheme="majorBidi" w:cstheme="majorBidi"/>
          <w:b/>
          <w:bCs/>
          <w:color w:val="000000" w:themeColor="text1"/>
          <w:lang w:val="fr-FR"/>
        </w:rPr>
        <w:t>directe</w:t>
      </w:r>
      <w:r w:rsidRPr="008764AA">
        <w:rPr>
          <w:rFonts w:asciiTheme="majorBidi" w:hAnsiTheme="majorBidi" w:cstheme="majorBidi"/>
          <w:color w:val="000000" w:themeColor="text1"/>
          <w:lang w:val="fr-FR"/>
        </w:rPr>
        <w:t xml:space="preserve"> </w:t>
      </w:r>
      <w:r w:rsidRPr="00140F9D">
        <w:rPr>
          <w:rFonts w:asciiTheme="majorBidi" w:hAnsiTheme="majorBidi" w:cstheme="majorBidi"/>
          <w:color w:val="000000" w:themeColor="text1"/>
        </w:rPr>
        <w:t xml:space="preserve">entre </w:t>
      </w:r>
      <w:r w:rsidRPr="008764AA">
        <w:rPr>
          <w:rFonts w:asciiTheme="majorBidi" w:hAnsiTheme="majorBidi" w:cstheme="majorBidi"/>
          <w:color w:val="000000" w:themeColor="text1"/>
          <w:lang w:val="fr-FR"/>
        </w:rPr>
        <w:t>la digitalisation des processus RH et la performance des RH</w:t>
      </w:r>
      <w:r w:rsidRPr="00140F9D">
        <w:rPr>
          <w:rFonts w:asciiTheme="majorBidi" w:hAnsiTheme="majorBidi" w:cstheme="majorBidi"/>
          <w:color w:val="000000" w:themeColor="text1"/>
        </w:rPr>
        <w:t xml:space="preserve">, avec un taux de corrélation de </w:t>
      </w:r>
      <w:r w:rsidRPr="008764AA">
        <w:rPr>
          <w:rFonts w:asciiTheme="majorBidi" w:hAnsiTheme="majorBidi" w:cstheme="majorBidi"/>
          <w:color w:val="000000" w:themeColor="text1"/>
          <w:lang w:val="fr-FR"/>
        </w:rPr>
        <w:t>82,7%.</w:t>
      </w:r>
    </w:p>
    <w:p w:rsidR="005353F3" w:rsidRPr="00F77332" w:rsidRDefault="005353F3" w:rsidP="004D32AC">
      <w:pPr>
        <w:pStyle w:val="Paragraphedeliste"/>
        <w:numPr>
          <w:ilvl w:val="0"/>
          <w:numId w:val="180"/>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 xml:space="preserve"> Analyse de la variance ANOVA </w:t>
      </w:r>
      <w:r w:rsidR="00D657FC">
        <w:rPr>
          <w:rFonts w:asciiTheme="majorBidi" w:hAnsiTheme="majorBidi" w:cstheme="majorBidi"/>
          <w:b/>
          <w:bCs/>
          <w:color w:val="000000" w:themeColor="text1"/>
          <w:lang w:val="fr-FR"/>
        </w:rPr>
        <w:t xml:space="preserve">de </w:t>
      </w:r>
      <w:r w:rsidR="00D657FC" w:rsidRPr="00716234">
        <w:rPr>
          <w:rFonts w:asciiTheme="majorBidi" w:hAnsiTheme="majorBidi" w:cstheme="majorBidi"/>
          <w:b/>
          <w:bCs/>
          <w:color w:val="000000" w:themeColor="text1"/>
          <w:lang w:val="fr-FR"/>
        </w:rPr>
        <w:t>l</w:t>
      </w:r>
      <w:r w:rsidR="00D657FC">
        <w:rPr>
          <w:rFonts w:asciiTheme="majorBidi" w:hAnsiTheme="majorBidi" w:cstheme="majorBidi"/>
          <w:b/>
          <w:bCs/>
          <w:color w:val="000000" w:themeColor="text1"/>
          <w:lang w:val="fr-FR"/>
        </w:rPr>
        <w:t>’</w:t>
      </w:r>
      <w:r w:rsidR="00D657FC" w:rsidRPr="00716234">
        <w:rPr>
          <w:rFonts w:asciiTheme="majorBidi" w:hAnsiTheme="majorBidi" w:cstheme="majorBidi"/>
          <w:b/>
          <w:bCs/>
          <w:color w:val="000000" w:themeColor="text1"/>
          <w:lang w:val="fr-FR"/>
        </w:rPr>
        <w:t>hypothèse</w:t>
      </w:r>
      <w:r w:rsidR="00D657FC">
        <w:rPr>
          <w:rFonts w:asciiTheme="majorBidi" w:hAnsiTheme="majorBidi" w:cstheme="majorBidi"/>
          <w:b/>
          <w:bCs/>
          <w:color w:val="000000" w:themeColor="text1"/>
          <w:lang w:val="fr-FR"/>
        </w:rPr>
        <w:t xml:space="preserve"> H3 </w:t>
      </w:r>
      <w:r w:rsidRPr="00F77332">
        <w:rPr>
          <w:rFonts w:asciiTheme="majorBidi" w:hAnsiTheme="majorBidi" w:cstheme="majorBidi"/>
          <w:b/>
          <w:bCs/>
          <w:color w:val="000000" w:themeColor="text1"/>
          <w:lang w:val="fr-FR"/>
        </w:rPr>
        <w:t>:</w:t>
      </w:r>
    </w:p>
    <w:p w:rsidR="005353F3" w:rsidRPr="0071110F"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N°64</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La variance ANOVA</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l’hypothèse H3</w:t>
      </w:r>
    </w:p>
    <w:tbl>
      <w:tblPr>
        <w:tblStyle w:val="Grilledutableau"/>
        <w:tblW w:w="8998" w:type="dxa"/>
        <w:tblLayout w:type="fixed"/>
        <w:tblLook w:val="0000" w:firstRow="0" w:lastRow="0" w:firstColumn="0" w:lastColumn="0" w:noHBand="0" w:noVBand="0"/>
      </w:tblPr>
      <w:tblGrid>
        <w:gridCol w:w="853"/>
        <w:gridCol w:w="1552"/>
        <w:gridCol w:w="1500"/>
        <w:gridCol w:w="1186"/>
        <w:gridCol w:w="1535"/>
        <w:gridCol w:w="1307"/>
        <w:gridCol w:w="1065"/>
      </w:tblGrid>
      <w:tr w:rsidR="005353F3" w:rsidRPr="008764AA" w:rsidTr="00EC661E">
        <w:tc>
          <w:tcPr>
            <w:tcW w:w="2405"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50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307"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06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106.602</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106.602</w:t>
            </w:r>
          </w:p>
        </w:tc>
        <w:tc>
          <w:tcPr>
            <w:tcW w:w="1307"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363.271</w:t>
            </w:r>
          </w:p>
        </w:tc>
        <w:tc>
          <w:tcPr>
            <w:tcW w:w="106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Résidus</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49.300</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0.293</w:t>
            </w:r>
          </w:p>
        </w:tc>
        <w:tc>
          <w:tcPr>
            <w:tcW w:w="1307"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06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155.902</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07"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06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 xml:space="preserve">Le tableau ci-dessus montre que </w:t>
      </w:r>
      <w:r w:rsidRPr="008764AA">
        <w:rPr>
          <w:rFonts w:asciiTheme="majorBidi" w:hAnsiTheme="majorBidi" w:cstheme="majorBidi"/>
          <w:color w:val="000000" w:themeColor="text1"/>
          <w:lang w:val="fr-FR"/>
        </w:rPr>
        <w:t>la significativité est égale à 0,000 était inférieure à 0,05, Cela 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 relation positive statistiquement significative entre la digitalisation des processus RH et la performance des RH.</w:t>
      </w:r>
    </w:p>
    <w:p w:rsidR="005353F3" w:rsidRPr="00F77332" w:rsidRDefault="005353F3" w:rsidP="004D32AC">
      <w:pPr>
        <w:pStyle w:val="Paragraphedeliste"/>
        <w:numPr>
          <w:ilvl w:val="0"/>
          <w:numId w:val="180"/>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lastRenderedPageBreak/>
        <w:t xml:space="preserve"> Coefficients de régression</w:t>
      </w:r>
      <w:r w:rsidR="00D657FC">
        <w:rPr>
          <w:rFonts w:asciiTheme="majorBidi" w:hAnsiTheme="majorBidi" w:cstheme="majorBidi"/>
          <w:b/>
          <w:bCs/>
          <w:color w:val="000000" w:themeColor="text1"/>
          <w:lang w:val="fr-FR"/>
        </w:rPr>
        <w:t xml:space="preserve"> de </w:t>
      </w:r>
      <w:r w:rsidR="00D657FC" w:rsidRPr="00716234">
        <w:rPr>
          <w:rFonts w:asciiTheme="majorBidi" w:hAnsiTheme="majorBidi" w:cstheme="majorBidi"/>
          <w:b/>
          <w:bCs/>
          <w:color w:val="000000" w:themeColor="text1"/>
          <w:lang w:val="fr-FR"/>
        </w:rPr>
        <w:t>l</w:t>
      </w:r>
      <w:r w:rsidR="00D657FC">
        <w:rPr>
          <w:rFonts w:asciiTheme="majorBidi" w:hAnsiTheme="majorBidi" w:cstheme="majorBidi"/>
          <w:b/>
          <w:bCs/>
          <w:color w:val="000000" w:themeColor="text1"/>
          <w:lang w:val="fr-FR"/>
        </w:rPr>
        <w:t>’</w:t>
      </w:r>
      <w:r w:rsidR="00D657FC" w:rsidRPr="00716234">
        <w:rPr>
          <w:rFonts w:asciiTheme="majorBidi" w:hAnsiTheme="majorBidi" w:cstheme="majorBidi"/>
          <w:b/>
          <w:bCs/>
          <w:color w:val="000000" w:themeColor="text1"/>
          <w:lang w:val="fr-FR"/>
        </w:rPr>
        <w:t>hypothèse</w:t>
      </w:r>
      <w:r w:rsidR="00D657FC">
        <w:rPr>
          <w:rFonts w:asciiTheme="majorBidi" w:hAnsiTheme="majorBidi" w:cstheme="majorBidi"/>
          <w:b/>
          <w:bCs/>
          <w:color w:val="000000" w:themeColor="text1"/>
          <w:lang w:val="fr-FR"/>
        </w:rPr>
        <w:t xml:space="preserve"> H3 </w:t>
      </w:r>
      <w:r w:rsidRPr="00F77332">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N°65</w:t>
      </w:r>
      <w:r w:rsidRPr="008764AA">
        <w:rPr>
          <w:rFonts w:asciiTheme="majorBidi" w:hAnsiTheme="majorBidi" w:cstheme="majorBidi"/>
          <w:b/>
          <w:bCs/>
          <w:color w:val="000000" w:themeColor="text1"/>
          <w:lang w:val="fr-FR"/>
        </w:rPr>
        <w:t xml:space="preserve"> : </w:t>
      </w:r>
      <w:r w:rsidRPr="0071110F">
        <w:rPr>
          <w:rFonts w:asciiTheme="majorBidi" w:hAnsiTheme="majorBidi" w:cstheme="majorBidi"/>
          <w:color w:val="000000" w:themeColor="text1"/>
          <w:lang w:val="fr-FR"/>
        </w:rPr>
        <w:t>Coefficients de régression</w:t>
      </w:r>
      <w:r w:rsidR="00D657FC">
        <w:rPr>
          <w:rFonts w:asciiTheme="majorBidi" w:hAnsiTheme="majorBidi" w:cstheme="majorBidi"/>
          <w:color w:val="000000" w:themeColor="text1"/>
          <w:lang w:val="fr-FR"/>
        </w:rPr>
        <w:t xml:space="preserve"> </w:t>
      </w:r>
      <w:r w:rsidR="00D657FC" w:rsidRPr="00D657FC">
        <w:rPr>
          <w:rFonts w:asciiTheme="majorBidi" w:hAnsiTheme="majorBidi" w:cstheme="majorBidi"/>
          <w:color w:val="000000" w:themeColor="text1"/>
          <w:lang w:val="fr-FR"/>
        </w:rPr>
        <w:t>de l’hypothèse H3</w:t>
      </w:r>
    </w:p>
    <w:tbl>
      <w:tblPr>
        <w:tblStyle w:val="Grilledutableau"/>
        <w:tblW w:w="9362" w:type="dxa"/>
        <w:tblLayout w:type="fixed"/>
        <w:tblLook w:val="0000" w:firstRow="0" w:lastRow="0" w:firstColumn="0" w:lastColumn="0" w:noHBand="0" w:noVBand="0"/>
      </w:tblPr>
      <w:tblGrid>
        <w:gridCol w:w="832"/>
        <w:gridCol w:w="1343"/>
        <w:gridCol w:w="1559"/>
        <w:gridCol w:w="1661"/>
        <w:gridCol w:w="1661"/>
        <w:gridCol w:w="1153"/>
        <w:gridCol w:w="1153"/>
      </w:tblGrid>
      <w:tr w:rsidR="005353F3" w:rsidRPr="008764AA" w:rsidTr="00EC661E">
        <w:tc>
          <w:tcPr>
            <w:tcW w:w="2175"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3220"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1"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2"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343"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r>
      <w:tr w:rsidR="005353F3" w:rsidRPr="008764AA" w:rsidTr="00E6084A">
        <w:tc>
          <w:tcPr>
            <w:tcW w:w="832" w:type="dxa"/>
            <w:vMerge w:val="restart"/>
            <w:tcBorders>
              <w:top w:val="nil"/>
              <w:righ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343" w:type="dxa"/>
            <w:tcBorders>
              <w:top w:val="nil"/>
              <w:left w:val="single" w:sz="4" w:space="0" w:color="auto"/>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-1.383</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.290</w:t>
            </w:r>
          </w:p>
        </w:tc>
        <w:tc>
          <w:tcPr>
            <w:tcW w:w="1661"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-4.762</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2" w:type="dxa"/>
            <w:vMerge/>
            <w:tcBorders>
              <w:top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4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digit</w:t>
            </w:r>
          </w:p>
        </w:tc>
        <w:tc>
          <w:tcPr>
            <w:tcW w:w="155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1.386</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.073</w:t>
            </w:r>
          </w:p>
        </w:tc>
        <w:tc>
          <w:tcPr>
            <w:tcW w:w="16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.827</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19.060</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t xml:space="preserve">Les résultats du tableau précédent indiquent que </w:t>
      </w:r>
      <w:r w:rsidRPr="008764AA">
        <w:rPr>
          <w:rFonts w:asciiTheme="majorBidi" w:hAnsiTheme="majorBidi" w:cstheme="majorBidi"/>
          <w:color w:val="000000" w:themeColor="text1"/>
          <w:lang w:val="fr-FR"/>
        </w:rPr>
        <w:t>la relation entre la digitalisation des processus RH et la performance des RH,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Y = 1,386 X</w:t>
      </w:r>
      <w:r w:rsidRPr="008764AA">
        <w:rPr>
          <w:rFonts w:asciiTheme="majorBidi" w:hAnsiTheme="majorBidi" w:cstheme="majorBidi"/>
          <w:color w:val="000000" w:themeColor="text1"/>
          <w:vertAlign w:val="subscript"/>
          <w:lang w:val="fr-FR"/>
        </w:rPr>
        <w:t>9</w:t>
      </w:r>
      <w:r w:rsidRPr="008764AA">
        <w:rPr>
          <w:rFonts w:asciiTheme="majorBidi" w:hAnsiTheme="majorBidi" w:cstheme="majorBidi"/>
          <w:color w:val="000000" w:themeColor="text1"/>
          <w:lang w:val="fr-FR"/>
        </w:rPr>
        <w:t xml:space="preserve"> -1,383</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Où Y représente la variable dépendante (La performance des RH)</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X</w:t>
      </w:r>
      <w:r>
        <w:rPr>
          <w:rFonts w:asciiTheme="majorBidi" w:hAnsiTheme="majorBidi" w:cstheme="majorBidi"/>
          <w:color w:val="000000" w:themeColor="text1"/>
          <w:vertAlign w:val="subscript"/>
          <w:lang w:val="fr-FR"/>
        </w:rPr>
        <w:t>9</w:t>
      </w:r>
      <w:r w:rsidRPr="008764AA">
        <w:rPr>
          <w:rFonts w:asciiTheme="majorBidi" w:hAnsiTheme="majorBidi" w:cstheme="majorBidi"/>
          <w:color w:val="000000" w:themeColor="text1"/>
          <w:lang w:val="fr-FR"/>
        </w:rPr>
        <w:t xml:space="preserve"> </w:t>
      </w:r>
      <w:r>
        <w:rPr>
          <w:rFonts w:asciiTheme="majorBidi" w:hAnsiTheme="majorBidi" w:cstheme="majorBidi"/>
          <w:color w:val="000000" w:themeColor="text1"/>
          <w:lang w:val="fr-FR"/>
        </w:rPr>
        <w:t xml:space="preserve">désigne </w:t>
      </w:r>
      <w:r w:rsidRPr="008764AA">
        <w:rPr>
          <w:rFonts w:asciiTheme="majorBidi" w:hAnsiTheme="majorBidi" w:cstheme="majorBidi"/>
          <w:color w:val="000000" w:themeColor="text1"/>
          <w:lang w:val="fr-FR"/>
        </w:rPr>
        <w:t>la variable</w:t>
      </w:r>
      <w:r>
        <w:rPr>
          <w:rFonts w:asciiTheme="majorBidi" w:hAnsiTheme="majorBidi" w:cstheme="majorBidi"/>
          <w:color w:val="000000" w:themeColor="text1"/>
          <w:lang w:val="fr-FR"/>
        </w:rPr>
        <w:t xml:space="preserve"> i</w:t>
      </w:r>
      <w:r w:rsidRPr="008764AA">
        <w:rPr>
          <w:rFonts w:asciiTheme="majorBidi" w:hAnsiTheme="majorBidi" w:cstheme="majorBidi"/>
          <w:color w:val="000000" w:themeColor="text1"/>
          <w:lang w:val="fr-FR"/>
        </w:rPr>
        <w:t>ndépendante (digitalisation des processus RH) et le nombre 1,386 est la valeur de β9 de la pente de l’équation de régression.</w:t>
      </w:r>
    </w:p>
    <w:p w:rsidR="005353F3" w:rsidRPr="004D4075" w:rsidRDefault="005353F3" w:rsidP="004D32AC">
      <w:pPr>
        <w:pStyle w:val="Titre3"/>
        <w:numPr>
          <w:ilvl w:val="0"/>
          <w:numId w:val="194"/>
        </w:numPr>
        <w:spacing w:before="0" w:beforeAutospacing="0" w:after="0" w:afterAutospacing="0" w:line="360" w:lineRule="auto"/>
        <w:rPr>
          <w:sz w:val="24"/>
          <w:szCs w:val="24"/>
          <w:lang w:val="fr-FR"/>
        </w:rPr>
      </w:pPr>
      <w:bookmarkStart w:id="2406" w:name="_Toc199714592"/>
      <w:bookmarkStart w:id="2407" w:name="_Toc200486868"/>
      <w:bookmarkStart w:id="2408" w:name="_Toc200635646"/>
      <w:bookmarkStart w:id="2409" w:name="_Toc200636034"/>
      <w:bookmarkStart w:id="2410" w:name="_Toc200636423"/>
      <w:bookmarkStart w:id="2411" w:name="_Toc200756164"/>
      <w:r w:rsidRPr="004D4075">
        <w:rPr>
          <w:sz w:val="24"/>
          <w:szCs w:val="24"/>
          <w:lang w:val="fr-FR"/>
        </w:rPr>
        <w:t>Test de la quatrième hypothèse (Variable médiatrice) :</w:t>
      </w:r>
      <w:bookmarkEnd w:id="2406"/>
      <w:bookmarkEnd w:id="2407"/>
      <w:bookmarkEnd w:id="2408"/>
      <w:bookmarkEnd w:id="2409"/>
      <w:bookmarkEnd w:id="2410"/>
      <w:bookmarkEnd w:id="2411"/>
    </w:p>
    <w:p w:rsidR="005353F3" w:rsidRPr="008764AA" w:rsidRDefault="005353F3" w:rsidP="005353F3">
      <w:pPr>
        <w:pStyle w:val="p1"/>
        <w:spacing w:line="360" w:lineRule="auto"/>
        <w:jc w:val="both"/>
        <w:rPr>
          <w:rFonts w:asciiTheme="majorBidi" w:hAnsiTheme="majorBidi" w:cstheme="majorBidi"/>
          <w:color w:val="000000" w:themeColor="text1"/>
          <w:sz w:val="24"/>
          <w:szCs w:val="24"/>
        </w:rPr>
      </w:pPr>
      <w:r w:rsidRPr="008764AA">
        <w:rPr>
          <w:rFonts w:asciiTheme="majorBidi" w:hAnsiTheme="majorBidi" w:cstheme="majorBidi"/>
          <w:b/>
          <w:bCs/>
          <w:color w:val="000000" w:themeColor="text1"/>
          <w:sz w:val="24"/>
          <w:szCs w:val="24"/>
        </w:rPr>
        <w:t>H</w:t>
      </w:r>
      <w:r>
        <w:rPr>
          <w:rFonts w:asciiTheme="majorBidi" w:hAnsiTheme="majorBidi" w:cstheme="majorBidi"/>
          <w:b/>
          <w:bCs/>
          <w:color w:val="000000" w:themeColor="text1"/>
          <w:sz w:val="24"/>
          <w:szCs w:val="24"/>
        </w:rPr>
        <w:t>4</w:t>
      </w:r>
      <w:r w:rsidRPr="008764AA">
        <w:rPr>
          <w:rFonts w:asciiTheme="majorBidi" w:hAnsiTheme="majorBidi" w:cstheme="majorBidi"/>
          <w:b/>
          <w:bCs/>
          <w:color w:val="000000" w:themeColor="text1"/>
          <w:sz w:val="24"/>
          <w:szCs w:val="24"/>
        </w:rPr>
        <w:t xml:space="preserve">: </w:t>
      </w:r>
      <w:r w:rsidRPr="008764AA">
        <w:rPr>
          <w:rFonts w:asciiTheme="majorBidi" w:hAnsiTheme="majorBidi" w:cstheme="majorBidi"/>
          <w:color w:val="000000" w:themeColor="text1"/>
          <w:sz w:val="24"/>
          <w:szCs w:val="24"/>
        </w:rPr>
        <w:t>Le processus de recrutement digitalisé a un impact médiateur positif sur la digitalisation des processus RH et la performance des RH au niveau de signification de 0,05.</w:t>
      </w:r>
    </w:p>
    <w:p w:rsidR="005353F3" w:rsidRPr="008764AA" w:rsidRDefault="005353F3" w:rsidP="00CE6D66">
      <w:pPr>
        <w:pStyle w:val="p1"/>
        <w:spacing w:after="240" w:line="360" w:lineRule="auto"/>
        <w:jc w:val="both"/>
        <w:rPr>
          <w:rFonts w:asciiTheme="majorBidi" w:hAnsiTheme="majorBidi" w:cstheme="majorBidi"/>
          <w:color w:val="000000" w:themeColor="text1"/>
          <w:sz w:val="24"/>
          <w:szCs w:val="24"/>
        </w:rPr>
      </w:pPr>
      <w:r w:rsidRPr="008764AA">
        <w:rPr>
          <w:rFonts w:asciiTheme="majorBidi" w:hAnsiTheme="majorBidi" w:cstheme="majorBidi"/>
          <w:color w:val="000000" w:themeColor="text1"/>
          <w:sz w:val="24"/>
          <w:szCs w:val="24"/>
        </w:rPr>
        <w:t>L’analyse utilise le Modèle 4 de la procédure PROCESS pour SPSS, développée par Andrew F. Hayes. Ce modèle est conçu pour tester les effets de médiation.</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Il existe plusieurs conditions pour que le test de médiation puisse mieux expliquer la relation,</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parmi ces conditions :</w:t>
      </w:r>
    </w:p>
    <w:p w:rsidR="005353F3" w:rsidRPr="008764AA" w:rsidRDefault="005353F3" w:rsidP="004D32AC">
      <w:pPr>
        <w:pStyle w:val="Paragraphedeliste"/>
        <w:numPr>
          <w:ilvl w:val="0"/>
          <w:numId w:val="132"/>
        </w:numPr>
        <w:spacing w:line="360" w:lineRule="auto"/>
        <w:jc w:val="both"/>
        <w:rPr>
          <w:rFonts w:asciiTheme="majorBidi" w:eastAsia="Times New Roman" w:hAnsiTheme="majorBidi" w:cstheme="majorBidi"/>
          <w:color w:val="000000" w:themeColor="text1"/>
          <w:lang w:eastAsia="fr-FR"/>
          <w14:ligatures w14:val="none"/>
        </w:rPr>
      </w:pPr>
      <w:r w:rsidRPr="008764AA">
        <w:rPr>
          <w:rFonts w:asciiTheme="majorBidi" w:eastAsia="Times New Roman" w:hAnsiTheme="majorBidi" w:cstheme="majorBidi"/>
          <w:color w:val="000000" w:themeColor="text1"/>
          <w:lang w:eastAsia="fr-FR"/>
          <w14:ligatures w14:val="none"/>
        </w:rPr>
        <w:t>Le test de médiation doit être directement lié à la variable indépendante de l'étude, ce qui a déjà été prouvé par les hypothèses.</w:t>
      </w:r>
    </w:p>
    <w:p w:rsidR="005353F3" w:rsidRPr="008764AA" w:rsidRDefault="005353F3" w:rsidP="004D32AC">
      <w:pPr>
        <w:pStyle w:val="Paragraphedeliste"/>
        <w:numPr>
          <w:ilvl w:val="0"/>
          <w:numId w:val="132"/>
        </w:numPr>
        <w:spacing w:before="240" w:line="360" w:lineRule="auto"/>
        <w:jc w:val="both"/>
        <w:rPr>
          <w:rFonts w:asciiTheme="majorBidi" w:eastAsia="Times New Roman" w:hAnsiTheme="majorBidi" w:cstheme="majorBidi"/>
          <w:color w:val="000000" w:themeColor="text1"/>
          <w:lang w:eastAsia="fr-FR"/>
          <w14:ligatures w14:val="none"/>
        </w:rPr>
      </w:pPr>
      <w:r w:rsidRPr="008764AA">
        <w:rPr>
          <w:rFonts w:asciiTheme="majorBidi" w:eastAsia="Times New Roman" w:hAnsiTheme="majorBidi" w:cstheme="majorBidi"/>
          <w:color w:val="000000" w:themeColor="text1"/>
          <w:lang w:eastAsia="fr-FR"/>
          <w14:ligatures w14:val="none"/>
        </w:rPr>
        <w:t>Le test de médiation doit être directement lié à la variable dépendante de l'étude, c’est ce que nous allons prouver dans les résultats suivants:</w:t>
      </w:r>
    </w:p>
    <w:p w:rsidR="005353F3" w:rsidRDefault="005353F3" w:rsidP="005353F3">
      <w:pPr>
        <w:pStyle w:val="p1"/>
        <w:spacing w:after="240" w:line="360" w:lineRule="auto"/>
        <w:jc w:val="both"/>
        <w:rPr>
          <w:rFonts w:asciiTheme="majorBidi" w:hAnsiTheme="majorBidi" w:cstheme="majorBidi"/>
          <w:color w:val="000000" w:themeColor="text1"/>
          <w:sz w:val="24"/>
          <w:szCs w:val="24"/>
        </w:rPr>
      </w:pPr>
      <w:r w:rsidRPr="008764AA">
        <w:rPr>
          <w:rFonts w:asciiTheme="majorBidi" w:hAnsiTheme="majorBidi" w:cstheme="majorBidi"/>
          <w:color w:val="000000" w:themeColor="text1"/>
          <w:sz w:val="24"/>
          <w:szCs w:val="24"/>
        </w:rPr>
        <w:t>« Le processus de recrutement digitalisé a un impact positif significatif sur la performance des RH au niveau de signification de 0,05 »</w:t>
      </w:r>
    </w:p>
    <w:p w:rsidR="00B30595" w:rsidRDefault="00B30595" w:rsidP="005353F3">
      <w:pPr>
        <w:pStyle w:val="p1"/>
        <w:spacing w:after="240" w:line="360" w:lineRule="auto"/>
        <w:jc w:val="both"/>
        <w:rPr>
          <w:rFonts w:asciiTheme="majorBidi" w:hAnsiTheme="majorBidi" w:cstheme="majorBidi"/>
          <w:color w:val="000000" w:themeColor="text1"/>
          <w:sz w:val="24"/>
          <w:szCs w:val="24"/>
        </w:rPr>
      </w:pPr>
    </w:p>
    <w:p w:rsidR="00B30595" w:rsidRDefault="00B30595" w:rsidP="005353F3">
      <w:pPr>
        <w:pStyle w:val="p1"/>
        <w:spacing w:after="240" w:line="360" w:lineRule="auto"/>
        <w:jc w:val="both"/>
        <w:rPr>
          <w:rFonts w:asciiTheme="majorBidi" w:hAnsiTheme="majorBidi" w:cstheme="majorBidi"/>
          <w:color w:val="000000" w:themeColor="text1"/>
          <w:sz w:val="24"/>
          <w:szCs w:val="24"/>
        </w:rPr>
      </w:pPr>
    </w:p>
    <w:p w:rsidR="00B30595" w:rsidRPr="008764AA" w:rsidRDefault="00B30595" w:rsidP="005353F3">
      <w:pPr>
        <w:pStyle w:val="p1"/>
        <w:spacing w:after="240" w:line="360" w:lineRule="auto"/>
        <w:jc w:val="both"/>
        <w:rPr>
          <w:rFonts w:asciiTheme="majorBidi" w:hAnsiTheme="majorBidi" w:cstheme="majorBidi"/>
          <w:color w:val="000000" w:themeColor="text1"/>
          <w:sz w:val="24"/>
          <w:szCs w:val="24"/>
        </w:rPr>
      </w:pPr>
    </w:p>
    <w:p w:rsidR="005353F3" w:rsidRPr="00F77332" w:rsidRDefault="005353F3" w:rsidP="004D32AC">
      <w:pPr>
        <w:pStyle w:val="Paragraphedeliste"/>
        <w:numPr>
          <w:ilvl w:val="0"/>
          <w:numId w:val="181"/>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lastRenderedPageBreak/>
        <w:t xml:space="preserve"> Coefficient de corrélation R</w:t>
      </w:r>
      <w:r w:rsidRPr="00F77332">
        <w:rPr>
          <w:rFonts w:asciiTheme="majorBidi" w:hAnsiTheme="majorBidi" w:cstheme="majorBidi"/>
          <w:b/>
          <w:bCs/>
          <w:color w:val="000000" w:themeColor="text1"/>
          <w:vertAlign w:val="superscript"/>
          <w:lang w:val="fr-FR"/>
        </w:rPr>
        <w:t>2</w:t>
      </w:r>
      <w:r w:rsidRPr="00F77332">
        <w:rPr>
          <w:rFonts w:asciiTheme="majorBidi" w:hAnsiTheme="majorBidi" w:cstheme="majorBidi"/>
          <w:b/>
          <w:bCs/>
          <w:color w:val="000000" w:themeColor="text1"/>
          <w:lang w:val="fr-FR"/>
        </w:rPr>
        <w:t xml:space="preserve"> (R-square)</w:t>
      </w:r>
      <w:r w:rsidR="004D45A5">
        <w:rPr>
          <w:rFonts w:asciiTheme="majorBidi" w:hAnsiTheme="majorBidi" w:cstheme="majorBidi"/>
          <w:b/>
          <w:bCs/>
          <w:color w:val="000000" w:themeColor="text1"/>
          <w:lang w:val="fr-FR"/>
        </w:rPr>
        <w:t xml:space="preserve"> de la condition de l’hypothèse 4</w:t>
      </w:r>
      <w:r w:rsidRPr="00F77332">
        <w:rPr>
          <w:rFonts w:asciiTheme="majorBidi" w:hAnsiTheme="majorBidi" w:cstheme="majorBidi"/>
          <w:b/>
          <w:bCs/>
          <w:color w:val="000000" w:themeColor="text1"/>
          <w:lang w:val="fr-FR"/>
        </w:rPr>
        <w:t xml:space="preserve"> :</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N°66 </w:t>
      </w:r>
      <w:r w:rsidRPr="008764AA">
        <w:rPr>
          <w:rFonts w:asciiTheme="majorBidi" w:hAnsiTheme="majorBidi" w:cstheme="majorBidi"/>
          <w:b/>
          <w:bCs/>
          <w:color w:val="000000" w:themeColor="text1"/>
          <w:lang w:val="fr-FR"/>
        </w:rPr>
        <w:t xml:space="preserve">: </w:t>
      </w:r>
      <w:r w:rsidRPr="0071110F">
        <w:rPr>
          <w:rFonts w:asciiTheme="majorBidi" w:hAnsiTheme="majorBidi" w:cstheme="majorBidi"/>
          <w:color w:val="000000" w:themeColor="text1"/>
          <w:lang w:val="fr-FR"/>
        </w:rPr>
        <w:t>Coefficients de corrélation</w:t>
      </w:r>
      <w:r w:rsidR="004D45A5">
        <w:rPr>
          <w:rFonts w:asciiTheme="majorBidi" w:hAnsiTheme="majorBidi" w:cstheme="majorBidi"/>
          <w:color w:val="000000" w:themeColor="text1"/>
          <w:lang w:val="fr-FR"/>
        </w:rPr>
        <w:t xml:space="preserve"> </w:t>
      </w:r>
      <w:r w:rsidR="004D45A5" w:rsidRPr="004D45A5">
        <w:rPr>
          <w:rFonts w:asciiTheme="majorBidi" w:hAnsiTheme="majorBidi" w:cstheme="majorBidi"/>
          <w:color w:val="000000" w:themeColor="text1"/>
          <w:lang w:val="fr-FR"/>
        </w:rPr>
        <w:t>de la condition de l’hypothèse 4</w:t>
      </w:r>
    </w:p>
    <w:tbl>
      <w:tblPr>
        <w:tblStyle w:val="Grilledutableau"/>
        <w:tblW w:w="8642" w:type="dxa"/>
        <w:jc w:val="center"/>
        <w:tblLayout w:type="fixed"/>
        <w:tblLook w:val="0000" w:firstRow="0" w:lastRow="0" w:firstColumn="0" w:lastColumn="0" w:noHBand="0" w:noVBand="0"/>
      </w:tblPr>
      <w:tblGrid>
        <w:gridCol w:w="1129"/>
        <w:gridCol w:w="1032"/>
        <w:gridCol w:w="1186"/>
        <w:gridCol w:w="1692"/>
        <w:gridCol w:w="3603"/>
      </w:tblGrid>
      <w:tr w:rsidR="005353F3" w:rsidRPr="008764AA" w:rsidTr="00EC661E">
        <w:trPr>
          <w:jc w:val="center"/>
        </w:trPr>
        <w:tc>
          <w:tcPr>
            <w:tcW w:w="1129" w:type="dxa"/>
            <w:shd w:val="clear" w:color="auto" w:fill="D8DCD1"/>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32" w:type="dxa"/>
            <w:shd w:val="clear" w:color="auto" w:fill="D8DCD1"/>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tcPr>
          <w:p w:rsidR="005353F3" w:rsidRPr="008764AA" w:rsidRDefault="005353F3" w:rsidP="00E6084A">
            <w:pPr>
              <w:spacing w:line="360" w:lineRule="auto"/>
              <w:ind w:left="60" w:right="60"/>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shd w:val="clear" w:color="auto" w:fill="D8DCD1"/>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3603" w:type="dxa"/>
            <w:shd w:val="clear" w:color="auto" w:fill="D8DCD1"/>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rPr>
          <w:jc w:val="center"/>
        </w:trPr>
        <w:tc>
          <w:tcPr>
            <w:tcW w:w="1129" w:type="dxa"/>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32" w:type="dxa"/>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0.750</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0.562</w:t>
            </w:r>
          </w:p>
        </w:tc>
        <w:tc>
          <w:tcPr>
            <w:tcW w:w="1692" w:type="dxa"/>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0.559</w:t>
            </w:r>
          </w:p>
        </w:tc>
        <w:tc>
          <w:tcPr>
            <w:tcW w:w="3603" w:type="dxa"/>
          </w:tcPr>
          <w:p w:rsidR="005353F3" w:rsidRPr="008764AA" w:rsidRDefault="005353F3" w:rsidP="00E6084A">
            <w:pPr>
              <w:spacing w:line="360" w:lineRule="auto"/>
              <w:ind w:left="60" w:right="60"/>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0.63763</w:t>
            </w: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 xml:space="preserve">Selon les résultats présentés dans le tableau, le coefficient de détermination </w:t>
      </w: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=0,562 Cela indique que le processus de recrutement digitalisé affecte la performance des RH, le coefficient de corrélation R=0,75 </w:t>
      </w:r>
      <w:r w:rsidRPr="00140F9D">
        <w:rPr>
          <w:rFonts w:asciiTheme="majorBidi" w:hAnsiTheme="majorBidi" w:cstheme="majorBidi"/>
          <w:color w:val="000000" w:themeColor="text1"/>
        </w:rPr>
        <w:t xml:space="preserve">, indique </w:t>
      </w:r>
      <w:r w:rsidRPr="008764AA">
        <w:rPr>
          <w:rFonts w:asciiTheme="majorBidi" w:hAnsiTheme="majorBidi" w:cstheme="majorBidi"/>
          <w:b/>
          <w:bCs/>
          <w:color w:val="000000" w:themeColor="text1"/>
          <w:lang w:val="fr-FR"/>
        </w:rPr>
        <w:t>une forte relation</w:t>
      </w:r>
      <w:r w:rsidRPr="00092FF0">
        <w:rPr>
          <w:rFonts w:asciiTheme="majorBidi" w:hAnsiTheme="majorBidi" w:cstheme="majorBidi"/>
          <w:b/>
          <w:bCs/>
          <w:color w:val="000000" w:themeColor="text1"/>
          <w:lang w:val="fr-FR"/>
        </w:rPr>
        <w:t xml:space="preserve"> directe</w:t>
      </w:r>
      <w:r w:rsidRPr="008764AA">
        <w:rPr>
          <w:rFonts w:asciiTheme="majorBidi" w:hAnsiTheme="majorBidi" w:cstheme="majorBidi"/>
          <w:color w:val="000000" w:themeColor="text1"/>
          <w:lang w:val="fr-FR"/>
        </w:rPr>
        <w:t xml:space="preserve"> entre le processus de recrutement digitalisé et la performance des RH, avec un taux de corrélation de 75%.</w:t>
      </w:r>
    </w:p>
    <w:p w:rsidR="005353F3" w:rsidRPr="00F77332" w:rsidRDefault="005353F3" w:rsidP="004D32AC">
      <w:pPr>
        <w:pStyle w:val="Paragraphedeliste"/>
        <w:numPr>
          <w:ilvl w:val="0"/>
          <w:numId w:val="181"/>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 xml:space="preserve">Analyse de la variance ANOVA </w:t>
      </w:r>
      <w:r w:rsidR="004D45A5">
        <w:rPr>
          <w:rFonts w:asciiTheme="majorBidi" w:hAnsiTheme="majorBidi" w:cstheme="majorBidi"/>
          <w:b/>
          <w:bCs/>
          <w:color w:val="000000" w:themeColor="text1"/>
          <w:lang w:val="fr-FR"/>
        </w:rPr>
        <w:t xml:space="preserve">de la condition de l’hypothèse 4 </w:t>
      </w:r>
      <w:r w:rsidRPr="00F77332">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N°67 </w:t>
      </w:r>
      <w:r w:rsidRPr="008764AA">
        <w:rPr>
          <w:rFonts w:asciiTheme="majorBidi" w:hAnsiTheme="majorBidi" w:cstheme="majorBidi"/>
          <w:b/>
          <w:bCs/>
          <w:color w:val="000000" w:themeColor="text1"/>
          <w:lang w:val="fr-FR"/>
        </w:rPr>
        <w:t xml:space="preserve">: </w:t>
      </w:r>
      <w:r>
        <w:rPr>
          <w:rFonts w:asciiTheme="majorBidi" w:hAnsiTheme="majorBidi" w:cstheme="majorBidi"/>
          <w:color w:val="000000" w:themeColor="text1"/>
          <w:lang w:val="fr-FR"/>
        </w:rPr>
        <w:t>L</w:t>
      </w:r>
      <w:r w:rsidRPr="00DC278F">
        <w:rPr>
          <w:rFonts w:asciiTheme="majorBidi" w:hAnsiTheme="majorBidi" w:cstheme="majorBidi"/>
          <w:color w:val="000000" w:themeColor="text1"/>
          <w:lang w:val="fr-FR"/>
        </w:rPr>
        <w:t>a variance ANOVA</w:t>
      </w:r>
      <w:r w:rsidR="004D45A5">
        <w:rPr>
          <w:rFonts w:asciiTheme="majorBidi" w:hAnsiTheme="majorBidi" w:cstheme="majorBidi"/>
          <w:color w:val="000000" w:themeColor="text1"/>
          <w:lang w:val="fr-FR"/>
        </w:rPr>
        <w:t xml:space="preserve"> </w:t>
      </w:r>
      <w:r w:rsidR="004D45A5" w:rsidRPr="004D45A5">
        <w:rPr>
          <w:rFonts w:asciiTheme="majorBidi" w:hAnsiTheme="majorBidi" w:cstheme="majorBidi"/>
          <w:color w:val="000000" w:themeColor="text1"/>
          <w:lang w:val="fr-FR"/>
        </w:rPr>
        <w:t>de la condition de l’hypothèse 4</w:t>
      </w:r>
    </w:p>
    <w:tbl>
      <w:tblPr>
        <w:tblStyle w:val="Grilledutableau"/>
        <w:tblW w:w="8998" w:type="dxa"/>
        <w:tblLayout w:type="fixed"/>
        <w:tblLook w:val="0000" w:firstRow="0" w:lastRow="0" w:firstColumn="0" w:lastColumn="0" w:noHBand="0" w:noVBand="0"/>
      </w:tblPr>
      <w:tblGrid>
        <w:gridCol w:w="853"/>
        <w:gridCol w:w="1410"/>
        <w:gridCol w:w="1642"/>
        <w:gridCol w:w="1186"/>
        <w:gridCol w:w="1535"/>
        <w:gridCol w:w="1186"/>
        <w:gridCol w:w="1186"/>
      </w:tblGrid>
      <w:tr w:rsidR="005353F3" w:rsidRPr="008764AA" w:rsidTr="00EC661E">
        <w:tc>
          <w:tcPr>
            <w:tcW w:w="2263"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64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41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64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87.598</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87.598</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215.453</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41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Résidus</w:t>
            </w:r>
          </w:p>
        </w:tc>
        <w:tc>
          <w:tcPr>
            <w:tcW w:w="164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68.305</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0</w:t>
            </w:r>
            <w:r w:rsidRPr="008764AA">
              <w:rPr>
                <w:rFonts w:asciiTheme="majorBidi" w:hAnsiTheme="majorBidi" w:cstheme="majorBidi"/>
                <w:color w:val="000000" w:themeColor="text1"/>
                <w:lang w:val="fr-FR"/>
              </w:rPr>
              <w:t>.407</w:t>
            </w: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41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64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155.902</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Default="005353F3" w:rsidP="005353F3">
      <w:pPr>
        <w:spacing w:after="240"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 xml:space="preserve">Le tableau ci-dessus montre que </w:t>
      </w:r>
      <w:r w:rsidRPr="008764AA">
        <w:rPr>
          <w:rFonts w:asciiTheme="majorBidi" w:hAnsiTheme="majorBidi" w:cstheme="majorBidi"/>
          <w:color w:val="000000" w:themeColor="text1"/>
          <w:lang w:val="fr-FR"/>
        </w:rPr>
        <w:t>la significativité est égale à 0,000 était inférieure à 0,05, cela 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 relation positive statistiquement significative entre le processus de recrutement digitalisé et la performance des RH.</w:t>
      </w:r>
    </w:p>
    <w:p w:rsidR="005353F3" w:rsidRDefault="005353F3" w:rsidP="004D45A5">
      <w:pPr>
        <w:pStyle w:val="p1"/>
        <w:numPr>
          <w:ilvl w:val="0"/>
          <w:numId w:val="135"/>
        </w:numPr>
        <w:autoSpaceDE w:val="0"/>
        <w:autoSpaceDN w:val="0"/>
        <w:adjustRightInd w:val="0"/>
        <w:spacing w:line="360" w:lineRule="auto"/>
        <w:jc w:val="both"/>
        <w:rPr>
          <w:rFonts w:asciiTheme="majorBidi" w:hAnsiTheme="majorBidi" w:cstheme="majorBidi"/>
          <w:b/>
          <w:bCs/>
          <w:color w:val="000000" w:themeColor="text1"/>
          <w:sz w:val="24"/>
          <w:szCs w:val="24"/>
        </w:rPr>
      </w:pPr>
      <w:r w:rsidRPr="008764AA">
        <w:rPr>
          <w:rFonts w:asciiTheme="majorBidi" w:hAnsiTheme="majorBidi" w:cstheme="majorBidi"/>
          <w:b/>
          <w:bCs/>
          <w:color w:val="000000" w:themeColor="text1"/>
          <w:sz w:val="24"/>
          <w:szCs w:val="24"/>
        </w:rPr>
        <w:t>Coefficients de régression</w:t>
      </w:r>
      <w:r w:rsidR="004D45A5" w:rsidRPr="007B209A">
        <w:rPr>
          <w:rFonts w:asciiTheme="majorBidi" w:hAnsiTheme="majorBidi" w:cstheme="majorBidi"/>
          <w:b/>
          <w:bCs/>
          <w:color w:val="000000" w:themeColor="text1"/>
          <w:sz w:val="24"/>
          <w:szCs w:val="24"/>
          <w:lang w:val="fr-FR"/>
        </w:rPr>
        <w:t xml:space="preserve"> </w:t>
      </w:r>
      <w:r w:rsidR="004D45A5" w:rsidRPr="004D45A5">
        <w:rPr>
          <w:rFonts w:asciiTheme="majorBidi" w:hAnsiTheme="majorBidi" w:cstheme="majorBidi"/>
          <w:b/>
          <w:bCs/>
          <w:color w:val="000000" w:themeColor="text1"/>
          <w:sz w:val="24"/>
          <w:szCs w:val="24"/>
          <w:lang w:val="fr-FR"/>
        </w:rPr>
        <w:t>de la condition de l’hypothèse 4</w:t>
      </w:r>
      <w:r w:rsidR="004D45A5">
        <w:rPr>
          <w:rFonts w:asciiTheme="majorBidi" w:hAnsiTheme="majorBidi" w:cstheme="majorBidi"/>
          <w:b/>
          <w:bCs/>
          <w:color w:val="000000" w:themeColor="text1"/>
          <w:sz w:val="24"/>
          <w:szCs w:val="24"/>
          <w:lang w:val="fr-FR"/>
        </w:rPr>
        <w:t xml:space="preserve"> </w:t>
      </w:r>
      <w:r w:rsidRPr="008764AA">
        <w:rPr>
          <w:rFonts w:asciiTheme="majorBidi" w:hAnsiTheme="majorBidi" w:cstheme="majorBidi"/>
          <w:b/>
          <w:bCs/>
          <w:color w:val="000000" w:themeColor="text1"/>
          <w:sz w:val="24"/>
          <w:szCs w:val="24"/>
        </w:rPr>
        <w:t>:</w:t>
      </w:r>
    </w:p>
    <w:p w:rsidR="005353F3" w:rsidRPr="007B209A" w:rsidRDefault="005353F3" w:rsidP="005353F3">
      <w:pPr>
        <w:pStyle w:val="p1"/>
        <w:spacing w:line="360" w:lineRule="auto"/>
        <w:jc w:val="center"/>
        <w:rPr>
          <w:rFonts w:asciiTheme="majorBidi" w:hAnsiTheme="majorBidi" w:cstheme="majorBidi"/>
          <w:color w:val="000000" w:themeColor="text1"/>
          <w:sz w:val="24"/>
          <w:szCs w:val="24"/>
          <w:lang w:val="fr-FR"/>
        </w:rPr>
      </w:pPr>
      <w:r w:rsidRPr="008764AA">
        <w:rPr>
          <w:rFonts w:asciiTheme="majorBidi" w:hAnsiTheme="majorBidi" w:cstheme="majorBidi"/>
          <w:b/>
          <w:bCs/>
          <w:color w:val="000000" w:themeColor="text1"/>
          <w:sz w:val="24"/>
          <w:szCs w:val="24"/>
        </w:rPr>
        <w:t>Tableau</w:t>
      </w:r>
      <w:r>
        <w:rPr>
          <w:rFonts w:asciiTheme="majorBidi" w:hAnsiTheme="majorBidi" w:cstheme="majorBidi"/>
          <w:b/>
          <w:bCs/>
          <w:color w:val="000000" w:themeColor="text1"/>
          <w:sz w:val="24"/>
          <w:szCs w:val="24"/>
        </w:rPr>
        <w:t xml:space="preserve"> N°68 </w:t>
      </w:r>
      <w:r w:rsidRPr="008764AA">
        <w:rPr>
          <w:rFonts w:asciiTheme="majorBidi" w:hAnsiTheme="majorBidi" w:cstheme="majorBidi"/>
          <w:b/>
          <w:bCs/>
          <w:color w:val="000000" w:themeColor="text1"/>
          <w:sz w:val="24"/>
          <w:szCs w:val="24"/>
        </w:rPr>
        <w:t xml:space="preserve">: </w:t>
      </w:r>
      <w:r w:rsidRPr="00DC278F">
        <w:rPr>
          <w:rFonts w:asciiTheme="majorBidi" w:hAnsiTheme="majorBidi" w:cstheme="majorBidi"/>
          <w:color w:val="000000" w:themeColor="text1"/>
          <w:sz w:val="24"/>
          <w:szCs w:val="24"/>
        </w:rPr>
        <w:t>Coefficients de régression</w:t>
      </w:r>
      <w:r w:rsidR="004D45A5" w:rsidRPr="007B209A">
        <w:rPr>
          <w:rFonts w:asciiTheme="majorBidi" w:hAnsiTheme="majorBidi" w:cstheme="majorBidi"/>
          <w:color w:val="000000" w:themeColor="text1"/>
          <w:sz w:val="24"/>
          <w:szCs w:val="24"/>
          <w:lang w:val="fr-FR"/>
        </w:rPr>
        <w:t xml:space="preserve"> de la condition de l’hypothèse 4</w:t>
      </w:r>
    </w:p>
    <w:tbl>
      <w:tblPr>
        <w:tblStyle w:val="Grilledutableau"/>
        <w:tblW w:w="9362" w:type="dxa"/>
        <w:tblInd w:w="-5" w:type="dxa"/>
        <w:tblLayout w:type="fixed"/>
        <w:tblLook w:val="0000" w:firstRow="0" w:lastRow="0" w:firstColumn="0" w:lastColumn="0" w:noHBand="0" w:noVBand="0"/>
      </w:tblPr>
      <w:tblGrid>
        <w:gridCol w:w="833"/>
        <w:gridCol w:w="1339"/>
        <w:gridCol w:w="1560"/>
        <w:gridCol w:w="1662"/>
        <w:gridCol w:w="1662"/>
        <w:gridCol w:w="1153"/>
        <w:gridCol w:w="1153"/>
      </w:tblGrid>
      <w:tr w:rsidR="005353F3" w:rsidRPr="008764AA" w:rsidTr="00EC661E">
        <w:tc>
          <w:tcPr>
            <w:tcW w:w="217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322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3" w:type="dxa"/>
            <w:tcBorders>
              <w:bottom w:val="nil"/>
            </w:tcBorders>
          </w:tcPr>
          <w:p w:rsidR="005353F3" w:rsidRPr="008764AA" w:rsidRDefault="00EC661E" w:rsidP="00E6084A">
            <w:pPr>
              <w:spacing w:line="360" w:lineRule="auto"/>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1</w:t>
            </w:r>
          </w:p>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39"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r>
      <w:tr w:rsidR="005353F3" w:rsidRPr="008764AA" w:rsidTr="00E6084A">
        <w:tc>
          <w:tcPr>
            <w:tcW w:w="833" w:type="dxa"/>
            <w:vMerge w:val="restart"/>
            <w:tcBorders>
              <w:top w:val="nil"/>
            </w:tcBorders>
          </w:tcPr>
          <w:p w:rsidR="005353F3" w:rsidRPr="008764AA" w:rsidRDefault="005353F3" w:rsidP="00EC661E">
            <w:pPr>
              <w:spacing w:line="360" w:lineRule="auto"/>
              <w:ind w:right="60"/>
              <w:jc w:val="both"/>
              <w:rPr>
                <w:rFonts w:asciiTheme="majorBidi" w:hAnsiTheme="majorBidi" w:cstheme="majorBidi"/>
                <w:color w:val="000000" w:themeColor="text1"/>
                <w:lang w:val="fr-FR"/>
              </w:rPr>
            </w:pPr>
          </w:p>
        </w:tc>
        <w:tc>
          <w:tcPr>
            <w:tcW w:w="1339" w:type="dxa"/>
            <w:vMerge/>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1.357</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0.193</w:t>
            </w:r>
          </w:p>
        </w:tc>
        <w:tc>
          <w:tcPr>
            <w:tcW w:w="166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7.035</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3" w:type="dxa"/>
            <w:vMerge/>
            <w:tcBorders>
              <w:top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3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ProRD</w:t>
            </w:r>
            <w:proofErr w:type="spellEnd"/>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0.721</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0.049</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0.750</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14.678</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t xml:space="preserve">Les résultats du tableau précédent indiquent que </w:t>
      </w:r>
      <w:r w:rsidRPr="008764AA">
        <w:rPr>
          <w:rFonts w:asciiTheme="majorBidi" w:hAnsiTheme="majorBidi" w:cstheme="majorBidi"/>
          <w:color w:val="000000" w:themeColor="text1"/>
          <w:lang w:val="fr-FR"/>
        </w:rPr>
        <w:t>la relation entre le processus de recrutement digitalisé et la performance des RH,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lastRenderedPageBreak/>
        <w:t>Y = 0,721 X</w:t>
      </w:r>
      <w:r w:rsidRPr="008764AA">
        <w:rPr>
          <w:rFonts w:asciiTheme="majorBidi" w:hAnsiTheme="majorBidi" w:cstheme="majorBidi"/>
          <w:color w:val="000000" w:themeColor="text1"/>
          <w:vertAlign w:val="subscript"/>
          <w:lang w:val="fr-FR"/>
        </w:rPr>
        <w:t>10</w:t>
      </w:r>
      <w:r w:rsidRPr="008764AA">
        <w:rPr>
          <w:rFonts w:asciiTheme="majorBidi" w:hAnsiTheme="majorBidi" w:cstheme="majorBidi"/>
          <w:color w:val="000000" w:themeColor="text1"/>
          <w:lang w:val="fr-FR"/>
        </w:rPr>
        <w:t xml:space="preserve"> + 1,357</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Où Y représente la variable dépendante (La performance des RH)</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X</w:t>
      </w:r>
      <w:r w:rsidRPr="008764AA">
        <w:rPr>
          <w:rFonts w:asciiTheme="majorBidi" w:hAnsiTheme="majorBidi" w:cstheme="majorBidi"/>
          <w:color w:val="000000" w:themeColor="text1"/>
          <w:vertAlign w:val="subscript"/>
          <w:lang w:val="fr-FR"/>
        </w:rPr>
        <w:t>10</w:t>
      </w:r>
      <w:r w:rsidRPr="008764AA">
        <w:rPr>
          <w:rFonts w:asciiTheme="majorBidi" w:hAnsiTheme="majorBidi" w:cstheme="majorBidi"/>
          <w:color w:val="000000" w:themeColor="text1"/>
          <w:lang w:val="fr-FR"/>
        </w:rPr>
        <w:t xml:space="preserve"> </w:t>
      </w:r>
      <w:r>
        <w:rPr>
          <w:rFonts w:asciiTheme="majorBidi" w:hAnsiTheme="majorBidi" w:cstheme="majorBidi"/>
          <w:color w:val="000000" w:themeColor="text1"/>
          <w:lang w:val="fr-FR"/>
        </w:rPr>
        <w:t>désigne</w:t>
      </w:r>
      <w:r w:rsidRPr="008764AA">
        <w:rPr>
          <w:rFonts w:asciiTheme="majorBidi" w:hAnsiTheme="majorBidi" w:cstheme="majorBidi"/>
          <w:color w:val="000000" w:themeColor="text1"/>
          <w:lang w:val="fr-FR"/>
        </w:rPr>
        <w:t xml:space="preserve"> la variable</w:t>
      </w:r>
      <w:r>
        <w:rPr>
          <w:rFonts w:asciiTheme="majorBidi" w:hAnsiTheme="majorBidi" w:cstheme="majorBidi"/>
          <w:color w:val="000000" w:themeColor="text1"/>
          <w:lang w:val="fr-FR"/>
        </w:rPr>
        <w:t xml:space="preserve"> i</w:t>
      </w:r>
      <w:r w:rsidRPr="008764AA">
        <w:rPr>
          <w:rFonts w:asciiTheme="majorBidi" w:hAnsiTheme="majorBidi" w:cstheme="majorBidi"/>
          <w:color w:val="000000" w:themeColor="text1"/>
          <w:lang w:val="fr-FR"/>
        </w:rPr>
        <w:t>ndépendante (processus de recrutement digitalisé) et le nombre 0,721 est la valeur de β10 de la pente de l’équation de régression.</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Après on va étudier l’effet direct et indirect :</w:t>
      </w:r>
    </w:p>
    <w:p w:rsidR="005353F3" w:rsidRPr="008764AA" w:rsidRDefault="005353F3" w:rsidP="004D32AC">
      <w:pPr>
        <w:pStyle w:val="FirstParagraph"/>
        <w:numPr>
          <w:ilvl w:val="0"/>
          <w:numId w:val="134"/>
        </w:numPr>
        <w:spacing w:line="360" w:lineRule="auto"/>
        <w:jc w:val="both"/>
        <w:rPr>
          <w:rFonts w:asciiTheme="majorBidi" w:hAnsiTheme="majorBidi" w:cstheme="majorBidi"/>
          <w:b/>
          <w:color w:val="000000" w:themeColor="text1"/>
          <w:lang w:val="fr-FR"/>
        </w:rPr>
      </w:pPr>
      <w:r w:rsidRPr="008764AA">
        <w:rPr>
          <w:rFonts w:asciiTheme="majorBidi" w:hAnsiTheme="majorBidi" w:cstheme="majorBidi"/>
          <w:b/>
          <w:color w:val="000000" w:themeColor="text1"/>
          <w:lang w:val="fr-FR"/>
        </w:rPr>
        <w:t xml:space="preserve">L’effet direct de la </w:t>
      </w:r>
      <w:r w:rsidRPr="008764AA">
        <w:rPr>
          <w:rStyle w:val="VerbatimChar"/>
          <w:rFonts w:asciiTheme="majorBidi" w:hAnsiTheme="majorBidi" w:cstheme="majorBidi"/>
          <w:b/>
          <w:color w:val="000000" w:themeColor="text1"/>
          <w:lang w:val="fr-FR"/>
        </w:rPr>
        <w:t>digitalisation des processus RH</w:t>
      </w:r>
      <w:r w:rsidRPr="008764AA">
        <w:rPr>
          <w:rFonts w:asciiTheme="majorBidi" w:hAnsiTheme="majorBidi" w:cstheme="majorBidi"/>
          <w:b/>
          <w:color w:val="000000" w:themeColor="text1"/>
          <w:lang w:val="fr-FR"/>
        </w:rPr>
        <w:t xml:space="preserve"> sur </w:t>
      </w:r>
      <w:r w:rsidRPr="008764AA">
        <w:rPr>
          <w:rStyle w:val="VerbatimChar"/>
          <w:rFonts w:asciiTheme="majorBidi" w:hAnsiTheme="majorBidi" w:cstheme="majorBidi"/>
          <w:b/>
          <w:color w:val="000000" w:themeColor="text1"/>
          <w:lang w:val="fr-FR"/>
        </w:rPr>
        <w:t xml:space="preserve">Performance des RH </w:t>
      </w:r>
      <w:r w:rsidRPr="008764AA">
        <w:rPr>
          <w:rFonts w:asciiTheme="majorBidi" w:hAnsiTheme="majorBidi" w:cstheme="majorBidi"/>
          <w:b/>
          <w:color w:val="000000" w:themeColor="text1"/>
          <w:lang w:val="fr-FR"/>
        </w:rPr>
        <w:t xml:space="preserve">(Direct </w:t>
      </w:r>
      <w:proofErr w:type="spellStart"/>
      <w:r w:rsidRPr="008764AA">
        <w:rPr>
          <w:rFonts w:asciiTheme="majorBidi" w:hAnsiTheme="majorBidi" w:cstheme="majorBidi"/>
          <w:b/>
          <w:color w:val="000000" w:themeColor="text1"/>
          <w:lang w:val="fr-FR"/>
        </w:rPr>
        <w:t>effect</w:t>
      </w:r>
      <w:proofErr w:type="spellEnd"/>
      <w:r w:rsidRPr="008764AA">
        <w:rPr>
          <w:rFonts w:asciiTheme="majorBidi" w:hAnsiTheme="majorBidi" w:cstheme="majorBidi"/>
          <w:b/>
          <w:color w:val="000000" w:themeColor="text1"/>
          <w:lang w:val="fr-FR"/>
        </w:rPr>
        <w:t xml:space="preserve"> of X on Y)</w:t>
      </w:r>
    </w:p>
    <w:p w:rsidR="005353F3" w:rsidRPr="008764AA" w:rsidRDefault="005353F3" w:rsidP="00D657FC">
      <w:pPr>
        <w:pStyle w:val="Corpsdetexte"/>
        <w:spacing w:after="0" w:line="360" w:lineRule="auto"/>
        <w:jc w:val="center"/>
        <w:rPr>
          <w:rFonts w:asciiTheme="majorBidi" w:hAnsiTheme="majorBidi" w:cstheme="majorBidi"/>
          <w:b/>
          <w:bCs/>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N°69 </w:t>
      </w:r>
      <w:r w:rsidRPr="008764AA">
        <w:rPr>
          <w:rFonts w:asciiTheme="majorBidi" w:hAnsiTheme="majorBidi" w:cstheme="majorBidi"/>
          <w:b/>
          <w:bCs/>
          <w:color w:val="000000" w:themeColor="text1"/>
          <w:lang w:val="fr-FR"/>
        </w:rPr>
        <w:t xml:space="preserve">: </w:t>
      </w:r>
      <w:r w:rsidRPr="00DC278F">
        <w:rPr>
          <w:rFonts w:asciiTheme="majorBidi" w:hAnsiTheme="majorBidi" w:cstheme="majorBidi"/>
          <w:color w:val="000000" w:themeColor="text1"/>
          <w:lang w:val="fr-FR"/>
        </w:rPr>
        <w:t>L’effet direct de</w:t>
      </w:r>
      <w:r w:rsidR="00D657FC" w:rsidRPr="00D657FC">
        <w:rPr>
          <w:rFonts w:asciiTheme="majorBidi" w:hAnsiTheme="majorBidi" w:cstheme="majorBidi"/>
          <w:color w:val="000000" w:themeColor="text1"/>
          <w:lang w:val="fr-FR"/>
        </w:rPr>
        <w:t xml:space="preserve"> l</w:t>
      </w:r>
      <w:r w:rsidR="00DA7EA0">
        <w:rPr>
          <w:rFonts w:asciiTheme="majorBidi" w:hAnsiTheme="majorBidi" w:cstheme="majorBidi"/>
          <w:color w:val="000000" w:themeColor="text1"/>
          <w:lang w:val="fr-FR"/>
        </w:rPr>
        <w:t>’hypothèse 4</w:t>
      </w:r>
    </w:p>
    <w:tbl>
      <w:tblPr>
        <w:tblStyle w:val="Grilledutableau"/>
        <w:tblW w:w="3306" w:type="pct"/>
        <w:jc w:val="center"/>
        <w:tblLook w:val="07E0" w:firstRow="1" w:lastRow="1" w:firstColumn="1" w:lastColumn="1" w:noHBand="1" w:noVBand="1"/>
      </w:tblPr>
      <w:tblGrid>
        <w:gridCol w:w="876"/>
        <w:gridCol w:w="1697"/>
        <w:gridCol w:w="876"/>
        <w:gridCol w:w="756"/>
        <w:gridCol w:w="876"/>
        <w:gridCol w:w="876"/>
      </w:tblGrid>
      <w:tr w:rsidR="005353F3" w:rsidRPr="008764AA" w:rsidTr="00EC661E">
        <w:trPr>
          <w:jc w:val="center"/>
        </w:trPr>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Effet</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roofErr w:type="spellStart"/>
            <w:r w:rsidRPr="008764AA">
              <w:rPr>
                <w:rFonts w:asciiTheme="majorBidi" w:hAnsiTheme="majorBidi" w:cstheme="majorBidi"/>
                <w:color w:val="000000" w:themeColor="text1"/>
                <w:lang w:val="fr-FR"/>
              </w:rPr>
              <w:t>Sig</w:t>
            </w:r>
            <w:proofErr w:type="spellEnd"/>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LLCI</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ULCI</w:t>
            </w:r>
          </w:p>
        </w:tc>
      </w:tr>
      <w:tr w:rsidR="005353F3" w:rsidRPr="008764AA" w:rsidTr="00E6084A">
        <w:trPr>
          <w:jc w:val="center"/>
        </w:trPr>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1.0197</w:t>
            </w:r>
          </w:p>
        </w:tc>
        <w:tc>
          <w:tcPr>
            <w:tcW w:w="0" w:type="auto"/>
          </w:tcPr>
          <w:p w:rsidR="005353F3" w:rsidRPr="008764AA" w:rsidRDefault="005353F3" w:rsidP="00E6084A">
            <w:pPr>
              <w:pStyle w:val="Compact"/>
              <w:spacing w:line="360" w:lineRule="auto"/>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.1056</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9.6590</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.0000</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0.8113</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1.2281</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pStyle w:val="Corpsdetexte"/>
        <w:spacing w:before="0" w:after="0"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L’effet direct de</w:t>
      </w:r>
      <w:r w:rsidRPr="008764AA">
        <w:rPr>
          <w:rFonts w:asciiTheme="majorBidi" w:hAnsiTheme="majorBidi" w:cstheme="majorBidi"/>
          <w:b/>
          <w:color w:val="000000" w:themeColor="text1"/>
          <w:lang w:val="fr-FR"/>
        </w:rPr>
        <w:t xml:space="preserve"> </w:t>
      </w:r>
      <w:r w:rsidRPr="008764AA">
        <w:rPr>
          <w:rFonts w:asciiTheme="majorBidi" w:hAnsiTheme="majorBidi" w:cstheme="majorBidi"/>
          <w:bCs/>
          <w:color w:val="000000" w:themeColor="text1"/>
          <w:lang w:val="fr-FR"/>
        </w:rPr>
        <w:t xml:space="preserve">la </w:t>
      </w:r>
      <w:r w:rsidRPr="008764AA">
        <w:rPr>
          <w:rStyle w:val="VerbatimChar"/>
          <w:rFonts w:asciiTheme="majorBidi" w:hAnsiTheme="majorBidi" w:cstheme="majorBidi"/>
          <w:bCs/>
          <w:color w:val="000000" w:themeColor="text1"/>
          <w:lang w:val="fr-FR"/>
        </w:rPr>
        <w:t>digitalisation des processus RH</w:t>
      </w:r>
      <w:r w:rsidRPr="008764AA">
        <w:rPr>
          <w:rFonts w:asciiTheme="majorBidi" w:hAnsiTheme="majorBidi" w:cstheme="majorBidi"/>
          <w:bCs/>
          <w:color w:val="000000" w:themeColor="text1"/>
          <w:lang w:val="fr-FR"/>
        </w:rPr>
        <w:t xml:space="preserve"> sur </w:t>
      </w:r>
      <w:r w:rsidRPr="008764AA">
        <w:rPr>
          <w:rStyle w:val="VerbatimChar"/>
          <w:rFonts w:asciiTheme="majorBidi" w:hAnsiTheme="majorBidi" w:cstheme="majorBidi"/>
          <w:bCs/>
          <w:color w:val="000000" w:themeColor="text1"/>
          <w:lang w:val="fr-FR"/>
        </w:rPr>
        <w:t xml:space="preserve">Performance des RH </w:t>
      </w:r>
      <w:r w:rsidRPr="008764AA">
        <w:rPr>
          <w:rStyle w:val="VerbatimChar"/>
          <w:rFonts w:asciiTheme="majorBidi" w:hAnsiTheme="majorBidi" w:cstheme="majorBidi"/>
          <w:color w:val="000000" w:themeColor="text1"/>
          <w:lang w:val="fr-FR"/>
        </w:rPr>
        <w:t>est 1</w:t>
      </w:r>
      <w:r>
        <w:rPr>
          <w:rStyle w:val="VerbatimChar"/>
          <w:rFonts w:asciiTheme="majorBidi" w:hAnsiTheme="majorBidi" w:cstheme="majorBidi"/>
          <w:color w:val="000000" w:themeColor="text1"/>
          <w:lang w:val="fr-FR"/>
        </w:rPr>
        <w:t>,</w:t>
      </w:r>
      <w:r w:rsidRPr="008764AA">
        <w:rPr>
          <w:rStyle w:val="VerbatimChar"/>
          <w:rFonts w:asciiTheme="majorBidi" w:hAnsiTheme="majorBidi" w:cstheme="majorBidi"/>
          <w:color w:val="000000" w:themeColor="text1"/>
          <w:lang w:val="fr-FR"/>
        </w:rPr>
        <w:t>0197.</w:t>
      </w:r>
    </w:p>
    <w:p w:rsidR="005353F3" w:rsidRPr="00F77332" w:rsidRDefault="005353F3" w:rsidP="005353F3">
      <w:pPr>
        <w:pStyle w:val="p1"/>
        <w:spacing w:line="360" w:lineRule="auto"/>
        <w:jc w:val="both"/>
        <w:rPr>
          <w:rFonts w:asciiTheme="majorBidi" w:hAnsiTheme="majorBidi" w:cstheme="majorBidi"/>
          <w:bCs/>
          <w:color w:val="000000" w:themeColor="text1"/>
          <w:sz w:val="24"/>
          <w:szCs w:val="24"/>
        </w:rPr>
      </w:pPr>
      <w:r w:rsidRPr="008764AA">
        <w:rPr>
          <w:rFonts w:asciiTheme="majorBidi" w:hAnsiTheme="majorBidi" w:cstheme="majorBidi"/>
          <w:color w:val="000000" w:themeColor="text1"/>
          <w:sz w:val="24"/>
          <w:szCs w:val="24"/>
        </w:rPr>
        <w:t xml:space="preserve">L'intervalle de confiance [0,8113 ; 1,2281] avec une probabilité de 95% ne comprend pas la valeur zéro,donc il existe une relation statistiquement significative entre </w:t>
      </w:r>
      <w:r w:rsidRPr="008764AA">
        <w:rPr>
          <w:rFonts w:asciiTheme="majorBidi" w:hAnsiTheme="majorBidi" w:cstheme="majorBidi"/>
          <w:bCs/>
          <w:color w:val="000000" w:themeColor="text1"/>
          <w:sz w:val="24"/>
          <w:szCs w:val="24"/>
        </w:rPr>
        <w:t xml:space="preserve">la </w:t>
      </w:r>
      <w:r w:rsidRPr="008764AA">
        <w:rPr>
          <w:rStyle w:val="VerbatimChar"/>
          <w:rFonts w:asciiTheme="majorBidi" w:hAnsiTheme="majorBidi" w:cstheme="majorBidi"/>
          <w:bCs/>
          <w:color w:val="000000" w:themeColor="text1"/>
          <w:sz w:val="24"/>
          <w:szCs w:val="24"/>
        </w:rPr>
        <w:t>digitalisation des processus RH</w:t>
      </w:r>
      <w:r w:rsidRPr="008764AA">
        <w:rPr>
          <w:rFonts w:asciiTheme="majorBidi" w:hAnsiTheme="majorBidi" w:cstheme="majorBidi"/>
          <w:bCs/>
          <w:color w:val="000000" w:themeColor="text1"/>
          <w:sz w:val="24"/>
          <w:szCs w:val="24"/>
        </w:rPr>
        <w:t xml:space="preserve"> sur </w:t>
      </w:r>
      <w:r w:rsidRPr="008764AA">
        <w:rPr>
          <w:rStyle w:val="VerbatimChar"/>
          <w:rFonts w:asciiTheme="majorBidi" w:hAnsiTheme="majorBidi" w:cstheme="majorBidi"/>
          <w:bCs/>
          <w:color w:val="000000" w:themeColor="text1"/>
          <w:sz w:val="24"/>
          <w:szCs w:val="24"/>
        </w:rPr>
        <w:t>Performance des RH.</w:t>
      </w:r>
    </w:p>
    <w:p w:rsidR="005353F3" w:rsidRPr="008764AA" w:rsidRDefault="005353F3" w:rsidP="004D32AC">
      <w:pPr>
        <w:pStyle w:val="FirstParagraph"/>
        <w:numPr>
          <w:ilvl w:val="0"/>
          <w:numId w:val="134"/>
        </w:numPr>
        <w:spacing w:line="360" w:lineRule="auto"/>
        <w:jc w:val="both"/>
        <w:rPr>
          <w:rFonts w:asciiTheme="majorBidi" w:hAnsiTheme="majorBidi" w:cstheme="majorBidi"/>
          <w:b/>
          <w:color w:val="000000" w:themeColor="text1"/>
          <w:lang w:val="fr-FR"/>
        </w:rPr>
      </w:pPr>
      <w:r w:rsidRPr="008764AA">
        <w:rPr>
          <w:rFonts w:asciiTheme="majorBidi" w:hAnsiTheme="majorBidi" w:cstheme="majorBidi"/>
          <w:b/>
          <w:color w:val="000000" w:themeColor="text1"/>
          <w:lang w:val="fr-FR"/>
        </w:rPr>
        <w:t xml:space="preserve">L’effet indirect de la </w:t>
      </w:r>
      <w:r w:rsidRPr="008764AA">
        <w:rPr>
          <w:rStyle w:val="VerbatimChar"/>
          <w:rFonts w:asciiTheme="majorBidi" w:hAnsiTheme="majorBidi" w:cstheme="majorBidi"/>
          <w:b/>
          <w:color w:val="000000" w:themeColor="text1"/>
          <w:lang w:val="fr-FR"/>
        </w:rPr>
        <w:t>digitalisation des processus RH</w:t>
      </w:r>
      <w:r w:rsidRPr="008764AA">
        <w:rPr>
          <w:rFonts w:asciiTheme="majorBidi" w:hAnsiTheme="majorBidi" w:cstheme="majorBidi"/>
          <w:b/>
          <w:color w:val="000000" w:themeColor="text1"/>
          <w:lang w:val="fr-FR"/>
        </w:rPr>
        <w:t xml:space="preserve"> sur </w:t>
      </w:r>
      <w:r w:rsidRPr="008764AA">
        <w:rPr>
          <w:rStyle w:val="VerbatimChar"/>
          <w:rFonts w:asciiTheme="majorBidi" w:hAnsiTheme="majorBidi" w:cstheme="majorBidi"/>
          <w:b/>
          <w:color w:val="000000" w:themeColor="text1"/>
          <w:lang w:val="fr-FR"/>
        </w:rPr>
        <w:t xml:space="preserve">Performance des RH </w:t>
      </w:r>
      <w:r w:rsidRPr="008764AA">
        <w:rPr>
          <w:rFonts w:asciiTheme="majorBidi" w:hAnsiTheme="majorBidi" w:cstheme="majorBidi"/>
          <w:b/>
          <w:color w:val="000000" w:themeColor="text1"/>
          <w:lang w:val="fr-FR"/>
        </w:rPr>
        <w:t xml:space="preserve">(Indirect </w:t>
      </w:r>
      <w:proofErr w:type="spellStart"/>
      <w:r w:rsidRPr="008764AA">
        <w:rPr>
          <w:rFonts w:asciiTheme="majorBidi" w:hAnsiTheme="majorBidi" w:cstheme="majorBidi"/>
          <w:b/>
          <w:color w:val="000000" w:themeColor="text1"/>
          <w:lang w:val="fr-FR"/>
        </w:rPr>
        <w:t>effect</w:t>
      </w:r>
      <w:proofErr w:type="spellEnd"/>
      <w:r w:rsidRPr="008764AA">
        <w:rPr>
          <w:rFonts w:asciiTheme="majorBidi" w:hAnsiTheme="majorBidi" w:cstheme="majorBidi"/>
          <w:b/>
          <w:color w:val="000000" w:themeColor="text1"/>
          <w:lang w:val="fr-FR"/>
        </w:rPr>
        <w:t xml:space="preserve"> of X on Y)</w:t>
      </w:r>
    </w:p>
    <w:p w:rsidR="005353F3" w:rsidRPr="008764AA" w:rsidRDefault="005353F3" w:rsidP="00DA7EA0">
      <w:pPr>
        <w:pStyle w:val="Corpsdetexte"/>
        <w:spacing w:after="0" w:line="360" w:lineRule="auto"/>
        <w:jc w:val="center"/>
        <w:rPr>
          <w:rFonts w:asciiTheme="majorBidi" w:hAnsiTheme="majorBidi" w:cstheme="majorBidi"/>
          <w:b/>
          <w:bCs/>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N°70</w:t>
      </w:r>
      <w:r w:rsidR="00C9051E">
        <w:rPr>
          <w:rFonts w:asciiTheme="majorBidi" w:hAnsiTheme="majorBidi" w:cstheme="majorBidi"/>
          <w:b/>
          <w:bCs/>
          <w:color w:val="000000" w:themeColor="text1"/>
          <w:lang w:val="fr-FR"/>
        </w:rPr>
        <w:t xml:space="preserve"> </w:t>
      </w:r>
      <w:r w:rsidRPr="008764AA">
        <w:rPr>
          <w:rFonts w:asciiTheme="majorBidi" w:hAnsiTheme="majorBidi" w:cstheme="majorBidi"/>
          <w:b/>
          <w:bCs/>
          <w:color w:val="000000" w:themeColor="text1"/>
          <w:lang w:val="fr-FR"/>
        </w:rPr>
        <w:t>:</w:t>
      </w:r>
      <w:r w:rsidR="00C9051E">
        <w:rPr>
          <w:rFonts w:asciiTheme="majorBidi" w:hAnsiTheme="majorBidi" w:cstheme="majorBidi"/>
          <w:b/>
          <w:bCs/>
          <w:color w:val="000000" w:themeColor="text1"/>
          <w:lang w:val="fr-FR"/>
        </w:rPr>
        <w:t xml:space="preserve"> </w:t>
      </w:r>
      <w:r w:rsidRPr="00DC278F">
        <w:rPr>
          <w:rFonts w:asciiTheme="majorBidi" w:hAnsiTheme="majorBidi" w:cstheme="majorBidi"/>
          <w:color w:val="000000" w:themeColor="text1"/>
          <w:lang w:val="fr-FR"/>
        </w:rPr>
        <w:t xml:space="preserve">L’effet indirect </w:t>
      </w:r>
      <w:r w:rsidR="00DA7EA0" w:rsidRPr="00DC278F">
        <w:rPr>
          <w:rFonts w:asciiTheme="majorBidi" w:hAnsiTheme="majorBidi" w:cstheme="majorBidi"/>
          <w:color w:val="000000" w:themeColor="text1"/>
          <w:lang w:val="fr-FR"/>
        </w:rPr>
        <w:t>de</w:t>
      </w:r>
      <w:r w:rsidR="00DA7EA0" w:rsidRPr="00D657FC">
        <w:rPr>
          <w:rFonts w:asciiTheme="majorBidi" w:hAnsiTheme="majorBidi" w:cstheme="majorBidi"/>
          <w:color w:val="000000" w:themeColor="text1"/>
          <w:lang w:val="fr-FR"/>
        </w:rPr>
        <w:t xml:space="preserve"> l</w:t>
      </w:r>
      <w:r w:rsidR="00DA7EA0">
        <w:rPr>
          <w:rFonts w:asciiTheme="majorBidi" w:hAnsiTheme="majorBidi" w:cstheme="majorBidi"/>
          <w:color w:val="000000" w:themeColor="text1"/>
          <w:lang w:val="fr-FR"/>
        </w:rPr>
        <w:t>’hypothèse 4</w:t>
      </w:r>
    </w:p>
    <w:tbl>
      <w:tblPr>
        <w:tblStyle w:val="Grilledutableau"/>
        <w:tblW w:w="2873" w:type="pct"/>
        <w:jc w:val="center"/>
        <w:tblLook w:val="07E0" w:firstRow="1" w:lastRow="1" w:firstColumn="1" w:lastColumn="1" w:noHBand="1" w:noVBand="1"/>
      </w:tblPr>
      <w:tblGrid>
        <w:gridCol w:w="883"/>
        <w:gridCol w:w="876"/>
        <w:gridCol w:w="963"/>
        <w:gridCol w:w="1216"/>
        <w:gridCol w:w="1243"/>
      </w:tblGrid>
      <w:tr w:rsidR="005353F3" w:rsidRPr="008764AA" w:rsidTr="00EC661E">
        <w:trPr>
          <w:jc w:val="center"/>
        </w:trPr>
        <w:tc>
          <w:tcPr>
            <w:tcW w:w="0" w:type="auto"/>
            <w:shd w:val="clear" w:color="auto" w:fill="D8DCD1"/>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Effet</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BootSE</w:t>
            </w:r>
            <w:proofErr w:type="spellEnd"/>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BootLLCI</w:t>
            </w:r>
            <w:proofErr w:type="spellEnd"/>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BootULCI</w:t>
            </w:r>
            <w:proofErr w:type="spellEnd"/>
          </w:p>
        </w:tc>
      </w:tr>
      <w:tr w:rsidR="005353F3" w:rsidRPr="008764AA" w:rsidTr="00EC661E">
        <w:trPr>
          <w:jc w:val="center"/>
        </w:trPr>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ProRD</w:t>
            </w:r>
            <w:proofErr w:type="spellEnd"/>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0.3660</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0.1137</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0.1579</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0.6121</w:t>
            </w:r>
          </w:p>
        </w:tc>
      </w:tr>
    </w:tbl>
    <w:p w:rsidR="005353F3" w:rsidRPr="008764AA" w:rsidRDefault="005353F3" w:rsidP="00982387">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792EEE" w:rsidRDefault="005353F3" w:rsidP="005353F3">
      <w:pPr>
        <w:spacing w:line="360" w:lineRule="auto"/>
        <w:jc w:val="both"/>
        <w:rPr>
          <w:rFonts w:asciiTheme="majorBidi" w:hAnsiTheme="majorBidi" w:cstheme="majorBidi"/>
          <w:color w:val="000000" w:themeColor="text1"/>
        </w:rPr>
      </w:pPr>
      <w:r w:rsidRPr="00792EEE">
        <w:rPr>
          <w:rFonts w:asciiTheme="majorBidi" w:hAnsiTheme="majorBidi" w:cstheme="majorBidi"/>
          <w:color w:val="000000" w:themeColor="text1"/>
        </w:rPr>
        <w:t>Selon les données du tableau, le coefficient de chemin pour la relation indirecte se situe dans l’intervalle de confiance [0,1579 ; 0,6121] avec un niveau de confiance de 95 %. Comme cet intervalle ne contient pas la valeur zéro, le critère de significativité est rempli.</w:t>
      </w:r>
    </w:p>
    <w:p w:rsidR="005353F3" w:rsidRPr="00792EEE" w:rsidRDefault="005353F3" w:rsidP="005353F3">
      <w:pPr>
        <w:spacing w:line="360" w:lineRule="auto"/>
        <w:jc w:val="both"/>
        <w:rPr>
          <w:rFonts w:asciiTheme="majorBidi" w:hAnsiTheme="majorBidi" w:cstheme="majorBidi"/>
          <w:color w:val="000000" w:themeColor="text1"/>
        </w:rPr>
      </w:pPr>
      <w:r w:rsidRPr="00792EEE">
        <w:rPr>
          <w:rFonts w:asciiTheme="majorBidi" w:hAnsiTheme="majorBidi" w:cstheme="majorBidi"/>
          <w:color w:val="000000" w:themeColor="text1"/>
        </w:rPr>
        <w:t>En conséquence, nous validons l’hypothèse selon laquelle il existe une relation statistiquement significative entre la digitalisation des processus RH et la performance RH, avec le processus de recrutement digitalisé jouant un rôle de variable médiatrice.</w:t>
      </w:r>
    </w:p>
    <w:p w:rsidR="005353F3" w:rsidRPr="00792EEE" w:rsidRDefault="005353F3" w:rsidP="005353F3">
      <w:pPr>
        <w:spacing w:line="360" w:lineRule="auto"/>
        <w:jc w:val="both"/>
        <w:rPr>
          <w:rFonts w:asciiTheme="majorBidi" w:hAnsiTheme="majorBidi" w:cstheme="majorBidi"/>
          <w:color w:val="000000" w:themeColor="text1"/>
        </w:rPr>
      </w:pPr>
      <w:r w:rsidRPr="00792EEE">
        <w:rPr>
          <w:rFonts w:asciiTheme="majorBidi" w:hAnsiTheme="majorBidi" w:cstheme="majorBidi"/>
          <w:color w:val="000000" w:themeColor="text1"/>
        </w:rPr>
        <w:t xml:space="preserve">Les résultats révèlent que les deux relations </w:t>
      </w:r>
      <w:r w:rsidRPr="00226CE1">
        <w:rPr>
          <w:rFonts w:asciiTheme="majorBidi" w:hAnsiTheme="majorBidi" w:cstheme="majorBidi"/>
          <w:color w:val="000000" w:themeColor="text1"/>
          <w:lang w:val="fr-FR"/>
        </w:rPr>
        <w:t>(</w:t>
      </w:r>
      <w:r w:rsidRPr="00792EEE">
        <w:rPr>
          <w:rFonts w:asciiTheme="majorBidi" w:hAnsiTheme="majorBidi" w:cstheme="majorBidi"/>
          <w:color w:val="000000" w:themeColor="text1"/>
        </w:rPr>
        <w:t>directe et indirecte</w:t>
      </w:r>
      <w:r w:rsidRPr="00226CE1">
        <w:rPr>
          <w:rFonts w:asciiTheme="majorBidi" w:hAnsiTheme="majorBidi" w:cstheme="majorBidi"/>
          <w:color w:val="000000" w:themeColor="text1"/>
          <w:lang w:val="fr-FR"/>
        </w:rPr>
        <w:t>)</w:t>
      </w:r>
      <w:r w:rsidRPr="00792EEE">
        <w:rPr>
          <w:rFonts w:asciiTheme="majorBidi" w:hAnsiTheme="majorBidi" w:cstheme="majorBidi"/>
          <w:color w:val="000000" w:themeColor="text1"/>
        </w:rPr>
        <w:t xml:space="preserve"> sont significatives et positives. Le coefficient de la relation directe s’élève à 1,0197, ce qui est supérieur à celui de la relation indirecte </w:t>
      </w:r>
      <w:r w:rsidRPr="00226CE1">
        <w:rPr>
          <w:rFonts w:asciiTheme="majorBidi" w:hAnsiTheme="majorBidi" w:cstheme="majorBidi"/>
          <w:color w:val="000000" w:themeColor="text1"/>
          <w:lang w:val="fr-FR"/>
        </w:rPr>
        <w:t xml:space="preserve">qui est </w:t>
      </w:r>
      <w:r w:rsidRPr="00792EEE">
        <w:rPr>
          <w:rFonts w:asciiTheme="majorBidi" w:hAnsiTheme="majorBidi" w:cstheme="majorBidi"/>
          <w:color w:val="000000" w:themeColor="text1"/>
        </w:rPr>
        <w:t>0,366, suggérant que l'effet principal demeure fort même en présence de la médiation.</w:t>
      </w:r>
    </w:p>
    <w:p w:rsidR="005353F3" w:rsidRPr="008764AA" w:rsidRDefault="005353F3" w:rsidP="005353F3">
      <w:pPr>
        <w:spacing w:line="360" w:lineRule="auto"/>
        <w:jc w:val="both"/>
        <w:rPr>
          <w:rFonts w:asciiTheme="majorBidi" w:hAnsiTheme="majorBidi" w:cstheme="majorBidi"/>
          <w:color w:val="000000" w:themeColor="text1"/>
          <w:lang w:val="fr-FR"/>
        </w:rPr>
      </w:pPr>
      <w:r w:rsidRPr="00792EEE">
        <w:rPr>
          <w:rFonts w:asciiTheme="majorBidi" w:hAnsiTheme="majorBidi" w:cstheme="majorBidi"/>
          <w:color w:val="000000" w:themeColor="text1"/>
        </w:rPr>
        <w:lastRenderedPageBreak/>
        <w:t xml:space="preserve">La coexistence d’un effet direct significatif et d’un effet indirect significatif indique une médiation partielle. </w:t>
      </w:r>
      <w:r w:rsidRPr="008764AA">
        <w:rPr>
          <w:rFonts w:asciiTheme="majorBidi" w:hAnsiTheme="majorBidi" w:cstheme="majorBidi"/>
          <w:color w:val="000000" w:themeColor="text1"/>
          <w:lang w:val="fr-FR"/>
        </w:rPr>
        <w:t xml:space="preserve">Cela signifie que </w:t>
      </w:r>
      <w:r w:rsidRPr="008764AA">
        <w:rPr>
          <w:rStyle w:val="VerbatimChar"/>
          <w:rFonts w:asciiTheme="majorBidi" w:hAnsiTheme="majorBidi" w:cstheme="majorBidi"/>
          <w:color w:val="000000" w:themeColor="text1"/>
          <w:lang w:val="fr-FR"/>
        </w:rPr>
        <w:t>Processus de recrutement digitalisé</w:t>
      </w:r>
      <w:r w:rsidRPr="008764AA">
        <w:rPr>
          <w:rFonts w:asciiTheme="majorBidi" w:hAnsiTheme="majorBidi" w:cstheme="majorBidi"/>
          <w:color w:val="000000" w:themeColor="text1"/>
          <w:lang w:val="fr-FR"/>
        </w:rPr>
        <w:t xml:space="preserve"> explique une partie du mécanisme par lequel la </w:t>
      </w:r>
      <w:r w:rsidRPr="008764AA">
        <w:rPr>
          <w:rStyle w:val="VerbatimChar"/>
          <w:rFonts w:asciiTheme="majorBidi" w:hAnsiTheme="majorBidi" w:cstheme="majorBidi"/>
          <w:color w:val="000000" w:themeColor="text1"/>
          <w:lang w:val="fr-FR"/>
        </w:rPr>
        <w:t>digitalisation des processus RH</w:t>
      </w:r>
      <w:r w:rsidRPr="008764AA">
        <w:rPr>
          <w:rFonts w:asciiTheme="majorBidi" w:hAnsiTheme="majorBidi" w:cstheme="majorBidi"/>
          <w:color w:val="000000" w:themeColor="text1"/>
          <w:lang w:val="fr-FR"/>
        </w:rPr>
        <w:t xml:space="preserve"> influence la </w:t>
      </w:r>
      <w:r w:rsidRPr="008764AA">
        <w:rPr>
          <w:rStyle w:val="VerbatimChar"/>
          <w:rFonts w:asciiTheme="majorBidi" w:hAnsiTheme="majorBidi" w:cstheme="majorBidi"/>
          <w:color w:val="000000" w:themeColor="text1"/>
          <w:lang w:val="fr-FR"/>
        </w:rPr>
        <w:t>Performance des RH</w:t>
      </w:r>
      <w:r w:rsidRPr="008764AA">
        <w:rPr>
          <w:rFonts w:asciiTheme="majorBidi" w:hAnsiTheme="majorBidi" w:cstheme="majorBidi"/>
          <w:color w:val="000000" w:themeColor="text1"/>
          <w:lang w:val="fr-FR"/>
        </w:rPr>
        <w:t>, mais pas la totalité.</w:t>
      </w:r>
    </w:p>
    <w:p w:rsidR="005353F3" w:rsidRPr="008764AA" w:rsidRDefault="005353F3" w:rsidP="005353F3">
      <w:pPr>
        <w:pStyle w:val="Corpsdetexte"/>
        <w:spacing w:after="0" w:line="360" w:lineRule="auto"/>
        <w:jc w:val="both"/>
        <w:rPr>
          <w:rFonts w:asciiTheme="majorBidi" w:hAnsiTheme="majorBidi" w:cstheme="majorBidi"/>
          <w:color w:val="000000" w:themeColor="text1"/>
          <w:lang w:val="fr-FR"/>
        </w:rPr>
      </w:pPr>
      <w:r w:rsidRPr="008764AA">
        <w:rPr>
          <w:rFonts w:asciiTheme="majorBidi" w:hAnsiTheme="majorBidi" w:cstheme="majorBidi"/>
          <w:b/>
          <w:color w:val="000000" w:themeColor="text1"/>
          <w:lang w:val="fr-FR"/>
        </w:rPr>
        <w:t>Calcul de l’effet total</w:t>
      </w:r>
      <w:r w:rsidRPr="008764AA">
        <w:rPr>
          <w:rFonts w:asciiTheme="majorBidi" w:hAnsiTheme="majorBidi" w:cstheme="majorBidi"/>
          <w:color w:val="000000" w:themeColor="text1"/>
          <w:lang w:val="fr-FR"/>
        </w:rPr>
        <w:t xml:space="preserve"> : L’effet total de </w:t>
      </w:r>
      <w:r w:rsidRPr="008764AA">
        <w:rPr>
          <w:rStyle w:val="VerbatimChar"/>
          <w:rFonts w:asciiTheme="majorBidi" w:hAnsiTheme="majorBidi" w:cstheme="majorBidi"/>
          <w:color w:val="000000" w:themeColor="text1"/>
          <w:lang w:val="fr-FR"/>
        </w:rPr>
        <w:t>digit</w:t>
      </w:r>
      <w:r w:rsidRPr="008764AA">
        <w:rPr>
          <w:rFonts w:asciiTheme="majorBidi" w:hAnsiTheme="majorBidi" w:cstheme="majorBidi"/>
          <w:color w:val="000000" w:themeColor="text1"/>
          <w:lang w:val="fr-FR"/>
        </w:rPr>
        <w:t xml:space="preserve"> sur </w:t>
      </w:r>
      <w:proofErr w:type="spellStart"/>
      <w:r w:rsidRPr="008764AA">
        <w:rPr>
          <w:rStyle w:val="VerbatimChar"/>
          <w:rFonts w:asciiTheme="majorBidi" w:hAnsiTheme="majorBidi" w:cstheme="majorBidi"/>
          <w:color w:val="000000" w:themeColor="text1"/>
          <w:lang w:val="fr-FR"/>
        </w:rPr>
        <w:t>PerfRH</w:t>
      </w:r>
      <w:proofErr w:type="spellEnd"/>
      <w:r w:rsidRPr="008764AA">
        <w:rPr>
          <w:rFonts w:asciiTheme="majorBidi" w:hAnsiTheme="majorBidi" w:cstheme="majorBidi"/>
          <w:color w:val="000000" w:themeColor="text1"/>
          <w:lang w:val="fr-FR"/>
        </w:rPr>
        <w:t xml:space="preserve"> est la somme de l’effet direct et de l’effet indirect : 1</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0197 (direct) + 0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3660 (indirect) = 1</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3857</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Ces résultats ont des implications importantes. Pour améliorer la performance RH, les organisations pourraient non seulement investir dans la digitalisation de manière générale, mais aussi se concentrer sur l’amélioration des </w:t>
      </w:r>
      <w:r w:rsidRPr="008764AA">
        <w:rPr>
          <w:rStyle w:val="VerbatimChar"/>
          <w:rFonts w:asciiTheme="majorBidi" w:hAnsiTheme="majorBidi" w:cstheme="majorBidi"/>
          <w:color w:val="000000" w:themeColor="text1"/>
          <w:lang w:val="fr-FR"/>
        </w:rPr>
        <w:t>Processus de recrutement digitalisé</w:t>
      </w:r>
      <w:r w:rsidRPr="008764AA">
        <w:rPr>
          <w:rFonts w:asciiTheme="majorBidi" w:hAnsiTheme="majorBidi" w:cstheme="majorBidi"/>
          <w:color w:val="000000" w:themeColor="text1"/>
          <w:lang w:val="fr-FR"/>
        </w:rPr>
        <w:t xml:space="preserve"> comme levier clé pour traduire les bénéfices de la digitalisation des processus de RH. </w:t>
      </w:r>
    </w:p>
    <w:p w:rsidR="005353F3" w:rsidRPr="004D4075" w:rsidRDefault="005353F3" w:rsidP="004D32AC">
      <w:pPr>
        <w:pStyle w:val="Titre3"/>
        <w:numPr>
          <w:ilvl w:val="0"/>
          <w:numId w:val="194"/>
        </w:numPr>
        <w:spacing w:after="0" w:afterAutospacing="0" w:line="360" w:lineRule="auto"/>
        <w:rPr>
          <w:sz w:val="24"/>
          <w:szCs w:val="24"/>
          <w:lang w:val="fr-FR"/>
        </w:rPr>
      </w:pPr>
      <w:bookmarkStart w:id="2412" w:name="_Toc199714593"/>
      <w:bookmarkStart w:id="2413" w:name="_Toc200486869"/>
      <w:bookmarkStart w:id="2414" w:name="_Toc200635647"/>
      <w:bookmarkStart w:id="2415" w:name="_Toc200636035"/>
      <w:bookmarkStart w:id="2416" w:name="_Toc200636424"/>
      <w:bookmarkStart w:id="2417" w:name="_Toc200756165"/>
      <w:r w:rsidRPr="004D4075">
        <w:rPr>
          <w:sz w:val="24"/>
          <w:szCs w:val="24"/>
          <w:lang w:val="fr-FR"/>
        </w:rPr>
        <w:t>Test de la cinquième hypothèse (variable médiatrice) :</w:t>
      </w:r>
      <w:bookmarkEnd w:id="2412"/>
      <w:bookmarkEnd w:id="2413"/>
      <w:bookmarkEnd w:id="2414"/>
      <w:bookmarkEnd w:id="2415"/>
      <w:bookmarkEnd w:id="2416"/>
      <w:bookmarkEnd w:id="2417"/>
    </w:p>
    <w:p w:rsidR="005353F3" w:rsidRPr="008764AA" w:rsidRDefault="005353F3" w:rsidP="005353F3">
      <w:pPr>
        <w:pStyle w:val="p1"/>
        <w:spacing w:line="360" w:lineRule="auto"/>
        <w:jc w:val="both"/>
        <w:rPr>
          <w:rFonts w:asciiTheme="majorBidi" w:hAnsiTheme="majorBidi" w:cstheme="majorBidi"/>
          <w:color w:val="000000" w:themeColor="text1"/>
          <w:sz w:val="24"/>
          <w:szCs w:val="24"/>
        </w:rPr>
      </w:pPr>
      <w:r w:rsidRPr="008764AA">
        <w:rPr>
          <w:rFonts w:asciiTheme="majorBidi" w:hAnsiTheme="majorBidi" w:cstheme="majorBidi"/>
          <w:b/>
          <w:bCs/>
          <w:color w:val="000000" w:themeColor="text1"/>
          <w:sz w:val="24"/>
          <w:szCs w:val="24"/>
        </w:rPr>
        <w:t>H</w:t>
      </w:r>
      <w:r>
        <w:rPr>
          <w:rFonts w:asciiTheme="majorBidi" w:hAnsiTheme="majorBidi" w:cstheme="majorBidi"/>
          <w:b/>
          <w:bCs/>
          <w:color w:val="000000" w:themeColor="text1"/>
          <w:sz w:val="24"/>
          <w:szCs w:val="24"/>
        </w:rPr>
        <w:t>5</w:t>
      </w:r>
      <w:r w:rsidRPr="008764AA">
        <w:rPr>
          <w:rFonts w:asciiTheme="majorBidi" w:hAnsiTheme="majorBidi" w:cstheme="majorBidi"/>
          <w:b/>
          <w:bCs/>
          <w:color w:val="000000" w:themeColor="text1"/>
          <w:sz w:val="24"/>
          <w:szCs w:val="24"/>
        </w:rPr>
        <w:t xml:space="preserve">: </w:t>
      </w:r>
      <w:r w:rsidRPr="008764AA">
        <w:rPr>
          <w:rFonts w:asciiTheme="majorBidi" w:hAnsiTheme="majorBidi" w:cstheme="majorBidi"/>
          <w:color w:val="000000" w:themeColor="text1"/>
          <w:sz w:val="24"/>
          <w:szCs w:val="24"/>
        </w:rPr>
        <w:t>Le processus de formation digitalisée a un impact médiateur positif sur la digitalisation des processus RH et la performance des RH au niveau de signification de 0,05.</w:t>
      </w:r>
    </w:p>
    <w:p w:rsidR="005353F3" w:rsidRPr="008764AA" w:rsidRDefault="005353F3" w:rsidP="005353F3">
      <w:pPr>
        <w:pStyle w:val="p1"/>
        <w:spacing w:after="240" w:line="360" w:lineRule="auto"/>
        <w:jc w:val="both"/>
        <w:rPr>
          <w:rFonts w:asciiTheme="majorBidi" w:hAnsiTheme="majorBidi" w:cstheme="majorBidi"/>
          <w:color w:val="000000" w:themeColor="text1"/>
          <w:sz w:val="24"/>
          <w:szCs w:val="24"/>
        </w:rPr>
      </w:pPr>
      <w:r w:rsidRPr="008764AA">
        <w:rPr>
          <w:rFonts w:asciiTheme="majorBidi" w:hAnsiTheme="majorBidi" w:cstheme="majorBidi"/>
          <w:color w:val="000000" w:themeColor="text1"/>
          <w:sz w:val="24"/>
          <w:szCs w:val="24"/>
        </w:rPr>
        <w:t>L’analyse utilise le Modèle 4 de la procédure PROCESS pour SPSS, développée par Andrew F. Hayes. Ce modèle est conçu pour tester les effets de médiation.</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Il existe plusieurs conditions pour que le test de médiation puisse mieux expliquer la relation,</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parmi ces conditions :</w:t>
      </w:r>
    </w:p>
    <w:p w:rsidR="005353F3" w:rsidRPr="008764AA" w:rsidRDefault="005353F3" w:rsidP="004D32AC">
      <w:pPr>
        <w:pStyle w:val="Paragraphedeliste"/>
        <w:numPr>
          <w:ilvl w:val="0"/>
          <w:numId w:val="132"/>
        </w:numPr>
        <w:spacing w:line="360" w:lineRule="auto"/>
        <w:jc w:val="both"/>
        <w:rPr>
          <w:rFonts w:asciiTheme="majorBidi" w:eastAsia="Times New Roman" w:hAnsiTheme="majorBidi" w:cstheme="majorBidi"/>
          <w:color w:val="000000" w:themeColor="text1"/>
          <w:lang w:eastAsia="fr-FR"/>
          <w14:ligatures w14:val="none"/>
        </w:rPr>
      </w:pPr>
      <w:r w:rsidRPr="008764AA">
        <w:rPr>
          <w:rFonts w:asciiTheme="majorBidi" w:eastAsia="Times New Roman" w:hAnsiTheme="majorBidi" w:cstheme="majorBidi"/>
          <w:color w:val="000000" w:themeColor="text1"/>
          <w:lang w:eastAsia="fr-FR"/>
          <w14:ligatures w14:val="none"/>
        </w:rPr>
        <w:t>Le test de médiation doit être directement lié à la variable indépendante de l'étude, ce qui a déjà été prouvé par les hypothèses.</w:t>
      </w:r>
    </w:p>
    <w:p w:rsidR="005353F3" w:rsidRPr="008764AA" w:rsidRDefault="005353F3" w:rsidP="004D32AC">
      <w:pPr>
        <w:pStyle w:val="Paragraphedeliste"/>
        <w:numPr>
          <w:ilvl w:val="0"/>
          <w:numId w:val="132"/>
        </w:numPr>
        <w:spacing w:before="240" w:line="360" w:lineRule="auto"/>
        <w:jc w:val="both"/>
        <w:rPr>
          <w:rFonts w:asciiTheme="majorBidi" w:eastAsia="Times New Roman" w:hAnsiTheme="majorBidi" w:cstheme="majorBidi"/>
          <w:color w:val="000000" w:themeColor="text1"/>
          <w:lang w:eastAsia="fr-FR"/>
          <w14:ligatures w14:val="none"/>
        </w:rPr>
      </w:pPr>
      <w:r w:rsidRPr="008764AA">
        <w:rPr>
          <w:rFonts w:asciiTheme="majorBidi" w:eastAsia="Times New Roman" w:hAnsiTheme="majorBidi" w:cstheme="majorBidi"/>
          <w:color w:val="000000" w:themeColor="text1"/>
          <w:lang w:eastAsia="fr-FR"/>
          <w14:ligatures w14:val="none"/>
        </w:rPr>
        <w:t>Le test de médiation doit être directement lié à la variable dépendante de l'étude, c’est ce que nous allons prouver dans les résultats suivants:</w:t>
      </w:r>
    </w:p>
    <w:p w:rsidR="005353F3" w:rsidRPr="008764AA" w:rsidRDefault="005353F3" w:rsidP="005353F3">
      <w:pPr>
        <w:pStyle w:val="p1"/>
        <w:spacing w:after="240" w:line="360" w:lineRule="auto"/>
        <w:jc w:val="both"/>
        <w:rPr>
          <w:rFonts w:asciiTheme="majorBidi" w:hAnsiTheme="majorBidi" w:cstheme="majorBidi"/>
          <w:color w:val="000000" w:themeColor="text1"/>
          <w:sz w:val="24"/>
          <w:szCs w:val="24"/>
        </w:rPr>
      </w:pPr>
      <w:r w:rsidRPr="008764AA">
        <w:rPr>
          <w:rFonts w:asciiTheme="majorBidi" w:hAnsiTheme="majorBidi" w:cstheme="majorBidi"/>
          <w:color w:val="000000" w:themeColor="text1"/>
          <w:sz w:val="24"/>
          <w:szCs w:val="24"/>
        </w:rPr>
        <w:t>« Le processus de formation digitalisée a un impact positif significatif sur la performance des RH au niveau de signification de 0,05 »</w:t>
      </w:r>
    </w:p>
    <w:p w:rsidR="005353F3" w:rsidRPr="00F77332" w:rsidRDefault="005353F3" w:rsidP="004D32AC">
      <w:pPr>
        <w:pStyle w:val="Paragraphedeliste"/>
        <w:numPr>
          <w:ilvl w:val="0"/>
          <w:numId w:val="182"/>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 xml:space="preserve"> Coefficient de corrélation R2 (R-square)</w:t>
      </w:r>
      <w:r w:rsidR="004D45A5">
        <w:rPr>
          <w:rFonts w:asciiTheme="majorBidi" w:hAnsiTheme="majorBidi" w:cstheme="majorBidi"/>
          <w:b/>
          <w:bCs/>
          <w:color w:val="000000" w:themeColor="text1"/>
          <w:lang w:val="fr-FR"/>
        </w:rPr>
        <w:t xml:space="preserve"> de la condition de l’hypothèse 5</w:t>
      </w:r>
      <w:r w:rsidRPr="00F77332">
        <w:rPr>
          <w:rFonts w:asciiTheme="majorBidi" w:hAnsiTheme="majorBidi" w:cstheme="majorBidi"/>
          <w:b/>
          <w:bCs/>
          <w:color w:val="000000" w:themeColor="text1"/>
          <w:lang w:val="fr-FR"/>
        </w:rPr>
        <w:t xml:space="preserve"> :</w:t>
      </w:r>
    </w:p>
    <w:p w:rsidR="005353F3" w:rsidRPr="007B209A" w:rsidRDefault="005353F3" w:rsidP="005353F3">
      <w:pPr>
        <w:pStyle w:val="p1"/>
        <w:spacing w:line="360" w:lineRule="auto"/>
        <w:jc w:val="center"/>
        <w:rPr>
          <w:rFonts w:asciiTheme="majorBidi" w:hAnsiTheme="majorBidi" w:cstheme="majorBidi"/>
          <w:color w:val="000000" w:themeColor="text1"/>
          <w:sz w:val="24"/>
          <w:szCs w:val="24"/>
          <w:lang w:val="fr-FR"/>
        </w:rPr>
      </w:pPr>
      <w:r w:rsidRPr="008764AA">
        <w:rPr>
          <w:rFonts w:asciiTheme="majorBidi" w:hAnsiTheme="majorBidi" w:cstheme="majorBidi"/>
          <w:b/>
          <w:bCs/>
          <w:color w:val="000000" w:themeColor="text1"/>
          <w:sz w:val="24"/>
          <w:szCs w:val="24"/>
        </w:rPr>
        <w:t xml:space="preserve">Tableau </w:t>
      </w:r>
      <w:r>
        <w:rPr>
          <w:rFonts w:asciiTheme="majorBidi" w:hAnsiTheme="majorBidi" w:cstheme="majorBidi"/>
          <w:b/>
          <w:bCs/>
          <w:color w:val="000000" w:themeColor="text1"/>
          <w:sz w:val="24"/>
          <w:szCs w:val="24"/>
        </w:rPr>
        <w:t xml:space="preserve">N°71 </w:t>
      </w:r>
      <w:r w:rsidRPr="008764AA">
        <w:rPr>
          <w:rFonts w:asciiTheme="majorBidi" w:hAnsiTheme="majorBidi" w:cstheme="majorBidi"/>
          <w:b/>
          <w:bCs/>
          <w:color w:val="000000" w:themeColor="text1"/>
          <w:sz w:val="24"/>
          <w:szCs w:val="24"/>
        </w:rPr>
        <w:t xml:space="preserve">: </w:t>
      </w:r>
      <w:r w:rsidRPr="00040D64">
        <w:rPr>
          <w:rFonts w:asciiTheme="majorBidi" w:hAnsiTheme="majorBidi" w:cstheme="majorBidi"/>
          <w:color w:val="000000" w:themeColor="text1"/>
          <w:sz w:val="24"/>
          <w:szCs w:val="24"/>
        </w:rPr>
        <w:t>Coefficients de corrélation</w:t>
      </w:r>
      <w:r w:rsidR="004D45A5" w:rsidRPr="007B209A">
        <w:rPr>
          <w:rFonts w:asciiTheme="majorBidi" w:hAnsiTheme="majorBidi" w:cstheme="majorBidi"/>
          <w:color w:val="000000" w:themeColor="text1"/>
          <w:sz w:val="24"/>
          <w:szCs w:val="24"/>
          <w:lang w:val="fr-FR"/>
        </w:rPr>
        <w:t xml:space="preserve"> de la condition de l’hypothèse 5</w:t>
      </w:r>
    </w:p>
    <w:tbl>
      <w:tblPr>
        <w:tblStyle w:val="Grilledutableau"/>
        <w:tblW w:w="8500" w:type="dxa"/>
        <w:jc w:val="center"/>
        <w:tblLayout w:type="fixed"/>
        <w:tblLook w:val="0000" w:firstRow="0" w:lastRow="0" w:firstColumn="0" w:lastColumn="0" w:noHBand="0" w:noVBand="0"/>
      </w:tblPr>
      <w:tblGrid>
        <w:gridCol w:w="1129"/>
        <w:gridCol w:w="1032"/>
        <w:gridCol w:w="1186"/>
        <w:gridCol w:w="1692"/>
        <w:gridCol w:w="3461"/>
      </w:tblGrid>
      <w:tr w:rsidR="005353F3" w:rsidRPr="008764AA" w:rsidTr="00EC661E">
        <w:trPr>
          <w:jc w:val="center"/>
        </w:trPr>
        <w:tc>
          <w:tcPr>
            <w:tcW w:w="1129"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03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vertAlign w:val="superscript"/>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p>
        </w:tc>
        <w:tc>
          <w:tcPr>
            <w:tcW w:w="169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ajusté</w:t>
            </w:r>
          </w:p>
        </w:tc>
        <w:tc>
          <w:tcPr>
            <w:tcW w:w="3461"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 de l'estimation</w:t>
            </w:r>
          </w:p>
        </w:tc>
      </w:tr>
      <w:tr w:rsidR="005353F3" w:rsidRPr="008764AA" w:rsidTr="00E6084A">
        <w:trPr>
          <w:jc w:val="center"/>
        </w:trPr>
        <w:tc>
          <w:tcPr>
            <w:tcW w:w="1129"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03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0.543</w:t>
            </w:r>
            <w:r w:rsidRPr="008764AA">
              <w:rPr>
                <w:rFonts w:asciiTheme="majorBidi" w:hAnsiTheme="majorBidi" w:cstheme="majorBidi"/>
                <w:color w:val="000000" w:themeColor="text1"/>
                <w:vertAlign w:val="superscript"/>
                <w:lang w:val="fr-FR"/>
              </w:rPr>
              <w:t>a</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0.295</w:t>
            </w:r>
          </w:p>
        </w:tc>
        <w:tc>
          <w:tcPr>
            <w:tcW w:w="169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0.290</w:t>
            </w:r>
          </w:p>
        </w:tc>
        <w:tc>
          <w:tcPr>
            <w:tcW w:w="3461"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0.80903</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140F9D">
        <w:rPr>
          <w:rFonts w:asciiTheme="majorBidi" w:hAnsiTheme="majorBidi" w:cstheme="majorBidi"/>
          <w:color w:val="000000" w:themeColor="text1"/>
        </w:rPr>
        <w:t xml:space="preserve">Selon les résultats présentés dans le tableau, le coefficient de détermination </w:t>
      </w:r>
      <w:r w:rsidRPr="008764AA">
        <w:rPr>
          <w:rFonts w:asciiTheme="majorBidi" w:hAnsiTheme="majorBidi" w:cstheme="majorBidi"/>
          <w:color w:val="000000" w:themeColor="text1"/>
          <w:lang w:val="fr-FR"/>
        </w:rPr>
        <w:t>R</w:t>
      </w:r>
      <w:r w:rsidRPr="008764AA">
        <w:rPr>
          <w:rFonts w:asciiTheme="majorBidi" w:hAnsiTheme="majorBidi" w:cstheme="majorBidi"/>
          <w:color w:val="000000" w:themeColor="text1"/>
          <w:vertAlign w:val="superscript"/>
          <w:lang w:val="fr-FR"/>
        </w:rPr>
        <w:t>2</w:t>
      </w:r>
      <w:r w:rsidRPr="008764AA">
        <w:rPr>
          <w:rFonts w:asciiTheme="majorBidi" w:hAnsiTheme="majorBidi" w:cstheme="majorBidi"/>
          <w:color w:val="000000" w:themeColor="text1"/>
          <w:lang w:val="fr-FR"/>
        </w:rPr>
        <w:t xml:space="preserve"> =0,295 </w:t>
      </w:r>
      <w:r>
        <w:rPr>
          <w:rFonts w:asciiTheme="majorBidi" w:hAnsiTheme="majorBidi" w:cstheme="majorBidi"/>
          <w:color w:val="000000" w:themeColor="text1"/>
          <w:lang w:val="fr-FR"/>
        </w:rPr>
        <w:t>c</w:t>
      </w:r>
      <w:r w:rsidRPr="008764AA">
        <w:rPr>
          <w:rFonts w:asciiTheme="majorBidi" w:hAnsiTheme="majorBidi" w:cstheme="majorBidi"/>
          <w:color w:val="000000" w:themeColor="text1"/>
          <w:lang w:val="fr-FR"/>
        </w:rPr>
        <w:t xml:space="preserve">ela indique que le processus de recrutement digitalisé affecte la performance des RH, le coefficient </w:t>
      </w:r>
      <w:r w:rsidRPr="008764AA">
        <w:rPr>
          <w:rFonts w:asciiTheme="majorBidi" w:hAnsiTheme="majorBidi" w:cstheme="majorBidi"/>
          <w:color w:val="000000" w:themeColor="text1"/>
          <w:lang w:val="fr-FR"/>
        </w:rPr>
        <w:lastRenderedPageBreak/>
        <w:t>de corrélation R=0,543</w:t>
      </w:r>
      <w:r w:rsidRPr="00140F9D">
        <w:rPr>
          <w:rFonts w:asciiTheme="majorBidi" w:hAnsiTheme="majorBidi" w:cstheme="majorBidi"/>
          <w:color w:val="000000" w:themeColor="text1"/>
        </w:rPr>
        <w:t xml:space="preserve">, indique </w:t>
      </w:r>
      <w:r w:rsidRPr="008764AA">
        <w:rPr>
          <w:rFonts w:asciiTheme="majorBidi" w:hAnsiTheme="majorBidi" w:cstheme="majorBidi"/>
          <w:b/>
          <w:bCs/>
          <w:color w:val="000000" w:themeColor="text1"/>
          <w:lang w:val="fr-FR"/>
        </w:rPr>
        <w:t>une forte relation</w:t>
      </w:r>
      <w:r w:rsidRPr="008764AA">
        <w:rPr>
          <w:rFonts w:asciiTheme="majorBidi" w:hAnsiTheme="majorBidi" w:cstheme="majorBidi"/>
          <w:color w:val="000000" w:themeColor="text1"/>
          <w:lang w:val="fr-FR"/>
        </w:rPr>
        <w:t xml:space="preserve"> directe entre le processus de formation digitalisée et la performance des RH, avec un taux de corrélation de 54,3%.</w:t>
      </w:r>
    </w:p>
    <w:p w:rsidR="005353F3" w:rsidRPr="00F77332" w:rsidRDefault="005353F3" w:rsidP="004D32AC">
      <w:pPr>
        <w:pStyle w:val="Paragraphedeliste"/>
        <w:numPr>
          <w:ilvl w:val="0"/>
          <w:numId w:val="182"/>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 xml:space="preserve"> Analyse de la variance ANOVA </w:t>
      </w:r>
      <w:r w:rsidR="004D45A5" w:rsidRPr="007B209A">
        <w:rPr>
          <w:rFonts w:asciiTheme="majorBidi" w:hAnsiTheme="majorBidi" w:cstheme="majorBidi"/>
          <w:b/>
          <w:bCs/>
          <w:color w:val="000000" w:themeColor="text1"/>
          <w:lang w:val="fr-FR"/>
        </w:rPr>
        <w:t xml:space="preserve">de la condition de l’hypothèse 5 </w:t>
      </w:r>
      <w:r w:rsidRPr="00F77332">
        <w:rPr>
          <w:rFonts w:asciiTheme="majorBidi" w:hAnsiTheme="majorBidi" w:cstheme="majorBidi"/>
          <w:b/>
          <w:bCs/>
          <w:color w:val="000000" w:themeColor="text1"/>
          <w:lang w:val="fr-FR"/>
        </w:rPr>
        <w:t>:</w:t>
      </w:r>
    </w:p>
    <w:p w:rsidR="005353F3" w:rsidRPr="00040D64"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N°72</w:t>
      </w:r>
      <w:r w:rsidRPr="008764AA">
        <w:rPr>
          <w:rFonts w:asciiTheme="majorBidi" w:hAnsiTheme="majorBidi" w:cstheme="majorBidi"/>
          <w:b/>
          <w:bCs/>
          <w:color w:val="000000" w:themeColor="text1"/>
          <w:lang w:val="fr-FR"/>
        </w:rPr>
        <w:t xml:space="preserve"> : </w:t>
      </w:r>
      <w:r w:rsidRPr="00040D64">
        <w:rPr>
          <w:rFonts w:asciiTheme="majorBidi" w:hAnsiTheme="majorBidi" w:cstheme="majorBidi"/>
          <w:color w:val="000000" w:themeColor="text1"/>
          <w:lang w:val="fr-FR"/>
        </w:rPr>
        <w:t>La variance ANOVA</w:t>
      </w:r>
      <w:r w:rsidR="004D45A5">
        <w:rPr>
          <w:rFonts w:asciiTheme="majorBidi" w:hAnsiTheme="majorBidi" w:cstheme="majorBidi"/>
          <w:color w:val="000000" w:themeColor="text1"/>
          <w:lang w:val="fr-FR"/>
        </w:rPr>
        <w:t xml:space="preserve"> </w:t>
      </w:r>
      <w:r w:rsidR="004D45A5" w:rsidRPr="007B209A">
        <w:rPr>
          <w:rFonts w:asciiTheme="majorBidi" w:hAnsiTheme="majorBidi" w:cstheme="majorBidi"/>
          <w:color w:val="000000" w:themeColor="text1"/>
          <w:lang w:val="fr-FR"/>
        </w:rPr>
        <w:t>de la condition de l’hypothèse 5</w:t>
      </w:r>
    </w:p>
    <w:tbl>
      <w:tblPr>
        <w:tblStyle w:val="Grilledutableau"/>
        <w:tblW w:w="8998" w:type="dxa"/>
        <w:tblLayout w:type="fixed"/>
        <w:tblLook w:val="0000" w:firstRow="0" w:lastRow="0" w:firstColumn="0" w:lastColumn="0" w:noHBand="0" w:noVBand="0"/>
      </w:tblPr>
      <w:tblGrid>
        <w:gridCol w:w="853"/>
        <w:gridCol w:w="1552"/>
        <w:gridCol w:w="1500"/>
        <w:gridCol w:w="1186"/>
        <w:gridCol w:w="1535"/>
        <w:gridCol w:w="1186"/>
        <w:gridCol w:w="1186"/>
      </w:tblGrid>
      <w:tr w:rsidR="005353F3" w:rsidRPr="008764AA" w:rsidTr="00EC661E">
        <w:tc>
          <w:tcPr>
            <w:tcW w:w="2405"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1500"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Somme des carrés</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ddl</w:t>
            </w:r>
          </w:p>
        </w:tc>
        <w:tc>
          <w:tcPr>
            <w:tcW w:w="1535"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Carré moyen</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F</w:t>
            </w:r>
          </w:p>
        </w:tc>
        <w:tc>
          <w:tcPr>
            <w:tcW w:w="1186"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53" w:type="dxa"/>
            <w:vMerge w:val="restart"/>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Régression</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45.941</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45.941</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70.189</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r w:rsidRPr="008764AA">
              <w:rPr>
                <w:rFonts w:asciiTheme="majorBidi" w:hAnsiTheme="majorBidi" w:cstheme="majorBidi"/>
                <w:color w:val="000000" w:themeColor="text1"/>
                <w:vertAlign w:val="superscript"/>
                <w:lang w:val="fr-FR"/>
              </w:rPr>
              <w:t>b</w:t>
            </w: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Résidus</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109.961</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168</w:t>
            </w:r>
          </w:p>
        </w:tc>
        <w:tc>
          <w:tcPr>
            <w:tcW w:w="1535"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0</w:t>
            </w:r>
            <w:r w:rsidRPr="008764AA">
              <w:rPr>
                <w:rFonts w:asciiTheme="majorBidi" w:hAnsiTheme="majorBidi" w:cstheme="majorBidi"/>
                <w:color w:val="000000" w:themeColor="text1"/>
                <w:lang w:val="fr-FR"/>
              </w:rPr>
              <w:t>.655</w:t>
            </w: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r w:rsidR="005353F3" w:rsidRPr="008764AA" w:rsidTr="00E6084A">
        <w:tc>
          <w:tcPr>
            <w:tcW w:w="853" w:type="dxa"/>
            <w:vMerge/>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55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Total</w:t>
            </w:r>
          </w:p>
        </w:tc>
        <w:tc>
          <w:tcPr>
            <w:tcW w:w="150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155.902</w:t>
            </w:r>
          </w:p>
        </w:tc>
        <w:tc>
          <w:tcPr>
            <w:tcW w:w="1186"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169</w:t>
            </w:r>
          </w:p>
        </w:tc>
        <w:tc>
          <w:tcPr>
            <w:tcW w:w="1535"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86"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after="240" w:line="360" w:lineRule="auto"/>
        <w:jc w:val="both"/>
        <w:rPr>
          <w:rFonts w:asciiTheme="majorBidi" w:hAnsiTheme="majorBidi" w:cstheme="majorBidi"/>
          <w:color w:val="000000" w:themeColor="text1"/>
          <w:lang w:val="fr-FR"/>
        </w:rPr>
      </w:pPr>
      <w:r w:rsidRPr="00FD5561">
        <w:rPr>
          <w:rFonts w:asciiTheme="majorBidi" w:hAnsiTheme="majorBidi" w:cstheme="majorBidi"/>
          <w:color w:val="000000" w:themeColor="text1"/>
        </w:rPr>
        <w:t xml:space="preserve">Le tableau ci-dessus montre que </w:t>
      </w:r>
      <w:r w:rsidRPr="008764AA">
        <w:rPr>
          <w:rFonts w:asciiTheme="majorBidi" w:hAnsiTheme="majorBidi" w:cstheme="majorBidi"/>
          <w:color w:val="000000" w:themeColor="text1"/>
          <w:lang w:val="fr-FR"/>
        </w:rPr>
        <w:t>la significativité est égale à 0,000 était inférieure à 0,05, cela confirme la validité du modèle linéaire</w:t>
      </w:r>
      <w:r w:rsidRPr="00FD5561">
        <w:rPr>
          <w:rFonts w:asciiTheme="majorBidi" w:hAnsiTheme="majorBidi" w:cstheme="majorBidi"/>
          <w:color w:val="000000" w:themeColor="text1"/>
        </w:rPr>
        <w:t xml:space="preserve"> et permet de valider l’hypothèse selon laquelle </w:t>
      </w:r>
      <w:r w:rsidRPr="008764AA">
        <w:rPr>
          <w:rFonts w:asciiTheme="majorBidi" w:hAnsiTheme="majorBidi" w:cstheme="majorBidi"/>
          <w:color w:val="000000" w:themeColor="text1"/>
          <w:lang w:val="fr-FR"/>
        </w:rPr>
        <w:t>il existe une relation positive statistiquement significative entre le processus de formation digitalisée et la performance des RH.</w:t>
      </w:r>
    </w:p>
    <w:p w:rsidR="005353F3" w:rsidRPr="00F77332" w:rsidRDefault="005353F3" w:rsidP="004D32AC">
      <w:pPr>
        <w:pStyle w:val="Paragraphedeliste"/>
        <w:numPr>
          <w:ilvl w:val="0"/>
          <w:numId w:val="182"/>
        </w:numPr>
        <w:spacing w:line="360" w:lineRule="auto"/>
        <w:jc w:val="both"/>
        <w:rPr>
          <w:rFonts w:asciiTheme="majorBidi" w:hAnsiTheme="majorBidi" w:cstheme="majorBidi"/>
          <w:color w:val="000000" w:themeColor="text1"/>
          <w:lang w:val="fr-FR"/>
        </w:rPr>
      </w:pPr>
      <w:r w:rsidRPr="00F77332">
        <w:rPr>
          <w:rFonts w:asciiTheme="majorBidi" w:hAnsiTheme="majorBidi" w:cstheme="majorBidi"/>
          <w:b/>
          <w:bCs/>
          <w:color w:val="000000" w:themeColor="text1"/>
          <w:lang w:val="fr-FR"/>
        </w:rPr>
        <w:t>Coefficients de régression</w:t>
      </w:r>
      <w:r w:rsidR="004D45A5">
        <w:rPr>
          <w:rFonts w:asciiTheme="majorBidi" w:hAnsiTheme="majorBidi" w:cstheme="majorBidi"/>
          <w:b/>
          <w:bCs/>
          <w:color w:val="000000" w:themeColor="text1"/>
          <w:lang w:val="fr-FR"/>
        </w:rPr>
        <w:t xml:space="preserve"> </w:t>
      </w:r>
      <w:r w:rsidR="004D45A5" w:rsidRPr="007B209A">
        <w:rPr>
          <w:rFonts w:asciiTheme="majorBidi" w:hAnsiTheme="majorBidi" w:cstheme="majorBidi"/>
          <w:b/>
          <w:bCs/>
          <w:color w:val="000000" w:themeColor="text1"/>
          <w:lang w:val="fr-FR"/>
        </w:rPr>
        <w:t xml:space="preserve">de la condition de l’hypothèse 5 </w:t>
      </w:r>
      <w:r w:rsidRPr="00F77332">
        <w:rPr>
          <w:rFonts w:asciiTheme="majorBidi" w:hAnsiTheme="majorBidi" w:cstheme="majorBidi"/>
          <w:b/>
          <w:bCs/>
          <w:color w:val="000000" w:themeColor="text1"/>
          <w:lang w:val="fr-FR"/>
        </w:rPr>
        <w:t>:</w:t>
      </w:r>
    </w:p>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 xml:space="preserve">Tableau </w:t>
      </w:r>
      <w:r>
        <w:rPr>
          <w:rFonts w:asciiTheme="majorBidi" w:hAnsiTheme="majorBidi" w:cstheme="majorBidi"/>
          <w:b/>
          <w:bCs/>
          <w:color w:val="000000" w:themeColor="text1"/>
          <w:lang w:val="fr-FR"/>
        </w:rPr>
        <w:t xml:space="preserve">N°73 </w:t>
      </w:r>
      <w:r w:rsidRPr="008764AA">
        <w:rPr>
          <w:rFonts w:asciiTheme="majorBidi" w:hAnsiTheme="majorBidi" w:cstheme="majorBidi"/>
          <w:b/>
          <w:bCs/>
          <w:color w:val="000000" w:themeColor="text1"/>
          <w:lang w:val="fr-FR"/>
        </w:rPr>
        <w:t xml:space="preserve">: </w:t>
      </w:r>
      <w:r w:rsidRPr="00040D64">
        <w:rPr>
          <w:rFonts w:asciiTheme="majorBidi" w:hAnsiTheme="majorBidi" w:cstheme="majorBidi"/>
          <w:color w:val="000000" w:themeColor="text1"/>
          <w:lang w:val="fr-FR"/>
        </w:rPr>
        <w:t>Coefficients de régression</w:t>
      </w:r>
      <w:r w:rsidR="004D45A5">
        <w:rPr>
          <w:rFonts w:asciiTheme="majorBidi" w:hAnsiTheme="majorBidi" w:cstheme="majorBidi"/>
          <w:color w:val="000000" w:themeColor="text1"/>
          <w:lang w:val="fr-FR"/>
        </w:rPr>
        <w:t xml:space="preserve"> </w:t>
      </w:r>
      <w:r w:rsidR="004D45A5" w:rsidRPr="007B209A">
        <w:rPr>
          <w:rFonts w:asciiTheme="majorBidi" w:hAnsiTheme="majorBidi" w:cstheme="majorBidi"/>
          <w:color w:val="000000" w:themeColor="text1"/>
          <w:lang w:val="fr-FR"/>
        </w:rPr>
        <w:t>de la condition de l’hypothèse 5</w:t>
      </w:r>
    </w:p>
    <w:tbl>
      <w:tblPr>
        <w:tblStyle w:val="Grilledutableau"/>
        <w:tblW w:w="9362" w:type="dxa"/>
        <w:tblLayout w:type="fixed"/>
        <w:tblLook w:val="0000" w:firstRow="0" w:lastRow="0" w:firstColumn="0" w:lastColumn="0" w:noHBand="0" w:noVBand="0"/>
      </w:tblPr>
      <w:tblGrid>
        <w:gridCol w:w="833"/>
        <w:gridCol w:w="1339"/>
        <w:gridCol w:w="1560"/>
        <w:gridCol w:w="1662"/>
        <w:gridCol w:w="1662"/>
        <w:gridCol w:w="1153"/>
        <w:gridCol w:w="1153"/>
      </w:tblGrid>
      <w:tr w:rsidR="005353F3" w:rsidRPr="008764AA" w:rsidTr="00EC661E">
        <w:tc>
          <w:tcPr>
            <w:tcW w:w="217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Modèle</w:t>
            </w:r>
          </w:p>
        </w:tc>
        <w:tc>
          <w:tcPr>
            <w:tcW w:w="3222" w:type="dxa"/>
            <w:gridSpan w:val="2"/>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non standardisés</w:t>
            </w:r>
          </w:p>
        </w:tc>
        <w:tc>
          <w:tcPr>
            <w:tcW w:w="1662"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Coefficients standardisés</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1153" w:type="dxa"/>
            <w:shd w:val="clear" w:color="auto" w:fill="D8DCD1"/>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r>
      <w:tr w:rsidR="005353F3" w:rsidRPr="008764AA" w:rsidTr="00E6084A">
        <w:tc>
          <w:tcPr>
            <w:tcW w:w="834"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w:t>
            </w:r>
          </w:p>
        </w:tc>
        <w:tc>
          <w:tcPr>
            <w:tcW w:w="1338" w:type="dxa"/>
            <w:tcBorders>
              <w:bottom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Constant</w:t>
            </w: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Bêta</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p>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r>
      <w:tr w:rsidR="005353F3" w:rsidRPr="008764AA" w:rsidTr="00E6084A">
        <w:tc>
          <w:tcPr>
            <w:tcW w:w="832" w:type="dxa"/>
            <w:vMerge w:val="restart"/>
            <w:tcBorders>
              <w:top w:val="nil"/>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340" w:type="dxa"/>
            <w:tcBorders>
              <w:top w:val="nil"/>
            </w:tcBorders>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2.087</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0.248</w:t>
            </w:r>
          </w:p>
        </w:tc>
        <w:tc>
          <w:tcPr>
            <w:tcW w:w="1662" w:type="dxa"/>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8.420</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r w:rsidR="005353F3" w:rsidRPr="008764AA" w:rsidTr="00E6084A">
        <w:tc>
          <w:tcPr>
            <w:tcW w:w="832" w:type="dxa"/>
            <w:vMerge/>
            <w:tcBorders>
              <w:top w:val="nil"/>
            </w:tcBorders>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134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ProFD</w:t>
            </w:r>
            <w:proofErr w:type="spellEnd"/>
          </w:p>
        </w:tc>
        <w:tc>
          <w:tcPr>
            <w:tcW w:w="1560"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0.514</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0.061</w:t>
            </w:r>
          </w:p>
        </w:tc>
        <w:tc>
          <w:tcPr>
            <w:tcW w:w="1662"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0.543</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8.378</w:t>
            </w:r>
          </w:p>
        </w:tc>
        <w:tc>
          <w:tcPr>
            <w:tcW w:w="1153" w:type="dxa"/>
          </w:tcPr>
          <w:p w:rsidR="005353F3" w:rsidRPr="008764AA" w:rsidRDefault="005353F3" w:rsidP="00E6084A">
            <w:pPr>
              <w:spacing w:line="360" w:lineRule="auto"/>
              <w:ind w:left="60" w:right="60"/>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030919">
        <w:rPr>
          <w:rFonts w:asciiTheme="majorBidi" w:hAnsiTheme="majorBidi" w:cstheme="majorBidi"/>
          <w:color w:val="000000" w:themeColor="text1"/>
        </w:rPr>
        <w:t xml:space="preserve">Les résultats du tableau précédent indiquent que </w:t>
      </w:r>
      <w:r w:rsidRPr="008764AA">
        <w:rPr>
          <w:rFonts w:asciiTheme="majorBidi" w:hAnsiTheme="majorBidi" w:cstheme="majorBidi"/>
          <w:color w:val="000000" w:themeColor="text1"/>
          <w:lang w:val="fr-FR"/>
        </w:rPr>
        <w:t>la relation</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entre le processus de formation digitalisée et la performance des RH, est un modèle linéaire.</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Y = 0,514 X</w:t>
      </w:r>
      <w:r w:rsidRPr="008764AA">
        <w:rPr>
          <w:rFonts w:asciiTheme="majorBidi" w:hAnsiTheme="majorBidi" w:cstheme="majorBidi"/>
          <w:color w:val="000000" w:themeColor="text1"/>
          <w:vertAlign w:val="subscript"/>
          <w:lang w:val="fr-FR"/>
        </w:rPr>
        <w:t>11</w:t>
      </w:r>
      <w:r w:rsidRPr="008764AA">
        <w:rPr>
          <w:rFonts w:asciiTheme="majorBidi" w:hAnsiTheme="majorBidi" w:cstheme="majorBidi"/>
          <w:color w:val="000000" w:themeColor="text1"/>
          <w:lang w:val="fr-FR"/>
        </w:rPr>
        <w:t xml:space="preserve"> + 2,087</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Où Y représente la variable dépendante (La performance des RH)</w:t>
      </w:r>
      <w:r>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X</w:t>
      </w:r>
      <w:r w:rsidRPr="008764AA">
        <w:rPr>
          <w:rFonts w:asciiTheme="majorBidi" w:hAnsiTheme="majorBidi" w:cstheme="majorBidi"/>
          <w:color w:val="000000" w:themeColor="text1"/>
          <w:vertAlign w:val="subscript"/>
          <w:lang w:val="fr-FR"/>
        </w:rPr>
        <w:t>11</w:t>
      </w:r>
      <w:r w:rsidRPr="008764AA">
        <w:rPr>
          <w:rFonts w:asciiTheme="majorBidi" w:hAnsiTheme="majorBidi" w:cstheme="majorBidi"/>
          <w:color w:val="000000" w:themeColor="text1"/>
          <w:lang w:val="fr-FR"/>
        </w:rPr>
        <w:t xml:space="preserve"> </w:t>
      </w:r>
      <w:r>
        <w:rPr>
          <w:rFonts w:asciiTheme="majorBidi" w:hAnsiTheme="majorBidi" w:cstheme="majorBidi"/>
          <w:color w:val="000000" w:themeColor="text1"/>
          <w:lang w:val="fr-FR"/>
        </w:rPr>
        <w:t xml:space="preserve">désigne </w:t>
      </w:r>
      <w:r w:rsidRPr="008764AA">
        <w:rPr>
          <w:rFonts w:asciiTheme="majorBidi" w:hAnsiTheme="majorBidi" w:cstheme="majorBidi"/>
          <w:color w:val="000000" w:themeColor="text1"/>
          <w:lang w:val="fr-FR"/>
        </w:rPr>
        <w:t>la variable</w:t>
      </w:r>
    </w:p>
    <w:p w:rsidR="004D45A5" w:rsidRPr="008764AA" w:rsidRDefault="005353F3" w:rsidP="000C1677">
      <w:pPr>
        <w:spacing w:after="240" w:line="360" w:lineRule="auto"/>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i</w:t>
      </w:r>
      <w:r w:rsidRPr="008764AA">
        <w:rPr>
          <w:rFonts w:asciiTheme="majorBidi" w:hAnsiTheme="majorBidi" w:cstheme="majorBidi"/>
          <w:color w:val="000000" w:themeColor="text1"/>
          <w:lang w:val="fr-FR"/>
        </w:rPr>
        <w:t>ndépendante (processus de formation digitalisée) et le nombre 0,514 est la valeur de β11 de la pente de l’équation de régression.</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Après on va étudier l’effet direct et indirect :</w:t>
      </w:r>
    </w:p>
    <w:p w:rsidR="005353F3" w:rsidRPr="008764AA" w:rsidRDefault="005353F3" w:rsidP="00DA7EA0">
      <w:pPr>
        <w:pStyle w:val="FirstParagraph"/>
        <w:numPr>
          <w:ilvl w:val="1"/>
          <w:numId w:val="218"/>
        </w:numPr>
        <w:spacing w:before="0" w:line="360" w:lineRule="auto"/>
        <w:jc w:val="both"/>
        <w:rPr>
          <w:rFonts w:asciiTheme="majorBidi" w:hAnsiTheme="majorBidi" w:cstheme="majorBidi"/>
          <w:b/>
          <w:color w:val="000000" w:themeColor="text1"/>
          <w:lang w:val="fr-FR"/>
        </w:rPr>
      </w:pPr>
      <w:r w:rsidRPr="008764AA">
        <w:rPr>
          <w:rFonts w:asciiTheme="majorBidi" w:hAnsiTheme="majorBidi" w:cstheme="majorBidi"/>
          <w:b/>
          <w:color w:val="000000" w:themeColor="text1"/>
          <w:lang w:val="fr-FR"/>
        </w:rPr>
        <w:t xml:space="preserve">L’effet direct de la </w:t>
      </w:r>
      <w:r w:rsidRPr="008764AA">
        <w:rPr>
          <w:rStyle w:val="VerbatimChar"/>
          <w:rFonts w:asciiTheme="majorBidi" w:hAnsiTheme="majorBidi" w:cstheme="majorBidi"/>
          <w:b/>
          <w:color w:val="000000" w:themeColor="text1"/>
          <w:lang w:val="fr-FR"/>
        </w:rPr>
        <w:t>digitalisation des processus RH</w:t>
      </w:r>
      <w:r w:rsidRPr="008764AA">
        <w:rPr>
          <w:rFonts w:asciiTheme="majorBidi" w:hAnsiTheme="majorBidi" w:cstheme="majorBidi"/>
          <w:b/>
          <w:color w:val="000000" w:themeColor="text1"/>
          <w:lang w:val="fr-FR"/>
        </w:rPr>
        <w:t xml:space="preserve"> sur </w:t>
      </w:r>
      <w:r w:rsidRPr="008764AA">
        <w:rPr>
          <w:rStyle w:val="VerbatimChar"/>
          <w:rFonts w:asciiTheme="majorBidi" w:hAnsiTheme="majorBidi" w:cstheme="majorBidi"/>
          <w:b/>
          <w:color w:val="000000" w:themeColor="text1"/>
          <w:lang w:val="fr-FR"/>
        </w:rPr>
        <w:t xml:space="preserve">Performance des RH </w:t>
      </w:r>
      <w:r w:rsidRPr="008764AA">
        <w:rPr>
          <w:rFonts w:asciiTheme="majorBidi" w:hAnsiTheme="majorBidi" w:cstheme="majorBidi"/>
          <w:b/>
          <w:color w:val="000000" w:themeColor="text1"/>
          <w:lang w:val="fr-FR"/>
        </w:rPr>
        <w:t xml:space="preserve">(Direct </w:t>
      </w:r>
      <w:proofErr w:type="spellStart"/>
      <w:r w:rsidRPr="008764AA">
        <w:rPr>
          <w:rFonts w:asciiTheme="majorBidi" w:hAnsiTheme="majorBidi" w:cstheme="majorBidi"/>
          <w:b/>
          <w:color w:val="000000" w:themeColor="text1"/>
          <w:lang w:val="fr-FR"/>
        </w:rPr>
        <w:t>effect</w:t>
      </w:r>
      <w:proofErr w:type="spellEnd"/>
      <w:r w:rsidRPr="008764AA">
        <w:rPr>
          <w:rFonts w:asciiTheme="majorBidi" w:hAnsiTheme="majorBidi" w:cstheme="majorBidi"/>
          <w:b/>
          <w:color w:val="000000" w:themeColor="text1"/>
          <w:lang w:val="fr-FR"/>
        </w:rPr>
        <w:t xml:space="preserve"> of X on Y)</w:t>
      </w:r>
    </w:p>
    <w:p w:rsidR="005353F3" w:rsidRPr="00040D64" w:rsidRDefault="005353F3" w:rsidP="00C9051E">
      <w:pPr>
        <w:pStyle w:val="Corpsdetexte"/>
        <w:spacing w:after="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lastRenderedPageBreak/>
        <w:t>Tableau</w:t>
      </w:r>
      <w:r>
        <w:rPr>
          <w:rFonts w:asciiTheme="majorBidi" w:hAnsiTheme="majorBidi" w:cstheme="majorBidi"/>
          <w:b/>
          <w:bCs/>
          <w:color w:val="000000" w:themeColor="text1"/>
          <w:lang w:val="fr-FR"/>
        </w:rPr>
        <w:t xml:space="preserve"> N°74</w:t>
      </w:r>
      <w:r w:rsidRPr="008764AA">
        <w:rPr>
          <w:rFonts w:asciiTheme="majorBidi" w:hAnsiTheme="majorBidi" w:cstheme="majorBidi"/>
          <w:b/>
          <w:bCs/>
          <w:color w:val="000000" w:themeColor="text1"/>
          <w:lang w:val="fr-FR"/>
        </w:rPr>
        <w:t xml:space="preserve"> : </w:t>
      </w:r>
      <w:r w:rsidRPr="00040D64">
        <w:rPr>
          <w:rFonts w:asciiTheme="majorBidi" w:hAnsiTheme="majorBidi" w:cstheme="majorBidi"/>
          <w:color w:val="000000" w:themeColor="text1"/>
          <w:lang w:val="fr-FR"/>
        </w:rPr>
        <w:t xml:space="preserve">L’effet direct </w:t>
      </w:r>
      <w:r w:rsidR="00C9051E" w:rsidRPr="00C9051E">
        <w:rPr>
          <w:rFonts w:asciiTheme="majorBidi" w:hAnsiTheme="majorBidi" w:cstheme="majorBidi"/>
          <w:color w:val="000000" w:themeColor="text1"/>
          <w:lang w:val="fr-FR"/>
        </w:rPr>
        <w:t>de l</w:t>
      </w:r>
      <w:r w:rsidR="00DA7EA0">
        <w:rPr>
          <w:rFonts w:asciiTheme="majorBidi" w:hAnsiTheme="majorBidi" w:cstheme="majorBidi"/>
          <w:color w:val="000000" w:themeColor="text1"/>
          <w:lang w:val="fr-FR"/>
        </w:rPr>
        <w:t>’hypothèse 5</w:t>
      </w:r>
    </w:p>
    <w:tbl>
      <w:tblPr>
        <w:tblStyle w:val="Grilledutableau"/>
        <w:tblW w:w="3574" w:type="pct"/>
        <w:jc w:val="center"/>
        <w:tblLook w:val="07E0" w:firstRow="1" w:lastRow="1" w:firstColumn="1" w:lastColumn="1" w:noHBand="1" w:noVBand="1"/>
      </w:tblPr>
      <w:tblGrid>
        <w:gridCol w:w="888"/>
        <w:gridCol w:w="1997"/>
        <w:gridCol w:w="1010"/>
        <w:gridCol w:w="767"/>
        <w:gridCol w:w="889"/>
        <w:gridCol w:w="889"/>
      </w:tblGrid>
      <w:tr w:rsidR="005353F3" w:rsidRPr="008764AA" w:rsidTr="00EC661E">
        <w:trPr>
          <w:jc w:val="center"/>
        </w:trPr>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Effet</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Erreur standardisé</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t</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Sig</w:t>
            </w:r>
            <w:proofErr w:type="spellEnd"/>
            <w:r w:rsidRPr="008764AA">
              <w:rPr>
                <w:rFonts w:asciiTheme="majorBidi" w:hAnsiTheme="majorBidi" w:cstheme="majorBidi"/>
                <w:color w:val="000000" w:themeColor="text1"/>
                <w:lang w:val="fr-FR"/>
              </w:rPr>
              <w:t>.</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LLCI</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ULCI</w:t>
            </w:r>
          </w:p>
        </w:tc>
      </w:tr>
      <w:tr w:rsidR="005353F3" w:rsidRPr="008764AA" w:rsidTr="00E6084A">
        <w:trPr>
          <w:jc w:val="center"/>
        </w:trPr>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1.3526</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0.0942</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14.3586</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.0000</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1.1667</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1.5386</w:t>
            </w:r>
          </w:p>
        </w:tc>
      </w:tr>
    </w:tbl>
    <w:p w:rsidR="005353F3" w:rsidRPr="008764AA" w:rsidRDefault="005353F3" w:rsidP="005353F3">
      <w:pPr>
        <w:spacing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F77332" w:rsidRDefault="005353F3" w:rsidP="005353F3">
      <w:pPr>
        <w:pStyle w:val="Corpsdetexte"/>
        <w:spacing w:before="0" w:after="0" w:line="360" w:lineRule="auto"/>
        <w:jc w:val="both"/>
        <w:rPr>
          <w:rFonts w:asciiTheme="majorBidi" w:hAnsiTheme="majorBidi" w:cstheme="majorBidi"/>
          <w:color w:val="000000" w:themeColor="text1"/>
          <w:lang w:val="fr-FR"/>
        </w:rPr>
      </w:pPr>
      <w:r w:rsidRPr="00F77332">
        <w:rPr>
          <w:rFonts w:asciiTheme="majorBidi" w:hAnsiTheme="majorBidi" w:cstheme="majorBidi"/>
          <w:color w:val="000000" w:themeColor="text1"/>
          <w:lang w:val="fr-FR"/>
        </w:rPr>
        <w:t>L’effet direct de</w:t>
      </w:r>
      <w:r w:rsidRPr="00F77332">
        <w:rPr>
          <w:rFonts w:asciiTheme="majorBidi" w:hAnsiTheme="majorBidi" w:cstheme="majorBidi"/>
          <w:b/>
          <w:color w:val="000000" w:themeColor="text1"/>
          <w:lang w:val="fr-FR"/>
        </w:rPr>
        <w:t xml:space="preserve"> </w:t>
      </w:r>
      <w:r w:rsidRPr="00F77332">
        <w:rPr>
          <w:rFonts w:asciiTheme="majorBidi" w:hAnsiTheme="majorBidi" w:cstheme="majorBidi"/>
          <w:bCs/>
          <w:color w:val="000000" w:themeColor="text1"/>
          <w:lang w:val="fr-FR"/>
        </w:rPr>
        <w:t xml:space="preserve">la </w:t>
      </w:r>
      <w:r w:rsidRPr="00F77332">
        <w:rPr>
          <w:rStyle w:val="VerbatimChar"/>
          <w:rFonts w:asciiTheme="majorBidi" w:hAnsiTheme="majorBidi" w:cstheme="majorBidi"/>
          <w:bCs/>
          <w:color w:val="000000" w:themeColor="text1"/>
          <w:sz w:val="24"/>
          <w:lang w:val="fr-FR"/>
        </w:rPr>
        <w:t>digitalisation des processus RH</w:t>
      </w:r>
      <w:r w:rsidRPr="00F77332">
        <w:rPr>
          <w:rFonts w:asciiTheme="majorBidi" w:hAnsiTheme="majorBidi" w:cstheme="majorBidi"/>
          <w:bCs/>
          <w:color w:val="000000" w:themeColor="text1"/>
          <w:lang w:val="fr-FR"/>
        </w:rPr>
        <w:t xml:space="preserve"> sur </w:t>
      </w:r>
      <w:r w:rsidRPr="00F77332">
        <w:rPr>
          <w:rStyle w:val="VerbatimChar"/>
          <w:rFonts w:asciiTheme="majorBidi" w:hAnsiTheme="majorBidi" w:cstheme="majorBidi"/>
          <w:bCs/>
          <w:color w:val="000000" w:themeColor="text1"/>
          <w:sz w:val="24"/>
          <w:lang w:val="fr-FR"/>
        </w:rPr>
        <w:t xml:space="preserve">Performance des RH </w:t>
      </w:r>
      <w:r w:rsidRPr="00F77332">
        <w:rPr>
          <w:rStyle w:val="VerbatimChar"/>
          <w:rFonts w:asciiTheme="majorBidi" w:hAnsiTheme="majorBidi" w:cstheme="majorBidi"/>
          <w:color w:val="000000" w:themeColor="text1"/>
          <w:sz w:val="24"/>
          <w:lang w:val="fr-FR"/>
        </w:rPr>
        <w:t>est 1,3526</w:t>
      </w:r>
    </w:p>
    <w:p w:rsidR="005353F3" w:rsidRPr="00F77332" w:rsidRDefault="005353F3" w:rsidP="005353F3">
      <w:pPr>
        <w:pStyle w:val="p1"/>
        <w:spacing w:line="360" w:lineRule="auto"/>
        <w:jc w:val="both"/>
        <w:rPr>
          <w:rFonts w:asciiTheme="majorBidi" w:hAnsiTheme="majorBidi" w:cstheme="majorBidi"/>
          <w:bCs/>
          <w:color w:val="000000" w:themeColor="text1"/>
          <w:sz w:val="24"/>
          <w:szCs w:val="24"/>
        </w:rPr>
      </w:pPr>
      <w:r w:rsidRPr="00F77332">
        <w:rPr>
          <w:rFonts w:asciiTheme="majorBidi" w:hAnsiTheme="majorBidi" w:cstheme="majorBidi"/>
          <w:color w:val="000000" w:themeColor="text1"/>
          <w:sz w:val="24"/>
          <w:szCs w:val="24"/>
        </w:rPr>
        <w:t xml:space="preserve">L'intervalle de confiance [1,1667; 1,5386] avec une probabilité de 95% ne comprend pas la valeur zéro, donc il existe une relation statistiquement significative entre </w:t>
      </w:r>
      <w:r w:rsidRPr="00F77332">
        <w:rPr>
          <w:rFonts w:asciiTheme="majorBidi" w:hAnsiTheme="majorBidi" w:cstheme="majorBidi"/>
          <w:bCs/>
          <w:color w:val="000000" w:themeColor="text1"/>
          <w:sz w:val="24"/>
          <w:szCs w:val="24"/>
        </w:rPr>
        <w:t xml:space="preserve">la </w:t>
      </w:r>
      <w:r w:rsidRPr="00F77332">
        <w:rPr>
          <w:rStyle w:val="VerbatimChar"/>
          <w:rFonts w:asciiTheme="majorBidi" w:hAnsiTheme="majorBidi" w:cstheme="majorBidi"/>
          <w:bCs/>
          <w:color w:val="000000" w:themeColor="text1"/>
          <w:sz w:val="24"/>
          <w:szCs w:val="24"/>
        </w:rPr>
        <w:t>digitalisation des processus RH</w:t>
      </w:r>
      <w:r w:rsidRPr="00F77332">
        <w:rPr>
          <w:rFonts w:asciiTheme="majorBidi" w:hAnsiTheme="majorBidi" w:cstheme="majorBidi"/>
          <w:bCs/>
          <w:color w:val="000000" w:themeColor="text1"/>
          <w:sz w:val="24"/>
          <w:szCs w:val="24"/>
        </w:rPr>
        <w:t xml:space="preserve"> sur </w:t>
      </w:r>
      <w:r w:rsidRPr="00F77332">
        <w:rPr>
          <w:rStyle w:val="VerbatimChar"/>
          <w:rFonts w:asciiTheme="majorBidi" w:hAnsiTheme="majorBidi" w:cstheme="majorBidi"/>
          <w:bCs/>
          <w:color w:val="000000" w:themeColor="text1"/>
          <w:sz w:val="24"/>
          <w:szCs w:val="24"/>
        </w:rPr>
        <w:t>Performance des RH.</w:t>
      </w:r>
    </w:p>
    <w:p w:rsidR="005353F3" w:rsidRPr="008764AA" w:rsidRDefault="005353F3" w:rsidP="00DA7EA0">
      <w:pPr>
        <w:pStyle w:val="FirstParagraph"/>
        <w:numPr>
          <w:ilvl w:val="1"/>
          <w:numId w:val="218"/>
        </w:numPr>
        <w:spacing w:line="360" w:lineRule="auto"/>
        <w:jc w:val="both"/>
        <w:rPr>
          <w:rFonts w:asciiTheme="majorBidi" w:hAnsiTheme="majorBidi" w:cstheme="majorBidi"/>
          <w:b/>
          <w:color w:val="000000" w:themeColor="text1"/>
          <w:lang w:val="fr-FR"/>
        </w:rPr>
      </w:pPr>
      <w:r w:rsidRPr="008764AA">
        <w:rPr>
          <w:rFonts w:asciiTheme="majorBidi" w:hAnsiTheme="majorBidi" w:cstheme="majorBidi"/>
          <w:b/>
          <w:color w:val="000000" w:themeColor="text1"/>
          <w:lang w:val="fr-FR"/>
        </w:rPr>
        <w:t xml:space="preserve">L’effet indirect de la </w:t>
      </w:r>
      <w:r w:rsidRPr="008764AA">
        <w:rPr>
          <w:rStyle w:val="VerbatimChar"/>
          <w:rFonts w:asciiTheme="majorBidi" w:hAnsiTheme="majorBidi" w:cstheme="majorBidi"/>
          <w:b/>
          <w:color w:val="000000" w:themeColor="text1"/>
          <w:lang w:val="fr-FR"/>
        </w:rPr>
        <w:t>digitalisation des processus RH</w:t>
      </w:r>
      <w:r w:rsidRPr="008764AA">
        <w:rPr>
          <w:rFonts w:asciiTheme="majorBidi" w:hAnsiTheme="majorBidi" w:cstheme="majorBidi"/>
          <w:b/>
          <w:color w:val="000000" w:themeColor="text1"/>
          <w:lang w:val="fr-FR"/>
        </w:rPr>
        <w:t xml:space="preserve"> sur </w:t>
      </w:r>
      <w:r w:rsidRPr="008764AA">
        <w:rPr>
          <w:rStyle w:val="VerbatimChar"/>
          <w:rFonts w:asciiTheme="majorBidi" w:hAnsiTheme="majorBidi" w:cstheme="majorBidi"/>
          <w:b/>
          <w:color w:val="000000" w:themeColor="text1"/>
          <w:lang w:val="fr-FR"/>
        </w:rPr>
        <w:t xml:space="preserve">Performance des RH </w:t>
      </w:r>
      <w:r w:rsidRPr="008764AA">
        <w:rPr>
          <w:rFonts w:asciiTheme="majorBidi" w:hAnsiTheme="majorBidi" w:cstheme="majorBidi"/>
          <w:b/>
          <w:color w:val="000000" w:themeColor="text1"/>
          <w:lang w:val="fr-FR"/>
        </w:rPr>
        <w:t xml:space="preserve">(Indirect </w:t>
      </w:r>
      <w:proofErr w:type="spellStart"/>
      <w:r w:rsidRPr="008764AA">
        <w:rPr>
          <w:rFonts w:asciiTheme="majorBidi" w:hAnsiTheme="majorBidi" w:cstheme="majorBidi"/>
          <w:b/>
          <w:color w:val="000000" w:themeColor="text1"/>
          <w:lang w:val="fr-FR"/>
        </w:rPr>
        <w:t>effect</w:t>
      </w:r>
      <w:proofErr w:type="spellEnd"/>
      <w:r w:rsidRPr="008764AA">
        <w:rPr>
          <w:rFonts w:asciiTheme="majorBidi" w:hAnsiTheme="majorBidi" w:cstheme="majorBidi"/>
          <w:b/>
          <w:color w:val="000000" w:themeColor="text1"/>
          <w:lang w:val="fr-FR"/>
        </w:rPr>
        <w:t xml:space="preserve"> of X on Y)</w:t>
      </w:r>
    </w:p>
    <w:p w:rsidR="005353F3" w:rsidRPr="00040D64" w:rsidRDefault="005353F3" w:rsidP="00C9051E">
      <w:pPr>
        <w:pStyle w:val="Corpsdetexte"/>
        <w:spacing w:after="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Tableau</w:t>
      </w:r>
      <w:r>
        <w:rPr>
          <w:rFonts w:asciiTheme="majorBidi" w:hAnsiTheme="majorBidi" w:cstheme="majorBidi"/>
          <w:b/>
          <w:bCs/>
          <w:color w:val="000000" w:themeColor="text1"/>
          <w:lang w:val="fr-FR"/>
        </w:rPr>
        <w:t xml:space="preserve"> N°75</w:t>
      </w:r>
      <w:r w:rsidRPr="008764AA">
        <w:rPr>
          <w:rFonts w:asciiTheme="majorBidi" w:hAnsiTheme="majorBidi" w:cstheme="majorBidi"/>
          <w:b/>
          <w:bCs/>
          <w:color w:val="000000" w:themeColor="text1"/>
          <w:lang w:val="fr-FR"/>
        </w:rPr>
        <w:t xml:space="preserve"> : </w:t>
      </w:r>
      <w:r w:rsidRPr="00040D64">
        <w:rPr>
          <w:rFonts w:asciiTheme="majorBidi" w:hAnsiTheme="majorBidi" w:cstheme="majorBidi"/>
          <w:color w:val="000000" w:themeColor="text1"/>
          <w:lang w:val="fr-FR"/>
        </w:rPr>
        <w:t xml:space="preserve">L’effet indirect </w:t>
      </w:r>
      <w:r w:rsidR="00C9051E" w:rsidRPr="00C9051E">
        <w:rPr>
          <w:rFonts w:asciiTheme="majorBidi" w:hAnsiTheme="majorBidi" w:cstheme="majorBidi"/>
          <w:color w:val="000000" w:themeColor="text1"/>
          <w:lang w:val="fr-FR"/>
        </w:rPr>
        <w:t>de l</w:t>
      </w:r>
      <w:r w:rsidR="00DA7EA0">
        <w:rPr>
          <w:rFonts w:asciiTheme="majorBidi" w:hAnsiTheme="majorBidi" w:cstheme="majorBidi"/>
          <w:color w:val="000000" w:themeColor="text1"/>
          <w:lang w:val="fr-FR"/>
        </w:rPr>
        <w:t>’hypothèse 5</w:t>
      </w:r>
    </w:p>
    <w:tbl>
      <w:tblPr>
        <w:tblStyle w:val="Grilledutableau"/>
        <w:tblW w:w="0" w:type="pct"/>
        <w:jc w:val="center"/>
        <w:tblLook w:val="07E0" w:firstRow="1" w:lastRow="1" w:firstColumn="1" w:lastColumn="1" w:noHBand="1" w:noVBand="1"/>
      </w:tblPr>
      <w:tblGrid>
        <w:gridCol w:w="857"/>
        <w:gridCol w:w="876"/>
        <w:gridCol w:w="963"/>
        <w:gridCol w:w="1216"/>
        <w:gridCol w:w="1243"/>
      </w:tblGrid>
      <w:tr w:rsidR="005353F3" w:rsidRPr="008764AA" w:rsidTr="00EC661E">
        <w:trPr>
          <w:jc w:val="center"/>
        </w:trPr>
        <w:tc>
          <w:tcPr>
            <w:tcW w:w="0" w:type="auto"/>
            <w:shd w:val="clear" w:color="auto" w:fill="D8DCD1"/>
          </w:tcPr>
          <w:p w:rsidR="005353F3" w:rsidRPr="008764AA" w:rsidRDefault="005353F3" w:rsidP="00E6084A">
            <w:pPr>
              <w:spacing w:line="360" w:lineRule="auto"/>
              <w:jc w:val="both"/>
              <w:rPr>
                <w:rFonts w:asciiTheme="majorBidi" w:hAnsiTheme="majorBidi" w:cstheme="majorBidi"/>
                <w:color w:val="000000" w:themeColor="text1"/>
                <w:lang w:val="fr-FR"/>
              </w:rPr>
            </w:pP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Effet</w:t>
            </w:r>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BootSE</w:t>
            </w:r>
            <w:proofErr w:type="spellEnd"/>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BootLLCI</w:t>
            </w:r>
            <w:proofErr w:type="spellEnd"/>
          </w:p>
        </w:tc>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BootULCI</w:t>
            </w:r>
            <w:proofErr w:type="spellEnd"/>
          </w:p>
        </w:tc>
      </w:tr>
      <w:tr w:rsidR="005353F3" w:rsidRPr="008764AA" w:rsidTr="00EC661E">
        <w:trPr>
          <w:jc w:val="center"/>
        </w:trPr>
        <w:tc>
          <w:tcPr>
            <w:tcW w:w="0" w:type="auto"/>
            <w:shd w:val="clear" w:color="auto" w:fill="D8DCD1"/>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proofErr w:type="spellStart"/>
            <w:r w:rsidRPr="008764AA">
              <w:rPr>
                <w:rFonts w:asciiTheme="majorBidi" w:hAnsiTheme="majorBidi" w:cstheme="majorBidi"/>
                <w:color w:val="000000" w:themeColor="text1"/>
                <w:lang w:val="fr-FR"/>
              </w:rPr>
              <w:t>ProFD</w:t>
            </w:r>
            <w:proofErr w:type="spellEnd"/>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0.0331</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0.0692</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-0.0908</w:t>
            </w:r>
          </w:p>
        </w:tc>
        <w:tc>
          <w:tcPr>
            <w:tcW w:w="0" w:type="auto"/>
          </w:tcPr>
          <w:p w:rsidR="005353F3" w:rsidRPr="008764AA" w:rsidRDefault="005353F3" w:rsidP="00E6084A">
            <w:pPr>
              <w:pStyle w:val="Compact"/>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0.1839</w:t>
            </w:r>
          </w:p>
        </w:tc>
      </w:tr>
    </w:tbl>
    <w:p w:rsidR="005353F3" w:rsidRPr="008764AA" w:rsidRDefault="005353F3" w:rsidP="005353F3">
      <w:pPr>
        <w:spacing w:after="240" w:line="360" w:lineRule="auto"/>
        <w:jc w:val="center"/>
        <w:rPr>
          <w:rFonts w:asciiTheme="majorBidi" w:hAnsiTheme="majorBidi" w:cstheme="majorBidi"/>
          <w:color w:val="000000" w:themeColor="text1"/>
          <w:lang w:val="fr-FR"/>
        </w:rPr>
      </w:pPr>
      <w:r w:rsidRPr="008764AA">
        <w:rPr>
          <w:rFonts w:asciiTheme="majorBidi" w:hAnsiTheme="majorBidi" w:cstheme="majorBidi"/>
          <w:b/>
          <w:bCs/>
          <w:color w:val="000000" w:themeColor="text1"/>
          <w:lang w:val="fr-FR"/>
        </w:rPr>
        <w:t>Source :</w:t>
      </w:r>
      <w:r w:rsidRPr="008764AA">
        <w:rPr>
          <w:rFonts w:asciiTheme="majorBidi" w:hAnsiTheme="majorBidi" w:cstheme="majorBidi"/>
          <w:color w:val="000000" w:themeColor="text1"/>
          <w:lang w:val="fr-FR"/>
        </w:rPr>
        <w:t xml:space="preserve"> </w:t>
      </w:r>
      <w:r w:rsidR="00982387">
        <w:rPr>
          <w:rFonts w:asciiTheme="majorBidi" w:hAnsiTheme="majorBidi" w:cstheme="majorBidi"/>
          <w:color w:val="000000" w:themeColor="text1"/>
          <w:lang w:val="fr-FR"/>
        </w:rPr>
        <w:t>Résultat de l’étude - SPSS29 - 2025</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D’après le tableau , on remarque que le coefficient de chemin pour la relation indirecte appartient à l'intervalle de confiance [-0,0908; 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0692] avec une probabilité de 95%. Cet intervalle comprend la valeur zéro, ce qui signifie que le critère essentiel n’est pas respecté.</w:t>
      </w:r>
    </w:p>
    <w:p w:rsidR="005353F3" w:rsidRPr="008764AA" w:rsidRDefault="005353F3" w:rsidP="005353F3">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Par conséquent, nous rejetons l'hypothèse selon laquelle "il existe une relation statistiquement significative entre la digitalisation des processus RH et la performance des RH en présence de processus de formation digitalisée en tant que variable médiatrice". </w:t>
      </w:r>
    </w:p>
    <w:p w:rsidR="004D45A5" w:rsidRPr="004D4075" w:rsidRDefault="005353F3" w:rsidP="000C1677">
      <w:pPr>
        <w:pStyle w:val="Corpsdetexte"/>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L’absence d’un effet indirect significatif indique que la médiation par </w:t>
      </w:r>
      <w:r w:rsidRPr="008764AA">
        <w:rPr>
          <w:rStyle w:val="VerbatimChar"/>
          <w:rFonts w:asciiTheme="majorBidi" w:hAnsiTheme="majorBidi" w:cstheme="majorBidi"/>
          <w:color w:val="000000" w:themeColor="text1"/>
          <w:lang w:val="fr-FR"/>
        </w:rPr>
        <w:t>processus de formation digitalisée</w:t>
      </w:r>
      <w:r w:rsidRPr="008764AA">
        <w:rPr>
          <w:rFonts w:asciiTheme="majorBidi" w:hAnsiTheme="majorBidi" w:cstheme="majorBidi"/>
          <w:color w:val="000000" w:themeColor="text1"/>
          <w:lang w:val="fr-FR"/>
        </w:rPr>
        <w:t xml:space="preserve"> n’est pas soutenue. L’influence de la digitalisation sur la performance RH semble être principalement directe.</w:t>
      </w:r>
    </w:p>
    <w:p w:rsidR="00E772DD" w:rsidRPr="005353F3" w:rsidRDefault="00E772DD" w:rsidP="004D32AC">
      <w:pPr>
        <w:pStyle w:val="Titre3"/>
        <w:numPr>
          <w:ilvl w:val="0"/>
          <w:numId w:val="193"/>
        </w:numPr>
        <w:spacing w:after="0" w:afterAutospacing="0" w:line="360" w:lineRule="auto"/>
        <w:rPr>
          <w:color w:val="000000"/>
          <w:sz w:val="24"/>
          <w:szCs w:val="24"/>
          <w:lang w:val="fr-FR"/>
        </w:rPr>
      </w:pPr>
      <w:bookmarkStart w:id="2418" w:name="_Toc199714594"/>
      <w:bookmarkStart w:id="2419" w:name="_Toc200486870"/>
      <w:bookmarkStart w:id="2420" w:name="_Toc200635648"/>
      <w:bookmarkStart w:id="2421" w:name="_Toc200636036"/>
      <w:bookmarkStart w:id="2422" w:name="_Toc200636425"/>
      <w:bookmarkStart w:id="2423" w:name="_Toc200756166"/>
      <w:r w:rsidRPr="005353F3">
        <w:rPr>
          <w:sz w:val="24"/>
          <w:szCs w:val="24"/>
        </w:rPr>
        <w:t>Modèle structurel de l’étude :</w:t>
      </w:r>
      <w:bookmarkEnd w:id="2418"/>
      <w:bookmarkEnd w:id="2419"/>
      <w:bookmarkEnd w:id="2420"/>
      <w:bookmarkEnd w:id="2421"/>
      <w:bookmarkEnd w:id="2422"/>
      <w:bookmarkEnd w:id="2423"/>
    </w:p>
    <w:p w:rsidR="00E772DD" w:rsidRPr="008764AA" w:rsidRDefault="00E772DD" w:rsidP="00F77332">
      <w:pPr>
        <w:pStyle w:val="Corpsdetexte"/>
        <w:spacing w:before="0" w:line="360" w:lineRule="auto"/>
        <w:jc w:val="both"/>
        <w:rPr>
          <w:color w:val="000000"/>
          <w:lang w:val="fr-FR"/>
        </w:rPr>
      </w:pPr>
      <w:r w:rsidRPr="008764AA">
        <w:rPr>
          <w:color w:val="000000"/>
          <w:lang w:val="fr-FR"/>
        </w:rPr>
        <w:t>Afin de valider ces hypothèses, nous avons analysé l’impact de chaque variable sur la performance des RH. L’examen de ces variables dans le cadre de leur approche respective a permis d’évaluer leur contribution individuelle à la relation étudiée.</w:t>
      </w:r>
    </w:p>
    <w:p w:rsidR="00E772DD" w:rsidRDefault="00E772DD" w:rsidP="001F5102">
      <w:pPr>
        <w:jc w:val="center"/>
        <w:rPr>
          <w:color w:val="000000"/>
          <w:lang w:val="fr-FR"/>
        </w:rPr>
      </w:pPr>
      <w:r w:rsidRPr="008764AA">
        <w:rPr>
          <w:b/>
          <w:bCs/>
          <w:noProof/>
          <w:color w:val="000000"/>
          <w:lang w:val="fr-FR"/>
          <w14:ligatures w14:val="standardContextual"/>
        </w:rPr>
        <w:lastRenderedPageBreak/>
        <w:drawing>
          <wp:anchor distT="0" distB="0" distL="114300" distR="114300" simplePos="0" relativeHeight="251695104" behindDoc="0" locked="0" layoutInCell="1" allowOverlap="1" wp14:anchorId="37DC5F51" wp14:editId="1C41825E">
            <wp:simplePos x="0" y="0"/>
            <wp:positionH relativeFrom="margin">
              <wp:posOffset>-764627</wp:posOffset>
            </wp:positionH>
            <wp:positionV relativeFrom="margin">
              <wp:posOffset>299414</wp:posOffset>
            </wp:positionV>
            <wp:extent cx="7250430" cy="4859020"/>
            <wp:effectExtent l="0" t="0" r="1270" b="0"/>
            <wp:wrapTopAndBottom/>
            <wp:docPr id="193038891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88913" name="Image 1930388913"/>
                    <pic:cNvPicPr/>
                  </pic:nvPicPr>
                  <pic:blipFill rotWithShape="1">
                    <a:blip r:embed="rId130">
                      <a:extLst>
                        <a:ext uri="{28A0092B-C50C-407E-A947-70E740481C1C}">
                          <a14:useLocalDpi xmlns:a14="http://schemas.microsoft.com/office/drawing/2010/main" val="0"/>
                        </a:ext>
                      </a:extLst>
                    </a:blip>
                    <a:srcRect b="11751"/>
                    <a:stretch/>
                  </pic:blipFill>
                  <pic:spPr bwMode="auto">
                    <a:xfrm>
                      <a:off x="0" y="0"/>
                      <a:ext cx="7250430" cy="4859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64AA">
        <w:rPr>
          <w:b/>
          <w:bCs/>
          <w:color w:val="000000"/>
          <w:lang w:val="fr-FR"/>
        </w:rPr>
        <w:t xml:space="preserve">Figure </w:t>
      </w:r>
      <w:r>
        <w:rPr>
          <w:b/>
          <w:bCs/>
          <w:color w:val="000000"/>
          <w:lang w:val="fr-FR"/>
        </w:rPr>
        <w:t xml:space="preserve">N°47 </w:t>
      </w:r>
      <w:r w:rsidRPr="008764AA">
        <w:rPr>
          <w:b/>
          <w:bCs/>
          <w:color w:val="000000"/>
          <w:lang w:val="fr-FR"/>
        </w:rPr>
        <w:t xml:space="preserve">: </w:t>
      </w:r>
      <w:r w:rsidRPr="00040D64">
        <w:rPr>
          <w:color w:val="000000"/>
          <w:lang w:val="fr-FR"/>
        </w:rPr>
        <w:t>Modèle structurel de l'étude</w:t>
      </w:r>
    </w:p>
    <w:p w:rsidR="00E772DD" w:rsidRPr="008764AA" w:rsidRDefault="00E772DD" w:rsidP="001F5102">
      <w:pPr>
        <w:jc w:val="center"/>
        <w:rPr>
          <w:b/>
          <w:bCs/>
          <w:color w:val="000000"/>
          <w:lang w:val="fr-FR"/>
        </w:rPr>
      </w:pPr>
    </w:p>
    <w:p w:rsidR="00E772DD" w:rsidRPr="008764AA" w:rsidRDefault="00E772DD" w:rsidP="001F5102">
      <w:pPr>
        <w:jc w:val="center"/>
        <w:rPr>
          <w:color w:val="000000"/>
          <w:lang w:val="fr-FR"/>
        </w:rPr>
      </w:pPr>
      <w:r w:rsidRPr="008764AA">
        <w:rPr>
          <w:b/>
          <w:bCs/>
          <w:color w:val="000000"/>
          <w:lang w:val="fr-FR"/>
        </w:rPr>
        <w:t>Source :</w:t>
      </w:r>
      <w:r w:rsidRPr="008764AA">
        <w:rPr>
          <w:color w:val="000000"/>
          <w:lang w:val="fr-FR"/>
        </w:rPr>
        <w:t xml:space="preserve"> </w:t>
      </w:r>
      <w:r w:rsidR="00982387">
        <w:rPr>
          <w:color w:val="000000"/>
          <w:lang w:val="fr-FR"/>
        </w:rPr>
        <w:t>Résultat de l’étude - SmartPLS4 - 2025</w:t>
      </w:r>
    </w:p>
    <w:p w:rsidR="00E772DD" w:rsidRPr="008764AA" w:rsidRDefault="00E772DD" w:rsidP="001F5102">
      <w:pPr>
        <w:jc w:val="center"/>
        <w:rPr>
          <w:color w:val="000000"/>
          <w:lang w:val="fr-FR"/>
        </w:rPr>
      </w:pPr>
    </w:p>
    <w:p w:rsidR="00E772DD" w:rsidRPr="008764AA" w:rsidRDefault="00E772DD" w:rsidP="0078531B">
      <w:pPr>
        <w:spacing w:line="360" w:lineRule="auto"/>
        <w:rPr>
          <w:color w:val="000000"/>
          <w:lang w:val="fr-FR"/>
        </w:rPr>
      </w:pPr>
      <w:r w:rsidRPr="008764AA">
        <w:rPr>
          <w:rStyle w:val="lev"/>
          <w:color w:val="000000"/>
          <w:lang w:val="fr-FR"/>
        </w:rPr>
        <w:t>Chemins directs :</w:t>
      </w:r>
    </w:p>
    <w:p w:rsidR="00E772DD" w:rsidRPr="008764AA" w:rsidRDefault="00E772DD" w:rsidP="004D32AC">
      <w:pPr>
        <w:numPr>
          <w:ilvl w:val="0"/>
          <w:numId w:val="144"/>
        </w:numPr>
        <w:spacing w:line="360" w:lineRule="auto"/>
        <w:rPr>
          <w:color w:val="000000"/>
          <w:lang w:val="fr-FR"/>
        </w:rPr>
      </w:pPr>
      <w:r w:rsidRPr="008764AA">
        <w:rPr>
          <w:rStyle w:val="lev"/>
          <w:color w:val="000000"/>
          <w:lang w:val="fr-FR"/>
        </w:rPr>
        <w:t>Digitalisation → Recrutement digital (0,791)</w:t>
      </w:r>
      <w:r w:rsidRPr="008764AA">
        <w:rPr>
          <w:rStyle w:val="apple-converted-space"/>
          <w:color w:val="000000"/>
          <w:lang w:val="fr-FR"/>
        </w:rPr>
        <w:t> </w:t>
      </w:r>
      <w:r w:rsidRPr="008764AA">
        <w:rPr>
          <w:color w:val="000000"/>
          <w:lang w:val="fr-FR"/>
        </w:rPr>
        <w:t>: Il existe un impact fortement positif de la digitalisation sur le recrutement digital. Cela signifie que les pratiques de digitalisation facilitent largement l’adoption de processus de recrutement numériques.</w:t>
      </w:r>
    </w:p>
    <w:p w:rsidR="00E772DD" w:rsidRPr="008764AA" w:rsidRDefault="00E772DD" w:rsidP="004D32AC">
      <w:pPr>
        <w:numPr>
          <w:ilvl w:val="0"/>
          <w:numId w:val="144"/>
        </w:numPr>
        <w:spacing w:line="360" w:lineRule="auto"/>
        <w:rPr>
          <w:color w:val="000000"/>
          <w:lang w:val="fr-FR"/>
        </w:rPr>
      </w:pPr>
      <w:r w:rsidRPr="008764AA">
        <w:rPr>
          <w:rStyle w:val="lev"/>
          <w:color w:val="000000"/>
          <w:lang w:val="fr-FR"/>
        </w:rPr>
        <w:t>Digitalisation → Formation digitale (0,538)</w:t>
      </w:r>
      <w:r w:rsidRPr="008764AA">
        <w:rPr>
          <w:rStyle w:val="apple-converted-space"/>
          <w:color w:val="000000"/>
          <w:lang w:val="fr-FR"/>
        </w:rPr>
        <w:t> </w:t>
      </w:r>
      <w:r w:rsidRPr="008764AA">
        <w:rPr>
          <w:color w:val="000000"/>
          <w:lang w:val="fr-FR"/>
        </w:rPr>
        <w:t>: La digitalisation a également un effet positif sur la formation digitale, bien que cet impact soit moins prononcé que sur le recrutement digital.</w:t>
      </w:r>
    </w:p>
    <w:p w:rsidR="00E772DD" w:rsidRDefault="00E772DD" w:rsidP="004D32AC">
      <w:pPr>
        <w:numPr>
          <w:ilvl w:val="0"/>
          <w:numId w:val="144"/>
        </w:numPr>
        <w:spacing w:after="240" w:line="360" w:lineRule="auto"/>
        <w:rPr>
          <w:color w:val="000000"/>
          <w:lang w:val="fr-FR"/>
        </w:rPr>
      </w:pPr>
      <w:r w:rsidRPr="008764AA">
        <w:rPr>
          <w:rStyle w:val="lev"/>
          <w:color w:val="000000"/>
          <w:lang w:val="fr-FR"/>
        </w:rPr>
        <w:t>Digitalisation → Performance RH (0,456)</w:t>
      </w:r>
      <w:r w:rsidRPr="008764AA">
        <w:rPr>
          <w:rStyle w:val="apple-converted-space"/>
          <w:color w:val="000000"/>
          <w:lang w:val="fr-FR"/>
        </w:rPr>
        <w:t> </w:t>
      </w:r>
      <w:r w:rsidRPr="008764AA">
        <w:rPr>
          <w:color w:val="000000"/>
          <w:lang w:val="fr-FR"/>
        </w:rPr>
        <w:t>: L’effet direct de la digitalisation sur la performance des ressources humaines est positif, mais plus modéré comparé aux effets sur le recrutement et la formation.</w:t>
      </w:r>
    </w:p>
    <w:p w:rsidR="00F77332" w:rsidRPr="008764AA" w:rsidRDefault="00F77332" w:rsidP="00F77332">
      <w:pPr>
        <w:spacing w:after="240" w:line="360" w:lineRule="auto"/>
        <w:ind w:left="360"/>
        <w:rPr>
          <w:color w:val="000000"/>
          <w:lang w:val="fr-FR"/>
        </w:rPr>
      </w:pPr>
    </w:p>
    <w:p w:rsidR="00E772DD" w:rsidRPr="008764AA" w:rsidRDefault="00E772DD" w:rsidP="0078531B">
      <w:pPr>
        <w:spacing w:line="360" w:lineRule="auto"/>
        <w:rPr>
          <w:color w:val="000000"/>
          <w:lang w:val="fr-FR"/>
        </w:rPr>
      </w:pPr>
      <w:r w:rsidRPr="008764AA">
        <w:rPr>
          <w:rStyle w:val="lev"/>
          <w:color w:val="000000"/>
          <w:lang w:val="fr-FR"/>
        </w:rPr>
        <w:lastRenderedPageBreak/>
        <w:t>Chemins indirects :</w:t>
      </w:r>
    </w:p>
    <w:p w:rsidR="00E772DD" w:rsidRPr="008764AA" w:rsidRDefault="00E772DD" w:rsidP="0078531B">
      <w:pPr>
        <w:spacing w:line="360" w:lineRule="auto"/>
        <w:rPr>
          <w:color w:val="000000"/>
          <w:lang w:val="fr-FR"/>
        </w:rPr>
      </w:pPr>
      <w:r w:rsidRPr="008764AA">
        <w:rPr>
          <w:rStyle w:val="lev"/>
          <w:color w:val="000000"/>
          <w:lang w:val="fr-FR"/>
        </w:rPr>
        <w:t>Digitalisation → Recrutement digital → Performance RH</w:t>
      </w:r>
      <w:r w:rsidRPr="008764AA">
        <w:rPr>
          <w:rStyle w:val="apple-converted-space"/>
          <w:color w:val="000000"/>
          <w:lang w:val="fr-FR"/>
        </w:rPr>
        <w:t> </w:t>
      </w:r>
      <w:r w:rsidRPr="008764AA">
        <w:rPr>
          <w:color w:val="000000"/>
          <w:lang w:val="fr-FR"/>
        </w:rPr>
        <w:t>:</w:t>
      </w:r>
    </w:p>
    <w:p w:rsidR="00E772DD" w:rsidRPr="008764AA" w:rsidRDefault="00E772DD" w:rsidP="004D32AC">
      <w:pPr>
        <w:numPr>
          <w:ilvl w:val="1"/>
          <w:numId w:val="145"/>
        </w:numPr>
        <w:spacing w:line="360" w:lineRule="auto"/>
        <w:rPr>
          <w:color w:val="000000"/>
          <w:lang w:val="fr-FR"/>
        </w:rPr>
      </w:pPr>
      <w:r w:rsidRPr="008764AA">
        <w:rPr>
          <w:rStyle w:val="lev"/>
          <w:color w:val="000000"/>
          <w:lang w:val="fr-FR"/>
        </w:rPr>
        <w:t>Recrutement digital → Performance RH (0,322)</w:t>
      </w:r>
      <w:r w:rsidRPr="008764AA">
        <w:rPr>
          <w:rStyle w:val="apple-converted-space"/>
          <w:color w:val="000000"/>
          <w:lang w:val="fr-FR"/>
        </w:rPr>
        <w:t> </w:t>
      </w:r>
      <w:r w:rsidRPr="008764AA">
        <w:rPr>
          <w:color w:val="000000"/>
          <w:lang w:val="fr-FR"/>
        </w:rPr>
        <w:t>: Le recrutement digital exerce un effet positif significatif sur la performance RH.</w:t>
      </w:r>
    </w:p>
    <w:p w:rsidR="00E772DD" w:rsidRPr="008764AA" w:rsidRDefault="00E772DD" w:rsidP="004D32AC">
      <w:pPr>
        <w:numPr>
          <w:ilvl w:val="1"/>
          <w:numId w:val="145"/>
        </w:numPr>
        <w:spacing w:line="360" w:lineRule="auto"/>
        <w:rPr>
          <w:color w:val="000000"/>
          <w:lang w:val="fr-FR"/>
        </w:rPr>
      </w:pPr>
      <w:r w:rsidRPr="008764AA">
        <w:rPr>
          <w:color w:val="000000"/>
          <w:lang w:val="fr-FR"/>
        </w:rPr>
        <w:t>Le chemin indirect via le recrutement digital est calculé comme suit :</w:t>
      </w:r>
      <w:r w:rsidRPr="008764AA">
        <w:rPr>
          <w:rStyle w:val="apple-converted-space"/>
          <w:color w:val="000000"/>
          <w:lang w:val="fr-FR"/>
        </w:rPr>
        <w:t> </w:t>
      </w:r>
      <w:r w:rsidRPr="008764AA">
        <w:rPr>
          <w:rStyle w:val="lev"/>
          <w:color w:val="000000"/>
          <w:lang w:val="fr-FR"/>
        </w:rPr>
        <w:t>0,791 × 0,322 = 0,255</w:t>
      </w:r>
    </w:p>
    <w:p w:rsidR="00E772DD" w:rsidRPr="008764AA" w:rsidRDefault="00E772DD" w:rsidP="0078531B">
      <w:pPr>
        <w:spacing w:line="360" w:lineRule="auto"/>
        <w:rPr>
          <w:color w:val="000000"/>
          <w:lang w:val="fr-FR"/>
        </w:rPr>
      </w:pPr>
      <w:r w:rsidRPr="008764AA">
        <w:rPr>
          <w:rStyle w:val="lev"/>
          <w:color w:val="000000"/>
          <w:lang w:val="fr-FR"/>
        </w:rPr>
        <w:t>Digitalisation → Formation digitale → Performance RH</w:t>
      </w:r>
      <w:r w:rsidRPr="008764AA">
        <w:rPr>
          <w:rStyle w:val="apple-converted-space"/>
          <w:color w:val="000000"/>
          <w:lang w:val="fr-FR"/>
        </w:rPr>
        <w:t> </w:t>
      </w:r>
      <w:r w:rsidRPr="008764AA">
        <w:rPr>
          <w:color w:val="000000"/>
          <w:lang w:val="fr-FR"/>
        </w:rPr>
        <w:t>:</w:t>
      </w:r>
    </w:p>
    <w:p w:rsidR="00E772DD" w:rsidRPr="008764AA" w:rsidRDefault="00E772DD" w:rsidP="004D32AC">
      <w:pPr>
        <w:numPr>
          <w:ilvl w:val="1"/>
          <w:numId w:val="145"/>
        </w:numPr>
        <w:spacing w:line="360" w:lineRule="auto"/>
        <w:rPr>
          <w:color w:val="000000"/>
          <w:lang w:val="fr-FR"/>
        </w:rPr>
      </w:pPr>
      <w:r w:rsidRPr="008764AA">
        <w:rPr>
          <w:rStyle w:val="lev"/>
          <w:color w:val="000000"/>
          <w:lang w:val="fr-FR"/>
        </w:rPr>
        <w:t>Formation digitale → Performance RH (0,170)</w:t>
      </w:r>
      <w:r w:rsidRPr="008764AA">
        <w:rPr>
          <w:rStyle w:val="apple-converted-space"/>
          <w:color w:val="000000"/>
          <w:lang w:val="fr-FR"/>
        </w:rPr>
        <w:t> </w:t>
      </w:r>
      <w:r w:rsidRPr="008764AA">
        <w:rPr>
          <w:color w:val="000000"/>
          <w:lang w:val="fr-FR"/>
        </w:rPr>
        <w:t>: La formation digitale a également un impact positif sur la performance RH, bien que plus modeste.</w:t>
      </w:r>
    </w:p>
    <w:p w:rsidR="00E772DD" w:rsidRPr="008764AA" w:rsidRDefault="00E772DD" w:rsidP="004D32AC">
      <w:pPr>
        <w:numPr>
          <w:ilvl w:val="1"/>
          <w:numId w:val="145"/>
        </w:numPr>
        <w:spacing w:line="360" w:lineRule="auto"/>
        <w:rPr>
          <w:color w:val="000000"/>
          <w:lang w:val="fr-FR"/>
        </w:rPr>
      </w:pPr>
      <w:r w:rsidRPr="008764AA">
        <w:rPr>
          <w:color w:val="000000"/>
          <w:lang w:val="fr-FR"/>
        </w:rPr>
        <w:t>Le chemin indirect via la formation digitale est calculé comme suit :</w:t>
      </w:r>
      <w:r w:rsidRPr="008764AA">
        <w:rPr>
          <w:rStyle w:val="apple-converted-space"/>
          <w:color w:val="000000"/>
          <w:lang w:val="fr-FR"/>
        </w:rPr>
        <w:t> </w:t>
      </w:r>
      <w:r w:rsidRPr="008764AA">
        <w:rPr>
          <w:rStyle w:val="lev"/>
          <w:color w:val="000000"/>
          <w:lang w:val="fr-FR"/>
        </w:rPr>
        <w:t>0,538 × 0,170 = 0,091</w:t>
      </w:r>
    </w:p>
    <w:p w:rsidR="00E772DD" w:rsidRDefault="00E772DD" w:rsidP="0078531B">
      <w:pPr>
        <w:spacing w:line="360" w:lineRule="auto"/>
        <w:rPr>
          <w:color w:val="000000"/>
          <w:lang w:val="fr-FR"/>
        </w:rPr>
      </w:pPr>
      <w:r w:rsidRPr="008764AA">
        <w:rPr>
          <w:color w:val="000000"/>
          <w:lang w:val="fr-FR"/>
        </w:rPr>
        <w:t>Ce modèle met en évidence que la digitalisation contribue à améliorer la performance des ressources humaines principalement en favorisant le recrutement digital et, dans une moindre mesure, la formation digitale. Ainsi, les effets indirects de la digitalisation, notamment via le recrutement digital, sont plus puissants que son effet direct.</w:t>
      </w:r>
    </w:p>
    <w:p w:rsidR="00E772DD" w:rsidRPr="005353F3" w:rsidRDefault="00E772DD" w:rsidP="004D32AC">
      <w:pPr>
        <w:pStyle w:val="Titre3"/>
        <w:numPr>
          <w:ilvl w:val="0"/>
          <w:numId w:val="193"/>
        </w:numPr>
        <w:spacing w:after="0" w:afterAutospacing="0" w:line="360" w:lineRule="auto"/>
        <w:rPr>
          <w:sz w:val="24"/>
          <w:szCs w:val="24"/>
          <w:lang w:val="fr-FR"/>
        </w:rPr>
      </w:pPr>
      <w:bookmarkStart w:id="2424" w:name="_Toc199714595"/>
      <w:bookmarkStart w:id="2425" w:name="_Toc200486871"/>
      <w:bookmarkStart w:id="2426" w:name="_Toc200635649"/>
      <w:bookmarkStart w:id="2427" w:name="_Toc200636037"/>
      <w:bookmarkStart w:id="2428" w:name="_Toc200636426"/>
      <w:bookmarkStart w:id="2429" w:name="_Toc200756167"/>
      <w:r w:rsidRPr="005353F3">
        <w:rPr>
          <w:sz w:val="24"/>
          <w:szCs w:val="24"/>
          <w:lang w:val="fr-FR"/>
        </w:rPr>
        <w:t>Discussion d</w:t>
      </w:r>
      <w:r w:rsidRPr="005353F3">
        <w:rPr>
          <w:sz w:val="24"/>
          <w:szCs w:val="24"/>
        </w:rPr>
        <w:t>es résultats d</w:t>
      </w:r>
      <w:r w:rsidRPr="005353F3">
        <w:rPr>
          <w:sz w:val="24"/>
          <w:szCs w:val="24"/>
          <w:lang w:val="fr-FR"/>
        </w:rPr>
        <w:t>e l’</w:t>
      </w:r>
      <w:r w:rsidRPr="005353F3">
        <w:rPr>
          <w:sz w:val="24"/>
          <w:szCs w:val="24"/>
        </w:rPr>
        <w:t>étude :</w:t>
      </w:r>
      <w:bookmarkEnd w:id="2424"/>
      <w:bookmarkEnd w:id="2425"/>
      <w:bookmarkEnd w:id="2426"/>
      <w:bookmarkEnd w:id="2427"/>
      <w:bookmarkEnd w:id="2428"/>
      <w:bookmarkEnd w:id="2429"/>
    </w:p>
    <w:p w:rsidR="00E772DD" w:rsidRDefault="00E772DD" w:rsidP="00B93305">
      <w:pPr>
        <w:spacing w:line="360" w:lineRule="auto"/>
        <w:jc w:val="both"/>
        <w:rPr>
          <w:rFonts w:asciiTheme="majorBidi" w:hAnsiTheme="majorBidi" w:cstheme="majorBidi"/>
          <w:color w:val="000000"/>
        </w:rPr>
      </w:pPr>
      <w:r w:rsidRPr="00B93305">
        <w:rPr>
          <w:rFonts w:asciiTheme="majorBidi" w:hAnsiTheme="majorBidi" w:cstheme="majorBidi"/>
          <w:color w:val="000000"/>
        </w:rPr>
        <w:t>Dans cette partie, nous allons examiner les résultats obtenus à partir du questionnaire et vérifierons la validité des hypothèses proposées.</w:t>
      </w:r>
    </w:p>
    <w:p w:rsidR="00E772DD" w:rsidRPr="004D4075" w:rsidRDefault="00E772DD" w:rsidP="00DA7EA0">
      <w:pPr>
        <w:pStyle w:val="Titre3"/>
        <w:numPr>
          <w:ilvl w:val="2"/>
          <w:numId w:val="218"/>
        </w:numPr>
        <w:spacing w:after="0" w:afterAutospacing="0" w:line="360" w:lineRule="auto"/>
        <w:rPr>
          <w:sz w:val="24"/>
          <w:szCs w:val="24"/>
        </w:rPr>
      </w:pPr>
      <w:bookmarkStart w:id="2430" w:name="_Toc199714596"/>
      <w:bookmarkStart w:id="2431" w:name="_Toc200486872"/>
      <w:bookmarkStart w:id="2432" w:name="_Toc200635650"/>
      <w:bookmarkStart w:id="2433" w:name="_Toc200636038"/>
      <w:bookmarkStart w:id="2434" w:name="_Toc200636427"/>
      <w:bookmarkStart w:id="2435" w:name="_Toc200756168"/>
      <w:r w:rsidRPr="004D4075">
        <w:rPr>
          <w:sz w:val="24"/>
          <w:szCs w:val="24"/>
        </w:rPr>
        <w:t>Les résultats de la première partie (donnée générale de l’entreprise et des employées) :</w:t>
      </w:r>
      <w:bookmarkEnd w:id="2430"/>
      <w:bookmarkEnd w:id="2431"/>
      <w:bookmarkEnd w:id="2432"/>
      <w:bookmarkEnd w:id="2433"/>
      <w:bookmarkEnd w:id="2434"/>
      <w:bookmarkEnd w:id="2435"/>
    </w:p>
    <w:p w:rsidR="00E772DD" w:rsidRDefault="00E772DD" w:rsidP="004D32AC">
      <w:pPr>
        <w:pStyle w:val="p1"/>
        <w:numPr>
          <w:ilvl w:val="0"/>
          <w:numId w:val="172"/>
        </w:numPr>
        <w:spacing w:line="360" w:lineRule="auto"/>
        <w:rPr>
          <w:sz w:val="24"/>
          <w:szCs w:val="24"/>
        </w:rPr>
      </w:pPr>
      <w:r w:rsidRPr="0030791B">
        <w:rPr>
          <w:rFonts w:asciiTheme="majorBidi" w:hAnsiTheme="majorBidi" w:cstheme="majorBidi"/>
          <w:sz w:val="24"/>
          <w:szCs w:val="24"/>
        </w:rPr>
        <w:t>D’après le tableau 2</w:t>
      </w:r>
      <w:r>
        <w:rPr>
          <w:rFonts w:asciiTheme="majorBidi" w:hAnsiTheme="majorBidi" w:cstheme="majorBidi"/>
          <w:sz w:val="24"/>
          <w:szCs w:val="24"/>
        </w:rPr>
        <w:t>0</w:t>
      </w:r>
      <w:r w:rsidRPr="0030791B">
        <w:rPr>
          <w:rFonts w:asciiTheme="majorBidi" w:hAnsiTheme="majorBidi" w:cstheme="majorBidi"/>
          <w:sz w:val="24"/>
          <w:szCs w:val="24"/>
        </w:rPr>
        <w:t xml:space="preserve"> et le graphe </w:t>
      </w:r>
      <w:r>
        <w:rPr>
          <w:rFonts w:asciiTheme="majorBidi" w:hAnsiTheme="majorBidi" w:cstheme="majorBidi"/>
          <w:sz w:val="24"/>
          <w:szCs w:val="24"/>
        </w:rPr>
        <w:t>36</w:t>
      </w:r>
      <w:r w:rsidRPr="0030791B">
        <w:rPr>
          <w:rFonts w:asciiTheme="majorBidi" w:hAnsiTheme="majorBidi" w:cstheme="majorBidi"/>
          <w:sz w:val="24"/>
          <w:szCs w:val="24"/>
        </w:rPr>
        <w:t>, une large majorité des répondants, soit 89,5 %, indiquent que leur entreprise utilise actuellement des outils numériques pour la gestion des ressources humaines. À l’inverse, seulement 10,5 % des participants déclarent ne pas recourir à ces solutions digitales. Ces résultats illustrent l’importance croissante accordée à la digitalisation des processus RH au sein des organisations, soulignant une adoption généralisée des technologies numériques pour optimiser la gestion des ressources humaines.</w:t>
      </w:r>
    </w:p>
    <w:p w:rsidR="00E772DD" w:rsidRPr="006F0F5B" w:rsidRDefault="00E772DD" w:rsidP="006F0F5B">
      <w:pPr>
        <w:pStyle w:val="p1"/>
        <w:spacing w:line="360" w:lineRule="auto"/>
        <w:ind w:left="360"/>
        <w:rPr>
          <w:sz w:val="24"/>
          <w:szCs w:val="24"/>
        </w:rPr>
      </w:pPr>
      <w:r w:rsidRPr="006F0F5B">
        <w:rPr>
          <w:sz w:val="24"/>
          <w:szCs w:val="24"/>
        </w:rPr>
        <w:t>Afin de garantir la pertinence des résultats, seuls les répondants dont l’entreprise utilise des outils numériques pour la gestion des RH ont été retenus. Sur 190 questionnaires, 170 (soit 89,5%) ont été conservés, les 20 autres ayant été écartés, conformément aux objectifs de l’étude.</w:t>
      </w:r>
    </w:p>
    <w:p w:rsidR="00E772DD" w:rsidRDefault="00E772DD" w:rsidP="004D32AC">
      <w:pPr>
        <w:pStyle w:val="p1"/>
        <w:numPr>
          <w:ilvl w:val="0"/>
          <w:numId w:val="172"/>
        </w:numPr>
        <w:spacing w:line="360" w:lineRule="auto"/>
        <w:rPr>
          <w:sz w:val="24"/>
          <w:szCs w:val="24"/>
        </w:rPr>
      </w:pPr>
      <w:r w:rsidRPr="0030791B">
        <w:rPr>
          <w:sz w:val="24"/>
          <w:szCs w:val="24"/>
        </w:rPr>
        <w:lastRenderedPageBreak/>
        <w:t xml:space="preserve">D’après le tableau </w:t>
      </w:r>
      <w:r>
        <w:rPr>
          <w:sz w:val="24"/>
          <w:szCs w:val="24"/>
        </w:rPr>
        <w:t>21</w:t>
      </w:r>
      <w:r w:rsidRPr="0030791B">
        <w:rPr>
          <w:sz w:val="24"/>
          <w:szCs w:val="24"/>
        </w:rPr>
        <w:t xml:space="preserve">, </w:t>
      </w:r>
      <w:r w:rsidRPr="0030791B">
        <w:rPr>
          <w:rFonts w:asciiTheme="majorBidi" w:hAnsiTheme="majorBidi" w:cstheme="majorBidi"/>
          <w:sz w:val="24"/>
          <w:szCs w:val="24"/>
        </w:rPr>
        <w:t>près de la moitié des répondants (48,24%) utilisent des sites de recrutement tels qu’Emploitic et Triemploi, ainsi que des systèmes d’information RH (SIRH). Les ERP comme Odoo, Oracle ou SAP viennent en seconde position, employés par 45,29% des participants. Cette prédominance témoigne de la préférence des entreprises pour des outils numériques spécialisés, destinés au recrutement et à la gestion des ressources humaines, dans le but de favoriser des solutions à la fois performantes et facilement accessibles pour soutenir la digitalisation des processus RH.</w:t>
      </w:r>
    </w:p>
    <w:p w:rsidR="00E772DD" w:rsidRPr="00F77332" w:rsidRDefault="00E772DD" w:rsidP="004D32AC">
      <w:pPr>
        <w:pStyle w:val="p1"/>
        <w:numPr>
          <w:ilvl w:val="0"/>
          <w:numId w:val="172"/>
        </w:numPr>
        <w:spacing w:line="360" w:lineRule="auto"/>
        <w:rPr>
          <w:sz w:val="24"/>
          <w:szCs w:val="24"/>
        </w:rPr>
      </w:pPr>
      <w:r w:rsidRPr="0030791B">
        <w:rPr>
          <w:sz w:val="24"/>
          <w:szCs w:val="24"/>
        </w:rPr>
        <w:t xml:space="preserve">D’après le tableau </w:t>
      </w:r>
      <w:r>
        <w:rPr>
          <w:sz w:val="24"/>
          <w:szCs w:val="24"/>
        </w:rPr>
        <w:t>22</w:t>
      </w:r>
      <w:r w:rsidRPr="0030791B">
        <w:rPr>
          <w:sz w:val="24"/>
          <w:szCs w:val="24"/>
        </w:rPr>
        <w:t xml:space="preserve"> et le graphe </w:t>
      </w:r>
      <w:r>
        <w:rPr>
          <w:sz w:val="24"/>
          <w:szCs w:val="24"/>
        </w:rPr>
        <w:t>37</w:t>
      </w:r>
      <w:r w:rsidRPr="0030791B">
        <w:rPr>
          <w:sz w:val="24"/>
          <w:szCs w:val="24"/>
        </w:rPr>
        <w:t>,</w:t>
      </w:r>
      <w:r w:rsidRPr="0030791B">
        <w:rPr>
          <w:rFonts w:ascii="-webkit-standard" w:hAnsi="-webkit-standard"/>
          <w:sz w:val="27"/>
          <w:szCs w:val="27"/>
        </w:rPr>
        <w:t xml:space="preserve"> </w:t>
      </w:r>
      <w:r w:rsidRPr="0030791B">
        <w:rPr>
          <w:sz w:val="24"/>
          <w:szCs w:val="24"/>
        </w:rPr>
        <w:t>la majorité des entreprises interrogées ont commencé à utiliser les outils digitaux RH récemment, avec</w:t>
      </w:r>
      <w:r w:rsidRPr="0030791B">
        <w:rPr>
          <w:rStyle w:val="apple-converted-space"/>
          <w:sz w:val="24"/>
          <w:szCs w:val="24"/>
        </w:rPr>
        <w:t> </w:t>
      </w:r>
      <w:r w:rsidRPr="007056F0">
        <w:rPr>
          <w:rStyle w:val="lev"/>
          <w:b w:val="0"/>
          <w:bCs w:val="0"/>
          <w:sz w:val="24"/>
          <w:szCs w:val="24"/>
        </w:rPr>
        <w:t>45,9%</w:t>
      </w:r>
      <w:r w:rsidRPr="0030791B">
        <w:rPr>
          <w:rStyle w:val="apple-converted-space"/>
          <w:sz w:val="24"/>
          <w:szCs w:val="24"/>
        </w:rPr>
        <w:t> </w:t>
      </w:r>
      <w:r w:rsidRPr="0030791B">
        <w:rPr>
          <w:sz w:val="24"/>
          <w:szCs w:val="24"/>
        </w:rPr>
        <w:t>d’entre elles les employant depuis moins d’un an et</w:t>
      </w:r>
      <w:r w:rsidRPr="0030791B">
        <w:rPr>
          <w:rStyle w:val="apple-converted-space"/>
          <w:sz w:val="24"/>
          <w:szCs w:val="24"/>
        </w:rPr>
        <w:t> </w:t>
      </w:r>
      <w:r w:rsidRPr="007056F0">
        <w:rPr>
          <w:rStyle w:val="lev"/>
          <w:b w:val="0"/>
          <w:bCs w:val="0"/>
          <w:sz w:val="24"/>
          <w:szCs w:val="24"/>
        </w:rPr>
        <w:t>40,6%</w:t>
      </w:r>
      <w:r w:rsidRPr="0030791B">
        <w:rPr>
          <w:rStyle w:val="apple-converted-space"/>
          <w:sz w:val="24"/>
          <w:szCs w:val="24"/>
        </w:rPr>
        <w:t> </w:t>
      </w:r>
      <w:r w:rsidRPr="0030791B">
        <w:rPr>
          <w:sz w:val="24"/>
          <w:szCs w:val="24"/>
        </w:rPr>
        <w:t>depuis une période comprise entre 1 et 3 ans. Seule une minorité, soit</w:t>
      </w:r>
      <w:r w:rsidRPr="0030791B">
        <w:rPr>
          <w:rStyle w:val="apple-converted-space"/>
          <w:sz w:val="24"/>
          <w:szCs w:val="24"/>
        </w:rPr>
        <w:t> </w:t>
      </w:r>
      <w:r w:rsidRPr="007056F0">
        <w:rPr>
          <w:rStyle w:val="lev"/>
          <w:b w:val="0"/>
          <w:bCs w:val="0"/>
          <w:sz w:val="24"/>
          <w:szCs w:val="24"/>
        </w:rPr>
        <w:t>13,5%</w:t>
      </w:r>
      <w:r w:rsidRPr="0030791B">
        <w:rPr>
          <w:sz w:val="24"/>
          <w:szCs w:val="24"/>
        </w:rPr>
        <w:t>, bénéficie d’une expérience d’usage supérieure à trois ans. Ces chiffres traduisent une adoption récente mais rapide de la digitalisation des processus RH, confirmant que ces solutions sont encore en phase d’implantation dans de nombreuses organisations.</w:t>
      </w:r>
    </w:p>
    <w:p w:rsidR="00E772DD" w:rsidRPr="00BB65B2" w:rsidRDefault="00E772DD" w:rsidP="004D32AC">
      <w:pPr>
        <w:pStyle w:val="p1"/>
        <w:numPr>
          <w:ilvl w:val="0"/>
          <w:numId w:val="171"/>
        </w:numPr>
        <w:spacing w:line="360" w:lineRule="auto"/>
        <w:jc w:val="both"/>
        <w:rPr>
          <w:rFonts w:asciiTheme="majorBidi" w:hAnsiTheme="majorBidi" w:cstheme="majorBidi"/>
          <w:sz w:val="24"/>
          <w:szCs w:val="24"/>
        </w:rPr>
      </w:pPr>
      <w:r w:rsidRPr="00144974">
        <w:rPr>
          <w:rFonts w:asciiTheme="majorBidi" w:hAnsiTheme="majorBidi" w:cstheme="majorBidi"/>
          <w:sz w:val="24"/>
          <w:szCs w:val="24"/>
        </w:rPr>
        <w:t xml:space="preserve">D'après le tableau </w:t>
      </w:r>
      <w:r>
        <w:rPr>
          <w:rFonts w:asciiTheme="majorBidi" w:hAnsiTheme="majorBidi" w:cstheme="majorBidi"/>
          <w:sz w:val="24"/>
          <w:szCs w:val="24"/>
        </w:rPr>
        <w:t>23</w:t>
      </w:r>
      <w:r w:rsidRPr="00144974">
        <w:rPr>
          <w:rFonts w:asciiTheme="majorBidi" w:hAnsiTheme="majorBidi" w:cstheme="majorBidi"/>
          <w:sz w:val="24"/>
          <w:szCs w:val="24"/>
        </w:rPr>
        <w:t xml:space="preserve"> et le graphe </w:t>
      </w:r>
      <w:r w:rsidRPr="00BB65B2">
        <w:rPr>
          <w:rFonts w:asciiTheme="majorBidi" w:hAnsiTheme="majorBidi" w:cstheme="majorBidi"/>
          <w:sz w:val="24"/>
          <w:szCs w:val="24"/>
        </w:rPr>
        <w:t>3</w:t>
      </w:r>
      <w:r>
        <w:rPr>
          <w:rFonts w:asciiTheme="majorBidi" w:hAnsiTheme="majorBidi" w:cstheme="majorBidi"/>
          <w:sz w:val="24"/>
          <w:szCs w:val="24"/>
        </w:rPr>
        <w:t>8</w:t>
      </w:r>
      <w:r w:rsidRPr="00BB65B2">
        <w:rPr>
          <w:rFonts w:asciiTheme="majorBidi" w:hAnsiTheme="majorBidi" w:cstheme="majorBidi"/>
          <w:sz w:val="24"/>
          <w:szCs w:val="24"/>
        </w:rPr>
        <w:t>, l</w:t>
      </w:r>
      <w:r w:rsidRPr="00144974">
        <w:rPr>
          <w:rFonts w:asciiTheme="majorBidi" w:hAnsiTheme="majorBidi" w:cstheme="majorBidi"/>
          <w:sz w:val="24"/>
          <w:szCs w:val="24"/>
        </w:rPr>
        <w:t xml:space="preserve">a répartition selon le genre révèle une participation quasi équilibrée entre les femmes (51%) et les hommes (49%), traduisant une représentativité homogène des deux groupes dans l’échantillon. Cette distribution équitable laisse penser que la digitalisation des processus RH concerne de manière similaire les femmes et les hommes, et que l’intérêt ou l’implication vis-à-vis de ces transformations numériques n’est pas influencé par le genre. </w:t>
      </w:r>
    </w:p>
    <w:p w:rsidR="00E772DD" w:rsidRPr="00BB65B2" w:rsidRDefault="00E772DD" w:rsidP="004D32AC">
      <w:pPr>
        <w:pStyle w:val="p1"/>
        <w:numPr>
          <w:ilvl w:val="0"/>
          <w:numId w:val="171"/>
        </w:numPr>
        <w:spacing w:line="360" w:lineRule="auto"/>
        <w:jc w:val="both"/>
        <w:rPr>
          <w:rFonts w:asciiTheme="majorBidi" w:hAnsiTheme="majorBidi" w:cstheme="majorBidi"/>
          <w:sz w:val="24"/>
          <w:szCs w:val="24"/>
        </w:rPr>
      </w:pPr>
      <w:r w:rsidRPr="00144974">
        <w:rPr>
          <w:rFonts w:asciiTheme="majorBidi" w:hAnsiTheme="majorBidi" w:cstheme="majorBidi"/>
          <w:sz w:val="24"/>
          <w:szCs w:val="24"/>
        </w:rPr>
        <w:t xml:space="preserve">D'après le tableau </w:t>
      </w:r>
      <w:r w:rsidRPr="00BB65B2">
        <w:rPr>
          <w:rFonts w:asciiTheme="majorBidi" w:hAnsiTheme="majorBidi" w:cstheme="majorBidi"/>
          <w:sz w:val="24"/>
          <w:szCs w:val="24"/>
        </w:rPr>
        <w:t>2</w:t>
      </w:r>
      <w:r>
        <w:rPr>
          <w:rFonts w:asciiTheme="majorBidi" w:hAnsiTheme="majorBidi" w:cstheme="majorBidi"/>
          <w:sz w:val="24"/>
          <w:szCs w:val="24"/>
        </w:rPr>
        <w:t>4</w:t>
      </w:r>
      <w:r w:rsidRPr="00BB65B2">
        <w:rPr>
          <w:rFonts w:asciiTheme="majorBidi" w:hAnsiTheme="majorBidi" w:cstheme="majorBidi"/>
          <w:sz w:val="24"/>
          <w:szCs w:val="24"/>
        </w:rPr>
        <w:t xml:space="preserve"> </w:t>
      </w:r>
      <w:r w:rsidRPr="00144974">
        <w:rPr>
          <w:rFonts w:asciiTheme="majorBidi" w:hAnsiTheme="majorBidi" w:cstheme="majorBidi"/>
          <w:sz w:val="24"/>
          <w:szCs w:val="24"/>
        </w:rPr>
        <w:t xml:space="preserve">et le graphe </w:t>
      </w:r>
      <w:r w:rsidRPr="00BB65B2">
        <w:rPr>
          <w:rFonts w:asciiTheme="majorBidi" w:hAnsiTheme="majorBidi" w:cstheme="majorBidi"/>
          <w:sz w:val="24"/>
          <w:szCs w:val="24"/>
        </w:rPr>
        <w:t>3</w:t>
      </w:r>
      <w:r>
        <w:rPr>
          <w:rFonts w:asciiTheme="majorBidi" w:hAnsiTheme="majorBidi" w:cstheme="majorBidi"/>
          <w:sz w:val="24"/>
          <w:szCs w:val="24"/>
        </w:rPr>
        <w:t>9</w:t>
      </w:r>
      <w:r w:rsidRPr="00144974">
        <w:rPr>
          <w:rFonts w:asciiTheme="majorBidi" w:hAnsiTheme="majorBidi" w:cstheme="majorBidi"/>
          <w:sz w:val="24"/>
          <w:szCs w:val="24"/>
        </w:rPr>
        <w:t xml:space="preserve">, la répartition des âges fait ressortir une majorité de participants âgés de 36 à 45 ans (41,2%), suivis de près par ceux de 26 à 35 ans (29,4%). Cette prédominance des professionnels en milieu de carrière et en phase de consolidation suggère une forte implication dans la digitalisation des processus RH. Ces tranches d’âge, souvent au cœur des responsabilités organisationnelles, allient expérience et ouverture au changement, ce qui peut expliquer leur rôle actif dans l’adoption des outils numériques en </w:t>
      </w:r>
      <w:r w:rsidRPr="00487DDB">
        <w:rPr>
          <w:rFonts w:asciiTheme="majorBidi" w:hAnsiTheme="majorBidi" w:cstheme="majorBidi"/>
          <w:sz w:val="24"/>
          <w:szCs w:val="24"/>
        </w:rPr>
        <w:t>gestion des ressources humaines.</w:t>
      </w:r>
    </w:p>
    <w:p w:rsidR="00E772DD" w:rsidRPr="00F77332" w:rsidRDefault="00E772DD" w:rsidP="004D32AC">
      <w:pPr>
        <w:pStyle w:val="p1"/>
        <w:numPr>
          <w:ilvl w:val="0"/>
          <w:numId w:val="171"/>
        </w:numPr>
        <w:spacing w:line="360" w:lineRule="auto"/>
        <w:jc w:val="both"/>
        <w:rPr>
          <w:rFonts w:asciiTheme="majorBidi" w:hAnsiTheme="majorBidi" w:cstheme="majorBidi"/>
          <w:sz w:val="24"/>
          <w:szCs w:val="24"/>
        </w:rPr>
      </w:pPr>
      <w:r w:rsidRPr="00487DDB">
        <w:rPr>
          <w:rFonts w:asciiTheme="majorBidi" w:hAnsiTheme="majorBidi" w:cstheme="majorBidi"/>
          <w:sz w:val="24"/>
          <w:szCs w:val="24"/>
        </w:rPr>
        <w:t>D'après le tableau 2</w:t>
      </w:r>
      <w:r>
        <w:rPr>
          <w:rFonts w:asciiTheme="majorBidi" w:hAnsiTheme="majorBidi" w:cstheme="majorBidi"/>
          <w:sz w:val="24"/>
          <w:szCs w:val="24"/>
        </w:rPr>
        <w:t>5</w:t>
      </w:r>
      <w:r w:rsidRPr="00487DDB">
        <w:rPr>
          <w:rFonts w:asciiTheme="majorBidi" w:hAnsiTheme="majorBidi" w:cstheme="majorBidi"/>
          <w:sz w:val="24"/>
          <w:szCs w:val="24"/>
        </w:rPr>
        <w:t xml:space="preserve"> et le graphe </w:t>
      </w:r>
      <w:r>
        <w:rPr>
          <w:rFonts w:asciiTheme="majorBidi" w:hAnsiTheme="majorBidi" w:cstheme="majorBidi"/>
          <w:sz w:val="24"/>
          <w:szCs w:val="24"/>
        </w:rPr>
        <w:t>40</w:t>
      </w:r>
      <w:r w:rsidRPr="00487DDB">
        <w:rPr>
          <w:rFonts w:asciiTheme="majorBidi" w:hAnsiTheme="majorBidi" w:cstheme="majorBidi"/>
          <w:sz w:val="24"/>
          <w:szCs w:val="24"/>
        </w:rPr>
        <w:t>, la répartition des répondants selon le niveau d’éducation met en évidence une forte concentration de profils qualifiés, avec</w:t>
      </w:r>
      <w:r w:rsidRPr="00487DDB">
        <w:rPr>
          <w:rStyle w:val="apple-converted-space"/>
          <w:rFonts w:asciiTheme="majorBidi" w:hAnsiTheme="majorBidi" w:cstheme="majorBidi"/>
          <w:sz w:val="24"/>
          <w:szCs w:val="24"/>
        </w:rPr>
        <w:t> </w:t>
      </w:r>
      <w:r w:rsidRPr="00F77332">
        <w:rPr>
          <w:rStyle w:val="lev"/>
          <w:rFonts w:asciiTheme="majorBidi" w:hAnsiTheme="majorBidi" w:cstheme="majorBidi"/>
          <w:b w:val="0"/>
          <w:bCs w:val="0"/>
          <w:sz w:val="24"/>
          <w:szCs w:val="24"/>
        </w:rPr>
        <w:t>47%</w:t>
      </w:r>
      <w:r w:rsidRPr="00487DDB">
        <w:rPr>
          <w:rStyle w:val="apple-converted-space"/>
          <w:rFonts w:asciiTheme="majorBidi" w:hAnsiTheme="majorBidi" w:cstheme="majorBidi"/>
          <w:sz w:val="24"/>
          <w:szCs w:val="24"/>
        </w:rPr>
        <w:t> </w:t>
      </w:r>
      <w:r w:rsidRPr="00487DDB">
        <w:rPr>
          <w:rFonts w:asciiTheme="majorBidi" w:hAnsiTheme="majorBidi" w:cstheme="majorBidi"/>
          <w:sz w:val="24"/>
          <w:szCs w:val="24"/>
        </w:rPr>
        <w:t>des participants titulaires d’un diplôme</w:t>
      </w:r>
      <w:r w:rsidRPr="00487DDB">
        <w:rPr>
          <w:rStyle w:val="apple-converted-space"/>
          <w:rFonts w:asciiTheme="majorBidi" w:hAnsiTheme="majorBidi" w:cstheme="majorBidi"/>
          <w:sz w:val="24"/>
          <w:szCs w:val="24"/>
        </w:rPr>
        <w:t> </w:t>
      </w:r>
      <w:r w:rsidRPr="00F77332">
        <w:rPr>
          <w:rStyle w:val="lev"/>
          <w:rFonts w:asciiTheme="majorBidi" w:hAnsiTheme="majorBidi" w:cstheme="majorBidi"/>
          <w:b w:val="0"/>
          <w:bCs w:val="0"/>
          <w:sz w:val="24"/>
          <w:szCs w:val="24"/>
        </w:rPr>
        <w:t>Bac+5</w:t>
      </w:r>
      <w:r w:rsidRPr="00F77332">
        <w:rPr>
          <w:rStyle w:val="apple-converted-space"/>
          <w:rFonts w:asciiTheme="majorBidi" w:hAnsiTheme="majorBidi" w:cstheme="majorBidi"/>
          <w:b/>
          <w:bCs/>
          <w:sz w:val="24"/>
          <w:szCs w:val="24"/>
        </w:rPr>
        <w:t> </w:t>
      </w:r>
      <w:r w:rsidRPr="00487DDB">
        <w:rPr>
          <w:rFonts w:asciiTheme="majorBidi" w:hAnsiTheme="majorBidi" w:cstheme="majorBidi"/>
          <w:sz w:val="24"/>
          <w:szCs w:val="24"/>
        </w:rPr>
        <w:t>et</w:t>
      </w:r>
      <w:r w:rsidRPr="00487DDB">
        <w:rPr>
          <w:rStyle w:val="apple-converted-space"/>
          <w:rFonts w:asciiTheme="majorBidi" w:hAnsiTheme="majorBidi" w:cstheme="majorBidi"/>
          <w:sz w:val="24"/>
          <w:szCs w:val="24"/>
        </w:rPr>
        <w:t> </w:t>
      </w:r>
      <w:r w:rsidRPr="00F77332">
        <w:rPr>
          <w:rStyle w:val="lev"/>
          <w:rFonts w:asciiTheme="majorBidi" w:hAnsiTheme="majorBidi" w:cstheme="majorBidi"/>
          <w:b w:val="0"/>
          <w:bCs w:val="0"/>
          <w:sz w:val="24"/>
          <w:szCs w:val="24"/>
        </w:rPr>
        <w:t>34,1%</w:t>
      </w:r>
      <w:r w:rsidRPr="00487DDB">
        <w:rPr>
          <w:rStyle w:val="apple-converted-space"/>
          <w:rFonts w:asciiTheme="majorBidi" w:hAnsiTheme="majorBidi" w:cstheme="majorBidi"/>
          <w:sz w:val="24"/>
          <w:szCs w:val="24"/>
        </w:rPr>
        <w:t> </w:t>
      </w:r>
      <w:r w:rsidRPr="00487DDB">
        <w:rPr>
          <w:rFonts w:asciiTheme="majorBidi" w:hAnsiTheme="majorBidi" w:cstheme="majorBidi"/>
          <w:sz w:val="24"/>
          <w:szCs w:val="24"/>
        </w:rPr>
        <w:t>disposant d’un diplôme</w:t>
      </w:r>
      <w:r w:rsidRPr="00487DDB">
        <w:rPr>
          <w:rStyle w:val="apple-converted-space"/>
          <w:rFonts w:asciiTheme="majorBidi" w:hAnsiTheme="majorBidi" w:cstheme="majorBidi"/>
          <w:sz w:val="24"/>
          <w:szCs w:val="24"/>
        </w:rPr>
        <w:t> </w:t>
      </w:r>
      <w:r w:rsidRPr="00F77332">
        <w:rPr>
          <w:rStyle w:val="lev"/>
          <w:rFonts w:asciiTheme="majorBidi" w:hAnsiTheme="majorBidi" w:cstheme="majorBidi"/>
          <w:b w:val="0"/>
          <w:bCs w:val="0"/>
          <w:sz w:val="24"/>
          <w:szCs w:val="24"/>
        </w:rPr>
        <w:t>Bac+3 à</w:t>
      </w:r>
      <w:r w:rsidRPr="00A75D5B">
        <w:rPr>
          <w:rStyle w:val="lev"/>
          <w:rFonts w:asciiTheme="majorBidi" w:hAnsiTheme="majorBidi" w:cstheme="majorBidi"/>
          <w:sz w:val="24"/>
          <w:szCs w:val="24"/>
        </w:rPr>
        <w:t xml:space="preserve"> </w:t>
      </w:r>
      <w:r w:rsidRPr="00F77332">
        <w:rPr>
          <w:rStyle w:val="lev"/>
          <w:rFonts w:asciiTheme="majorBidi" w:hAnsiTheme="majorBidi" w:cstheme="majorBidi"/>
          <w:b w:val="0"/>
          <w:bCs w:val="0"/>
          <w:sz w:val="24"/>
          <w:szCs w:val="24"/>
        </w:rPr>
        <w:t>Bac+4</w:t>
      </w:r>
      <w:r w:rsidRPr="00487DDB">
        <w:rPr>
          <w:rFonts w:asciiTheme="majorBidi" w:hAnsiTheme="majorBidi" w:cstheme="majorBidi"/>
          <w:sz w:val="24"/>
          <w:szCs w:val="24"/>
        </w:rPr>
        <w:t>. Cette prédominance de niveaux d'études élevés laisse supposer une meilleure préparation des répondants à comprendre, adopter et accompagner la</w:t>
      </w:r>
      <w:r w:rsidRPr="00487DDB">
        <w:rPr>
          <w:rStyle w:val="apple-converted-space"/>
          <w:rFonts w:asciiTheme="majorBidi" w:hAnsiTheme="majorBidi" w:cstheme="majorBidi"/>
          <w:sz w:val="24"/>
          <w:szCs w:val="24"/>
        </w:rPr>
        <w:t> </w:t>
      </w:r>
      <w:r w:rsidRPr="00F77332">
        <w:rPr>
          <w:rStyle w:val="lev"/>
          <w:rFonts w:asciiTheme="majorBidi" w:hAnsiTheme="majorBidi" w:cstheme="majorBidi"/>
          <w:b w:val="0"/>
          <w:bCs w:val="0"/>
          <w:sz w:val="24"/>
          <w:szCs w:val="24"/>
        </w:rPr>
        <w:t>digitalisation des processus RH</w:t>
      </w:r>
      <w:r w:rsidRPr="00487DDB">
        <w:rPr>
          <w:rFonts w:asciiTheme="majorBidi" w:hAnsiTheme="majorBidi" w:cstheme="majorBidi"/>
          <w:sz w:val="24"/>
          <w:szCs w:val="24"/>
        </w:rPr>
        <w:t xml:space="preserve">. En effet, un niveau d’études avancé est souvent corrélé à une plus grande aisance avec les outils numériques, une capacité à intégrer les innovations technologiques, </w:t>
      </w:r>
      <w:r w:rsidRPr="00487DDB">
        <w:rPr>
          <w:rFonts w:asciiTheme="majorBidi" w:hAnsiTheme="majorBidi" w:cstheme="majorBidi"/>
          <w:sz w:val="24"/>
          <w:szCs w:val="24"/>
        </w:rPr>
        <w:lastRenderedPageBreak/>
        <w:t>ainsi qu’à une meilleure compréhension des enjeux stratégiques liés à la transformation digitale. Ainsi, cette variable constitue un facteur important à prendre en compte dans l’analyse de l’impact de la digitalisation sur la</w:t>
      </w:r>
      <w:r w:rsidRPr="00487DDB">
        <w:rPr>
          <w:rStyle w:val="apple-converted-space"/>
          <w:rFonts w:asciiTheme="majorBidi" w:hAnsiTheme="majorBidi" w:cstheme="majorBidi"/>
          <w:sz w:val="24"/>
          <w:szCs w:val="24"/>
        </w:rPr>
        <w:t> </w:t>
      </w:r>
      <w:r w:rsidRPr="00F77332">
        <w:rPr>
          <w:rStyle w:val="lev"/>
          <w:rFonts w:asciiTheme="majorBidi" w:hAnsiTheme="majorBidi" w:cstheme="majorBidi"/>
          <w:b w:val="0"/>
          <w:bCs w:val="0"/>
          <w:sz w:val="24"/>
          <w:szCs w:val="24"/>
        </w:rPr>
        <w:t>performance des ressources humaines</w:t>
      </w:r>
      <w:r w:rsidRPr="00F77332">
        <w:rPr>
          <w:rFonts w:asciiTheme="majorBidi" w:hAnsiTheme="majorBidi" w:cstheme="majorBidi"/>
          <w:sz w:val="24"/>
          <w:szCs w:val="24"/>
        </w:rPr>
        <w:t>.</w:t>
      </w:r>
    </w:p>
    <w:p w:rsidR="00E772DD" w:rsidRPr="00BB65B2" w:rsidRDefault="00E772DD" w:rsidP="004D32AC">
      <w:pPr>
        <w:pStyle w:val="p1"/>
        <w:numPr>
          <w:ilvl w:val="0"/>
          <w:numId w:val="171"/>
        </w:numPr>
        <w:spacing w:line="360" w:lineRule="auto"/>
        <w:jc w:val="both"/>
        <w:rPr>
          <w:rFonts w:asciiTheme="majorBidi" w:hAnsiTheme="majorBidi" w:cstheme="majorBidi"/>
          <w:sz w:val="24"/>
          <w:szCs w:val="24"/>
        </w:rPr>
      </w:pPr>
      <w:r w:rsidRPr="00487DDB">
        <w:rPr>
          <w:rFonts w:asciiTheme="majorBidi" w:hAnsiTheme="majorBidi" w:cstheme="majorBidi"/>
          <w:sz w:val="24"/>
          <w:szCs w:val="24"/>
        </w:rPr>
        <w:t>D'après le tableau 2</w:t>
      </w:r>
      <w:r>
        <w:rPr>
          <w:rFonts w:asciiTheme="majorBidi" w:hAnsiTheme="majorBidi" w:cstheme="majorBidi"/>
          <w:sz w:val="24"/>
          <w:szCs w:val="24"/>
        </w:rPr>
        <w:t>6</w:t>
      </w:r>
      <w:r w:rsidRPr="00487DDB">
        <w:rPr>
          <w:rFonts w:asciiTheme="majorBidi" w:hAnsiTheme="majorBidi" w:cstheme="majorBidi"/>
          <w:sz w:val="24"/>
          <w:szCs w:val="24"/>
        </w:rPr>
        <w:t xml:space="preserve"> et le graphe </w:t>
      </w:r>
      <w:r>
        <w:rPr>
          <w:rFonts w:asciiTheme="majorBidi" w:hAnsiTheme="majorBidi" w:cstheme="majorBidi"/>
          <w:sz w:val="24"/>
          <w:szCs w:val="24"/>
        </w:rPr>
        <w:t>41</w:t>
      </w:r>
      <w:r w:rsidRPr="00487DDB">
        <w:rPr>
          <w:rFonts w:asciiTheme="majorBidi" w:hAnsiTheme="majorBidi" w:cstheme="majorBidi"/>
          <w:sz w:val="24"/>
          <w:szCs w:val="24"/>
        </w:rPr>
        <w:t>,</w:t>
      </w:r>
      <w:r w:rsidRPr="00BB65B2">
        <w:rPr>
          <w:rFonts w:asciiTheme="majorBidi" w:hAnsiTheme="majorBidi" w:cstheme="majorBidi"/>
          <w:sz w:val="24"/>
          <w:szCs w:val="24"/>
        </w:rPr>
        <w:t xml:space="preserve"> </w:t>
      </w:r>
      <w:r w:rsidRPr="00487DDB">
        <w:rPr>
          <w:rFonts w:asciiTheme="majorBidi" w:hAnsiTheme="majorBidi" w:cstheme="majorBidi"/>
          <w:sz w:val="24"/>
          <w:szCs w:val="24"/>
        </w:rPr>
        <w:t>la répartition des participants selon leur fonction montre une forte représentation des employés (35,2%) et des managers ou chefs d’équipe (31,8%). Cette prédominance suggère une implication directe de ces profils dans la mise en œuvre quotidienne de la digitalisation des processus RH. Occupant des rôles stratégiques ou opérationnels, ils sont fréquemment exposés aux outils numériques liés à la gestion des ressources humaines, notamment dans les domaines du recrutement et de la formation. Leur retour d’expérience est donc essentiel pour évaluer l’impact de ces transformations sur la performance des RH.</w:t>
      </w:r>
    </w:p>
    <w:p w:rsidR="00E772DD" w:rsidRPr="00BB65B2" w:rsidRDefault="00E772DD" w:rsidP="004D32AC">
      <w:pPr>
        <w:pStyle w:val="p1"/>
        <w:numPr>
          <w:ilvl w:val="0"/>
          <w:numId w:val="171"/>
        </w:numPr>
        <w:spacing w:line="360" w:lineRule="auto"/>
        <w:jc w:val="both"/>
        <w:rPr>
          <w:rFonts w:asciiTheme="majorBidi" w:hAnsiTheme="majorBidi" w:cstheme="majorBidi"/>
          <w:sz w:val="24"/>
          <w:szCs w:val="24"/>
        </w:rPr>
      </w:pPr>
      <w:r w:rsidRPr="00487DDB">
        <w:rPr>
          <w:rFonts w:asciiTheme="majorBidi" w:hAnsiTheme="majorBidi" w:cstheme="majorBidi"/>
          <w:sz w:val="24"/>
          <w:szCs w:val="24"/>
        </w:rPr>
        <w:t>D'après le tableau 2</w:t>
      </w:r>
      <w:r>
        <w:rPr>
          <w:rFonts w:asciiTheme="majorBidi" w:hAnsiTheme="majorBidi" w:cstheme="majorBidi"/>
          <w:sz w:val="24"/>
          <w:szCs w:val="24"/>
        </w:rPr>
        <w:t>7</w:t>
      </w:r>
      <w:r w:rsidRPr="00487DDB">
        <w:rPr>
          <w:rFonts w:asciiTheme="majorBidi" w:hAnsiTheme="majorBidi" w:cstheme="majorBidi"/>
          <w:sz w:val="24"/>
          <w:szCs w:val="24"/>
        </w:rPr>
        <w:t xml:space="preserve"> et le graphe </w:t>
      </w:r>
      <w:r w:rsidRPr="00BB65B2">
        <w:rPr>
          <w:rFonts w:asciiTheme="majorBidi" w:hAnsiTheme="majorBidi" w:cstheme="majorBidi"/>
          <w:sz w:val="24"/>
          <w:szCs w:val="24"/>
        </w:rPr>
        <w:t>4</w:t>
      </w:r>
      <w:r>
        <w:rPr>
          <w:rFonts w:asciiTheme="majorBidi" w:hAnsiTheme="majorBidi" w:cstheme="majorBidi"/>
          <w:sz w:val="24"/>
          <w:szCs w:val="24"/>
        </w:rPr>
        <w:t>2</w:t>
      </w:r>
      <w:r w:rsidRPr="00E23A9D">
        <w:rPr>
          <w:sz w:val="24"/>
          <w:szCs w:val="24"/>
        </w:rPr>
        <w:t>, le département des</w:t>
      </w:r>
      <w:r w:rsidRPr="00E23A9D">
        <w:rPr>
          <w:rStyle w:val="apple-converted-space"/>
          <w:sz w:val="24"/>
          <w:szCs w:val="24"/>
        </w:rPr>
        <w:t> </w:t>
      </w:r>
      <w:r w:rsidRPr="00F77332">
        <w:rPr>
          <w:rStyle w:val="lev"/>
          <w:b w:val="0"/>
          <w:bCs w:val="0"/>
          <w:sz w:val="24"/>
          <w:szCs w:val="24"/>
        </w:rPr>
        <w:t>ressources humaines</w:t>
      </w:r>
      <w:r w:rsidRPr="00E23A9D">
        <w:rPr>
          <w:rStyle w:val="apple-converted-space"/>
          <w:sz w:val="24"/>
          <w:szCs w:val="24"/>
        </w:rPr>
        <w:t> </w:t>
      </w:r>
      <w:r w:rsidRPr="00E23A9D">
        <w:rPr>
          <w:sz w:val="24"/>
          <w:szCs w:val="24"/>
        </w:rPr>
        <w:t>est largement majoritaire parmi les participants, avec</w:t>
      </w:r>
      <w:r w:rsidRPr="00E23A9D">
        <w:rPr>
          <w:rStyle w:val="apple-converted-space"/>
          <w:sz w:val="24"/>
          <w:szCs w:val="24"/>
        </w:rPr>
        <w:t> </w:t>
      </w:r>
      <w:r w:rsidRPr="00F77332">
        <w:rPr>
          <w:rStyle w:val="lev"/>
          <w:b w:val="0"/>
          <w:bCs w:val="0"/>
          <w:sz w:val="24"/>
          <w:szCs w:val="24"/>
        </w:rPr>
        <w:t>43,5%</w:t>
      </w:r>
      <w:r w:rsidRPr="00E23A9D">
        <w:rPr>
          <w:rStyle w:val="apple-converted-space"/>
          <w:sz w:val="24"/>
          <w:szCs w:val="24"/>
        </w:rPr>
        <w:t> </w:t>
      </w:r>
      <w:r w:rsidRPr="00E23A9D">
        <w:rPr>
          <w:sz w:val="24"/>
          <w:szCs w:val="24"/>
        </w:rPr>
        <w:t>des réponses, suivi du département</w:t>
      </w:r>
      <w:r w:rsidRPr="00E23A9D">
        <w:rPr>
          <w:rStyle w:val="apple-converted-space"/>
          <w:sz w:val="24"/>
          <w:szCs w:val="24"/>
        </w:rPr>
        <w:t> </w:t>
      </w:r>
      <w:r w:rsidRPr="00F77332">
        <w:rPr>
          <w:rStyle w:val="lev"/>
          <w:b w:val="0"/>
          <w:bCs w:val="0"/>
          <w:sz w:val="24"/>
          <w:szCs w:val="24"/>
        </w:rPr>
        <w:t>finance et comptabilité</w:t>
      </w:r>
      <w:r w:rsidRPr="00A75D5B">
        <w:rPr>
          <w:rStyle w:val="apple-converted-space"/>
          <w:b/>
          <w:bCs/>
          <w:sz w:val="24"/>
          <w:szCs w:val="24"/>
        </w:rPr>
        <w:t> </w:t>
      </w:r>
      <w:r w:rsidRPr="00E23A9D">
        <w:rPr>
          <w:sz w:val="24"/>
          <w:szCs w:val="24"/>
        </w:rPr>
        <w:t>qui regroupe</w:t>
      </w:r>
      <w:r w:rsidRPr="00E23A9D">
        <w:rPr>
          <w:rStyle w:val="apple-converted-space"/>
          <w:sz w:val="24"/>
          <w:szCs w:val="24"/>
        </w:rPr>
        <w:t> </w:t>
      </w:r>
      <w:r w:rsidRPr="008D6578">
        <w:rPr>
          <w:rStyle w:val="lev"/>
          <w:b w:val="0"/>
          <w:bCs w:val="0"/>
          <w:sz w:val="24"/>
          <w:szCs w:val="24"/>
        </w:rPr>
        <w:t>13,5%</w:t>
      </w:r>
      <w:r w:rsidRPr="008D6578">
        <w:rPr>
          <w:rStyle w:val="apple-converted-space"/>
          <w:b/>
          <w:bCs/>
          <w:sz w:val="24"/>
          <w:szCs w:val="24"/>
        </w:rPr>
        <w:t> </w:t>
      </w:r>
      <w:r w:rsidRPr="00E23A9D">
        <w:rPr>
          <w:sz w:val="24"/>
          <w:szCs w:val="24"/>
        </w:rPr>
        <w:t>des répondants. Cette forte présence du service RH témoigne d’un intérêt marqué pour la digitalisation des processus RH, tandis que la participation notable des départements financiers souligne la dimension transverse de cette transformation. En effet, la digitalisation des ressources humaines impacte plusieurs fonctions de l’entreprise, nécessitant une collaboration étroite entre les différents services pour assurer une mise en œuvre efficace et adaptée aux défis actuels.</w:t>
      </w:r>
    </w:p>
    <w:p w:rsidR="00E772DD" w:rsidRPr="00BB65B2" w:rsidRDefault="00E772DD" w:rsidP="004D32AC">
      <w:pPr>
        <w:pStyle w:val="p1"/>
        <w:numPr>
          <w:ilvl w:val="0"/>
          <w:numId w:val="171"/>
        </w:numPr>
        <w:spacing w:line="360" w:lineRule="auto"/>
        <w:jc w:val="both"/>
        <w:rPr>
          <w:rFonts w:asciiTheme="majorBidi" w:hAnsiTheme="majorBidi" w:cstheme="majorBidi"/>
          <w:sz w:val="24"/>
          <w:szCs w:val="24"/>
        </w:rPr>
      </w:pPr>
      <w:r w:rsidRPr="00487DDB">
        <w:rPr>
          <w:rFonts w:asciiTheme="majorBidi" w:hAnsiTheme="majorBidi" w:cstheme="majorBidi"/>
          <w:sz w:val="24"/>
          <w:szCs w:val="24"/>
        </w:rPr>
        <w:t>D'après le tableau 2</w:t>
      </w:r>
      <w:r>
        <w:rPr>
          <w:rFonts w:asciiTheme="majorBidi" w:hAnsiTheme="majorBidi" w:cstheme="majorBidi"/>
          <w:sz w:val="24"/>
          <w:szCs w:val="24"/>
        </w:rPr>
        <w:t>8</w:t>
      </w:r>
      <w:r w:rsidRPr="00487DDB">
        <w:rPr>
          <w:rFonts w:asciiTheme="majorBidi" w:hAnsiTheme="majorBidi" w:cstheme="majorBidi"/>
          <w:sz w:val="24"/>
          <w:szCs w:val="24"/>
        </w:rPr>
        <w:t xml:space="preserve"> et le graphe </w:t>
      </w:r>
      <w:r w:rsidRPr="00BB65B2">
        <w:rPr>
          <w:rFonts w:asciiTheme="majorBidi" w:hAnsiTheme="majorBidi" w:cstheme="majorBidi"/>
          <w:sz w:val="24"/>
          <w:szCs w:val="24"/>
        </w:rPr>
        <w:t>4</w:t>
      </w:r>
      <w:r>
        <w:rPr>
          <w:rFonts w:asciiTheme="majorBidi" w:hAnsiTheme="majorBidi" w:cstheme="majorBidi"/>
          <w:sz w:val="24"/>
          <w:szCs w:val="24"/>
        </w:rPr>
        <w:t>3</w:t>
      </w:r>
      <w:r w:rsidRPr="00BB65B2">
        <w:rPr>
          <w:rFonts w:asciiTheme="majorBidi" w:hAnsiTheme="majorBidi" w:cstheme="majorBidi"/>
          <w:sz w:val="24"/>
          <w:szCs w:val="24"/>
        </w:rPr>
        <w:t xml:space="preserve">, </w:t>
      </w:r>
      <w:r w:rsidRPr="00E23A9D">
        <w:rPr>
          <w:rFonts w:asciiTheme="majorBidi" w:hAnsiTheme="majorBidi" w:cstheme="majorBidi"/>
          <w:sz w:val="24"/>
          <w:szCs w:val="24"/>
        </w:rPr>
        <w:t>le secteur des services domine largement l’échantillon avec 37,2% des entreprises représentées, suivi du secteur du commerce avec 21,8%. Cette prédominance du secteur des services souligne son orientation marquée vers l’optimisation de la performance des ressources humaines, faisant de la digitalisation des processus RH une nécessité stratégique.</w:t>
      </w:r>
      <w:r w:rsidRPr="00BB65B2">
        <w:rPr>
          <w:rFonts w:asciiTheme="majorBidi" w:hAnsiTheme="majorBidi" w:cstheme="majorBidi"/>
          <w:sz w:val="24"/>
          <w:szCs w:val="24"/>
        </w:rPr>
        <w:t xml:space="preserve"> </w:t>
      </w:r>
      <w:r w:rsidRPr="00E23A9D">
        <w:rPr>
          <w:rFonts w:asciiTheme="majorBidi" w:hAnsiTheme="majorBidi" w:cstheme="majorBidi"/>
          <w:sz w:val="24"/>
          <w:szCs w:val="24"/>
        </w:rPr>
        <w:t>La présence notable du commerce illustre également l’importance de la transformation digitale dans des contextes variés, confirmant que la digitalisation RH constitue un enjeu transversal qui doit s’adapter aux particularités de chaque secteur d’activité.</w:t>
      </w:r>
    </w:p>
    <w:p w:rsidR="00E772DD" w:rsidRPr="00BB65B2" w:rsidRDefault="00E772DD" w:rsidP="004D32AC">
      <w:pPr>
        <w:pStyle w:val="p1"/>
        <w:numPr>
          <w:ilvl w:val="0"/>
          <w:numId w:val="171"/>
        </w:numPr>
        <w:spacing w:line="360" w:lineRule="auto"/>
        <w:jc w:val="both"/>
        <w:rPr>
          <w:rFonts w:asciiTheme="majorBidi" w:hAnsiTheme="majorBidi" w:cstheme="majorBidi"/>
          <w:sz w:val="24"/>
          <w:szCs w:val="24"/>
        </w:rPr>
      </w:pPr>
      <w:r w:rsidRPr="00487DDB">
        <w:rPr>
          <w:rFonts w:asciiTheme="majorBidi" w:hAnsiTheme="majorBidi" w:cstheme="majorBidi"/>
          <w:sz w:val="24"/>
          <w:szCs w:val="24"/>
        </w:rPr>
        <w:t xml:space="preserve">D'après le tableau </w:t>
      </w:r>
      <w:r>
        <w:rPr>
          <w:rFonts w:asciiTheme="majorBidi" w:hAnsiTheme="majorBidi" w:cstheme="majorBidi"/>
          <w:sz w:val="24"/>
          <w:szCs w:val="24"/>
        </w:rPr>
        <w:t>29</w:t>
      </w:r>
      <w:r w:rsidRPr="00487DDB">
        <w:rPr>
          <w:rFonts w:asciiTheme="majorBidi" w:hAnsiTheme="majorBidi" w:cstheme="majorBidi"/>
          <w:sz w:val="24"/>
          <w:szCs w:val="24"/>
        </w:rPr>
        <w:t xml:space="preserve"> et le graphe </w:t>
      </w:r>
      <w:r w:rsidRPr="00BB65B2">
        <w:rPr>
          <w:rFonts w:asciiTheme="majorBidi" w:hAnsiTheme="majorBidi" w:cstheme="majorBidi"/>
          <w:sz w:val="24"/>
          <w:szCs w:val="24"/>
        </w:rPr>
        <w:t>4</w:t>
      </w:r>
      <w:r>
        <w:rPr>
          <w:rFonts w:asciiTheme="majorBidi" w:hAnsiTheme="majorBidi" w:cstheme="majorBidi"/>
          <w:sz w:val="24"/>
          <w:szCs w:val="24"/>
        </w:rPr>
        <w:t>4</w:t>
      </w:r>
      <w:r w:rsidRPr="00BB65B2">
        <w:rPr>
          <w:rFonts w:asciiTheme="majorBidi" w:hAnsiTheme="majorBidi" w:cstheme="majorBidi"/>
          <w:sz w:val="24"/>
          <w:szCs w:val="24"/>
        </w:rPr>
        <w:t xml:space="preserve">, </w:t>
      </w:r>
      <w:r w:rsidRPr="00E23A9D">
        <w:rPr>
          <w:rFonts w:asciiTheme="majorBidi" w:hAnsiTheme="majorBidi" w:cstheme="majorBidi"/>
          <w:sz w:val="24"/>
          <w:szCs w:val="24"/>
        </w:rPr>
        <w:t>la majorité des répondants travaillent dans des entreprises de taille petite à intermédiaire, avec 40,6% dans des structures de 50 à 200 employés, suivis de 27,6% évoluant dans des entreprises de moins de 50 salariés. Cette répartition souligne que la digitalisation des processus RH est particulièrement dynamique au sein des organisations de taille réduite à moyenne, où l’agilité et l’optimisation des pratiques RH</w:t>
      </w:r>
      <w:r>
        <w:rPr>
          <w:rFonts w:asciiTheme="majorBidi" w:hAnsiTheme="majorBidi" w:cstheme="majorBidi"/>
          <w:sz w:val="24"/>
          <w:szCs w:val="24"/>
        </w:rPr>
        <w:t xml:space="preserve"> </w:t>
      </w:r>
      <w:r w:rsidRPr="00E23A9D">
        <w:rPr>
          <w:rFonts w:asciiTheme="majorBidi" w:hAnsiTheme="majorBidi" w:cstheme="majorBidi"/>
          <w:sz w:val="24"/>
          <w:szCs w:val="24"/>
        </w:rPr>
        <w:t>constituent</w:t>
      </w:r>
      <w:r>
        <w:rPr>
          <w:rFonts w:asciiTheme="majorBidi" w:hAnsiTheme="majorBidi" w:cstheme="majorBidi"/>
          <w:sz w:val="24"/>
          <w:szCs w:val="24"/>
        </w:rPr>
        <w:t xml:space="preserve"> </w:t>
      </w:r>
      <w:r w:rsidRPr="00E23A9D">
        <w:rPr>
          <w:rFonts w:asciiTheme="majorBidi" w:hAnsiTheme="majorBidi" w:cstheme="majorBidi"/>
          <w:sz w:val="24"/>
          <w:szCs w:val="24"/>
        </w:rPr>
        <w:t xml:space="preserve">des priorités. Ainsi, la taille de l’entreprise semble jouer un rôle </w:t>
      </w:r>
      <w:r w:rsidRPr="00E23A9D">
        <w:rPr>
          <w:rFonts w:asciiTheme="majorBidi" w:hAnsiTheme="majorBidi" w:cstheme="majorBidi"/>
          <w:sz w:val="24"/>
          <w:szCs w:val="24"/>
        </w:rPr>
        <w:lastRenderedPageBreak/>
        <w:t>déterminant dans l’adoption et la mise en œuvre des outils numériques en gestion des ressources humaines.</w:t>
      </w:r>
    </w:p>
    <w:p w:rsidR="00E772DD" w:rsidRDefault="00E772DD" w:rsidP="004D32AC">
      <w:pPr>
        <w:pStyle w:val="p1"/>
        <w:numPr>
          <w:ilvl w:val="0"/>
          <w:numId w:val="171"/>
        </w:numPr>
        <w:spacing w:line="360" w:lineRule="auto"/>
        <w:jc w:val="both"/>
        <w:rPr>
          <w:rFonts w:asciiTheme="majorBidi" w:hAnsiTheme="majorBidi" w:cstheme="majorBidi"/>
          <w:sz w:val="24"/>
          <w:szCs w:val="24"/>
        </w:rPr>
      </w:pPr>
      <w:r w:rsidRPr="00FF6B84">
        <w:rPr>
          <w:rFonts w:asciiTheme="majorBidi" w:hAnsiTheme="majorBidi" w:cstheme="majorBidi"/>
          <w:sz w:val="24"/>
          <w:szCs w:val="24"/>
        </w:rPr>
        <w:t xml:space="preserve">D’après le tableau </w:t>
      </w:r>
      <w:r>
        <w:rPr>
          <w:rFonts w:asciiTheme="majorBidi" w:hAnsiTheme="majorBidi" w:cstheme="majorBidi"/>
          <w:sz w:val="24"/>
          <w:szCs w:val="24"/>
        </w:rPr>
        <w:t>30</w:t>
      </w:r>
      <w:r w:rsidRPr="00FF6B84">
        <w:rPr>
          <w:rFonts w:asciiTheme="majorBidi" w:hAnsiTheme="majorBidi" w:cstheme="majorBidi"/>
          <w:sz w:val="24"/>
          <w:szCs w:val="24"/>
        </w:rPr>
        <w:t xml:space="preserve"> et le graphe 4</w:t>
      </w:r>
      <w:r>
        <w:rPr>
          <w:rFonts w:asciiTheme="majorBidi" w:hAnsiTheme="majorBidi" w:cstheme="majorBidi"/>
          <w:sz w:val="24"/>
          <w:szCs w:val="24"/>
        </w:rPr>
        <w:t>5</w:t>
      </w:r>
      <w:r w:rsidRPr="00FF6B84">
        <w:rPr>
          <w:rFonts w:asciiTheme="majorBidi" w:hAnsiTheme="majorBidi" w:cstheme="majorBidi"/>
          <w:sz w:val="24"/>
          <w:szCs w:val="24"/>
        </w:rPr>
        <w:t>, la majorité des participants, soit 67%, travaillent dans des entreprises du secteur privé, tandis que 33% évoluent dans le secteur public. Cette répartition souligne une prédominance du secteur privé, souvent caractérisé par une adoption plus rapide des outils numériques, encouragée par des objectifs de compétitivité et d’efficacité. En revanche, malgré un engagement réel dans la digitalisation des processus RH, le secteur public peut rencontrer des freins liés à des procédures administratives plus lourdes et à des ressources financières limitées. Ainsi, la nature juridique de l’organisation influence fortement le rythme et les modalités de mise en œuvre de la digitalisation RH, avec des priorités et des contraintes qui varient selon le secteur concerné.</w:t>
      </w:r>
    </w:p>
    <w:p w:rsidR="00E772DD" w:rsidRPr="00FF6B84" w:rsidRDefault="00E772DD" w:rsidP="004D32AC">
      <w:pPr>
        <w:pStyle w:val="p1"/>
        <w:numPr>
          <w:ilvl w:val="0"/>
          <w:numId w:val="171"/>
        </w:numPr>
        <w:spacing w:after="240" w:line="360" w:lineRule="auto"/>
        <w:jc w:val="both"/>
        <w:rPr>
          <w:sz w:val="24"/>
          <w:szCs w:val="24"/>
        </w:rPr>
      </w:pPr>
      <w:r w:rsidRPr="00FF6B84">
        <w:rPr>
          <w:sz w:val="24"/>
          <w:szCs w:val="24"/>
        </w:rPr>
        <w:t xml:space="preserve">D’après le tableau </w:t>
      </w:r>
      <w:r>
        <w:rPr>
          <w:sz w:val="24"/>
          <w:szCs w:val="24"/>
        </w:rPr>
        <w:t>31</w:t>
      </w:r>
      <w:r w:rsidRPr="00FF6B84">
        <w:rPr>
          <w:sz w:val="24"/>
          <w:szCs w:val="24"/>
        </w:rPr>
        <w:t xml:space="preserve"> et le graphe 4</w:t>
      </w:r>
      <w:r>
        <w:rPr>
          <w:sz w:val="24"/>
          <w:szCs w:val="24"/>
        </w:rPr>
        <w:t>6</w:t>
      </w:r>
      <w:r w:rsidRPr="00FF6B84">
        <w:rPr>
          <w:sz w:val="24"/>
          <w:szCs w:val="24"/>
        </w:rPr>
        <w:t>, l’expérience professionnelle des répondants est répartie de manière relativement équilibrée, avec une légère majorité (31,8%) ayant entre 2 et 5 ans d’ancienneté, suivie de près par 30,6% de participants possédant entre 6 et 10 ans d’expérience. Cette diversité de profils constitue un véritable atout dans le cadre de la digitalisation des ressources humaines, car elle allie la maturité professionnelle nécessaire pour remettre en question les pratiques traditionnelles à une bonne maîtrise des outils numériques, plus fréquente chez les profils récents. Cette complémentarité contribue à une meilleure compréhension des enjeux liés à la transformation digitale des RH, facilitant ainsi une adoption plus fluide, harmonieuse et inclusive au sein des organisations.</w:t>
      </w:r>
    </w:p>
    <w:p w:rsidR="00E772DD" w:rsidRPr="004D4075" w:rsidRDefault="00E772DD" w:rsidP="00DA7EA0">
      <w:pPr>
        <w:pStyle w:val="Titre3"/>
        <w:numPr>
          <w:ilvl w:val="2"/>
          <w:numId w:val="218"/>
        </w:numPr>
        <w:spacing w:after="0" w:afterAutospacing="0" w:line="360" w:lineRule="auto"/>
        <w:rPr>
          <w:sz w:val="24"/>
          <w:szCs w:val="24"/>
        </w:rPr>
      </w:pPr>
      <w:bookmarkStart w:id="2436" w:name="_Toc199714597"/>
      <w:bookmarkStart w:id="2437" w:name="_Toc200486873"/>
      <w:bookmarkStart w:id="2438" w:name="_Toc200635651"/>
      <w:bookmarkStart w:id="2439" w:name="_Toc200636039"/>
      <w:bookmarkStart w:id="2440" w:name="_Toc200636428"/>
      <w:bookmarkStart w:id="2441" w:name="_Toc200756169"/>
      <w:r w:rsidRPr="004D4075">
        <w:rPr>
          <w:sz w:val="24"/>
          <w:szCs w:val="24"/>
        </w:rPr>
        <w:t>Les résultats de la deuxième partie (Test des hypothèses) :</w:t>
      </w:r>
      <w:bookmarkEnd w:id="2436"/>
      <w:bookmarkEnd w:id="2437"/>
      <w:bookmarkEnd w:id="2438"/>
      <w:bookmarkEnd w:id="2439"/>
      <w:bookmarkEnd w:id="2440"/>
      <w:bookmarkEnd w:id="2441"/>
    </w:p>
    <w:p w:rsidR="00E772DD" w:rsidRPr="00BB65B2" w:rsidRDefault="00E772DD" w:rsidP="00AE090D">
      <w:pPr>
        <w:pStyle w:val="p1"/>
        <w:spacing w:line="360" w:lineRule="auto"/>
        <w:jc w:val="both"/>
        <w:rPr>
          <w:rFonts w:asciiTheme="majorBidi" w:hAnsiTheme="majorBidi" w:cstheme="majorBidi"/>
          <w:color w:val="000000" w:themeColor="text1"/>
          <w:sz w:val="24"/>
          <w:szCs w:val="24"/>
        </w:rPr>
      </w:pPr>
      <w:r w:rsidRPr="00B93305">
        <w:rPr>
          <w:rFonts w:asciiTheme="majorBidi" w:hAnsiTheme="majorBidi" w:cstheme="majorBidi"/>
          <w:b/>
          <w:bCs/>
          <w:sz w:val="24"/>
          <w:szCs w:val="24"/>
        </w:rPr>
        <w:t>Hypothèse</w:t>
      </w:r>
      <w:r w:rsidRPr="00BB65B2">
        <w:rPr>
          <w:rFonts w:asciiTheme="majorBidi" w:hAnsiTheme="majorBidi" w:cstheme="majorBidi"/>
          <w:sz w:val="24"/>
          <w:szCs w:val="24"/>
        </w:rPr>
        <w:t xml:space="preserve"> </w:t>
      </w:r>
      <w:r w:rsidRPr="00B93305">
        <w:rPr>
          <w:rFonts w:asciiTheme="majorBidi" w:hAnsiTheme="majorBidi" w:cstheme="majorBidi"/>
          <w:b/>
          <w:bCs/>
          <w:color w:val="000000" w:themeColor="text1"/>
          <w:sz w:val="24"/>
          <w:szCs w:val="24"/>
        </w:rPr>
        <w:t xml:space="preserve">1: </w:t>
      </w:r>
      <w:r w:rsidR="007B209A">
        <w:rPr>
          <w:rFonts w:asciiTheme="majorBidi" w:hAnsiTheme="majorBidi" w:cstheme="majorBidi"/>
          <w:color w:val="000000" w:themeColor="text1"/>
          <w:sz w:val="24"/>
          <w:szCs w:val="24"/>
        </w:rPr>
        <w:t>La digitalisation des processus RH a un impact positif significatif sur le processus de recrutement</w:t>
      </w:r>
      <w:r w:rsidRPr="00BB65B2">
        <w:rPr>
          <w:rFonts w:asciiTheme="majorBidi" w:hAnsiTheme="majorBidi" w:cstheme="majorBidi"/>
          <w:color w:val="000000" w:themeColor="text1"/>
          <w:sz w:val="24"/>
          <w:szCs w:val="24"/>
        </w:rPr>
        <w:t>.</w:t>
      </w:r>
    </w:p>
    <w:p w:rsidR="00E772DD" w:rsidRPr="00AE090D" w:rsidRDefault="00E772DD" w:rsidP="008D6578">
      <w:pPr>
        <w:pStyle w:val="p1"/>
        <w:spacing w:after="240" w:line="360" w:lineRule="auto"/>
        <w:jc w:val="both"/>
        <w:rPr>
          <w:rFonts w:asciiTheme="majorBidi" w:hAnsiTheme="majorBidi" w:cstheme="majorBidi"/>
          <w:color w:val="000000" w:themeColor="text1"/>
          <w:sz w:val="24"/>
          <w:szCs w:val="24"/>
        </w:rPr>
      </w:pPr>
      <w:r w:rsidRPr="00AE090D">
        <w:rPr>
          <w:rFonts w:asciiTheme="majorBidi" w:hAnsiTheme="majorBidi" w:cstheme="majorBidi"/>
          <w:color w:val="000000" w:themeColor="text1"/>
          <w:sz w:val="24"/>
          <w:szCs w:val="24"/>
        </w:rPr>
        <w:t>L’analyse du test de corrélation de Pearson révèle une relation forte entre 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et </w:t>
      </w:r>
      <w:r w:rsidRPr="00B93305">
        <w:rPr>
          <w:rFonts w:asciiTheme="majorBidi" w:hAnsiTheme="majorBidi" w:cstheme="majorBidi"/>
          <w:color w:val="000000" w:themeColor="text1"/>
          <w:sz w:val="24"/>
          <w:szCs w:val="24"/>
        </w:rPr>
        <w:t>le processus de recrutement digitalisé</w:t>
      </w:r>
      <w:r w:rsidRPr="00AE090D">
        <w:rPr>
          <w:rFonts w:asciiTheme="majorBidi" w:hAnsiTheme="majorBidi" w:cstheme="majorBidi"/>
          <w:color w:val="000000" w:themeColor="text1"/>
          <w:sz w:val="24"/>
          <w:szCs w:val="24"/>
        </w:rPr>
        <w:t>, avec un coefficient de corrélation R de 0,759. Par ailleurs, les résultats de l’ANOVA mettent en évidence un effet significatif d</w:t>
      </w:r>
      <w:r>
        <w:rPr>
          <w:rFonts w:asciiTheme="majorBidi" w:hAnsiTheme="majorBidi" w:cstheme="majorBidi"/>
          <w:color w:val="000000" w:themeColor="text1"/>
          <w:sz w:val="24"/>
          <w:szCs w:val="24"/>
        </w:rPr>
        <w:t>e</w:t>
      </w:r>
      <w:r w:rsidRPr="00AE090D">
        <w:rPr>
          <w:rFonts w:asciiTheme="majorBidi" w:hAnsiTheme="majorBidi" w:cstheme="majorBidi"/>
          <w:color w:val="000000" w:themeColor="text1"/>
          <w:sz w:val="24"/>
          <w:szCs w:val="24"/>
        </w:rPr>
        <w:t xml:space="preserve"> </w:t>
      </w:r>
      <w:r w:rsidRPr="00BB65B2">
        <w:rPr>
          <w:rFonts w:asciiTheme="majorBidi" w:hAnsiTheme="majorBidi" w:cstheme="majorBidi"/>
          <w:color w:val="000000" w:themeColor="text1"/>
          <w:sz w:val="24"/>
          <w:szCs w:val="24"/>
        </w:rPr>
        <w:t>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sur </w:t>
      </w:r>
      <w:r w:rsidRPr="00B93305">
        <w:rPr>
          <w:rFonts w:asciiTheme="majorBidi" w:hAnsiTheme="majorBidi" w:cstheme="majorBidi"/>
          <w:color w:val="000000" w:themeColor="text1"/>
          <w:sz w:val="24"/>
          <w:szCs w:val="24"/>
        </w:rPr>
        <w:t>le processus de recrutement digitalisé</w:t>
      </w:r>
      <w:r w:rsidRPr="00BB65B2">
        <w:rPr>
          <w:rFonts w:asciiTheme="majorBidi" w:hAnsiTheme="majorBidi" w:cstheme="majorBidi"/>
          <w:color w:val="000000" w:themeColor="text1"/>
          <w:sz w:val="24"/>
          <w:szCs w:val="24"/>
        </w:rPr>
        <w:t>.</w:t>
      </w:r>
      <w:r w:rsidRPr="00AE090D">
        <w:rPr>
          <w:rFonts w:asciiTheme="majorBidi" w:hAnsiTheme="majorBidi" w:cstheme="majorBidi"/>
          <w:color w:val="000000" w:themeColor="text1"/>
          <w:sz w:val="24"/>
          <w:szCs w:val="24"/>
        </w:rPr>
        <w:t xml:space="preserve"> L’analyse par régression renforce ces observations, en montrant une valeur p inférieure à 0,05, ce qui permet de confirmer l’hypothèse H1. Ainsi, il est possible d’affirmer qu’il existe une relation positive significative entre 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et </w:t>
      </w:r>
      <w:r w:rsidRPr="00B93305">
        <w:rPr>
          <w:rFonts w:asciiTheme="majorBidi" w:hAnsiTheme="majorBidi" w:cstheme="majorBidi"/>
          <w:color w:val="000000" w:themeColor="text1"/>
          <w:sz w:val="24"/>
          <w:szCs w:val="24"/>
        </w:rPr>
        <w:t>le processus de recrutement digitalisé</w:t>
      </w:r>
      <w:r w:rsidRPr="00AE090D">
        <w:rPr>
          <w:rFonts w:asciiTheme="majorBidi" w:hAnsiTheme="majorBidi" w:cstheme="majorBidi"/>
          <w:color w:val="000000" w:themeColor="text1"/>
          <w:sz w:val="24"/>
          <w:szCs w:val="24"/>
        </w:rPr>
        <w:t>, avec un niveau de signification de 5 %.</w:t>
      </w:r>
    </w:p>
    <w:p w:rsidR="00E772DD" w:rsidRDefault="00E772DD" w:rsidP="00B93305">
      <w:pPr>
        <w:pStyle w:val="p1"/>
        <w:spacing w:line="360" w:lineRule="auto"/>
        <w:jc w:val="both"/>
        <w:rPr>
          <w:rFonts w:asciiTheme="majorBidi" w:hAnsiTheme="majorBidi" w:cstheme="majorBidi"/>
          <w:color w:val="000000" w:themeColor="text1"/>
          <w:sz w:val="24"/>
          <w:szCs w:val="24"/>
        </w:rPr>
      </w:pPr>
      <w:r w:rsidRPr="00B93305">
        <w:rPr>
          <w:rFonts w:asciiTheme="majorBidi" w:hAnsiTheme="majorBidi" w:cstheme="majorBidi"/>
          <w:b/>
          <w:bCs/>
          <w:sz w:val="24"/>
          <w:szCs w:val="24"/>
        </w:rPr>
        <w:lastRenderedPageBreak/>
        <w:t>Hypothèse</w:t>
      </w:r>
      <w:r w:rsidRPr="00BB65B2">
        <w:rPr>
          <w:rFonts w:asciiTheme="majorBidi" w:hAnsiTheme="majorBidi" w:cstheme="majorBidi"/>
          <w:b/>
          <w:bCs/>
          <w:sz w:val="24"/>
          <w:szCs w:val="24"/>
        </w:rPr>
        <w:t xml:space="preserve"> </w:t>
      </w:r>
      <w:r w:rsidRPr="00B93305">
        <w:rPr>
          <w:rFonts w:asciiTheme="majorBidi" w:hAnsiTheme="majorBidi" w:cstheme="majorBidi"/>
          <w:b/>
          <w:bCs/>
          <w:color w:val="000000" w:themeColor="text1"/>
          <w:sz w:val="24"/>
          <w:szCs w:val="24"/>
        </w:rPr>
        <w:t>2:</w:t>
      </w:r>
      <w:r w:rsidRPr="00B93305">
        <w:rPr>
          <w:rFonts w:asciiTheme="majorBidi" w:hAnsiTheme="majorBidi" w:cstheme="majorBidi"/>
          <w:color w:val="000000" w:themeColor="text1"/>
          <w:sz w:val="24"/>
          <w:szCs w:val="24"/>
        </w:rPr>
        <w:t xml:space="preserve"> </w:t>
      </w:r>
      <w:r w:rsidR="007B209A">
        <w:rPr>
          <w:rFonts w:asciiTheme="majorBidi" w:hAnsiTheme="majorBidi" w:cstheme="majorBidi"/>
          <w:color w:val="000000" w:themeColor="text1"/>
          <w:sz w:val="24"/>
          <w:szCs w:val="24"/>
        </w:rPr>
        <w:t xml:space="preserve">La digitalisation des processus RH a un impact positif significatif sur le processus de formation </w:t>
      </w:r>
      <w:r w:rsidRPr="00B93305">
        <w:rPr>
          <w:rFonts w:asciiTheme="majorBidi" w:hAnsiTheme="majorBidi" w:cstheme="majorBidi"/>
          <w:color w:val="000000" w:themeColor="text1"/>
          <w:sz w:val="24"/>
          <w:szCs w:val="24"/>
        </w:rPr>
        <w:t>.</w:t>
      </w:r>
    </w:p>
    <w:p w:rsidR="00E772DD" w:rsidRPr="00AE090D" w:rsidRDefault="00E772DD" w:rsidP="008D6578">
      <w:pPr>
        <w:pStyle w:val="p1"/>
        <w:spacing w:after="240" w:line="360" w:lineRule="auto"/>
        <w:jc w:val="both"/>
        <w:rPr>
          <w:rFonts w:asciiTheme="majorBidi" w:hAnsiTheme="majorBidi" w:cstheme="majorBidi"/>
          <w:color w:val="000000" w:themeColor="text1"/>
          <w:sz w:val="24"/>
          <w:szCs w:val="24"/>
        </w:rPr>
      </w:pPr>
      <w:r w:rsidRPr="00AE090D">
        <w:rPr>
          <w:rFonts w:asciiTheme="majorBidi" w:hAnsiTheme="majorBidi" w:cstheme="majorBidi"/>
          <w:color w:val="000000" w:themeColor="text1"/>
          <w:sz w:val="24"/>
          <w:szCs w:val="24"/>
        </w:rPr>
        <w:t>L’analyse du test de corrélation de Pearson révèle une relation forte entre 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et </w:t>
      </w:r>
      <w:r w:rsidRPr="00B93305">
        <w:rPr>
          <w:rFonts w:asciiTheme="majorBidi" w:hAnsiTheme="majorBidi" w:cstheme="majorBidi"/>
          <w:color w:val="000000" w:themeColor="text1"/>
          <w:sz w:val="24"/>
          <w:szCs w:val="24"/>
        </w:rPr>
        <w:t>le processus de formation digitalisée</w:t>
      </w:r>
      <w:r w:rsidRPr="00AE090D">
        <w:rPr>
          <w:rFonts w:asciiTheme="majorBidi" w:hAnsiTheme="majorBidi" w:cstheme="majorBidi"/>
          <w:color w:val="000000" w:themeColor="text1"/>
          <w:sz w:val="24"/>
          <w:szCs w:val="24"/>
        </w:rPr>
        <w:t>, avec un coefficient de corrélation R de 0,634. Par ailleurs, les résultats de l’ANOVA mettent en évidence un effet significatif d</w:t>
      </w:r>
      <w:r>
        <w:rPr>
          <w:rFonts w:asciiTheme="majorBidi" w:hAnsiTheme="majorBidi" w:cstheme="majorBidi"/>
          <w:color w:val="000000" w:themeColor="text1"/>
          <w:sz w:val="24"/>
          <w:szCs w:val="24"/>
        </w:rPr>
        <w:t>e</w:t>
      </w:r>
      <w:r w:rsidRPr="00AE090D">
        <w:rPr>
          <w:rFonts w:asciiTheme="majorBidi" w:hAnsiTheme="majorBidi" w:cstheme="majorBidi"/>
          <w:color w:val="000000" w:themeColor="text1"/>
          <w:sz w:val="24"/>
          <w:szCs w:val="24"/>
        </w:rPr>
        <w:t xml:space="preserve"> </w:t>
      </w:r>
      <w:r w:rsidRPr="00BB65B2">
        <w:rPr>
          <w:rFonts w:asciiTheme="majorBidi" w:hAnsiTheme="majorBidi" w:cstheme="majorBidi"/>
          <w:color w:val="000000" w:themeColor="text1"/>
          <w:sz w:val="24"/>
          <w:szCs w:val="24"/>
        </w:rPr>
        <w:t>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sur </w:t>
      </w:r>
      <w:r w:rsidRPr="00B93305">
        <w:rPr>
          <w:rFonts w:asciiTheme="majorBidi" w:hAnsiTheme="majorBidi" w:cstheme="majorBidi"/>
          <w:color w:val="000000" w:themeColor="text1"/>
          <w:sz w:val="24"/>
          <w:szCs w:val="24"/>
        </w:rPr>
        <w:t>le processus de formation digitalisée</w:t>
      </w:r>
      <w:r w:rsidRPr="00BB65B2">
        <w:rPr>
          <w:rFonts w:asciiTheme="majorBidi" w:hAnsiTheme="majorBidi" w:cstheme="majorBidi"/>
          <w:color w:val="000000" w:themeColor="text1"/>
          <w:sz w:val="24"/>
          <w:szCs w:val="24"/>
        </w:rPr>
        <w:t>.</w:t>
      </w:r>
      <w:r w:rsidRPr="00AE090D">
        <w:rPr>
          <w:rFonts w:asciiTheme="majorBidi" w:hAnsiTheme="majorBidi" w:cstheme="majorBidi"/>
          <w:color w:val="000000" w:themeColor="text1"/>
          <w:sz w:val="24"/>
          <w:szCs w:val="24"/>
        </w:rPr>
        <w:t xml:space="preserve"> L’analyse par régression renforce ces observations, en montrant une valeur p inférieure à 0,05, ce qui permet de confirmer l’hypothèse H</w:t>
      </w:r>
      <w:r>
        <w:rPr>
          <w:rFonts w:asciiTheme="majorBidi" w:hAnsiTheme="majorBidi" w:cstheme="majorBidi"/>
          <w:color w:val="000000" w:themeColor="text1"/>
          <w:sz w:val="24"/>
          <w:szCs w:val="24"/>
        </w:rPr>
        <w:t>2</w:t>
      </w:r>
      <w:r w:rsidRPr="00AE090D">
        <w:rPr>
          <w:rFonts w:asciiTheme="majorBidi" w:hAnsiTheme="majorBidi" w:cstheme="majorBidi"/>
          <w:color w:val="000000" w:themeColor="text1"/>
          <w:sz w:val="24"/>
          <w:szCs w:val="24"/>
        </w:rPr>
        <w:t>. Ainsi, il est possible d’affirmer qu’il existe une relation positive significative entre 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et </w:t>
      </w:r>
      <w:r w:rsidRPr="00B93305">
        <w:rPr>
          <w:rFonts w:asciiTheme="majorBidi" w:hAnsiTheme="majorBidi" w:cstheme="majorBidi"/>
          <w:color w:val="000000" w:themeColor="text1"/>
          <w:sz w:val="24"/>
          <w:szCs w:val="24"/>
        </w:rPr>
        <w:t>le processus de formation digitalisée</w:t>
      </w:r>
      <w:r w:rsidRPr="00AE090D">
        <w:rPr>
          <w:rFonts w:asciiTheme="majorBidi" w:hAnsiTheme="majorBidi" w:cstheme="majorBidi"/>
          <w:color w:val="000000" w:themeColor="text1"/>
          <w:sz w:val="24"/>
          <w:szCs w:val="24"/>
        </w:rPr>
        <w:t>, avec un niveau de signification de 5 %.</w:t>
      </w:r>
    </w:p>
    <w:p w:rsidR="00377D22" w:rsidRDefault="00E772DD" w:rsidP="00377D22">
      <w:pPr>
        <w:pStyle w:val="p1"/>
        <w:spacing w:line="360" w:lineRule="auto"/>
        <w:jc w:val="both"/>
        <w:rPr>
          <w:rFonts w:asciiTheme="majorBidi" w:hAnsiTheme="majorBidi" w:cstheme="majorBidi"/>
          <w:color w:val="000000" w:themeColor="text1"/>
          <w:sz w:val="24"/>
          <w:szCs w:val="24"/>
          <w:lang w:val="fr-FR"/>
        </w:rPr>
      </w:pPr>
      <w:r w:rsidRPr="00B93305">
        <w:rPr>
          <w:rFonts w:asciiTheme="majorBidi" w:hAnsiTheme="majorBidi" w:cstheme="majorBidi"/>
          <w:b/>
          <w:bCs/>
          <w:sz w:val="24"/>
          <w:szCs w:val="24"/>
        </w:rPr>
        <w:t>Hypothèse</w:t>
      </w:r>
      <w:r w:rsidRPr="00BB65B2">
        <w:rPr>
          <w:rFonts w:asciiTheme="majorBidi" w:hAnsiTheme="majorBidi" w:cstheme="majorBidi"/>
          <w:sz w:val="24"/>
          <w:szCs w:val="24"/>
        </w:rPr>
        <w:t xml:space="preserve"> </w:t>
      </w:r>
      <w:r w:rsidRPr="00B93305">
        <w:rPr>
          <w:rFonts w:asciiTheme="majorBidi" w:hAnsiTheme="majorBidi" w:cstheme="majorBidi"/>
          <w:b/>
          <w:bCs/>
          <w:color w:val="000000" w:themeColor="text1"/>
          <w:sz w:val="24"/>
          <w:szCs w:val="24"/>
        </w:rPr>
        <w:t xml:space="preserve">3: </w:t>
      </w:r>
      <w:r w:rsidR="00377D22" w:rsidRPr="00377D22">
        <w:rPr>
          <w:rFonts w:asciiTheme="majorBidi" w:hAnsiTheme="majorBidi" w:cstheme="majorBidi"/>
          <w:color w:val="000000" w:themeColor="text1"/>
          <w:sz w:val="24"/>
          <w:szCs w:val="24"/>
          <w:lang w:val="fr-FR"/>
        </w:rPr>
        <w:t>La digitalisation des processus RH a un impact significatif sur la performance des ressources humaines.</w:t>
      </w:r>
    </w:p>
    <w:p w:rsidR="00E772DD" w:rsidRPr="00207C9F" w:rsidRDefault="00E772DD" w:rsidP="00377D22">
      <w:pPr>
        <w:pStyle w:val="p1"/>
        <w:spacing w:line="360" w:lineRule="auto"/>
        <w:jc w:val="both"/>
        <w:rPr>
          <w:rFonts w:asciiTheme="majorBidi" w:hAnsiTheme="majorBidi" w:cstheme="majorBidi"/>
          <w:color w:val="000000" w:themeColor="text1"/>
          <w:sz w:val="24"/>
          <w:szCs w:val="24"/>
        </w:rPr>
      </w:pPr>
      <w:r w:rsidRPr="00AE090D">
        <w:rPr>
          <w:rFonts w:asciiTheme="majorBidi" w:hAnsiTheme="majorBidi" w:cstheme="majorBidi"/>
          <w:color w:val="000000" w:themeColor="text1"/>
          <w:sz w:val="24"/>
          <w:szCs w:val="24"/>
        </w:rPr>
        <w:t>L’analyse du test de corrélation de Pearson révèle une relation forte entre 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et </w:t>
      </w:r>
      <w:r w:rsidRPr="00B93305">
        <w:rPr>
          <w:rFonts w:asciiTheme="majorBidi" w:hAnsiTheme="majorBidi" w:cstheme="majorBidi"/>
          <w:color w:val="000000" w:themeColor="text1"/>
          <w:sz w:val="24"/>
          <w:szCs w:val="24"/>
        </w:rPr>
        <w:t>la performance des RH</w:t>
      </w:r>
      <w:r w:rsidRPr="00AE090D">
        <w:rPr>
          <w:rFonts w:asciiTheme="majorBidi" w:hAnsiTheme="majorBidi" w:cstheme="majorBidi"/>
          <w:color w:val="000000" w:themeColor="text1"/>
          <w:sz w:val="24"/>
          <w:szCs w:val="24"/>
        </w:rPr>
        <w:t xml:space="preserve">, avec un coefficient de corrélation R de </w:t>
      </w:r>
      <w:r w:rsidRPr="00207C9F">
        <w:rPr>
          <w:rFonts w:asciiTheme="majorBidi" w:hAnsiTheme="majorBidi" w:cstheme="majorBidi"/>
          <w:color w:val="000000" w:themeColor="text1"/>
          <w:sz w:val="24"/>
          <w:szCs w:val="24"/>
        </w:rPr>
        <w:t>0,827</w:t>
      </w:r>
      <w:r w:rsidRPr="00AE090D">
        <w:rPr>
          <w:rFonts w:asciiTheme="majorBidi" w:hAnsiTheme="majorBidi" w:cstheme="majorBidi"/>
          <w:color w:val="000000" w:themeColor="text1"/>
          <w:sz w:val="24"/>
          <w:szCs w:val="24"/>
        </w:rPr>
        <w:t>. Par ailleurs, les résultats de l’ANOVA mettent en évidence un effet significatif d</w:t>
      </w:r>
      <w:r>
        <w:rPr>
          <w:rFonts w:asciiTheme="majorBidi" w:hAnsiTheme="majorBidi" w:cstheme="majorBidi"/>
          <w:color w:val="000000" w:themeColor="text1"/>
          <w:sz w:val="24"/>
          <w:szCs w:val="24"/>
        </w:rPr>
        <w:t>e</w:t>
      </w:r>
      <w:r w:rsidRPr="00AE090D">
        <w:rPr>
          <w:rFonts w:asciiTheme="majorBidi" w:hAnsiTheme="majorBidi" w:cstheme="majorBidi"/>
          <w:color w:val="000000" w:themeColor="text1"/>
          <w:sz w:val="24"/>
          <w:szCs w:val="24"/>
        </w:rPr>
        <w:t xml:space="preserve"> </w:t>
      </w:r>
      <w:r w:rsidRPr="00BB65B2">
        <w:rPr>
          <w:rFonts w:asciiTheme="majorBidi" w:hAnsiTheme="majorBidi" w:cstheme="majorBidi"/>
          <w:color w:val="000000" w:themeColor="text1"/>
          <w:sz w:val="24"/>
          <w:szCs w:val="24"/>
        </w:rPr>
        <w:t>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sur </w:t>
      </w:r>
      <w:r w:rsidRPr="00B93305">
        <w:rPr>
          <w:rFonts w:asciiTheme="majorBidi" w:hAnsiTheme="majorBidi" w:cstheme="majorBidi"/>
          <w:color w:val="000000" w:themeColor="text1"/>
          <w:sz w:val="24"/>
          <w:szCs w:val="24"/>
        </w:rPr>
        <w:t>la performance des RH</w:t>
      </w:r>
      <w:r w:rsidRPr="00BB65B2">
        <w:rPr>
          <w:rFonts w:asciiTheme="majorBidi" w:hAnsiTheme="majorBidi" w:cstheme="majorBidi"/>
          <w:color w:val="000000" w:themeColor="text1"/>
          <w:sz w:val="24"/>
          <w:szCs w:val="24"/>
        </w:rPr>
        <w:t>.</w:t>
      </w:r>
      <w:r w:rsidRPr="00AE090D">
        <w:rPr>
          <w:rFonts w:asciiTheme="majorBidi" w:hAnsiTheme="majorBidi" w:cstheme="majorBidi"/>
          <w:color w:val="000000" w:themeColor="text1"/>
          <w:sz w:val="24"/>
          <w:szCs w:val="24"/>
        </w:rPr>
        <w:t xml:space="preserve"> L’analyse par régression renforce ces observations, en montrant une valeur p inférieure à 0,05, ce qui permet de confirmer l’hypothèse H</w:t>
      </w:r>
      <w:r>
        <w:rPr>
          <w:rFonts w:asciiTheme="majorBidi" w:hAnsiTheme="majorBidi" w:cstheme="majorBidi"/>
          <w:color w:val="000000" w:themeColor="text1"/>
          <w:sz w:val="24"/>
          <w:szCs w:val="24"/>
        </w:rPr>
        <w:t>3</w:t>
      </w:r>
      <w:r w:rsidRPr="00AE090D">
        <w:rPr>
          <w:rFonts w:asciiTheme="majorBidi" w:hAnsiTheme="majorBidi" w:cstheme="majorBidi"/>
          <w:color w:val="000000" w:themeColor="text1"/>
          <w:sz w:val="24"/>
          <w:szCs w:val="24"/>
        </w:rPr>
        <w:t>. Ainsi, il est possible d’affirmer qu’il existe une relation positive significative l</w:t>
      </w:r>
      <w:r w:rsidRPr="00B93305">
        <w:rPr>
          <w:rFonts w:asciiTheme="majorBidi" w:hAnsiTheme="majorBidi" w:cstheme="majorBidi"/>
          <w:color w:val="000000" w:themeColor="text1"/>
          <w:sz w:val="24"/>
          <w:szCs w:val="24"/>
        </w:rPr>
        <w:t xml:space="preserve">a digitalisation des processus RH </w:t>
      </w:r>
      <w:r w:rsidRPr="00AE090D">
        <w:rPr>
          <w:rFonts w:asciiTheme="majorBidi" w:hAnsiTheme="majorBidi" w:cstheme="majorBidi"/>
          <w:color w:val="000000" w:themeColor="text1"/>
          <w:sz w:val="24"/>
          <w:szCs w:val="24"/>
        </w:rPr>
        <w:t xml:space="preserve">et </w:t>
      </w:r>
      <w:r w:rsidRPr="00B93305">
        <w:rPr>
          <w:rFonts w:asciiTheme="majorBidi" w:hAnsiTheme="majorBidi" w:cstheme="majorBidi"/>
          <w:color w:val="000000" w:themeColor="text1"/>
          <w:sz w:val="24"/>
          <w:szCs w:val="24"/>
        </w:rPr>
        <w:t>la performance des RH</w:t>
      </w:r>
      <w:r w:rsidRPr="00AE090D">
        <w:rPr>
          <w:rFonts w:asciiTheme="majorBidi" w:hAnsiTheme="majorBidi" w:cstheme="majorBidi"/>
          <w:color w:val="000000" w:themeColor="text1"/>
          <w:sz w:val="24"/>
          <w:szCs w:val="24"/>
        </w:rPr>
        <w:t>, avec un niveau de signification de 5 %.</w:t>
      </w:r>
    </w:p>
    <w:p w:rsidR="00377D22" w:rsidRPr="00377D22" w:rsidRDefault="00E772DD" w:rsidP="00377D22">
      <w:pPr>
        <w:pStyle w:val="p1"/>
        <w:spacing w:line="360" w:lineRule="auto"/>
        <w:jc w:val="both"/>
        <w:rPr>
          <w:rFonts w:asciiTheme="majorBidi" w:hAnsiTheme="majorBidi" w:cstheme="majorBidi"/>
          <w:color w:val="000000" w:themeColor="text1"/>
          <w:sz w:val="24"/>
          <w:szCs w:val="24"/>
          <w:lang w:val="fr-FR"/>
        </w:rPr>
      </w:pPr>
      <w:r w:rsidRPr="00B93305">
        <w:rPr>
          <w:rFonts w:asciiTheme="majorBidi" w:hAnsiTheme="majorBidi" w:cstheme="majorBidi"/>
          <w:b/>
          <w:bCs/>
          <w:sz w:val="24"/>
          <w:szCs w:val="24"/>
        </w:rPr>
        <w:t>Hypothèse</w:t>
      </w:r>
      <w:r w:rsidRPr="00BB65B2">
        <w:rPr>
          <w:rFonts w:asciiTheme="majorBidi" w:hAnsiTheme="majorBidi" w:cstheme="majorBidi"/>
          <w:sz w:val="24"/>
          <w:szCs w:val="24"/>
        </w:rPr>
        <w:t xml:space="preserve"> </w:t>
      </w:r>
      <w:r w:rsidRPr="00B93305">
        <w:rPr>
          <w:rFonts w:asciiTheme="majorBidi" w:hAnsiTheme="majorBidi" w:cstheme="majorBidi"/>
          <w:b/>
          <w:bCs/>
          <w:color w:val="000000" w:themeColor="text1"/>
          <w:sz w:val="24"/>
          <w:szCs w:val="24"/>
        </w:rPr>
        <w:t xml:space="preserve">4: </w:t>
      </w:r>
      <w:r w:rsidR="00377D22" w:rsidRPr="00377D22">
        <w:rPr>
          <w:rFonts w:asciiTheme="majorBidi" w:hAnsiTheme="majorBidi" w:cstheme="majorBidi"/>
          <w:color w:val="000000" w:themeColor="text1"/>
          <w:sz w:val="24"/>
          <w:szCs w:val="24"/>
          <w:lang w:val="fr-FR"/>
        </w:rPr>
        <w:t>Le processus de recrutement a un impact modérateur sur la digitalisation des processus RH et la performance des ressources humaines.</w:t>
      </w:r>
    </w:p>
    <w:p w:rsidR="00E772DD" w:rsidRPr="00A74800" w:rsidRDefault="00E772DD" w:rsidP="00377D22">
      <w:pPr>
        <w:pStyle w:val="p1"/>
        <w:spacing w:line="360" w:lineRule="auto"/>
        <w:jc w:val="both"/>
        <w:rPr>
          <w:rFonts w:asciiTheme="majorBidi" w:hAnsiTheme="majorBidi" w:cstheme="majorBidi"/>
          <w:color w:val="000000" w:themeColor="text1"/>
          <w:sz w:val="24"/>
          <w:szCs w:val="24"/>
        </w:rPr>
      </w:pPr>
      <w:r w:rsidRPr="00740D2C">
        <w:rPr>
          <w:rFonts w:asciiTheme="majorBidi" w:hAnsiTheme="majorBidi" w:cstheme="majorBidi"/>
          <w:color w:val="000000" w:themeColor="text1"/>
          <w:sz w:val="24"/>
          <w:szCs w:val="24"/>
        </w:rPr>
        <w:t>D'abord</w:t>
      </w:r>
      <w:r w:rsidRPr="00A74800">
        <w:rPr>
          <w:rFonts w:asciiTheme="majorBidi" w:hAnsiTheme="majorBidi" w:cstheme="majorBidi"/>
          <w:color w:val="000000" w:themeColor="text1"/>
          <w:sz w:val="24"/>
          <w:szCs w:val="24"/>
        </w:rPr>
        <w:t xml:space="preserve">, les résultats du test de corrélation de Pearson révèlent une relation modérée entre </w:t>
      </w:r>
      <w:r w:rsidRPr="00BB65B2">
        <w:rPr>
          <w:rFonts w:asciiTheme="majorBidi" w:hAnsiTheme="majorBidi" w:cstheme="majorBidi"/>
          <w:color w:val="000000" w:themeColor="text1"/>
          <w:sz w:val="24"/>
          <w:szCs w:val="24"/>
        </w:rPr>
        <w:t>l</w:t>
      </w:r>
      <w:r w:rsidRPr="00740D2C">
        <w:rPr>
          <w:rFonts w:asciiTheme="majorBidi" w:hAnsiTheme="majorBidi" w:cstheme="majorBidi"/>
          <w:color w:val="000000" w:themeColor="text1"/>
          <w:sz w:val="24"/>
          <w:szCs w:val="24"/>
        </w:rPr>
        <w:t>e processus de recrutement digitalisé</w:t>
      </w:r>
      <w:r w:rsidRPr="00A74800">
        <w:rPr>
          <w:rFonts w:asciiTheme="majorBidi" w:hAnsiTheme="majorBidi" w:cstheme="majorBidi"/>
          <w:color w:val="000000" w:themeColor="text1"/>
          <w:sz w:val="24"/>
          <w:szCs w:val="24"/>
        </w:rPr>
        <w:t xml:space="preserve"> et la performance des </w:t>
      </w:r>
      <w:r w:rsidRPr="00740D2C">
        <w:rPr>
          <w:rFonts w:asciiTheme="majorBidi" w:hAnsiTheme="majorBidi" w:cstheme="majorBidi"/>
          <w:color w:val="000000" w:themeColor="text1"/>
          <w:sz w:val="24"/>
          <w:szCs w:val="24"/>
        </w:rPr>
        <w:t xml:space="preserve">RH </w:t>
      </w:r>
      <w:r w:rsidRPr="00A74800">
        <w:rPr>
          <w:rFonts w:asciiTheme="majorBidi" w:hAnsiTheme="majorBidi" w:cstheme="majorBidi"/>
          <w:color w:val="000000" w:themeColor="text1"/>
          <w:sz w:val="24"/>
          <w:szCs w:val="24"/>
        </w:rPr>
        <w:t>, avec un coefficient de corrélation R de 0,</w:t>
      </w:r>
      <w:r w:rsidRPr="00740D2C">
        <w:rPr>
          <w:rFonts w:asciiTheme="majorBidi" w:hAnsiTheme="majorBidi" w:cstheme="majorBidi"/>
          <w:color w:val="000000" w:themeColor="text1"/>
          <w:sz w:val="24"/>
          <w:szCs w:val="24"/>
        </w:rPr>
        <w:t>750</w:t>
      </w:r>
      <w:r w:rsidRPr="00A74800">
        <w:rPr>
          <w:rFonts w:asciiTheme="majorBidi" w:hAnsiTheme="majorBidi" w:cstheme="majorBidi"/>
          <w:color w:val="000000" w:themeColor="text1"/>
          <w:sz w:val="24"/>
          <w:szCs w:val="24"/>
        </w:rPr>
        <w:t>. L’analyse de</w:t>
      </w:r>
      <w:r w:rsidRPr="00740D2C">
        <w:rPr>
          <w:rFonts w:asciiTheme="majorBidi" w:hAnsiTheme="majorBidi" w:cstheme="majorBidi"/>
          <w:color w:val="000000" w:themeColor="text1"/>
          <w:sz w:val="24"/>
          <w:szCs w:val="24"/>
        </w:rPr>
        <w:t xml:space="preserve"> la</w:t>
      </w:r>
      <w:r w:rsidRPr="00A74800">
        <w:rPr>
          <w:rFonts w:asciiTheme="majorBidi" w:hAnsiTheme="majorBidi" w:cstheme="majorBidi"/>
          <w:color w:val="000000" w:themeColor="text1"/>
          <w:sz w:val="24"/>
          <w:szCs w:val="24"/>
        </w:rPr>
        <w:t xml:space="preserve"> variance ANOVA confirme l’existence d’un effet significatif de</w:t>
      </w:r>
      <w:r w:rsidRPr="00740D2C">
        <w:rPr>
          <w:rFonts w:asciiTheme="majorBidi" w:hAnsiTheme="majorBidi" w:cstheme="majorBidi"/>
          <w:color w:val="000000" w:themeColor="text1"/>
          <w:sz w:val="24"/>
          <w:szCs w:val="24"/>
        </w:rPr>
        <w:t xml:space="preserve"> processus de recrutement digitalisé</w:t>
      </w:r>
      <w:r w:rsidRPr="00A74800">
        <w:rPr>
          <w:rFonts w:asciiTheme="majorBidi" w:hAnsiTheme="majorBidi" w:cstheme="majorBidi"/>
          <w:color w:val="000000" w:themeColor="text1"/>
          <w:sz w:val="24"/>
          <w:szCs w:val="24"/>
        </w:rPr>
        <w:t xml:space="preserve"> sur la performance</w:t>
      </w:r>
      <w:r w:rsidRPr="00740D2C">
        <w:rPr>
          <w:rFonts w:asciiTheme="majorBidi" w:hAnsiTheme="majorBidi" w:cstheme="majorBidi"/>
          <w:color w:val="000000" w:themeColor="text1"/>
          <w:sz w:val="24"/>
          <w:szCs w:val="24"/>
        </w:rPr>
        <w:t xml:space="preserve"> des RH</w:t>
      </w:r>
      <w:r w:rsidRPr="00A74800">
        <w:rPr>
          <w:rFonts w:asciiTheme="majorBidi" w:hAnsiTheme="majorBidi" w:cstheme="majorBidi"/>
          <w:color w:val="000000" w:themeColor="text1"/>
          <w:sz w:val="24"/>
          <w:szCs w:val="24"/>
        </w:rPr>
        <w:t>. Par ailleurs, les résultats de la régression montrent une valeur p inférieure à 0,05, ce qui permet de valider l’hypothèse H</w:t>
      </w:r>
      <w:r w:rsidRPr="00740D2C">
        <w:rPr>
          <w:rFonts w:asciiTheme="majorBidi" w:hAnsiTheme="majorBidi" w:cstheme="majorBidi"/>
          <w:color w:val="000000" w:themeColor="text1"/>
          <w:sz w:val="24"/>
          <w:szCs w:val="24"/>
        </w:rPr>
        <w:t>4</w:t>
      </w:r>
      <w:r w:rsidRPr="00A74800">
        <w:rPr>
          <w:rFonts w:asciiTheme="majorBidi" w:hAnsiTheme="majorBidi" w:cstheme="majorBidi"/>
          <w:color w:val="000000" w:themeColor="text1"/>
          <w:sz w:val="24"/>
          <w:szCs w:val="24"/>
        </w:rPr>
        <w:t xml:space="preserve">. Ces résultats soutiennent l’idée d’une relation positive et significative entre </w:t>
      </w:r>
      <w:r w:rsidRPr="00BB65B2">
        <w:rPr>
          <w:rFonts w:asciiTheme="majorBidi" w:hAnsiTheme="majorBidi" w:cstheme="majorBidi"/>
          <w:color w:val="000000" w:themeColor="text1"/>
          <w:sz w:val="24"/>
          <w:szCs w:val="24"/>
        </w:rPr>
        <w:t>l</w:t>
      </w:r>
      <w:r w:rsidRPr="00740D2C">
        <w:rPr>
          <w:rFonts w:asciiTheme="majorBidi" w:hAnsiTheme="majorBidi" w:cstheme="majorBidi"/>
          <w:color w:val="000000" w:themeColor="text1"/>
          <w:sz w:val="24"/>
          <w:szCs w:val="24"/>
        </w:rPr>
        <w:t>e processus de recrutement digitalisé</w:t>
      </w:r>
      <w:r w:rsidRPr="00A74800">
        <w:rPr>
          <w:rFonts w:asciiTheme="majorBidi" w:hAnsiTheme="majorBidi" w:cstheme="majorBidi"/>
          <w:color w:val="000000" w:themeColor="text1"/>
          <w:sz w:val="24"/>
          <w:szCs w:val="24"/>
        </w:rPr>
        <w:t xml:space="preserve"> et la performance des </w:t>
      </w:r>
      <w:r w:rsidRPr="00740D2C">
        <w:rPr>
          <w:rFonts w:asciiTheme="majorBidi" w:hAnsiTheme="majorBidi" w:cstheme="majorBidi"/>
          <w:color w:val="000000" w:themeColor="text1"/>
          <w:sz w:val="24"/>
          <w:szCs w:val="24"/>
        </w:rPr>
        <w:t>RH</w:t>
      </w:r>
      <w:r w:rsidRPr="00A74800">
        <w:rPr>
          <w:rFonts w:asciiTheme="majorBidi" w:hAnsiTheme="majorBidi" w:cstheme="majorBidi"/>
          <w:color w:val="000000" w:themeColor="text1"/>
          <w:sz w:val="24"/>
          <w:szCs w:val="24"/>
        </w:rPr>
        <w:t xml:space="preserve">, avec un </w:t>
      </w:r>
      <w:r w:rsidRPr="00740D2C">
        <w:rPr>
          <w:rFonts w:asciiTheme="majorBidi" w:hAnsiTheme="majorBidi" w:cstheme="majorBidi"/>
          <w:color w:val="000000" w:themeColor="text1"/>
          <w:sz w:val="24"/>
          <w:szCs w:val="24"/>
        </w:rPr>
        <w:t>niveau</w:t>
      </w:r>
      <w:r w:rsidRPr="00A74800">
        <w:rPr>
          <w:rFonts w:asciiTheme="majorBidi" w:hAnsiTheme="majorBidi" w:cstheme="majorBidi"/>
          <w:color w:val="000000" w:themeColor="text1"/>
          <w:sz w:val="24"/>
          <w:szCs w:val="24"/>
        </w:rPr>
        <w:t xml:space="preserve"> de signification de 5 %.</w:t>
      </w:r>
    </w:p>
    <w:p w:rsidR="00E772DD" w:rsidRDefault="00E772DD" w:rsidP="00740D2C">
      <w:pPr>
        <w:spacing w:line="360" w:lineRule="auto"/>
        <w:jc w:val="both"/>
        <w:rPr>
          <w:rFonts w:asciiTheme="majorBidi" w:hAnsiTheme="majorBidi" w:cstheme="majorBidi"/>
          <w:color w:val="000000" w:themeColor="text1"/>
          <w:lang w:val="fr-FR"/>
        </w:rPr>
      </w:pPr>
      <w:r w:rsidRPr="00A74800">
        <w:rPr>
          <w:rFonts w:asciiTheme="majorBidi" w:hAnsiTheme="majorBidi" w:cstheme="majorBidi"/>
          <w:color w:val="000000" w:themeColor="text1"/>
          <w:lang w:val="fr-FR"/>
        </w:rPr>
        <w:t xml:space="preserve">L’analyse de médiation apporte des éléments supplémentaires en faveur de l’hypothèse selon laquelle </w:t>
      </w:r>
      <w:r w:rsidRPr="00BB65B2">
        <w:rPr>
          <w:rFonts w:asciiTheme="majorBidi" w:hAnsiTheme="majorBidi" w:cstheme="majorBidi"/>
          <w:color w:val="000000" w:themeColor="text1"/>
          <w:lang w:val="fr-FR"/>
        </w:rPr>
        <w:t>l</w:t>
      </w:r>
      <w:r w:rsidRPr="00740D2C">
        <w:rPr>
          <w:rFonts w:asciiTheme="majorBidi" w:hAnsiTheme="majorBidi" w:cstheme="majorBidi"/>
          <w:color w:val="000000" w:themeColor="text1"/>
        </w:rPr>
        <w:t>e processus de recrutement digitalisé</w:t>
      </w:r>
      <w:r w:rsidRPr="00740D2C">
        <w:rPr>
          <w:rFonts w:asciiTheme="majorBidi" w:hAnsiTheme="majorBidi" w:cstheme="majorBidi"/>
          <w:color w:val="000000" w:themeColor="text1"/>
          <w:lang w:val="fr-FR"/>
        </w:rPr>
        <w:t xml:space="preserve"> </w:t>
      </w:r>
      <w:r w:rsidRPr="00A74800">
        <w:rPr>
          <w:rFonts w:asciiTheme="majorBidi" w:hAnsiTheme="majorBidi" w:cstheme="majorBidi"/>
          <w:color w:val="000000" w:themeColor="text1"/>
          <w:lang w:val="fr-FR"/>
        </w:rPr>
        <w:t xml:space="preserve">joue un rôle médiateur dans la relation entre </w:t>
      </w:r>
      <w:r w:rsidRPr="00740D2C">
        <w:rPr>
          <w:rFonts w:asciiTheme="majorBidi" w:hAnsiTheme="majorBidi" w:cstheme="majorBidi"/>
          <w:color w:val="000000" w:themeColor="text1"/>
          <w:lang w:val="fr-FR"/>
        </w:rPr>
        <w:t xml:space="preserve">la </w:t>
      </w:r>
      <w:r w:rsidRPr="00740D2C">
        <w:rPr>
          <w:rFonts w:asciiTheme="majorBidi" w:hAnsiTheme="majorBidi" w:cstheme="majorBidi"/>
          <w:color w:val="000000" w:themeColor="text1"/>
        </w:rPr>
        <w:t>digitalisation des processus RH</w:t>
      </w:r>
      <w:r w:rsidRPr="00BB65B2">
        <w:rPr>
          <w:rFonts w:asciiTheme="majorBidi" w:hAnsiTheme="majorBidi" w:cstheme="majorBidi"/>
          <w:color w:val="000000" w:themeColor="text1"/>
          <w:lang w:val="fr-FR"/>
        </w:rPr>
        <w:t xml:space="preserve"> </w:t>
      </w:r>
      <w:r w:rsidRPr="00A74800">
        <w:rPr>
          <w:rFonts w:asciiTheme="majorBidi" w:hAnsiTheme="majorBidi" w:cstheme="majorBidi"/>
          <w:color w:val="000000" w:themeColor="text1"/>
          <w:lang w:val="fr-FR"/>
        </w:rPr>
        <w:t xml:space="preserve">et la performance des </w:t>
      </w:r>
      <w:r w:rsidRPr="00740D2C">
        <w:rPr>
          <w:rFonts w:asciiTheme="majorBidi" w:hAnsiTheme="majorBidi" w:cstheme="majorBidi"/>
          <w:color w:val="000000" w:themeColor="text1"/>
          <w:lang w:val="fr-FR"/>
        </w:rPr>
        <w:t>RH</w:t>
      </w:r>
      <w:r w:rsidRPr="00A74800">
        <w:rPr>
          <w:rFonts w:asciiTheme="majorBidi" w:hAnsiTheme="majorBidi" w:cstheme="majorBidi"/>
          <w:color w:val="000000" w:themeColor="text1"/>
          <w:lang w:val="fr-FR"/>
        </w:rPr>
        <w:t>.</w:t>
      </w:r>
    </w:p>
    <w:p w:rsidR="00E772DD" w:rsidRPr="00792EEE" w:rsidRDefault="00E772DD" w:rsidP="00740D2C">
      <w:pPr>
        <w:spacing w:line="360" w:lineRule="auto"/>
        <w:jc w:val="both"/>
        <w:rPr>
          <w:rFonts w:asciiTheme="majorBidi" w:hAnsiTheme="majorBidi" w:cstheme="majorBidi"/>
          <w:color w:val="000000" w:themeColor="text1"/>
        </w:rPr>
      </w:pPr>
      <w:r w:rsidRPr="00792EEE">
        <w:rPr>
          <w:rFonts w:asciiTheme="majorBidi" w:hAnsiTheme="majorBidi" w:cstheme="majorBidi"/>
          <w:color w:val="000000" w:themeColor="text1"/>
        </w:rPr>
        <w:lastRenderedPageBreak/>
        <w:t xml:space="preserve">Les résultats révèlent que les deux relations </w:t>
      </w:r>
      <w:r w:rsidRPr="00BB65B2">
        <w:rPr>
          <w:rFonts w:asciiTheme="majorBidi" w:hAnsiTheme="majorBidi" w:cstheme="majorBidi"/>
          <w:color w:val="000000" w:themeColor="text1"/>
          <w:lang w:val="fr-FR"/>
        </w:rPr>
        <w:t>(</w:t>
      </w:r>
      <w:r w:rsidRPr="00792EEE">
        <w:rPr>
          <w:rFonts w:asciiTheme="majorBidi" w:hAnsiTheme="majorBidi" w:cstheme="majorBidi"/>
          <w:color w:val="000000" w:themeColor="text1"/>
        </w:rPr>
        <w:t>directe et indirecte</w:t>
      </w:r>
      <w:r w:rsidRPr="00BB65B2">
        <w:rPr>
          <w:rFonts w:asciiTheme="majorBidi" w:hAnsiTheme="majorBidi" w:cstheme="majorBidi"/>
          <w:color w:val="000000" w:themeColor="text1"/>
          <w:lang w:val="fr-FR"/>
        </w:rPr>
        <w:t>)</w:t>
      </w:r>
      <w:r w:rsidRPr="00792EEE">
        <w:rPr>
          <w:rFonts w:asciiTheme="majorBidi" w:hAnsiTheme="majorBidi" w:cstheme="majorBidi"/>
          <w:color w:val="000000" w:themeColor="text1"/>
        </w:rPr>
        <w:t xml:space="preserve"> sont significatives et positives. Le coefficient de la relation directe s’élève à 1,0197, ce qui est supérieur à celui de la relation indirecte </w:t>
      </w:r>
      <w:r w:rsidRPr="00BB65B2">
        <w:rPr>
          <w:rFonts w:asciiTheme="majorBidi" w:hAnsiTheme="majorBidi" w:cstheme="majorBidi"/>
          <w:color w:val="000000" w:themeColor="text1"/>
          <w:lang w:val="fr-FR"/>
        </w:rPr>
        <w:t xml:space="preserve">qui est </w:t>
      </w:r>
      <w:r w:rsidRPr="00792EEE">
        <w:rPr>
          <w:rFonts w:asciiTheme="majorBidi" w:hAnsiTheme="majorBidi" w:cstheme="majorBidi"/>
          <w:color w:val="000000" w:themeColor="text1"/>
        </w:rPr>
        <w:t>0,366</w:t>
      </w:r>
      <w:r w:rsidRPr="00BB65B2">
        <w:rPr>
          <w:rFonts w:asciiTheme="majorBidi" w:hAnsiTheme="majorBidi" w:cstheme="majorBidi"/>
          <w:color w:val="000000" w:themeColor="text1"/>
          <w:lang w:val="fr-FR"/>
        </w:rPr>
        <w:t xml:space="preserve"> avec un intervalle de confiance </w:t>
      </w:r>
      <w:r w:rsidRPr="00740D2C">
        <w:rPr>
          <w:rFonts w:asciiTheme="majorBidi" w:hAnsiTheme="majorBidi" w:cstheme="majorBidi"/>
          <w:color w:val="000000" w:themeColor="text1"/>
        </w:rPr>
        <w:t>[0,1579 ; 0,6121]</w:t>
      </w:r>
      <w:r w:rsidRPr="00740D2C">
        <w:rPr>
          <w:rFonts w:asciiTheme="majorBidi" w:hAnsiTheme="majorBidi" w:cstheme="majorBidi"/>
          <w:color w:val="000000" w:themeColor="text1"/>
          <w:lang w:val="fr-FR"/>
        </w:rPr>
        <w:t xml:space="preserve"> </w:t>
      </w:r>
      <w:r w:rsidRPr="00A74800">
        <w:rPr>
          <w:rFonts w:asciiTheme="majorBidi" w:hAnsiTheme="majorBidi" w:cstheme="majorBidi"/>
          <w:color w:val="000000" w:themeColor="text1"/>
          <w:lang w:val="fr-FR"/>
        </w:rPr>
        <w:t>qui ne contient pas la valeur zéro à un niveau de confiance de 95%.</w:t>
      </w:r>
    </w:p>
    <w:p w:rsidR="00E772DD" w:rsidRPr="00740D2C" w:rsidRDefault="00E772DD" w:rsidP="008D6578">
      <w:pPr>
        <w:spacing w:after="240" w:line="360" w:lineRule="auto"/>
        <w:jc w:val="both"/>
        <w:rPr>
          <w:rFonts w:asciiTheme="majorBidi" w:hAnsiTheme="majorBidi" w:cstheme="majorBidi"/>
          <w:color w:val="000000" w:themeColor="text1"/>
          <w:lang w:val="fr-FR"/>
        </w:rPr>
      </w:pPr>
      <w:r w:rsidRPr="00740D2C">
        <w:rPr>
          <w:rFonts w:asciiTheme="majorBidi" w:hAnsiTheme="majorBidi" w:cstheme="majorBidi"/>
          <w:color w:val="000000" w:themeColor="text1"/>
        </w:rPr>
        <w:t xml:space="preserve">La coexistence d’un effet direct significatif et d’un effet indirect significatif indique une médiation partielle. </w:t>
      </w:r>
      <w:r w:rsidRPr="00740D2C">
        <w:rPr>
          <w:rFonts w:asciiTheme="majorBidi" w:hAnsiTheme="majorBidi" w:cstheme="majorBidi"/>
          <w:color w:val="000000" w:themeColor="text1"/>
          <w:lang w:val="fr-FR"/>
        </w:rPr>
        <w:t xml:space="preserve">Cela signifie que </w:t>
      </w:r>
      <w:r>
        <w:rPr>
          <w:rStyle w:val="VerbatimChar"/>
          <w:rFonts w:asciiTheme="majorBidi" w:hAnsiTheme="majorBidi" w:cstheme="majorBidi"/>
          <w:color w:val="000000" w:themeColor="text1"/>
          <w:lang w:val="fr-FR"/>
        </w:rPr>
        <w:t>la p</w:t>
      </w:r>
      <w:r w:rsidRPr="00740D2C">
        <w:rPr>
          <w:rStyle w:val="VerbatimChar"/>
          <w:rFonts w:asciiTheme="majorBidi" w:hAnsiTheme="majorBidi" w:cstheme="majorBidi"/>
          <w:color w:val="000000" w:themeColor="text1"/>
          <w:lang w:val="fr-FR"/>
        </w:rPr>
        <w:t>rocessus de recrutement digitalisé</w:t>
      </w:r>
      <w:r w:rsidRPr="00740D2C">
        <w:rPr>
          <w:rFonts w:asciiTheme="majorBidi" w:hAnsiTheme="majorBidi" w:cstheme="majorBidi"/>
          <w:color w:val="000000" w:themeColor="text1"/>
          <w:lang w:val="fr-FR"/>
        </w:rPr>
        <w:t xml:space="preserve"> explique une partie du mécanisme par lequel la </w:t>
      </w:r>
      <w:r w:rsidRPr="00740D2C">
        <w:rPr>
          <w:rStyle w:val="VerbatimChar"/>
          <w:rFonts w:asciiTheme="majorBidi" w:hAnsiTheme="majorBidi" w:cstheme="majorBidi"/>
          <w:color w:val="000000" w:themeColor="text1"/>
          <w:lang w:val="fr-FR"/>
        </w:rPr>
        <w:t>digitalisation des processus RH</w:t>
      </w:r>
      <w:r w:rsidRPr="00740D2C">
        <w:rPr>
          <w:rFonts w:asciiTheme="majorBidi" w:hAnsiTheme="majorBidi" w:cstheme="majorBidi"/>
          <w:color w:val="000000" w:themeColor="text1"/>
          <w:lang w:val="fr-FR"/>
        </w:rPr>
        <w:t xml:space="preserve"> influence la </w:t>
      </w:r>
      <w:r w:rsidRPr="00740D2C">
        <w:rPr>
          <w:rStyle w:val="VerbatimChar"/>
          <w:rFonts w:asciiTheme="majorBidi" w:hAnsiTheme="majorBidi" w:cstheme="majorBidi"/>
          <w:color w:val="000000" w:themeColor="text1"/>
          <w:lang w:val="fr-FR"/>
        </w:rPr>
        <w:t>Performance des RH</w:t>
      </w:r>
      <w:r w:rsidRPr="00740D2C">
        <w:rPr>
          <w:rFonts w:asciiTheme="majorBidi" w:hAnsiTheme="majorBidi" w:cstheme="majorBidi"/>
          <w:color w:val="000000" w:themeColor="text1"/>
          <w:lang w:val="fr-FR"/>
        </w:rPr>
        <w:t>, mais pas la totalité.</w:t>
      </w:r>
    </w:p>
    <w:p w:rsidR="00E772DD" w:rsidRPr="00377D22" w:rsidRDefault="00E772DD" w:rsidP="00377D22">
      <w:pPr>
        <w:pStyle w:val="p1"/>
        <w:spacing w:line="360" w:lineRule="auto"/>
        <w:jc w:val="both"/>
        <w:rPr>
          <w:rFonts w:asciiTheme="majorBidi" w:hAnsiTheme="majorBidi" w:cstheme="majorBidi"/>
          <w:sz w:val="24"/>
          <w:szCs w:val="24"/>
          <w:lang w:val="fr-FR"/>
        </w:rPr>
      </w:pPr>
      <w:r w:rsidRPr="00B93305">
        <w:rPr>
          <w:rFonts w:asciiTheme="majorBidi" w:hAnsiTheme="majorBidi" w:cstheme="majorBidi"/>
          <w:b/>
          <w:bCs/>
          <w:sz w:val="24"/>
          <w:szCs w:val="24"/>
        </w:rPr>
        <w:t>Hypothèse</w:t>
      </w:r>
      <w:r w:rsidRPr="00BB65B2">
        <w:rPr>
          <w:rFonts w:asciiTheme="majorBidi" w:hAnsiTheme="majorBidi" w:cstheme="majorBidi"/>
          <w:sz w:val="24"/>
          <w:szCs w:val="24"/>
        </w:rPr>
        <w:t xml:space="preserve"> </w:t>
      </w:r>
      <w:r w:rsidRPr="00B93305">
        <w:rPr>
          <w:rFonts w:asciiTheme="majorBidi" w:hAnsiTheme="majorBidi" w:cstheme="majorBidi"/>
          <w:b/>
          <w:bCs/>
          <w:color w:val="000000" w:themeColor="text1"/>
          <w:sz w:val="24"/>
          <w:szCs w:val="24"/>
        </w:rPr>
        <w:t xml:space="preserve">5: </w:t>
      </w:r>
      <w:r w:rsidR="00377D22" w:rsidRPr="00377D22">
        <w:rPr>
          <w:rFonts w:asciiTheme="majorBidi" w:hAnsiTheme="majorBidi" w:cstheme="majorBidi"/>
          <w:color w:val="000000" w:themeColor="text1"/>
          <w:sz w:val="24"/>
          <w:szCs w:val="24"/>
        </w:rPr>
        <w:t>Le processus de formation a un impact modérateur sur la digitalisation des processus RH et la performance des ressources humaines.</w:t>
      </w:r>
    </w:p>
    <w:p w:rsidR="00E772DD" w:rsidRPr="00A74800" w:rsidRDefault="00E772DD" w:rsidP="00740D2C">
      <w:pPr>
        <w:pStyle w:val="p1"/>
        <w:spacing w:line="360" w:lineRule="auto"/>
        <w:jc w:val="both"/>
        <w:rPr>
          <w:rFonts w:asciiTheme="majorBidi" w:hAnsiTheme="majorBidi" w:cstheme="majorBidi"/>
          <w:color w:val="000000" w:themeColor="text1"/>
          <w:sz w:val="24"/>
          <w:szCs w:val="24"/>
        </w:rPr>
      </w:pPr>
      <w:r w:rsidRPr="00740D2C">
        <w:rPr>
          <w:rFonts w:asciiTheme="majorBidi" w:hAnsiTheme="majorBidi" w:cstheme="majorBidi"/>
          <w:color w:val="000000" w:themeColor="text1"/>
          <w:sz w:val="24"/>
          <w:szCs w:val="24"/>
        </w:rPr>
        <w:t>D'abord</w:t>
      </w:r>
      <w:r w:rsidRPr="00A74800">
        <w:rPr>
          <w:rFonts w:asciiTheme="majorBidi" w:hAnsiTheme="majorBidi" w:cstheme="majorBidi"/>
          <w:color w:val="000000" w:themeColor="text1"/>
          <w:sz w:val="24"/>
          <w:szCs w:val="24"/>
        </w:rPr>
        <w:t xml:space="preserve">, les résultats du test de corrélation de Pearson révèlent une relation modérée entre </w:t>
      </w:r>
      <w:r w:rsidRPr="00BB65B2">
        <w:rPr>
          <w:rFonts w:asciiTheme="majorBidi" w:hAnsiTheme="majorBidi" w:cstheme="majorBidi"/>
          <w:color w:val="000000" w:themeColor="text1"/>
          <w:sz w:val="24"/>
          <w:szCs w:val="24"/>
        </w:rPr>
        <w:t>l</w:t>
      </w:r>
      <w:r w:rsidRPr="00740D2C">
        <w:rPr>
          <w:rFonts w:asciiTheme="majorBidi" w:hAnsiTheme="majorBidi" w:cstheme="majorBidi"/>
          <w:color w:val="000000" w:themeColor="text1"/>
          <w:sz w:val="24"/>
          <w:szCs w:val="24"/>
        </w:rPr>
        <w:t xml:space="preserve">e processus de </w:t>
      </w:r>
      <w:r w:rsidRPr="00B93305">
        <w:rPr>
          <w:rFonts w:asciiTheme="majorBidi" w:hAnsiTheme="majorBidi" w:cstheme="majorBidi"/>
          <w:color w:val="000000" w:themeColor="text1"/>
          <w:sz w:val="24"/>
          <w:szCs w:val="24"/>
        </w:rPr>
        <w:t>formation digitalisée</w:t>
      </w:r>
      <w:r w:rsidRPr="00A74800">
        <w:rPr>
          <w:rFonts w:asciiTheme="majorBidi" w:hAnsiTheme="majorBidi" w:cstheme="majorBidi"/>
          <w:color w:val="000000" w:themeColor="text1"/>
          <w:sz w:val="24"/>
          <w:szCs w:val="24"/>
        </w:rPr>
        <w:t xml:space="preserve"> et la performance des </w:t>
      </w:r>
      <w:r w:rsidRPr="00740D2C">
        <w:rPr>
          <w:rFonts w:asciiTheme="majorBidi" w:hAnsiTheme="majorBidi" w:cstheme="majorBidi"/>
          <w:color w:val="000000" w:themeColor="text1"/>
          <w:sz w:val="24"/>
          <w:szCs w:val="24"/>
        </w:rPr>
        <w:t xml:space="preserve">RH </w:t>
      </w:r>
      <w:r w:rsidRPr="00A74800">
        <w:rPr>
          <w:rFonts w:asciiTheme="majorBidi" w:hAnsiTheme="majorBidi" w:cstheme="majorBidi"/>
          <w:color w:val="000000" w:themeColor="text1"/>
          <w:sz w:val="24"/>
          <w:szCs w:val="24"/>
        </w:rPr>
        <w:t>, avec un coefficient de corrélation R de 0,</w:t>
      </w:r>
      <w:r>
        <w:rPr>
          <w:rFonts w:asciiTheme="majorBidi" w:hAnsiTheme="majorBidi" w:cstheme="majorBidi"/>
          <w:color w:val="000000" w:themeColor="text1"/>
          <w:sz w:val="24"/>
          <w:szCs w:val="24"/>
        </w:rPr>
        <w:t>543</w:t>
      </w:r>
      <w:r w:rsidRPr="00A74800">
        <w:rPr>
          <w:rFonts w:asciiTheme="majorBidi" w:hAnsiTheme="majorBidi" w:cstheme="majorBidi"/>
          <w:color w:val="000000" w:themeColor="text1"/>
          <w:sz w:val="24"/>
          <w:szCs w:val="24"/>
        </w:rPr>
        <w:t>. L’analyse de</w:t>
      </w:r>
      <w:r w:rsidRPr="00740D2C">
        <w:rPr>
          <w:rFonts w:asciiTheme="majorBidi" w:hAnsiTheme="majorBidi" w:cstheme="majorBidi"/>
          <w:color w:val="000000" w:themeColor="text1"/>
          <w:sz w:val="24"/>
          <w:szCs w:val="24"/>
        </w:rPr>
        <w:t xml:space="preserve"> la</w:t>
      </w:r>
      <w:r w:rsidRPr="00A74800">
        <w:rPr>
          <w:rFonts w:asciiTheme="majorBidi" w:hAnsiTheme="majorBidi" w:cstheme="majorBidi"/>
          <w:color w:val="000000" w:themeColor="text1"/>
          <w:sz w:val="24"/>
          <w:szCs w:val="24"/>
        </w:rPr>
        <w:t xml:space="preserve"> variance ANOVA confirme l’existence d’un effet significatif de</w:t>
      </w:r>
      <w:r w:rsidRPr="00740D2C">
        <w:rPr>
          <w:rFonts w:asciiTheme="majorBidi" w:hAnsiTheme="majorBidi" w:cstheme="majorBidi"/>
          <w:color w:val="000000" w:themeColor="text1"/>
          <w:sz w:val="24"/>
          <w:szCs w:val="24"/>
        </w:rPr>
        <w:t xml:space="preserve"> processus de </w:t>
      </w:r>
      <w:r w:rsidRPr="00BB65B2">
        <w:rPr>
          <w:rFonts w:asciiTheme="majorBidi" w:hAnsiTheme="majorBidi" w:cstheme="majorBidi"/>
          <w:color w:val="000000" w:themeColor="text1"/>
          <w:sz w:val="24"/>
          <w:szCs w:val="24"/>
        </w:rPr>
        <w:t>formation</w:t>
      </w:r>
      <w:r w:rsidRPr="00740D2C">
        <w:rPr>
          <w:rFonts w:asciiTheme="majorBidi" w:hAnsiTheme="majorBidi" w:cstheme="majorBidi"/>
          <w:color w:val="000000" w:themeColor="text1"/>
          <w:sz w:val="24"/>
          <w:szCs w:val="24"/>
        </w:rPr>
        <w:t xml:space="preserve"> digitalisé</w:t>
      </w:r>
      <w:r w:rsidRPr="00BB65B2">
        <w:rPr>
          <w:rFonts w:asciiTheme="majorBidi" w:hAnsiTheme="majorBidi" w:cstheme="majorBidi"/>
          <w:color w:val="000000" w:themeColor="text1"/>
          <w:sz w:val="24"/>
          <w:szCs w:val="24"/>
        </w:rPr>
        <w:t>e</w:t>
      </w:r>
      <w:r w:rsidRPr="00A74800">
        <w:rPr>
          <w:rFonts w:asciiTheme="majorBidi" w:hAnsiTheme="majorBidi" w:cstheme="majorBidi"/>
          <w:color w:val="000000" w:themeColor="text1"/>
          <w:sz w:val="24"/>
          <w:szCs w:val="24"/>
        </w:rPr>
        <w:t xml:space="preserve"> sur la performance</w:t>
      </w:r>
      <w:r w:rsidRPr="00740D2C">
        <w:rPr>
          <w:rFonts w:asciiTheme="majorBidi" w:hAnsiTheme="majorBidi" w:cstheme="majorBidi"/>
          <w:color w:val="000000" w:themeColor="text1"/>
          <w:sz w:val="24"/>
          <w:szCs w:val="24"/>
        </w:rPr>
        <w:t xml:space="preserve"> des RH</w:t>
      </w:r>
      <w:r w:rsidRPr="00A74800">
        <w:rPr>
          <w:rFonts w:asciiTheme="majorBidi" w:hAnsiTheme="majorBidi" w:cstheme="majorBidi"/>
          <w:color w:val="000000" w:themeColor="text1"/>
          <w:sz w:val="24"/>
          <w:szCs w:val="24"/>
        </w:rPr>
        <w:t>. Par ailleurs, les résultats de la régression montrent une valeur p inférieure à 0,05, ce qui permet de valider l’hypothèse H</w:t>
      </w:r>
      <w:r>
        <w:rPr>
          <w:rFonts w:asciiTheme="majorBidi" w:hAnsiTheme="majorBidi" w:cstheme="majorBidi"/>
          <w:color w:val="000000" w:themeColor="text1"/>
          <w:sz w:val="24"/>
          <w:szCs w:val="24"/>
        </w:rPr>
        <w:t>5</w:t>
      </w:r>
      <w:r w:rsidRPr="00A74800">
        <w:rPr>
          <w:rFonts w:asciiTheme="majorBidi" w:hAnsiTheme="majorBidi" w:cstheme="majorBidi"/>
          <w:color w:val="000000" w:themeColor="text1"/>
          <w:sz w:val="24"/>
          <w:szCs w:val="24"/>
        </w:rPr>
        <w:t xml:space="preserve">. Ces résultats soutiennent l’idée d’une relation positive et significative entre </w:t>
      </w:r>
      <w:r w:rsidRPr="00BB65B2">
        <w:rPr>
          <w:rFonts w:asciiTheme="majorBidi" w:hAnsiTheme="majorBidi" w:cstheme="majorBidi"/>
          <w:color w:val="000000" w:themeColor="text1"/>
          <w:sz w:val="24"/>
          <w:szCs w:val="24"/>
        </w:rPr>
        <w:t>l</w:t>
      </w:r>
      <w:r w:rsidRPr="00740D2C">
        <w:rPr>
          <w:rFonts w:asciiTheme="majorBidi" w:hAnsiTheme="majorBidi" w:cstheme="majorBidi"/>
          <w:color w:val="000000" w:themeColor="text1"/>
          <w:sz w:val="24"/>
          <w:szCs w:val="24"/>
        </w:rPr>
        <w:t xml:space="preserve">e processus de </w:t>
      </w:r>
      <w:r w:rsidRPr="00BB65B2">
        <w:rPr>
          <w:rFonts w:asciiTheme="majorBidi" w:hAnsiTheme="majorBidi" w:cstheme="majorBidi"/>
          <w:color w:val="000000" w:themeColor="text1"/>
          <w:sz w:val="24"/>
          <w:szCs w:val="24"/>
        </w:rPr>
        <w:t>formation</w:t>
      </w:r>
      <w:r w:rsidRPr="00740D2C">
        <w:rPr>
          <w:rFonts w:asciiTheme="majorBidi" w:hAnsiTheme="majorBidi" w:cstheme="majorBidi"/>
          <w:color w:val="000000" w:themeColor="text1"/>
          <w:sz w:val="24"/>
          <w:szCs w:val="24"/>
        </w:rPr>
        <w:t xml:space="preserve"> digitalisé</w:t>
      </w:r>
      <w:r w:rsidRPr="00BB65B2">
        <w:rPr>
          <w:rFonts w:asciiTheme="majorBidi" w:hAnsiTheme="majorBidi" w:cstheme="majorBidi"/>
          <w:color w:val="000000" w:themeColor="text1"/>
          <w:sz w:val="24"/>
          <w:szCs w:val="24"/>
        </w:rPr>
        <w:t>e</w:t>
      </w:r>
      <w:r w:rsidRPr="00A74800">
        <w:rPr>
          <w:rFonts w:asciiTheme="majorBidi" w:hAnsiTheme="majorBidi" w:cstheme="majorBidi"/>
          <w:color w:val="000000" w:themeColor="text1"/>
          <w:sz w:val="24"/>
          <w:szCs w:val="24"/>
        </w:rPr>
        <w:t xml:space="preserve"> et la performance des </w:t>
      </w:r>
      <w:r w:rsidRPr="00740D2C">
        <w:rPr>
          <w:rFonts w:asciiTheme="majorBidi" w:hAnsiTheme="majorBidi" w:cstheme="majorBidi"/>
          <w:color w:val="000000" w:themeColor="text1"/>
          <w:sz w:val="24"/>
          <w:szCs w:val="24"/>
        </w:rPr>
        <w:t>RH</w:t>
      </w:r>
      <w:r w:rsidRPr="00A74800">
        <w:rPr>
          <w:rFonts w:asciiTheme="majorBidi" w:hAnsiTheme="majorBidi" w:cstheme="majorBidi"/>
          <w:color w:val="000000" w:themeColor="text1"/>
          <w:sz w:val="24"/>
          <w:szCs w:val="24"/>
        </w:rPr>
        <w:t xml:space="preserve">, avec un </w:t>
      </w:r>
      <w:r w:rsidRPr="00740D2C">
        <w:rPr>
          <w:rFonts w:asciiTheme="majorBidi" w:hAnsiTheme="majorBidi" w:cstheme="majorBidi"/>
          <w:color w:val="000000" w:themeColor="text1"/>
          <w:sz w:val="24"/>
          <w:szCs w:val="24"/>
        </w:rPr>
        <w:t>niveau</w:t>
      </w:r>
      <w:r w:rsidRPr="00A74800">
        <w:rPr>
          <w:rFonts w:asciiTheme="majorBidi" w:hAnsiTheme="majorBidi" w:cstheme="majorBidi"/>
          <w:color w:val="000000" w:themeColor="text1"/>
          <w:sz w:val="24"/>
          <w:szCs w:val="24"/>
        </w:rPr>
        <w:t xml:space="preserve"> de signification de 5 %.</w:t>
      </w:r>
    </w:p>
    <w:p w:rsidR="00E772DD" w:rsidRDefault="00E772DD" w:rsidP="00D6227C">
      <w:pPr>
        <w:spacing w:line="360" w:lineRule="auto"/>
        <w:jc w:val="both"/>
        <w:rPr>
          <w:rFonts w:asciiTheme="majorBidi" w:hAnsiTheme="majorBidi" w:cstheme="majorBidi"/>
          <w:color w:val="000000" w:themeColor="text1"/>
          <w:lang w:val="fr-FR"/>
        </w:rPr>
      </w:pPr>
      <w:r w:rsidRPr="00A74800">
        <w:rPr>
          <w:rFonts w:asciiTheme="majorBidi" w:hAnsiTheme="majorBidi" w:cstheme="majorBidi"/>
          <w:color w:val="000000" w:themeColor="text1"/>
          <w:lang w:val="fr-FR"/>
        </w:rPr>
        <w:t xml:space="preserve">L’analyse de médiation apporte des éléments supplémentaires en faveur de l’hypothèse selon laquelle </w:t>
      </w:r>
      <w:r w:rsidRPr="00BB65B2">
        <w:rPr>
          <w:rFonts w:asciiTheme="majorBidi" w:hAnsiTheme="majorBidi" w:cstheme="majorBidi"/>
          <w:color w:val="000000" w:themeColor="text1"/>
          <w:lang w:val="fr-FR"/>
        </w:rPr>
        <w:t>l</w:t>
      </w:r>
      <w:r w:rsidRPr="00740D2C">
        <w:rPr>
          <w:rFonts w:asciiTheme="majorBidi" w:hAnsiTheme="majorBidi" w:cstheme="majorBidi"/>
          <w:color w:val="000000" w:themeColor="text1"/>
        </w:rPr>
        <w:t xml:space="preserve">e processus de </w:t>
      </w:r>
      <w:r w:rsidRPr="00BB65B2">
        <w:rPr>
          <w:rFonts w:asciiTheme="majorBidi" w:hAnsiTheme="majorBidi" w:cstheme="majorBidi"/>
          <w:color w:val="000000" w:themeColor="text1"/>
          <w:lang w:val="fr-FR"/>
        </w:rPr>
        <w:t>formation</w:t>
      </w:r>
      <w:r w:rsidRPr="00740D2C">
        <w:rPr>
          <w:rFonts w:asciiTheme="majorBidi" w:hAnsiTheme="majorBidi" w:cstheme="majorBidi"/>
          <w:color w:val="000000" w:themeColor="text1"/>
        </w:rPr>
        <w:t xml:space="preserve"> digitalisé</w:t>
      </w:r>
      <w:r w:rsidRPr="00BB65B2">
        <w:rPr>
          <w:rFonts w:asciiTheme="majorBidi" w:hAnsiTheme="majorBidi" w:cstheme="majorBidi"/>
          <w:color w:val="000000" w:themeColor="text1"/>
          <w:lang w:val="fr-FR"/>
        </w:rPr>
        <w:t>e</w:t>
      </w:r>
      <w:r w:rsidRPr="00740D2C">
        <w:rPr>
          <w:rFonts w:asciiTheme="majorBidi" w:hAnsiTheme="majorBidi" w:cstheme="majorBidi"/>
          <w:color w:val="000000" w:themeColor="text1"/>
          <w:lang w:val="fr-FR"/>
        </w:rPr>
        <w:t xml:space="preserve"> </w:t>
      </w:r>
      <w:r w:rsidRPr="00A74800">
        <w:rPr>
          <w:rFonts w:asciiTheme="majorBidi" w:hAnsiTheme="majorBidi" w:cstheme="majorBidi"/>
          <w:color w:val="000000" w:themeColor="text1"/>
          <w:lang w:val="fr-FR"/>
        </w:rPr>
        <w:t xml:space="preserve">joue un rôle médiateur dans la relation entre </w:t>
      </w:r>
      <w:r w:rsidRPr="00740D2C">
        <w:rPr>
          <w:rFonts w:asciiTheme="majorBidi" w:hAnsiTheme="majorBidi" w:cstheme="majorBidi"/>
          <w:color w:val="000000" w:themeColor="text1"/>
          <w:lang w:val="fr-FR"/>
        </w:rPr>
        <w:t xml:space="preserve">la </w:t>
      </w:r>
      <w:r w:rsidRPr="00740D2C">
        <w:rPr>
          <w:rFonts w:asciiTheme="majorBidi" w:hAnsiTheme="majorBidi" w:cstheme="majorBidi"/>
          <w:color w:val="000000" w:themeColor="text1"/>
        </w:rPr>
        <w:t>digitalisation des processus RH</w:t>
      </w:r>
      <w:r w:rsidRPr="00BB65B2">
        <w:rPr>
          <w:rFonts w:asciiTheme="majorBidi" w:hAnsiTheme="majorBidi" w:cstheme="majorBidi"/>
          <w:color w:val="000000" w:themeColor="text1"/>
          <w:lang w:val="fr-FR"/>
        </w:rPr>
        <w:t xml:space="preserve"> </w:t>
      </w:r>
      <w:r w:rsidRPr="00A74800">
        <w:rPr>
          <w:rFonts w:asciiTheme="majorBidi" w:hAnsiTheme="majorBidi" w:cstheme="majorBidi"/>
          <w:color w:val="000000" w:themeColor="text1"/>
          <w:lang w:val="fr-FR"/>
        </w:rPr>
        <w:t xml:space="preserve">et la performance des </w:t>
      </w:r>
      <w:r w:rsidRPr="00740D2C">
        <w:rPr>
          <w:rFonts w:asciiTheme="majorBidi" w:hAnsiTheme="majorBidi" w:cstheme="majorBidi"/>
          <w:color w:val="000000" w:themeColor="text1"/>
          <w:lang w:val="fr-FR"/>
        </w:rPr>
        <w:t>RH</w:t>
      </w:r>
      <w:r w:rsidRPr="00A74800">
        <w:rPr>
          <w:rFonts w:asciiTheme="majorBidi" w:hAnsiTheme="majorBidi" w:cstheme="majorBidi"/>
          <w:color w:val="000000" w:themeColor="text1"/>
          <w:lang w:val="fr-FR"/>
        </w:rPr>
        <w:t>.</w:t>
      </w:r>
    </w:p>
    <w:p w:rsidR="00E772DD" w:rsidRDefault="00E772DD" w:rsidP="00D6227C">
      <w:pPr>
        <w:spacing w:line="360" w:lineRule="auto"/>
        <w:jc w:val="both"/>
        <w:rPr>
          <w:rFonts w:asciiTheme="majorBidi" w:hAnsiTheme="majorBidi" w:cstheme="majorBidi"/>
          <w:color w:val="000000" w:themeColor="text1"/>
          <w:lang w:val="fr-FR"/>
        </w:rPr>
      </w:pPr>
      <w:r>
        <w:rPr>
          <w:rFonts w:asciiTheme="majorBidi" w:hAnsiTheme="majorBidi" w:cstheme="majorBidi"/>
          <w:color w:val="000000" w:themeColor="text1"/>
          <w:lang w:val="fr-FR"/>
        </w:rPr>
        <w:t>L</w:t>
      </w:r>
      <w:r w:rsidRPr="008764AA">
        <w:rPr>
          <w:rFonts w:asciiTheme="majorBidi" w:hAnsiTheme="majorBidi" w:cstheme="majorBidi"/>
          <w:color w:val="000000" w:themeColor="text1"/>
          <w:lang w:val="fr-FR"/>
        </w:rPr>
        <w:t xml:space="preserve">e coefficient de chemin pour la relation indirecte appartient à l'intervalle de confiance </w:t>
      </w:r>
    </w:p>
    <w:p w:rsidR="00E772DD" w:rsidRPr="008764AA" w:rsidRDefault="00E772DD" w:rsidP="00D6227C">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0,0908; 0</w:t>
      </w:r>
      <w:r>
        <w:rPr>
          <w:rFonts w:asciiTheme="majorBidi" w:hAnsiTheme="majorBidi" w:cstheme="majorBidi"/>
          <w:color w:val="000000" w:themeColor="text1"/>
          <w:lang w:val="fr-FR"/>
        </w:rPr>
        <w:t>,</w:t>
      </w:r>
      <w:r w:rsidRPr="008764AA">
        <w:rPr>
          <w:rFonts w:asciiTheme="majorBidi" w:hAnsiTheme="majorBidi" w:cstheme="majorBidi"/>
          <w:color w:val="000000" w:themeColor="text1"/>
          <w:lang w:val="fr-FR"/>
        </w:rPr>
        <w:t>0692] avec une probabilité de 95%. Cet intervalle comprend la valeur zéro, ce qui signifie que le critère essentiel n’est pas respecté.</w:t>
      </w:r>
    </w:p>
    <w:p w:rsidR="00E772DD" w:rsidRPr="008764AA" w:rsidRDefault="00E772DD" w:rsidP="00D6227C">
      <w:pPr>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Par conséquent, nous rejetons l'hypothèse selon laquelle "il existe une relation statistiquement significative entre la digitalisation des processus RH et la performance des RH en présence de processus de formation digitalisée en tant que variable médiatrice". </w:t>
      </w:r>
    </w:p>
    <w:p w:rsidR="00E772DD" w:rsidRDefault="00E772DD" w:rsidP="004D4075">
      <w:pPr>
        <w:pStyle w:val="Corpsdetexte"/>
        <w:spacing w:line="360" w:lineRule="auto"/>
        <w:jc w:val="both"/>
        <w:rPr>
          <w:rFonts w:asciiTheme="majorBidi" w:hAnsiTheme="majorBidi" w:cstheme="majorBidi"/>
          <w:color w:val="000000" w:themeColor="text1"/>
          <w:lang w:val="fr-FR"/>
        </w:rPr>
      </w:pPr>
      <w:r w:rsidRPr="008764AA">
        <w:rPr>
          <w:rFonts w:asciiTheme="majorBidi" w:hAnsiTheme="majorBidi" w:cstheme="majorBidi"/>
          <w:color w:val="000000" w:themeColor="text1"/>
          <w:lang w:val="fr-FR"/>
        </w:rPr>
        <w:t xml:space="preserve">L’absence d’un effet indirect significatif indique que la médiation par </w:t>
      </w:r>
      <w:r w:rsidRPr="004A007F">
        <w:rPr>
          <w:rStyle w:val="VerbatimChar"/>
          <w:rFonts w:asciiTheme="majorBidi" w:hAnsiTheme="majorBidi" w:cstheme="majorBidi"/>
          <w:color w:val="000000" w:themeColor="text1"/>
          <w:lang w:val="fr-FR"/>
        </w:rPr>
        <w:t>processus de formation digitalisée</w:t>
      </w:r>
      <w:r w:rsidRPr="004A007F">
        <w:rPr>
          <w:rFonts w:asciiTheme="majorBidi" w:hAnsiTheme="majorBidi" w:cstheme="majorBidi"/>
          <w:color w:val="000000" w:themeColor="text1"/>
          <w:lang w:val="fr-FR"/>
        </w:rPr>
        <w:t xml:space="preserve"> </w:t>
      </w:r>
      <w:r w:rsidRPr="008764AA">
        <w:rPr>
          <w:rFonts w:asciiTheme="majorBidi" w:hAnsiTheme="majorBidi" w:cstheme="majorBidi"/>
          <w:color w:val="000000" w:themeColor="text1"/>
          <w:lang w:val="fr-FR"/>
        </w:rPr>
        <w:t>n’est pas soutenue. L’influence de la digitalisation sur la performance RH semble être principalement directe.</w:t>
      </w:r>
    </w:p>
    <w:p w:rsidR="000C1677" w:rsidRDefault="000C1677" w:rsidP="004D4075">
      <w:pPr>
        <w:pStyle w:val="Corpsdetexte"/>
        <w:spacing w:line="360" w:lineRule="auto"/>
        <w:jc w:val="both"/>
        <w:rPr>
          <w:rFonts w:asciiTheme="majorBidi" w:hAnsiTheme="majorBidi" w:cstheme="majorBidi"/>
          <w:color w:val="000000" w:themeColor="text1"/>
          <w:lang w:val="fr-FR"/>
        </w:rPr>
      </w:pPr>
    </w:p>
    <w:p w:rsidR="000C1677" w:rsidRPr="004D4075" w:rsidRDefault="000C1677" w:rsidP="004D4075">
      <w:pPr>
        <w:pStyle w:val="Corpsdetexte"/>
        <w:spacing w:line="360" w:lineRule="auto"/>
        <w:jc w:val="both"/>
        <w:rPr>
          <w:rFonts w:asciiTheme="majorBidi" w:hAnsiTheme="majorBidi" w:cstheme="majorBidi"/>
          <w:color w:val="000000" w:themeColor="text1"/>
          <w:lang w:val="fr-FR"/>
        </w:rPr>
      </w:pPr>
    </w:p>
    <w:p w:rsidR="00E772DD" w:rsidRPr="00194E42" w:rsidRDefault="00E772DD" w:rsidP="00194E42">
      <w:pPr>
        <w:pStyle w:val="Titre3"/>
        <w:rPr>
          <w:sz w:val="28"/>
          <w:szCs w:val="28"/>
          <w:lang w:val="fr-FR"/>
        </w:rPr>
      </w:pPr>
      <w:bookmarkStart w:id="2442" w:name="_Toc200486874"/>
      <w:bookmarkStart w:id="2443" w:name="_Toc200635652"/>
      <w:bookmarkStart w:id="2444" w:name="_Toc200636040"/>
      <w:bookmarkStart w:id="2445" w:name="_Toc200636429"/>
      <w:bookmarkStart w:id="2446" w:name="_Toc200756170"/>
      <w:r w:rsidRPr="00194E42">
        <w:rPr>
          <w:sz w:val="28"/>
          <w:szCs w:val="28"/>
          <w:lang w:val="fr-FR"/>
        </w:rPr>
        <w:lastRenderedPageBreak/>
        <w:t>Conclusion</w:t>
      </w:r>
      <w:r w:rsidR="00194E42" w:rsidRPr="00194E42">
        <w:rPr>
          <w:sz w:val="28"/>
          <w:szCs w:val="28"/>
          <w:lang w:val="fr-FR"/>
        </w:rPr>
        <w:t xml:space="preserve"> du chapitre :</w:t>
      </w:r>
      <w:bookmarkEnd w:id="2442"/>
      <w:bookmarkEnd w:id="2443"/>
      <w:bookmarkEnd w:id="2444"/>
      <w:bookmarkEnd w:id="2445"/>
      <w:bookmarkEnd w:id="2446"/>
    </w:p>
    <w:p w:rsidR="00E772DD" w:rsidRPr="00FD4FC5" w:rsidRDefault="00E772DD" w:rsidP="00FD4FC5">
      <w:pPr>
        <w:spacing w:line="360" w:lineRule="auto"/>
        <w:jc w:val="both"/>
      </w:pPr>
      <w:r w:rsidRPr="00FD4FC5">
        <w:t>Cette étude empirique nous a permis de tester les hypothèses formulées dans notre cadre théorique, en examinant l’influence de la digitalisation sur l’optimisation des processus de recrutement et de formation, ainsi que sur la performance globale de la fonction RH. Les résultats issus de l’enquête menée auprès de 170 professionnels RH issus de divers secteurs d’activité ont mis en évidence plusieurs enseignements clés sur l’état actuel et les effets de la transformation digitale dans les services RH.</w:t>
      </w:r>
    </w:p>
    <w:p w:rsidR="00E772DD" w:rsidRPr="00FD4FC5" w:rsidRDefault="00E772DD" w:rsidP="00FD4FC5">
      <w:pPr>
        <w:spacing w:line="360" w:lineRule="auto"/>
        <w:jc w:val="both"/>
      </w:pPr>
      <w:r w:rsidRPr="00FD4FC5">
        <w:t>Tout d’abord, les données confirment que la digitalisation des processus RH constitue un levier majeur de modernisation et d’efficacité. L’automatisation des tâches répétitives, la centralisation des données via des ERP, la gestion électronique des documents, et l’accessibilité des plateformes numériques facilitent non seulement le traitement de l’information RH, mais améliorent également la réactivité des équipes et la qualité des décisions. Les professionnels interrogés perçoivent une réelle plus-value dans l’usage de ces outils, tant en termes de réduction des délais que d’amélioration de la transparence et de la traçabilité des processus.</w:t>
      </w:r>
    </w:p>
    <w:p w:rsidR="00E772DD" w:rsidRPr="00FD4FC5" w:rsidRDefault="00E772DD" w:rsidP="00FD4FC5">
      <w:pPr>
        <w:spacing w:line="360" w:lineRule="auto"/>
        <w:jc w:val="both"/>
      </w:pPr>
      <w:r w:rsidRPr="00FD4FC5">
        <w:t>Ensuite, le recrutement digitalisé émerge comme un levier stratégique ayant un rôle médiateur significatif entre la digitalisation des processus RH et la performance globale. Grâce à l’utilisation de plateformes numériques, les entreprises peuvent élargir leur vivier de candidats, mieux cibler les profils et automatiser certaines étapes clés du processus de sélection.</w:t>
      </w:r>
    </w:p>
    <w:p w:rsidR="00E772DD" w:rsidRPr="00FD4FC5" w:rsidRDefault="00E772DD" w:rsidP="00FD4FC5">
      <w:pPr>
        <w:spacing w:line="360" w:lineRule="auto"/>
        <w:jc w:val="both"/>
      </w:pPr>
      <w:r w:rsidRPr="00FD4FC5">
        <w:t>En revanche, bien que la formation digitalisée présente de nombreux avantages en matière d’accessibilité, de flexibilité et de suivi personnalisé, son effet médiateur sur la performance RH n’a pas été confirmé statistiquement dans cette étude. Cela invite à approfondir la réflexion sur les conditions d’efficacité réelle de ces dispositifs, au-delà de leur mise en œuvre technique.</w:t>
      </w:r>
    </w:p>
    <w:p w:rsidR="00E772DD" w:rsidRPr="00FD4FC5" w:rsidRDefault="00E772DD" w:rsidP="00FD4FC5">
      <w:pPr>
        <w:spacing w:line="360" w:lineRule="auto"/>
        <w:jc w:val="both"/>
      </w:pPr>
      <w:r w:rsidRPr="00FD4FC5">
        <w:t>Par ailleurs, certains défis persistent : disparités d’équipement entre entreprises, résistance au changement, déficit de formation des équipes RH aux outils digitaux, ou encore manque d’intégration entre les différentes plateformes utilisées. Ces limites freinent la pleine réussite de la digitalisation RH et appellent à un accompagnement du changement adapté.</w:t>
      </w:r>
    </w:p>
    <w:p w:rsidR="00E772DD" w:rsidRPr="00FD4FC5" w:rsidRDefault="00E772DD" w:rsidP="00FD4FC5">
      <w:pPr>
        <w:spacing w:line="360" w:lineRule="auto"/>
        <w:jc w:val="both"/>
      </w:pPr>
      <w:r w:rsidRPr="00FD4FC5">
        <w:t>Enfin, le cas de Hasnaoui Logistique, bien que mobilisé à titre illustratif, montre qu’une entreprise algérienne peut amorcer une transition digitale structurée et progressive, en intégrant des outils numériques RH adaptés à son environnement.</w:t>
      </w:r>
    </w:p>
    <w:p w:rsidR="00D200FC" w:rsidRDefault="00E772DD" w:rsidP="00FD4FC5">
      <w:pPr>
        <w:spacing w:line="360" w:lineRule="auto"/>
        <w:jc w:val="both"/>
        <w:sectPr w:rsidR="00D200FC" w:rsidSect="00A76E4F">
          <w:headerReference w:type="default" r:id="rId131"/>
          <w:pgSz w:w="11900" w:h="16840"/>
          <w:pgMar w:top="1440" w:right="1440" w:bottom="1440" w:left="1440" w:header="708" w:footer="708" w:gutter="0"/>
          <w:cols w:space="708"/>
          <w:docGrid w:linePitch="360"/>
        </w:sectPr>
      </w:pPr>
      <w:r w:rsidRPr="00FD4FC5">
        <w:t>En résumé, cette étude confirme que la digitalisation RH, bien conduite, constitue une transformation stratégique de la fonction RH. Elle renforce sa capacité à créer de la valeur, à fidéliser les talents et à contribuer à la performance globale de l’entreprise, à condition de dépasser les aspects purement techniques pour en garantir l’impact réel.</w:t>
      </w:r>
    </w:p>
    <w:p w:rsidR="00E772DD" w:rsidRPr="00FD4FC5" w:rsidRDefault="00E772DD" w:rsidP="00FD4FC5">
      <w:pPr>
        <w:spacing w:line="360" w:lineRule="auto"/>
        <w:jc w:val="both"/>
      </w:pPr>
    </w:p>
    <w:p w:rsidR="00E772DD" w:rsidRPr="00041AE7" w:rsidRDefault="00E772DD" w:rsidP="00041AE7">
      <w:pPr>
        <w:pStyle w:val="NormalWeb"/>
        <w:spacing w:line="360" w:lineRule="auto"/>
        <w:jc w:val="both"/>
        <w:rPr>
          <w:color w:val="000000"/>
          <w:lang w:val="fr-FR"/>
        </w:rPr>
      </w:pPr>
    </w:p>
    <w:p w:rsidR="00D519F2" w:rsidRDefault="00D519F2" w:rsidP="00B75385">
      <w:pPr>
        <w:pStyle w:val="p1"/>
        <w:spacing w:line="360" w:lineRule="auto"/>
        <w:jc w:val="both"/>
        <w:rPr>
          <w:sz w:val="24"/>
          <w:szCs w:val="24"/>
          <w:lang w:val="fr-FR"/>
        </w:rPr>
      </w:pPr>
    </w:p>
    <w:p w:rsidR="00D519F2" w:rsidRDefault="00D519F2" w:rsidP="00B75385">
      <w:pPr>
        <w:pStyle w:val="p1"/>
        <w:spacing w:line="360" w:lineRule="auto"/>
        <w:jc w:val="both"/>
        <w:rPr>
          <w:sz w:val="24"/>
          <w:szCs w:val="24"/>
          <w:lang w:val="fr-FR"/>
        </w:rPr>
      </w:pPr>
    </w:p>
    <w:p w:rsidR="00D519F2" w:rsidRDefault="00D519F2" w:rsidP="00B75385">
      <w:pPr>
        <w:pStyle w:val="p1"/>
        <w:spacing w:line="360" w:lineRule="auto"/>
        <w:jc w:val="both"/>
        <w:rPr>
          <w:sz w:val="24"/>
          <w:szCs w:val="24"/>
          <w:lang w:val="fr-FR"/>
        </w:rPr>
      </w:pPr>
    </w:p>
    <w:p w:rsidR="00D519F2" w:rsidRPr="00B75385" w:rsidRDefault="00D519F2" w:rsidP="00B75385">
      <w:pPr>
        <w:pStyle w:val="p1"/>
        <w:spacing w:line="360" w:lineRule="auto"/>
        <w:jc w:val="both"/>
        <w:rPr>
          <w:sz w:val="24"/>
          <w:szCs w:val="24"/>
          <w:lang w:val="fr-FR"/>
        </w:rPr>
      </w:pPr>
    </w:p>
    <w:p w:rsidR="00B75385" w:rsidRDefault="00B75385" w:rsidP="00B75385">
      <w:pPr>
        <w:pStyle w:val="p1"/>
        <w:rPr>
          <w:b/>
          <w:bCs/>
          <w:sz w:val="28"/>
          <w:szCs w:val="28"/>
          <w:lang w:val="fr-FR"/>
        </w:rPr>
      </w:pPr>
    </w:p>
    <w:p w:rsidR="00B75385" w:rsidRPr="00B75385" w:rsidRDefault="00B75385" w:rsidP="00B75385">
      <w:pPr>
        <w:pStyle w:val="p1"/>
        <w:rPr>
          <w:sz w:val="28"/>
          <w:szCs w:val="28"/>
          <w:lang w:val="fr-FR"/>
        </w:rPr>
      </w:pPr>
    </w:p>
    <w:p w:rsidR="00440800" w:rsidRDefault="00440800" w:rsidP="00B75385">
      <w:pPr>
        <w:jc w:val="center"/>
      </w:pPr>
    </w:p>
    <w:p w:rsidR="00131B8E" w:rsidRDefault="00131B8E" w:rsidP="00B75385">
      <w:pPr>
        <w:jc w:val="center"/>
      </w:pPr>
    </w:p>
    <w:p w:rsidR="00131B8E" w:rsidRDefault="00131B8E" w:rsidP="00B75385">
      <w:pPr>
        <w:jc w:val="center"/>
      </w:pPr>
    </w:p>
    <w:p w:rsidR="00131B8E" w:rsidRDefault="00131B8E" w:rsidP="00B75385">
      <w:pPr>
        <w:jc w:val="center"/>
      </w:pPr>
    </w:p>
    <w:p w:rsidR="00131B8E" w:rsidRDefault="00131B8E" w:rsidP="00B75385">
      <w:pPr>
        <w:jc w:val="center"/>
      </w:pPr>
    </w:p>
    <w:p w:rsidR="00D200FC" w:rsidRDefault="00E94C87" w:rsidP="00D200FC">
      <w:pPr>
        <w:pStyle w:val="Titre3"/>
        <w:spacing w:line="360" w:lineRule="auto"/>
        <w:jc w:val="center"/>
        <w:rPr>
          <w:sz w:val="72"/>
          <w:szCs w:val="72"/>
          <w:lang w:val="fr-FR"/>
        </w:rPr>
        <w:sectPr w:rsidR="00D200FC" w:rsidSect="00D91E89">
          <w:headerReference w:type="default" r:id="rId132"/>
          <w:pgSz w:w="11900" w:h="16840"/>
          <w:pgMar w:top="1440" w:right="1440" w:bottom="1440" w:left="1440" w:header="708" w:footer="708" w:gutter="0"/>
          <w:cols w:space="708"/>
          <w:docGrid w:linePitch="360"/>
        </w:sectPr>
      </w:pPr>
      <w:bookmarkStart w:id="2447" w:name="_Toc200486875"/>
      <w:bookmarkStart w:id="2448" w:name="_Toc200635653"/>
      <w:bookmarkStart w:id="2449" w:name="_Toc200636041"/>
      <w:bookmarkStart w:id="2450" w:name="_Toc200636430"/>
      <w:bookmarkStart w:id="2451" w:name="_Toc200756171"/>
      <w:r w:rsidRPr="00194E42">
        <w:rPr>
          <w:sz w:val="72"/>
          <w:szCs w:val="72"/>
          <w:lang w:val="fr-FR"/>
        </w:rPr>
        <w:t>CONCLUSION G</w:t>
      </w:r>
      <w:r w:rsidR="00194E42" w:rsidRPr="00194E42">
        <w:rPr>
          <w:sz w:val="72"/>
          <w:szCs w:val="72"/>
          <w:lang w:val="fr-FR"/>
        </w:rPr>
        <w:t>É</w:t>
      </w:r>
      <w:r w:rsidRPr="00194E42">
        <w:rPr>
          <w:sz w:val="72"/>
          <w:szCs w:val="72"/>
          <w:lang w:val="fr-FR"/>
        </w:rPr>
        <w:t>N</w:t>
      </w:r>
      <w:r w:rsidR="00194E42" w:rsidRPr="00194E42">
        <w:rPr>
          <w:sz w:val="72"/>
          <w:szCs w:val="72"/>
          <w:lang w:val="fr-FR"/>
        </w:rPr>
        <w:t>É</w:t>
      </w:r>
      <w:r w:rsidRPr="00194E42">
        <w:rPr>
          <w:sz w:val="72"/>
          <w:szCs w:val="72"/>
          <w:lang w:val="fr-FR"/>
        </w:rPr>
        <w:t>RALE</w:t>
      </w:r>
      <w:bookmarkEnd w:id="2447"/>
      <w:bookmarkEnd w:id="2448"/>
      <w:bookmarkEnd w:id="2449"/>
      <w:bookmarkEnd w:id="2450"/>
      <w:bookmarkEnd w:id="2451"/>
    </w:p>
    <w:p w:rsidR="008D6578" w:rsidRPr="008D6578" w:rsidRDefault="008D6578" w:rsidP="008D6578">
      <w:pPr>
        <w:spacing w:after="240"/>
        <w:rPr>
          <w:color w:val="000000"/>
          <w:sz w:val="28"/>
          <w:szCs w:val="28"/>
          <w:lang w:eastAsia="fr-FR"/>
        </w:rPr>
      </w:pPr>
      <w:r w:rsidRPr="008D6578">
        <w:rPr>
          <w:b/>
          <w:bCs/>
          <w:color w:val="000000"/>
          <w:sz w:val="28"/>
          <w:szCs w:val="28"/>
          <w:lang w:eastAsia="fr-FR"/>
        </w:rPr>
        <w:lastRenderedPageBreak/>
        <w:t>Conclusion générale :</w:t>
      </w:r>
    </w:p>
    <w:p w:rsidR="00005B33" w:rsidRPr="00F41D68" w:rsidRDefault="00005B33" w:rsidP="00005B33">
      <w:pPr>
        <w:spacing w:line="360" w:lineRule="auto"/>
        <w:jc w:val="both"/>
        <w:rPr>
          <w:rFonts w:asciiTheme="majorBidi" w:hAnsiTheme="majorBidi" w:cstheme="majorBidi"/>
          <w:color w:val="000000"/>
        </w:rPr>
      </w:pPr>
      <w:r w:rsidRPr="00F41D68">
        <w:rPr>
          <w:rFonts w:asciiTheme="majorBidi" w:hAnsiTheme="majorBidi" w:cstheme="majorBidi"/>
          <w:color w:val="000000"/>
        </w:rPr>
        <w:t>Dans un contexte où la transformation numérique bouleverse en profondeur les pratiques organisationnelles, la gestion des ressources humaines n’échappe pas à cette mutation. Ce mémoire s’est ainsi donné pour objectif d’analyser l’impact de la digitalisation sur deux processus centraux des ressources humaines : le recrutement et la formation, en étudiant leur influence sur la performance globale des RH. À travers une double approche – théorique et empirique – cette recherche s’est inscrite dans une logique de compréhension globale du phénomène, tout en apportant une analyse contextualisée au cas des entreprises algériennes. Le choix de ce sujet repose sur l’importance stratégique croissante des outils numériques pour améliorer l’efficacité, la transparence et la réactivité des services RH. Ce mémoire a également visé à combler un manque d’études empiriques locales sur cette thématique, tout en apportant des pistes de réflexion aux professionnels du secteur.</w:t>
      </w:r>
    </w:p>
    <w:p w:rsidR="004D32AC" w:rsidRDefault="00005B33" w:rsidP="00005B33">
      <w:pPr>
        <w:spacing w:line="360" w:lineRule="auto"/>
        <w:jc w:val="both"/>
        <w:rPr>
          <w:rFonts w:asciiTheme="majorBidi" w:hAnsiTheme="majorBidi" w:cstheme="majorBidi"/>
        </w:rPr>
      </w:pPr>
      <w:r w:rsidRPr="00F41D68">
        <w:rPr>
          <w:rFonts w:asciiTheme="majorBidi" w:hAnsiTheme="majorBidi" w:cstheme="majorBidi"/>
        </w:rPr>
        <w:t xml:space="preserve">La partie théorique de ce mémoire a permis de poser les fondements conceptuels indispensables à la compréhension du rôle stratégique de la digitalisation dans la gestion des ressources humaines. </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Le </w:t>
      </w:r>
      <w:r w:rsidRPr="004D32AC">
        <w:rPr>
          <w:rFonts w:asciiTheme="majorBidi" w:hAnsiTheme="majorBidi" w:cstheme="majorBidi"/>
        </w:rPr>
        <w:t>premier chapitre</w:t>
      </w:r>
      <w:r w:rsidRPr="00F41D68">
        <w:rPr>
          <w:rFonts w:asciiTheme="majorBidi" w:hAnsiTheme="majorBidi" w:cstheme="majorBidi"/>
        </w:rPr>
        <w:t> a présenté les notions essentielles relatives à la GRH, en retraçant son évolution historique, en exposant ses fonctions fondamentales, et en mettant en évidence l’importance du recrutement et de la formation dans la construction d’un capital humain performant. Il a également abordé les grandes théories managériales et motivationnelles (Taylorisme, Théorie X et Y, Maslow, Herzberg, modèle AMO, etc.), en montrant comment ces cadres d’analyse continuent d’influencer la conception des pratiques RH contemporaines.</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Le </w:t>
      </w:r>
      <w:r w:rsidRPr="004D32AC">
        <w:rPr>
          <w:rFonts w:asciiTheme="majorBidi" w:hAnsiTheme="majorBidi" w:cstheme="majorBidi"/>
        </w:rPr>
        <w:t>deuxième chapitre</w:t>
      </w:r>
      <w:r w:rsidRPr="00F41D68">
        <w:rPr>
          <w:rFonts w:asciiTheme="majorBidi" w:hAnsiTheme="majorBidi" w:cstheme="majorBidi"/>
        </w:rPr>
        <w:t> a permis d’approfondir la notion de digitalisation et son application spécifique à la fonction RH. Il a été démontré que la transformation numérique ne se limite pas à l’introduction d’outils technologiques, mais s’inscrit dans une logique de réinvention des processus et de création de valeur ajoutée. L’analyse a mis en lumière les apports des Systèmes d’Information des Ressources Humaines (SIRH), des plateformes de gestion des talents, des solutions de e-learning, ainsi que les nouvelles pratiques telles que l’e-recrutement et l’e-formation. En confrontant les apports de la littérature à la réalité du terrain algérien, le cadre théorique a ainsi offert une vision globale et critique des enjeux, des bénéfices mais aussi des freins liés à la digitalisation des processus RH.</w:t>
      </w:r>
    </w:p>
    <w:p w:rsidR="00005B33" w:rsidRDefault="00005B33" w:rsidP="00005B33">
      <w:pPr>
        <w:spacing w:line="360" w:lineRule="auto"/>
        <w:jc w:val="both"/>
        <w:rPr>
          <w:rFonts w:asciiTheme="majorBidi" w:hAnsiTheme="majorBidi" w:cstheme="majorBidi"/>
        </w:rPr>
      </w:pPr>
      <w:r w:rsidRPr="00F41D68">
        <w:rPr>
          <w:rFonts w:asciiTheme="majorBidi" w:hAnsiTheme="majorBidi" w:cstheme="majorBidi"/>
        </w:rPr>
        <w:t xml:space="preserve">Ces deux premiers chapitres ont ainsi permis d’identifier les variables clés de l’étude, de construire le modèle conceptuel de la recherche, et de formuler des hypothèses fondées sur un </w:t>
      </w:r>
      <w:r w:rsidRPr="00F41D68">
        <w:rPr>
          <w:rFonts w:asciiTheme="majorBidi" w:hAnsiTheme="majorBidi" w:cstheme="majorBidi"/>
        </w:rPr>
        <w:lastRenderedPageBreak/>
        <w:t>socle théorique solide. Ils ont également mis en évidence que la digitalisation des RH, loin d’être un phénomène isolé, s’inscrit dans une dynamique stratégique plus large de modernisation et d’adaptation des entreprises à un environnement en mutation rapide.</w:t>
      </w:r>
    </w:p>
    <w:p w:rsidR="00005B33" w:rsidRPr="00F41D68" w:rsidRDefault="00005B33" w:rsidP="00005B33">
      <w:pPr>
        <w:spacing w:line="360" w:lineRule="auto"/>
        <w:jc w:val="both"/>
        <w:rPr>
          <w:rFonts w:asciiTheme="majorBidi" w:hAnsiTheme="majorBidi" w:cstheme="majorBidi"/>
        </w:rPr>
      </w:pPr>
      <w:r w:rsidRPr="00F41D68">
        <w:rPr>
          <w:rFonts w:asciiTheme="majorBidi" w:hAnsiTheme="majorBidi" w:cstheme="majorBidi"/>
        </w:rPr>
        <w:t>Le volet empirique de ce mémoire, présenté dans le troisième chapitre, a été consacré à la validation terrain des hypothèses formulées à partir de la revue théorique. Il s’est appuyé sur une méthodologie rigoureuse combinant des outils statistiques avancés et une approche quantitative structurée. L’étude a été menée auprès d’un échantillon raisonné de 170 professionnels RH issus de différentes entreprises algériennes, collecté via un questionnaire diffusé principalement sur LinkedIn. Le recours à des logiciels spécialisés – SPSS pour l’analyse descriptive et inférentielle, SmartPLS4 pour la modélisation par équations structurelles, et Python via Jupyter pour des traitements complémentaires – a permis d’assurer la robustesse des analyses.</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Les résultats obtenus ont confirmé les hypothèses principales du modèle conceptuel. La digitalisation des processus RH exerce une </w:t>
      </w:r>
      <w:r w:rsidRPr="004D32AC">
        <w:rPr>
          <w:rFonts w:asciiTheme="majorBidi" w:hAnsiTheme="majorBidi" w:cstheme="majorBidi"/>
        </w:rPr>
        <w:t>influence positive et significative sur le recrutement digitalisé</w:t>
      </w:r>
      <w:r w:rsidRPr="00F41D68">
        <w:rPr>
          <w:rFonts w:asciiTheme="majorBidi" w:hAnsiTheme="majorBidi" w:cstheme="majorBidi"/>
        </w:rPr>
        <w:t> (H1) et sur la </w:t>
      </w:r>
      <w:r w:rsidRPr="004D32AC">
        <w:rPr>
          <w:rFonts w:asciiTheme="majorBidi" w:hAnsiTheme="majorBidi" w:cstheme="majorBidi"/>
        </w:rPr>
        <w:t>formation digitalisée</w:t>
      </w:r>
      <w:r w:rsidRPr="00F41D68">
        <w:rPr>
          <w:rFonts w:asciiTheme="majorBidi" w:hAnsiTheme="majorBidi" w:cstheme="majorBidi"/>
        </w:rPr>
        <w:t> (H2). Ces processus digitalisés, à leur tour, </w:t>
      </w:r>
      <w:r w:rsidRPr="004D32AC">
        <w:rPr>
          <w:rFonts w:asciiTheme="majorBidi" w:hAnsiTheme="majorBidi" w:cstheme="majorBidi"/>
        </w:rPr>
        <w:t>améliorent la performance globale des ressources humaines</w:t>
      </w:r>
      <w:r w:rsidRPr="00F41D68">
        <w:rPr>
          <w:rFonts w:asciiTheme="majorBidi" w:hAnsiTheme="majorBidi" w:cstheme="majorBidi"/>
        </w:rPr>
        <w:t> (H3). De plus, il a été démontré que le recrutement et la formation digitalisés jouent </w:t>
      </w:r>
      <w:r w:rsidRPr="004D32AC">
        <w:rPr>
          <w:rFonts w:asciiTheme="majorBidi" w:hAnsiTheme="majorBidi" w:cstheme="majorBidi"/>
        </w:rPr>
        <w:t>un rôle modérateur</w:t>
      </w:r>
      <w:r w:rsidRPr="00F41D68">
        <w:rPr>
          <w:rFonts w:asciiTheme="majorBidi" w:hAnsiTheme="majorBidi" w:cstheme="majorBidi"/>
        </w:rPr>
        <w:t> important dans la relation entre la digitalisation des RH et la performance (H4 et H5). Ces effets modérateurs révèlent que l’adoption technologique ne produit pleinement ses effets que lorsque les outils sont véritablement intégrés dans les pratiques opérationnelles.</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L’analyse empirique a également mis en évidence des disparités sectorielles et structurelles dans la maturité digitale des entreprises. Certaines organisations ont pleinement intégré les outils numériques dans leurs pratiques RH, tandis que d’autres restent à un stade embryonnaire, souvent par manque d’accompagnement ou de culture numérique. Ces constats confirment l’existence d’un décalage entre les potentialités offertes par la digitalisation et son appropriation réelle sur le terrain.</w:t>
      </w:r>
    </w:p>
    <w:p w:rsidR="00005B33" w:rsidRDefault="00005B33" w:rsidP="00005B33">
      <w:pPr>
        <w:spacing w:line="360" w:lineRule="auto"/>
        <w:jc w:val="both"/>
        <w:rPr>
          <w:rFonts w:asciiTheme="majorBidi" w:hAnsiTheme="majorBidi" w:cstheme="majorBidi"/>
        </w:rPr>
      </w:pPr>
      <w:r w:rsidRPr="00F41D68">
        <w:rPr>
          <w:rFonts w:asciiTheme="majorBidi" w:hAnsiTheme="majorBidi" w:cstheme="majorBidi"/>
        </w:rPr>
        <w:t>Enfin, les observations tirées du cas de l’entreprise Hasnaoui Logistique ont apporté un éclairage complémentaire en contextualisant les résultats du questionnaire. Cette entreprise illustre une dynamique de transformation progressive, où les outils digitaux commencent à structurer les processus RH, notamment à travers des systèmes internes de gestion documentaire et des démarches de formation assistée par le numérique.</w:t>
      </w:r>
    </w:p>
    <w:p w:rsidR="00005B33" w:rsidRDefault="00005B33" w:rsidP="00005B33">
      <w:pPr>
        <w:spacing w:line="360" w:lineRule="auto"/>
        <w:jc w:val="both"/>
        <w:rPr>
          <w:rFonts w:asciiTheme="majorBidi" w:hAnsiTheme="majorBidi" w:cstheme="majorBidi"/>
        </w:rPr>
      </w:pPr>
    </w:p>
    <w:p w:rsidR="00005B33" w:rsidRPr="00F41D68" w:rsidRDefault="00005B33" w:rsidP="00005B33">
      <w:pPr>
        <w:spacing w:line="360" w:lineRule="auto"/>
        <w:jc w:val="both"/>
        <w:rPr>
          <w:rFonts w:asciiTheme="majorBidi" w:hAnsiTheme="majorBidi" w:cstheme="majorBidi"/>
        </w:rPr>
      </w:pPr>
      <w:r w:rsidRPr="00D47983">
        <w:rPr>
          <w:rFonts w:ascii="Segoe UI Symbol" w:hAnsi="Segoe UI Symbol" w:cs="Segoe UI Symbol"/>
        </w:rPr>
        <w:lastRenderedPageBreak/>
        <w:t>➢</w:t>
      </w:r>
      <w:r w:rsidRPr="00D47983">
        <w:rPr>
          <w:rFonts w:asciiTheme="majorBidi" w:hAnsiTheme="majorBidi" w:cstheme="majorBidi"/>
          <w:b/>
          <w:bCs/>
        </w:rPr>
        <w:t xml:space="preserve"> Suggestions et</w:t>
      </w:r>
      <w:r>
        <w:rPr>
          <w:rFonts w:asciiTheme="majorBidi" w:hAnsiTheme="majorBidi" w:cstheme="majorBidi"/>
          <w:b/>
          <w:bCs/>
          <w:lang w:val="fr-FR"/>
        </w:rPr>
        <w:t xml:space="preserve"> r</w:t>
      </w:r>
      <w:r w:rsidRPr="00D47983">
        <w:rPr>
          <w:rFonts w:asciiTheme="majorBidi" w:hAnsiTheme="majorBidi" w:cstheme="majorBidi"/>
          <w:b/>
          <w:bCs/>
        </w:rPr>
        <w:t>ecommandations :</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À la lumière des résultats de cette recherche, plusieurs recommandations peuvent être formulées à destination des entreprises, des responsables RH, ainsi que des décideurs institutionnels, afin de favoriser une digitalisation efficace et durable des processus RH :</w:t>
      </w:r>
    </w:p>
    <w:p w:rsidR="004D32AC" w:rsidRDefault="00005B33" w:rsidP="00005B33">
      <w:pPr>
        <w:spacing w:line="360" w:lineRule="auto"/>
        <w:jc w:val="both"/>
        <w:rPr>
          <w:rFonts w:asciiTheme="majorBidi" w:hAnsiTheme="majorBidi" w:cstheme="majorBidi"/>
          <w:b/>
          <w:bCs/>
        </w:rPr>
      </w:pPr>
      <w:r w:rsidRPr="00F41D68">
        <w:rPr>
          <w:rFonts w:asciiTheme="majorBidi" w:hAnsiTheme="majorBidi" w:cstheme="majorBidi"/>
          <w:b/>
          <w:bCs/>
        </w:rPr>
        <w:t>1. Renforcer</w:t>
      </w:r>
      <w:r w:rsidRPr="00D47983">
        <w:rPr>
          <w:rFonts w:asciiTheme="majorBidi" w:hAnsiTheme="majorBidi" w:cstheme="majorBidi"/>
          <w:b/>
          <w:bCs/>
          <w:lang w:val="fr-FR"/>
        </w:rPr>
        <w:t xml:space="preserve"> l</w:t>
      </w:r>
      <w:r w:rsidRPr="00F41D68">
        <w:rPr>
          <w:rFonts w:asciiTheme="majorBidi" w:hAnsiTheme="majorBidi" w:cstheme="majorBidi"/>
          <w:b/>
          <w:bCs/>
        </w:rPr>
        <w:t>a formation digitale des acteurs RH :</w:t>
      </w:r>
    </w:p>
    <w:p w:rsidR="00005B33" w:rsidRPr="00F41D68" w:rsidRDefault="004D32AC" w:rsidP="004D32AC">
      <w:pPr>
        <w:spacing w:after="240" w:line="360" w:lineRule="auto"/>
        <w:jc w:val="both"/>
        <w:rPr>
          <w:rFonts w:asciiTheme="majorBidi" w:hAnsiTheme="majorBidi" w:cstheme="majorBidi"/>
        </w:rPr>
      </w:pPr>
      <w:r w:rsidRPr="00F41D68">
        <w:rPr>
          <w:rFonts w:asciiTheme="majorBidi" w:hAnsiTheme="majorBidi" w:cstheme="majorBidi"/>
        </w:rPr>
        <w:t>Il est essentiel d’accompagner les professionnels RH dans la montée en compétences numériques. Des programmes de formation continue sur les SIRH, l’e-recrutement, l’e-learning ou l’analyse de données RH doivent être intégrés dans les plans de développement des compétences.</w:t>
      </w:r>
    </w:p>
    <w:p w:rsidR="004D32AC" w:rsidRDefault="00005B33" w:rsidP="004D32AC">
      <w:pPr>
        <w:spacing w:line="360" w:lineRule="auto"/>
        <w:jc w:val="both"/>
        <w:rPr>
          <w:rFonts w:asciiTheme="majorBidi" w:hAnsiTheme="majorBidi" w:cstheme="majorBidi"/>
          <w:b/>
          <w:bCs/>
        </w:rPr>
      </w:pPr>
      <w:r w:rsidRPr="00F41D68">
        <w:rPr>
          <w:rFonts w:asciiTheme="majorBidi" w:hAnsiTheme="majorBidi" w:cstheme="majorBidi"/>
          <w:b/>
          <w:bCs/>
        </w:rPr>
        <w:t>2. Adapter les outils aux besoins et à la structure de l’entreprise :</w:t>
      </w:r>
    </w:p>
    <w:p w:rsidR="004D32AC" w:rsidRDefault="004D32AC" w:rsidP="004D32AC">
      <w:pPr>
        <w:spacing w:after="240" w:line="360" w:lineRule="auto"/>
        <w:jc w:val="both"/>
        <w:rPr>
          <w:rFonts w:asciiTheme="majorBidi" w:hAnsiTheme="majorBidi" w:cstheme="majorBidi"/>
        </w:rPr>
      </w:pPr>
      <w:r w:rsidRPr="00F41D68">
        <w:rPr>
          <w:rFonts w:asciiTheme="majorBidi" w:hAnsiTheme="majorBidi" w:cstheme="majorBidi"/>
        </w:rPr>
        <w:t>L’efficacité des solutions digitales dépend de leur adéquation aux réalités internes. Il est recommandé d’adopter des solutions modulables, compatibles avec la taille de l’entreprise, ses moyens technologiques et son secteur d’activité.</w:t>
      </w:r>
    </w:p>
    <w:p w:rsidR="004D32AC" w:rsidRDefault="00005B33" w:rsidP="00005B33">
      <w:pPr>
        <w:spacing w:line="360" w:lineRule="auto"/>
        <w:jc w:val="both"/>
        <w:rPr>
          <w:rFonts w:asciiTheme="majorBidi" w:hAnsiTheme="majorBidi" w:cstheme="majorBidi"/>
          <w:b/>
          <w:bCs/>
        </w:rPr>
      </w:pPr>
      <w:r w:rsidRPr="00F41D68">
        <w:rPr>
          <w:rFonts w:asciiTheme="majorBidi" w:hAnsiTheme="majorBidi" w:cstheme="majorBidi"/>
          <w:b/>
          <w:bCs/>
        </w:rPr>
        <w:t>3. Impliquer les collaborateurs dans la transition digitale :</w:t>
      </w:r>
    </w:p>
    <w:p w:rsidR="004D32AC" w:rsidRDefault="004D32AC" w:rsidP="004D32AC">
      <w:pPr>
        <w:spacing w:after="240" w:line="360" w:lineRule="auto"/>
        <w:jc w:val="both"/>
        <w:rPr>
          <w:rFonts w:asciiTheme="majorBidi" w:hAnsiTheme="majorBidi" w:cstheme="majorBidi"/>
        </w:rPr>
      </w:pPr>
      <w:r w:rsidRPr="00F41D68">
        <w:rPr>
          <w:rFonts w:asciiTheme="majorBidi" w:hAnsiTheme="majorBidi" w:cstheme="majorBidi"/>
        </w:rPr>
        <w:t>La réussite d’un projet de digitalisation repose sur l’adhésion des utilisateurs. Il convient d’adopter une approche participative, fondée sur la communication, la transparence et la sensibilisation des équipes aux bénéfices attendus.</w:t>
      </w:r>
    </w:p>
    <w:p w:rsidR="004D32AC" w:rsidRDefault="00005B33" w:rsidP="00005B33">
      <w:pPr>
        <w:spacing w:line="360" w:lineRule="auto"/>
        <w:jc w:val="both"/>
        <w:rPr>
          <w:rFonts w:asciiTheme="majorBidi" w:hAnsiTheme="majorBidi" w:cstheme="majorBidi"/>
          <w:b/>
          <w:bCs/>
        </w:rPr>
      </w:pPr>
      <w:r w:rsidRPr="00F41D68">
        <w:rPr>
          <w:rFonts w:asciiTheme="majorBidi" w:hAnsiTheme="majorBidi" w:cstheme="majorBidi"/>
          <w:b/>
          <w:bCs/>
        </w:rPr>
        <w:t>4. Renforcer l’infrastructure technologique et la sécurité des données :</w:t>
      </w:r>
    </w:p>
    <w:p w:rsidR="004D32AC" w:rsidRDefault="004D32AC" w:rsidP="004D32AC">
      <w:pPr>
        <w:spacing w:after="240" w:line="360" w:lineRule="auto"/>
        <w:jc w:val="both"/>
        <w:rPr>
          <w:rFonts w:asciiTheme="majorBidi" w:hAnsiTheme="majorBidi" w:cstheme="majorBidi"/>
        </w:rPr>
      </w:pPr>
      <w:r w:rsidRPr="00F41D68">
        <w:rPr>
          <w:rFonts w:asciiTheme="majorBidi" w:hAnsiTheme="majorBidi" w:cstheme="majorBidi"/>
        </w:rPr>
        <w:t>La digitalisation des processus RH implique une infrastructure fiable (connexion, serveurs, outils SaaS) et une gestion rigoureuse des données personnelles. Il est indispensable d’investir dans la cybersécurité et dans la conformité avec les réglementations en vigueur.</w:t>
      </w:r>
    </w:p>
    <w:p w:rsidR="004D32AC" w:rsidRDefault="00005B33" w:rsidP="00005B33">
      <w:pPr>
        <w:spacing w:line="360" w:lineRule="auto"/>
        <w:jc w:val="both"/>
        <w:rPr>
          <w:rFonts w:asciiTheme="majorBidi" w:hAnsiTheme="majorBidi" w:cstheme="majorBidi"/>
          <w:b/>
          <w:bCs/>
        </w:rPr>
      </w:pPr>
      <w:r w:rsidRPr="00F41D68">
        <w:rPr>
          <w:rFonts w:asciiTheme="majorBidi" w:hAnsiTheme="majorBidi" w:cstheme="majorBidi"/>
          <w:b/>
          <w:bCs/>
        </w:rPr>
        <w:t>5. Intégrer la digitalisation RH dans une stratégie globale de transformation :</w:t>
      </w:r>
    </w:p>
    <w:p w:rsidR="004D32AC" w:rsidRPr="00F41D68" w:rsidRDefault="004D32AC" w:rsidP="004D32AC">
      <w:pPr>
        <w:spacing w:line="360" w:lineRule="auto"/>
        <w:jc w:val="both"/>
        <w:rPr>
          <w:rFonts w:asciiTheme="majorBidi" w:hAnsiTheme="majorBidi" w:cstheme="majorBidi"/>
        </w:rPr>
      </w:pPr>
      <w:r w:rsidRPr="00F41D68">
        <w:rPr>
          <w:rFonts w:asciiTheme="majorBidi" w:hAnsiTheme="majorBidi" w:cstheme="majorBidi"/>
        </w:rPr>
        <w:t>Les outils numériques ne doivent pas être utilisés de manière isolée. Ils doivent s’inscrire dans une stratégie cohérente d’évolution de la culture managériale, de pilotage de la performance et d’amélioration continue.</w:t>
      </w:r>
    </w:p>
    <w:p w:rsidR="00005B33" w:rsidRDefault="004D32AC" w:rsidP="004D32AC">
      <w:pPr>
        <w:spacing w:line="360" w:lineRule="auto"/>
        <w:jc w:val="both"/>
        <w:rPr>
          <w:rFonts w:asciiTheme="majorBidi" w:hAnsiTheme="majorBidi" w:cstheme="majorBidi"/>
        </w:rPr>
      </w:pPr>
      <w:r w:rsidRPr="00F41D68">
        <w:rPr>
          <w:rFonts w:asciiTheme="majorBidi" w:hAnsiTheme="majorBidi" w:cstheme="majorBidi"/>
        </w:rPr>
        <w:t>En complément, les institutions d’enseignement supérieur et les organismes de formation devraient proposer des modules spécialisés sur la transformation digitale des RH, afin de former une nouvelle génération de professionnels capables de répondre aux exigences du monde du travail numérique.</w:t>
      </w:r>
    </w:p>
    <w:p w:rsidR="00982387" w:rsidRDefault="00982387" w:rsidP="004D32AC">
      <w:pPr>
        <w:spacing w:line="360" w:lineRule="auto"/>
        <w:jc w:val="both"/>
        <w:rPr>
          <w:rFonts w:asciiTheme="majorBidi" w:hAnsiTheme="majorBidi" w:cstheme="majorBidi"/>
        </w:rPr>
      </w:pPr>
    </w:p>
    <w:p w:rsidR="00005B33" w:rsidRDefault="00005B33" w:rsidP="00005B33">
      <w:pPr>
        <w:spacing w:line="360" w:lineRule="auto"/>
        <w:jc w:val="both"/>
        <w:rPr>
          <w:rFonts w:asciiTheme="majorBidi" w:hAnsiTheme="majorBidi" w:cstheme="majorBidi"/>
          <w:b/>
          <w:bCs/>
        </w:rPr>
      </w:pPr>
      <w:r w:rsidRPr="00D47983">
        <w:rPr>
          <w:rFonts w:ascii="Segoe UI Symbol" w:hAnsi="Segoe UI Symbol" w:cs="Segoe UI Symbol"/>
        </w:rPr>
        <w:lastRenderedPageBreak/>
        <w:t>➢</w:t>
      </w:r>
      <w:r w:rsidRPr="00D47983">
        <w:rPr>
          <w:rFonts w:asciiTheme="majorBidi" w:hAnsiTheme="majorBidi" w:cstheme="majorBidi"/>
          <w:b/>
          <w:bCs/>
        </w:rPr>
        <w:t xml:space="preserve"> Perspectives</w:t>
      </w:r>
      <w:r>
        <w:rPr>
          <w:rFonts w:asciiTheme="majorBidi" w:hAnsiTheme="majorBidi" w:cstheme="majorBidi"/>
          <w:b/>
          <w:bCs/>
          <w:lang w:val="fr-FR"/>
        </w:rPr>
        <w:t xml:space="preserve"> </w:t>
      </w:r>
      <w:r w:rsidRPr="00D47983">
        <w:rPr>
          <w:rFonts w:asciiTheme="majorBidi" w:hAnsiTheme="majorBidi" w:cstheme="majorBidi"/>
          <w:b/>
          <w:bCs/>
          <w:lang w:val="fr-FR"/>
        </w:rPr>
        <w:t>de recherche</w:t>
      </w:r>
      <w:r w:rsidRPr="00D47983">
        <w:rPr>
          <w:rFonts w:asciiTheme="majorBidi" w:hAnsiTheme="majorBidi" w:cstheme="majorBidi"/>
          <w:b/>
          <w:bCs/>
        </w:rPr>
        <w:t xml:space="preserve"> :</w:t>
      </w:r>
    </w:p>
    <w:p w:rsidR="004D32AC" w:rsidRPr="00D47983" w:rsidRDefault="00005B33" w:rsidP="004D32AC">
      <w:pPr>
        <w:spacing w:after="240" w:line="360" w:lineRule="auto"/>
        <w:jc w:val="both"/>
        <w:rPr>
          <w:rFonts w:asciiTheme="majorBidi" w:hAnsiTheme="majorBidi" w:cstheme="majorBidi"/>
        </w:rPr>
      </w:pPr>
      <w:r w:rsidRPr="00D47983">
        <w:rPr>
          <w:rFonts w:asciiTheme="majorBidi" w:hAnsiTheme="majorBidi" w:cstheme="majorBidi"/>
        </w:rPr>
        <w:t>Ce travail, bien qu’il apporte des résultats solides, soulève également de nouvelles interrogations et pistes d’approfondissement. À ce titre, plusieurs </w:t>
      </w:r>
      <w:r w:rsidRPr="004D32AC">
        <w:rPr>
          <w:rFonts w:asciiTheme="majorBidi" w:hAnsiTheme="majorBidi" w:cstheme="majorBidi"/>
        </w:rPr>
        <w:t>perspectives de recherche </w:t>
      </w:r>
      <w:r w:rsidRPr="00D47983">
        <w:rPr>
          <w:rFonts w:asciiTheme="majorBidi" w:hAnsiTheme="majorBidi" w:cstheme="majorBidi"/>
        </w:rPr>
        <w:t>peuvent être envisagées :</w:t>
      </w:r>
    </w:p>
    <w:p w:rsidR="004D32AC" w:rsidRDefault="00005B33" w:rsidP="00005B33">
      <w:pPr>
        <w:spacing w:line="360" w:lineRule="auto"/>
        <w:jc w:val="both"/>
        <w:rPr>
          <w:rFonts w:asciiTheme="majorBidi" w:hAnsiTheme="majorBidi" w:cstheme="majorBidi"/>
          <w:b/>
          <w:bCs/>
        </w:rPr>
      </w:pPr>
      <w:r w:rsidRPr="00D47983">
        <w:rPr>
          <w:rFonts w:asciiTheme="majorBidi" w:hAnsiTheme="majorBidi" w:cstheme="majorBidi"/>
          <w:b/>
          <w:bCs/>
        </w:rPr>
        <w:t>1. Étendre la recherche à</w:t>
      </w:r>
      <w:r>
        <w:rPr>
          <w:rFonts w:asciiTheme="majorBidi" w:hAnsiTheme="majorBidi" w:cstheme="majorBidi"/>
          <w:b/>
          <w:bCs/>
          <w:lang w:val="fr-FR"/>
        </w:rPr>
        <w:t xml:space="preserve"> </w:t>
      </w:r>
      <w:r w:rsidRPr="00D47983">
        <w:rPr>
          <w:rFonts w:asciiTheme="majorBidi" w:hAnsiTheme="majorBidi" w:cstheme="majorBidi"/>
          <w:b/>
          <w:bCs/>
        </w:rPr>
        <w:t>d’autres fonctions RH :</w:t>
      </w:r>
    </w:p>
    <w:p w:rsidR="004D32AC" w:rsidRDefault="004D32AC" w:rsidP="004D32AC">
      <w:pPr>
        <w:spacing w:after="240" w:line="360" w:lineRule="auto"/>
        <w:jc w:val="both"/>
        <w:rPr>
          <w:rFonts w:asciiTheme="majorBidi" w:hAnsiTheme="majorBidi" w:cstheme="majorBidi"/>
        </w:rPr>
      </w:pPr>
      <w:r w:rsidRPr="00D47983">
        <w:rPr>
          <w:rFonts w:asciiTheme="majorBidi" w:hAnsiTheme="majorBidi" w:cstheme="majorBidi"/>
        </w:rPr>
        <w:t>Ce mémoire s’est concentré sur les processus de recrutement et de formation. Il serait pertinent d’explorer l’impact de la digitalisation sur d’autres volets clés comme la gestion des carrières, l’évaluation des performances, la gestion de la qualité de vie au travail (QVT) ou encore la gestion des rémunérations.</w:t>
      </w:r>
    </w:p>
    <w:p w:rsidR="004D32AC" w:rsidRDefault="00005B33" w:rsidP="00005B33">
      <w:pPr>
        <w:spacing w:line="360" w:lineRule="auto"/>
        <w:jc w:val="both"/>
        <w:rPr>
          <w:rFonts w:asciiTheme="majorBidi" w:hAnsiTheme="majorBidi" w:cstheme="majorBidi"/>
          <w:b/>
          <w:bCs/>
        </w:rPr>
      </w:pPr>
      <w:r w:rsidRPr="00D47983">
        <w:rPr>
          <w:rFonts w:asciiTheme="majorBidi" w:hAnsiTheme="majorBidi" w:cstheme="majorBidi"/>
          <w:b/>
          <w:bCs/>
        </w:rPr>
        <w:t>2. Approfondir l’analyse sectorielle et comparative :</w:t>
      </w:r>
    </w:p>
    <w:p w:rsidR="004D32AC" w:rsidRDefault="004D32AC" w:rsidP="004D32AC">
      <w:pPr>
        <w:spacing w:after="240" w:line="360" w:lineRule="auto"/>
        <w:jc w:val="both"/>
        <w:rPr>
          <w:rFonts w:asciiTheme="majorBidi" w:hAnsiTheme="majorBidi" w:cstheme="majorBidi"/>
        </w:rPr>
      </w:pPr>
      <w:r w:rsidRPr="00D47983">
        <w:rPr>
          <w:rFonts w:asciiTheme="majorBidi" w:hAnsiTheme="majorBidi" w:cstheme="majorBidi"/>
        </w:rPr>
        <w:t>Une approche comparative entre secteurs (public/privé, industriel/services, grandes entreprises/PME) permettrait de mieux cerner les spécificités, les freins et les accélérateurs de la digitalisation RH selon les contextes. Des études de cas approfondies pourraient aussi enrichir cette compréhension.</w:t>
      </w:r>
    </w:p>
    <w:p w:rsidR="004D32AC" w:rsidRDefault="00005B33" w:rsidP="00005B33">
      <w:pPr>
        <w:spacing w:line="360" w:lineRule="auto"/>
        <w:jc w:val="both"/>
        <w:rPr>
          <w:rFonts w:asciiTheme="majorBidi" w:hAnsiTheme="majorBidi" w:cstheme="majorBidi"/>
          <w:b/>
          <w:bCs/>
        </w:rPr>
      </w:pPr>
      <w:r w:rsidRPr="00D47983">
        <w:rPr>
          <w:rFonts w:asciiTheme="majorBidi" w:hAnsiTheme="majorBidi" w:cstheme="majorBidi"/>
          <w:b/>
          <w:bCs/>
        </w:rPr>
        <w:t>3. Intégrer une dimension qualitative :</w:t>
      </w:r>
    </w:p>
    <w:p w:rsidR="004D32AC" w:rsidRDefault="004D32AC" w:rsidP="004D32AC">
      <w:pPr>
        <w:spacing w:after="240" w:line="360" w:lineRule="auto"/>
        <w:jc w:val="both"/>
        <w:rPr>
          <w:rFonts w:asciiTheme="majorBidi" w:hAnsiTheme="majorBidi" w:cstheme="majorBidi"/>
        </w:rPr>
      </w:pPr>
      <w:r w:rsidRPr="00D47983">
        <w:rPr>
          <w:rFonts w:asciiTheme="majorBidi" w:hAnsiTheme="majorBidi" w:cstheme="majorBidi"/>
        </w:rPr>
        <w:t>Des entretiens semi-directifs avec des responsables RH, des dirigeants ou des salariés permettraient de recueillir des perceptions plus fines sur les résistances, les leviers d’acceptation et les enjeux humains liés à l’adoption des outils digitaux.</w:t>
      </w:r>
    </w:p>
    <w:p w:rsidR="004D32AC" w:rsidRDefault="00005B33" w:rsidP="00005B33">
      <w:pPr>
        <w:spacing w:line="360" w:lineRule="auto"/>
        <w:jc w:val="both"/>
        <w:rPr>
          <w:rFonts w:asciiTheme="majorBidi" w:hAnsiTheme="majorBidi" w:cstheme="majorBidi"/>
          <w:b/>
          <w:bCs/>
        </w:rPr>
      </w:pPr>
      <w:r w:rsidRPr="00D47983">
        <w:rPr>
          <w:rFonts w:asciiTheme="majorBidi" w:hAnsiTheme="majorBidi" w:cstheme="majorBidi"/>
          <w:b/>
          <w:bCs/>
        </w:rPr>
        <w:t>4. Évaluer les impacts sur la culture organisationnelle :</w:t>
      </w:r>
    </w:p>
    <w:p w:rsidR="004D32AC" w:rsidRDefault="004D32AC" w:rsidP="004D32AC">
      <w:pPr>
        <w:spacing w:after="240" w:line="360" w:lineRule="auto"/>
        <w:jc w:val="both"/>
        <w:rPr>
          <w:rFonts w:asciiTheme="majorBidi" w:hAnsiTheme="majorBidi" w:cstheme="majorBidi"/>
        </w:rPr>
      </w:pPr>
      <w:r w:rsidRPr="00D47983">
        <w:rPr>
          <w:rFonts w:asciiTheme="majorBidi" w:hAnsiTheme="majorBidi" w:cstheme="majorBidi"/>
        </w:rPr>
        <w:t>Une piste prometteuse serait d’analyser dans quelle mesure la digitalisation transforme les pratiques managériales, les modes de communication, la confiance au sein des équipes et l’autonomie des collaborateurs.</w:t>
      </w:r>
    </w:p>
    <w:p w:rsidR="004D32AC" w:rsidRDefault="00005B33" w:rsidP="00005B33">
      <w:pPr>
        <w:spacing w:line="360" w:lineRule="auto"/>
        <w:jc w:val="both"/>
        <w:rPr>
          <w:rFonts w:asciiTheme="majorBidi" w:hAnsiTheme="majorBidi" w:cstheme="majorBidi"/>
          <w:b/>
          <w:bCs/>
        </w:rPr>
      </w:pPr>
      <w:r w:rsidRPr="00D47983">
        <w:rPr>
          <w:rFonts w:asciiTheme="majorBidi" w:hAnsiTheme="majorBidi" w:cstheme="majorBidi"/>
          <w:b/>
          <w:bCs/>
        </w:rPr>
        <w:t>5. Suivre l’évolution de la digitalisation RH dans le temps :</w:t>
      </w:r>
    </w:p>
    <w:p w:rsidR="004D32AC" w:rsidRPr="00D47983" w:rsidRDefault="004D32AC" w:rsidP="004D32AC">
      <w:pPr>
        <w:spacing w:line="360" w:lineRule="auto"/>
        <w:jc w:val="both"/>
        <w:rPr>
          <w:rFonts w:asciiTheme="majorBidi" w:hAnsiTheme="majorBidi" w:cstheme="majorBidi"/>
        </w:rPr>
      </w:pPr>
      <w:r w:rsidRPr="00D47983">
        <w:rPr>
          <w:rFonts w:asciiTheme="majorBidi" w:hAnsiTheme="majorBidi" w:cstheme="majorBidi"/>
        </w:rPr>
        <w:t>Des recherches longitudinales permettraient de mesurer les effets durables de la digitalisation sur la performance RH et organisationnelle, ainsi que l’évolution des pratiques sur plusieurs années.</w:t>
      </w:r>
    </w:p>
    <w:p w:rsidR="004D32AC" w:rsidRDefault="004D32AC" w:rsidP="004D32AC">
      <w:pPr>
        <w:spacing w:line="360" w:lineRule="auto"/>
        <w:jc w:val="both"/>
        <w:rPr>
          <w:rFonts w:asciiTheme="majorBidi" w:hAnsiTheme="majorBidi" w:cstheme="majorBidi"/>
        </w:rPr>
      </w:pPr>
      <w:r w:rsidRPr="00D47983">
        <w:rPr>
          <w:rFonts w:asciiTheme="majorBidi" w:hAnsiTheme="majorBidi" w:cstheme="majorBidi"/>
        </w:rPr>
        <w:t>En somme, la digitalisation des ressources humaines constitue un champ d’étude en pleine expansion, dont les enjeux dépassent la simple modernisation technique pour interroger en profondeur les modes de gestion, la relation au travail et les dynamiques d’innovation organisationnelle.</w:t>
      </w:r>
    </w:p>
    <w:p w:rsidR="00982387" w:rsidRDefault="00982387" w:rsidP="004D32AC">
      <w:pPr>
        <w:spacing w:line="360" w:lineRule="auto"/>
        <w:jc w:val="both"/>
        <w:rPr>
          <w:rFonts w:asciiTheme="majorBidi" w:hAnsiTheme="majorBidi" w:cstheme="majorBidi"/>
        </w:rPr>
      </w:pPr>
    </w:p>
    <w:p w:rsidR="00982387" w:rsidRDefault="00982387" w:rsidP="004D32AC">
      <w:pPr>
        <w:spacing w:line="360" w:lineRule="auto"/>
        <w:jc w:val="both"/>
        <w:rPr>
          <w:rFonts w:asciiTheme="majorBidi" w:hAnsiTheme="majorBidi" w:cstheme="majorBidi"/>
        </w:rPr>
      </w:pPr>
    </w:p>
    <w:p w:rsidR="00005B33" w:rsidRPr="00F41D68" w:rsidRDefault="00005B33" w:rsidP="00005B33">
      <w:pPr>
        <w:spacing w:line="360" w:lineRule="auto"/>
        <w:jc w:val="both"/>
        <w:rPr>
          <w:rFonts w:asciiTheme="majorBidi" w:hAnsiTheme="majorBidi" w:cstheme="majorBidi"/>
        </w:rPr>
      </w:pPr>
      <w:r w:rsidRPr="00F41D68">
        <w:rPr>
          <w:rFonts w:ascii="Segoe UI Symbol" w:hAnsi="Segoe UI Symbol" w:cs="Segoe UI Symbol"/>
        </w:rPr>
        <w:t>➢</w:t>
      </w:r>
      <w:r w:rsidRPr="00F41D68">
        <w:rPr>
          <w:rFonts w:asciiTheme="majorBidi" w:hAnsiTheme="majorBidi" w:cstheme="majorBidi"/>
          <w:b/>
          <w:bCs/>
        </w:rPr>
        <w:t xml:space="preserve"> Limites</w:t>
      </w:r>
      <w:r>
        <w:rPr>
          <w:rFonts w:asciiTheme="majorBidi" w:hAnsiTheme="majorBidi" w:cstheme="majorBidi"/>
          <w:b/>
          <w:bCs/>
          <w:lang w:val="fr-FR"/>
        </w:rPr>
        <w:t xml:space="preserve"> </w:t>
      </w:r>
      <w:r w:rsidRPr="00F41D68">
        <w:rPr>
          <w:rFonts w:asciiTheme="majorBidi" w:hAnsiTheme="majorBidi" w:cstheme="majorBidi"/>
          <w:b/>
          <w:bCs/>
        </w:rPr>
        <w:t>de la recherche :</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Malgré les résultats pertinents obtenus, cette recherche présente certaines limites qu’il convient de reconnaître afin d’en situer la portée.</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Tout d’abord, l’étude repose sur une </w:t>
      </w:r>
      <w:r w:rsidRPr="004D32AC">
        <w:rPr>
          <w:rFonts w:asciiTheme="majorBidi" w:hAnsiTheme="majorBidi" w:cstheme="majorBidi"/>
        </w:rPr>
        <w:t>approche quantitative</w:t>
      </w:r>
      <w:r w:rsidRPr="00F41D68">
        <w:rPr>
          <w:rFonts w:asciiTheme="majorBidi" w:hAnsiTheme="majorBidi" w:cstheme="majorBidi"/>
        </w:rPr>
        <w:t>, ce qui limite la profondeur d’analyse des perceptions individuelles et des dynamiques internes aux organisations. Une approche mixte, intégrant des entretiens qualitatifs, aurait permis d’explorer plus finement les résistances, les attentes et les logiques d’appropriation de la digitalisation au sein des services RH.</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Ensuite, le </w:t>
      </w:r>
      <w:r w:rsidRPr="004D32AC">
        <w:rPr>
          <w:rFonts w:asciiTheme="majorBidi" w:hAnsiTheme="majorBidi" w:cstheme="majorBidi"/>
        </w:rPr>
        <w:t>questionnaire a été diffusé en ligne</w:t>
      </w:r>
      <w:r w:rsidRPr="00F41D68">
        <w:rPr>
          <w:rFonts w:asciiTheme="majorBidi" w:hAnsiTheme="majorBidi" w:cstheme="majorBidi"/>
        </w:rPr>
        <w:t>, notamment via LinkedIn, ce qui a permis d’atteindre une population qualifiée, mais qui peut introduire un </w:t>
      </w:r>
      <w:r w:rsidRPr="004D32AC">
        <w:rPr>
          <w:rFonts w:asciiTheme="majorBidi" w:hAnsiTheme="majorBidi" w:cstheme="majorBidi"/>
        </w:rPr>
        <w:t>biais de sélection</w:t>
      </w:r>
      <w:r w:rsidRPr="00F41D68">
        <w:rPr>
          <w:rFonts w:asciiTheme="majorBidi" w:hAnsiTheme="majorBidi" w:cstheme="majorBidi"/>
        </w:rPr>
        <w:t>. Les répondants sont en effet plus susceptibles d’avoir une appétence pour les outils digitaux, ce qui pourrait surestimer le niveau de maturité numérique réel du terrain.</w:t>
      </w:r>
    </w:p>
    <w:p w:rsidR="00005B33" w:rsidRPr="00F41D68"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Par ailleurs, bien que l’échantillon de 170 réponses soit statistiquement exploitable, il reste limité pour une </w:t>
      </w:r>
      <w:r w:rsidRPr="004D32AC">
        <w:rPr>
          <w:rFonts w:asciiTheme="majorBidi" w:hAnsiTheme="majorBidi" w:cstheme="majorBidi"/>
        </w:rPr>
        <w:t>généralisation à l’ensemble des entreprises algériennes</w:t>
      </w:r>
      <w:r w:rsidRPr="00F41D68">
        <w:rPr>
          <w:rFonts w:asciiTheme="majorBidi" w:hAnsiTheme="majorBidi" w:cstheme="majorBidi"/>
        </w:rPr>
        <w:t>, notamment en ce qui concerne les TPE, les PME traditionnelles ou les secteurs publics. De plus, certaines variables contextuelles (taille, secteur, culture d’entreprise) n’ont pas pu être explorées en profondeur.</w:t>
      </w:r>
    </w:p>
    <w:p w:rsidR="00005B33" w:rsidRDefault="00005B33" w:rsidP="004D32AC">
      <w:pPr>
        <w:spacing w:after="240" w:line="360" w:lineRule="auto"/>
        <w:jc w:val="both"/>
        <w:rPr>
          <w:rFonts w:asciiTheme="majorBidi" w:hAnsiTheme="majorBidi" w:cstheme="majorBidi"/>
        </w:rPr>
      </w:pPr>
      <w:r w:rsidRPr="00F41D68">
        <w:rPr>
          <w:rFonts w:asciiTheme="majorBidi" w:hAnsiTheme="majorBidi" w:cstheme="majorBidi"/>
        </w:rPr>
        <w:t>Enfin, les outils statistiques utilisés (SPSS et SmartPLS) permettent une modélisation avancée, mais leur interprétation reste conditionnée par la qualité des données déclaratives, ce qui impose prudence et recul dans les conclusions.</w:t>
      </w:r>
    </w:p>
    <w:p w:rsidR="00005B33" w:rsidRPr="00D47983" w:rsidRDefault="00005B33" w:rsidP="004D32AC">
      <w:pPr>
        <w:spacing w:after="240" w:line="360" w:lineRule="auto"/>
        <w:jc w:val="both"/>
        <w:rPr>
          <w:rFonts w:asciiTheme="majorBidi" w:hAnsiTheme="majorBidi" w:cstheme="majorBidi"/>
        </w:rPr>
      </w:pPr>
      <w:r w:rsidRPr="00D47983">
        <w:rPr>
          <w:rFonts w:asciiTheme="majorBidi" w:hAnsiTheme="majorBidi" w:cstheme="majorBidi"/>
        </w:rPr>
        <w:t>En définitive, ce mémoire a permis de démontrer que la digitalisation des processus RH, lorsqu’elle est pensée de manière stratégique et intégrée, constitue un levier puissant d’optimisation de la performance des ressources humaines. À travers une approche rigoureuse, combinant cadre théorique solide et étude empirique représentative, ce travail a mis en lumière les effets positifs de la digitalisation sur le recrutement et la formation, tout en révélant leur rôle modérateur dans la relation entre transformation numérique et performance globale.</w:t>
      </w:r>
    </w:p>
    <w:p w:rsidR="00005B33" w:rsidRPr="00D47983" w:rsidRDefault="00005B33" w:rsidP="004D32AC">
      <w:pPr>
        <w:spacing w:after="240" w:line="360" w:lineRule="auto"/>
        <w:jc w:val="both"/>
        <w:rPr>
          <w:rFonts w:asciiTheme="majorBidi" w:hAnsiTheme="majorBidi" w:cstheme="majorBidi"/>
        </w:rPr>
      </w:pPr>
      <w:r w:rsidRPr="00D47983">
        <w:rPr>
          <w:rFonts w:asciiTheme="majorBidi" w:hAnsiTheme="majorBidi" w:cstheme="majorBidi"/>
        </w:rPr>
        <w:t xml:space="preserve">Plus qu’une simple modernisation technologique, la digitalisation des ressources humaines engage les entreprises dans un changement de paradigme : un passage d’une gestion administrative vers une gestion intelligente, connectée et centrée sur la création de valeur. Cette transition implique non seulement l’acquisition d’outils numériques, mais aussi une révision </w:t>
      </w:r>
      <w:r w:rsidRPr="00D47983">
        <w:rPr>
          <w:rFonts w:asciiTheme="majorBidi" w:hAnsiTheme="majorBidi" w:cstheme="majorBidi"/>
        </w:rPr>
        <w:lastRenderedPageBreak/>
        <w:t>des pratiques managériales, une adaptation culturelle et une volonté forte d’investissement dans le capital humain.</w:t>
      </w:r>
    </w:p>
    <w:p w:rsidR="00005B33" w:rsidRPr="00D47983" w:rsidRDefault="00005B33" w:rsidP="004D32AC">
      <w:pPr>
        <w:spacing w:after="240" w:line="360" w:lineRule="auto"/>
        <w:jc w:val="both"/>
        <w:rPr>
          <w:rFonts w:asciiTheme="majorBidi" w:hAnsiTheme="majorBidi" w:cstheme="majorBidi"/>
        </w:rPr>
      </w:pPr>
      <w:r w:rsidRPr="00D47983">
        <w:rPr>
          <w:rFonts w:asciiTheme="majorBidi" w:hAnsiTheme="majorBidi" w:cstheme="majorBidi"/>
        </w:rPr>
        <w:t>Ce travail se veut ainsi une contribution à la réflexion académique sur l’évolution des fonctions RH à l’ère digitale, mais également un guide pragmatique pour les professionnels soucieux d’aligner leurs pratiques sur les exigences d’un monde du travail en profonde mutation.</w:t>
      </w:r>
    </w:p>
    <w:p w:rsidR="00005B33" w:rsidRPr="00D3461F" w:rsidRDefault="00005B33" w:rsidP="004D32AC">
      <w:pPr>
        <w:spacing w:after="240" w:line="360" w:lineRule="auto"/>
        <w:jc w:val="both"/>
        <w:rPr>
          <w:rFonts w:asciiTheme="majorBidi" w:hAnsiTheme="majorBidi" w:cstheme="majorBidi"/>
        </w:rPr>
      </w:pPr>
      <w:r w:rsidRPr="00D47983">
        <w:rPr>
          <w:rFonts w:asciiTheme="majorBidi" w:hAnsiTheme="majorBidi" w:cstheme="majorBidi"/>
        </w:rPr>
        <w:t>En tant qu’étudiantes en management stratégique, la réalisation de ce mémoire nous a permis de mobiliser nos acquis théoriques, d’exercer notre esprit d’analyse, et de renforcer notre posture professionnelle face à des problématiques concrètes de transformation organisationnelle. Ce projet marque ainsi une étape significative dans notre parcours, tant sur le plan intellectuel que sur le plan humain.</w:t>
      </w:r>
    </w:p>
    <w:p w:rsidR="009542E0" w:rsidRPr="00005B33" w:rsidRDefault="009542E0" w:rsidP="009542E0">
      <w:pPr>
        <w:jc w:val="center"/>
        <w:rPr>
          <w:rFonts w:asciiTheme="majorBidi" w:hAnsiTheme="majorBidi" w:cstheme="majorBidi"/>
          <w:b/>
          <w:bCs/>
          <w:sz w:val="72"/>
          <w:szCs w:val="72"/>
        </w:rPr>
      </w:pPr>
    </w:p>
    <w:p w:rsidR="009542E0" w:rsidRDefault="009542E0" w:rsidP="009542E0">
      <w:pPr>
        <w:jc w:val="center"/>
        <w:rPr>
          <w:rFonts w:asciiTheme="majorBidi" w:hAnsiTheme="majorBidi" w:cstheme="majorBidi"/>
          <w:b/>
          <w:bCs/>
          <w:sz w:val="72"/>
          <w:szCs w:val="72"/>
          <w:lang w:val="fr-FR"/>
        </w:rPr>
      </w:pPr>
    </w:p>
    <w:p w:rsidR="009542E0" w:rsidRDefault="009542E0" w:rsidP="009542E0">
      <w:pPr>
        <w:jc w:val="center"/>
        <w:rPr>
          <w:rFonts w:asciiTheme="majorBidi" w:hAnsiTheme="majorBidi" w:cstheme="majorBidi"/>
          <w:b/>
          <w:bCs/>
          <w:sz w:val="72"/>
          <w:szCs w:val="72"/>
          <w:lang w:val="fr-FR"/>
        </w:rPr>
      </w:pPr>
    </w:p>
    <w:p w:rsidR="009542E0" w:rsidRDefault="009542E0" w:rsidP="009542E0">
      <w:pPr>
        <w:jc w:val="center"/>
        <w:rPr>
          <w:rFonts w:asciiTheme="majorBidi" w:hAnsiTheme="majorBidi" w:cstheme="majorBidi"/>
          <w:b/>
          <w:bCs/>
          <w:sz w:val="72"/>
          <w:szCs w:val="72"/>
          <w:lang w:val="fr-FR"/>
        </w:rPr>
      </w:pPr>
    </w:p>
    <w:p w:rsidR="009542E0" w:rsidRDefault="009542E0" w:rsidP="009542E0">
      <w:pPr>
        <w:jc w:val="center"/>
        <w:rPr>
          <w:rFonts w:asciiTheme="majorBidi" w:hAnsiTheme="majorBidi" w:cstheme="majorBidi"/>
          <w:b/>
          <w:bCs/>
          <w:sz w:val="72"/>
          <w:szCs w:val="72"/>
          <w:lang w:val="fr-FR"/>
        </w:rPr>
      </w:pPr>
    </w:p>
    <w:p w:rsidR="009542E0" w:rsidRDefault="009542E0" w:rsidP="009542E0">
      <w:pPr>
        <w:pStyle w:val="Titre3"/>
        <w:jc w:val="center"/>
        <w:rPr>
          <w:sz w:val="72"/>
          <w:szCs w:val="72"/>
        </w:rPr>
      </w:pPr>
    </w:p>
    <w:p w:rsidR="004D32AC" w:rsidRDefault="004D32AC" w:rsidP="009542E0">
      <w:pPr>
        <w:pStyle w:val="Titre3"/>
        <w:jc w:val="center"/>
        <w:rPr>
          <w:sz w:val="72"/>
          <w:szCs w:val="72"/>
        </w:rPr>
      </w:pPr>
    </w:p>
    <w:p w:rsidR="004D32AC" w:rsidRDefault="004D32AC" w:rsidP="009542E0">
      <w:pPr>
        <w:pStyle w:val="Titre3"/>
        <w:jc w:val="center"/>
        <w:rPr>
          <w:sz w:val="72"/>
          <w:szCs w:val="72"/>
        </w:rPr>
      </w:pPr>
    </w:p>
    <w:p w:rsidR="004D32AC" w:rsidRDefault="004D32AC" w:rsidP="009542E0">
      <w:pPr>
        <w:pStyle w:val="Titre3"/>
        <w:jc w:val="center"/>
        <w:rPr>
          <w:sz w:val="72"/>
          <w:szCs w:val="72"/>
        </w:rPr>
      </w:pPr>
    </w:p>
    <w:p w:rsidR="004D32AC" w:rsidRDefault="004D32AC" w:rsidP="009542E0">
      <w:pPr>
        <w:pStyle w:val="Titre3"/>
        <w:jc w:val="center"/>
        <w:rPr>
          <w:sz w:val="72"/>
          <w:szCs w:val="72"/>
        </w:rPr>
      </w:pPr>
    </w:p>
    <w:p w:rsidR="004D32AC" w:rsidRDefault="004D32AC" w:rsidP="009542E0">
      <w:pPr>
        <w:pStyle w:val="Titre3"/>
        <w:jc w:val="center"/>
        <w:rPr>
          <w:sz w:val="72"/>
          <w:szCs w:val="72"/>
        </w:rPr>
      </w:pPr>
    </w:p>
    <w:p w:rsidR="004D32AC" w:rsidRDefault="004D32AC" w:rsidP="009542E0">
      <w:pPr>
        <w:pStyle w:val="Titre3"/>
        <w:jc w:val="center"/>
        <w:rPr>
          <w:sz w:val="72"/>
          <w:szCs w:val="72"/>
        </w:rPr>
      </w:pPr>
    </w:p>
    <w:p w:rsidR="004D32AC" w:rsidRDefault="004D32AC" w:rsidP="009542E0">
      <w:pPr>
        <w:pStyle w:val="Titre3"/>
        <w:jc w:val="center"/>
        <w:rPr>
          <w:sz w:val="72"/>
          <w:szCs w:val="72"/>
        </w:rPr>
      </w:pPr>
    </w:p>
    <w:p w:rsidR="00D421AD" w:rsidRDefault="00D421AD" w:rsidP="009542E0">
      <w:pPr>
        <w:pStyle w:val="Titre3"/>
        <w:jc w:val="center"/>
        <w:rPr>
          <w:sz w:val="72"/>
          <w:szCs w:val="72"/>
        </w:rPr>
      </w:pPr>
    </w:p>
    <w:p w:rsidR="009542E0" w:rsidRDefault="009542E0" w:rsidP="009542E0">
      <w:pPr>
        <w:pStyle w:val="Titre3"/>
        <w:jc w:val="center"/>
        <w:rPr>
          <w:sz w:val="72"/>
          <w:szCs w:val="72"/>
        </w:rPr>
      </w:pPr>
      <w:bookmarkStart w:id="2452" w:name="_Toc200486876"/>
      <w:bookmarkStart w:id="2453" w:name="_Toc200635654"/>
      <w:bookmarkStart w:id="2454" w:name="_Toc200636042"/>
      <w:bookmarkStart w:id="2455" w:name="_Toc200636431"/>
      <w:bookmarkStart w:id="2456" w:name="_Toc200756172"/>
      <w:r w:rsidRPr="00194E42">
        <w:rPr>
          <w:sz w:val="72"/>
          <w:szCs w:val="72"/>
        </w:rPr>
        <w:t>BIBLIOGRAPHIE</w:t>
      </w:r>
      <w:bookmarkEnd w:id="2452"/>
      <w:bookmarkEnd w:id="2453"/>
      <w:bookmarkEnd w:id="2454"/>
      <w:bookmarkEnd w:id="2455"/>
      <w:bookmarkEnd w:id="2456"/>
    </w:p>
    <w:p w:rsidR="009542E0" w:rsidRDefault="009542E0" w:rsidP="009542E0">
      <w:pPr>
        <w:pStyle w:val="Titre3"/>
        <w:jc w:val="center"/>
        <w:rPr>
          <w:sz w:val="72"/>
          <w:szCs w:val="72"/>
        </w:rPr>
      </w:pPr>
    </w:p>
    <w:p w:rsidR="009542E0" w:rsidRDefault="009542E0" w:rsidP="009542E0">
      <w:pPr>
        <w:pStyle w:val="Titre3"/>
        <w:jc w:val="center"/>
        <w:rPr>
          <w:sz w:val="72"/>
          <w:szCs w:val="72"/>
        </w:rPr>
      </w:pPr>
    </w:p>
    <w:p w:rsidR="009542E0" w:rsidRDefault="009542E0" w:rsidP="009542E0">
      <w:pPr>
        <w:pStyle w:val="Titre3"/>
        <w:jc w:val="center"/>
        <w:rPr>
          <w:sz w:val="72"/>
          <w:szCs w:val="72"/>
        </w:rPr>
      </w:pPr>
    </w:p>
    <w:p w:rsidR="009542E0" w:rsidRDefault="009542E0" w:rsidP="009542E0">
      <w:pPr>
        <w:pStyle w:val="Titre3"/>
        <w:jc w:val="center"/>
        <w:rPr>
          <w:sz w:val="72"/>
          <w:szCs w:val="72"/>
        </w:rPr>
      </w:pPr>
    </w:p>
    <w:p w:rsidR="009542E0" w:rsidRDefault="009542E0" w:rsidP="009542E0">
      <w:pPr>
        <w:pStyle w:val="Titre3"/>
        <w:jc w:val="center"/>
        <w:rPr>
          <w:sz w:val="72"/>
          <w:szCs w:val="72"/>
        </w:rPr>
      </w:pPr>
    </w:p>
    <w:p w:rsidR="009542E0" w:rsidRDefault="009542E0" w:rsidP="009542E0">
      <w:pPr>
        <w:pStyle w:val="Titre3"/>
        <w:jc w:val="center"/>
        <w:rPr>
          <w:sz w:val="72"/>
          <w:szCs w:val="72"/>
        </w:rPr>
      </w:pPr>
    </w:p>
    <w:p w:rsidR="00D200FC" w:rsidRDefault="00D200FC" w:rsidP="00E41347">
      <w:pPr>
        <w:spacing w:after="240" w:line="360" w:lineRule="auto"/>
        <w:rPr>
          <w:b/>
          <w:bCs/>
          <w:color w:val="000000"/>
          <w:sz w:val="32"/>
          <w:szCs w:val="32"/>
          <w:lang w:eastAsia="fr-FR"/>
        </w:rPr>
        <w:sectPr w:rsidR="00D200FC" w:rsidSect="00D91E89">
          <w:headerReference w:type="default" r:id="rId133"/>
          <w:pgSz w:w="11900" w:h="16840"/>
          <w:pgMar w:top="1440" w:right="1440" w:bottom="1440" w:left="1440" w:header="708" w:footer="708" w:gutter="0"/>
          <w:cols w:space="708"/>
          <w:docGrid w:linePitch="360"/>
        </w:sectPr>
      </w:pPr>
    </w:p>
    <w:p w:rsidR="009542E0" w:rsidRDefault="009542E0" w:rsidP="00E41347">
      <w:pPr>
        <w:spacing w:after="240" w:line="360" w:lineRule="auto"/>
        <w:rPr>
          <w:b/>
          <w:bCs/>
          <w:color w:val="000000"/>
          <w:sz w:val="32"/>
          <w:szCs w:val="32"/>
          <w:lang w:eastAsia="fr-FR"/>
        </w:rPr>
      </w:pPr>
      <w:r w:rsidRPr="00A87B05">
        <w:rPr>
          <w:b/>
          <w:bCs/>
          <w:color w:val="000000"/>
          <w:sz w:val="32"/>
          <w:szCs w:val="32"/>
          <w:lang w:eastAsia="fr-FR"/>
        </w:rPr>
        <w:lastRenderedPageBreak/>
        <w:t>Bibliographie:</w:t>
      </w:r>
    </w:p>
    <w:p w:rsidR="002F1C27" w:rsidRPr="002F1C27" w:rsidRDefault="002F1C27" w:rsidP="004D32AC">
      <w:pPr>
        <w:pStyle w:val="Paragraphedeliste"/>
        <w:numPr>
          <w:ilvl w:val="0"/>
          <w:numId w:val="205"/>
        </w:numPr>
        <w:spacing w:line="360" w:lineRule="auto"/>
        <w:jc w:val="both"/>
        <w:outlineLvl w:val="2"/>
        <w:rPr>
          <w:rFonts w:asciiTheme="majorBidi" w:eastAsia="Times New Roman" w:hAnsiTheme="majorBidi" w:cstheme="majorBidi"/>
          <w:b/>
          <w:bCs/>
          <w:color w:val="000000"/>
          <w:kern w:val="0"/>
          <w14:ligatures w14:val="none"/>
        </w:rPr>
      </w:pPr>
      <w:bookmarkStart w:id="2457" w:name="_Toc200486877"/>
      <w:bookmarkStart w:id="2458" w:name="_Toc200635655"/>
      <w:bookmarkStart w:id="2459" w:name="_Toc200636043"/>
      <w:bookmarkStart w:id="2460" w:name="_Toc200636432"/>
      <w:bookmarkStart w:id="2461" w:name="_Toc200756173"/>
      <w:r w:rsidRPr="002F1C27">
        <w:rPr>
          <w:rFonts w:asciiTheme="majorBidi" w:hAnsiTheme="majorBidi" w:cstheme="majorBidi"/>
          <w:b/>
          <w:bCs/>
          <w:color w:val="000000"/>
        </w:rPr>
        <w:t>Ouvrages</w:t>
      </w:r>
      <w:bookmarkEnd w:id="2457"/>
      <w:bookmarkEnd w:id="2458"/>
      <w:bookmarkEnd w:id="2459"/>
      <w:bookmarkEnd w:id="2460"/>
      <w:bookmarkEnd w:id="2461"/>
      <w:r w:rsidRPr="002F1C27">
        <w:rPr>
          <w:rFonts w:asciiTheme="majorBidi" w:hAnsiTheme="majorBidi" w:cstheme="majorBidi"/>
          <w:b/>
          <w:bCs/>
          <w:color w:val="000000"/>
        </w:rPr>
        <w:t> </w:t>
      </w:r>
    </w:p>
    <w:p w:rsidR="002F1C27" w:rsidRPr="00F8352C" w:rsidRDefault="002F1C27" w:rsidP="004D32AC">
      <w:pPr>
        <w:numPr>
          <w:ilvl w:val="0"/>
          <w:numId w:val="199"/>
        </w:numPr>
        <w:spacing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Aguinis, H., &amp; Kraiger, K. (2009). Benefits of training and development for individuals and teams, organizations, and society. Annual Review of Psychology, 60(1), 451–474.</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Armstrong, M. (2017). Armstrong’s handbook of human resource management practice (14e éd.). Kogan Page.</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Armstrong, M. (2019). Handbook of human resource management practice (15e éd.). Kogan Page.</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Armstrong, M., &amp; Taylor, S. (2014). Human resource management practice (13e éd.). Kogan Page.</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Armstrong, M., &amp; Taylor, S. (2020). Armstrong's handbook of human resource management practice (15e éd.). Kogan Page.</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Barabel, M., Bonetto, T., Meier, O., Perret, A., &amp; Teboul, T. (2020). IA et développement des compétences : vers des « organisations apprenantes augmentées » ? Dans M. Barabel, O. Meier, A. Perret, &amp; T. Teboul (Éds.), Le grand livre de la formation – 3e éd. (pp. 491–505). Dunod.</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Barabel, M., Lamri, J., Meier, O., &amp; Sirbey, B. (2017). Fidéliser et anticiper : la gestion des carrières et le management des talents. Dans Innovations RH : Passer en mode digital et agile (pp. 295–321). Dunod.</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Barthe, P. (2021). L’apprentissage à l’ère du numérique. Presses Universitaires de Lyon.</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Babbie, E. (2013). The practice of social research (13e éd.). Wadsworth.</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Barabel, M., &amp; Meier, O. (2020). Les RH à l’ère du Covid-19 : Les bonnes pratiques à retenir. Dunod.</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Bellier, P. (2021). La formation digitale en entreprise : Stratégies et pratiques. Dunod.</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Bernard, A. (2018). Les nouvelles méthodes d’apprentissage : Enjeux et défis. Dunod.</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Bernard, P. (2021). Les LMS et la digitalisation de la formation. Dans S. Lefebvre (Dir.), Stratégies d’apprentissage numérique (pp. 167–180). Vuibert.</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Bertalanffy, L. von. (1968). General system theory: Foundations, development, applications. George Braziller.</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Besson, L., &amp; Digout, J. (2012). E-recrutement à l’ère du web 2.0 et des réseaux sociaux. Vuibert.</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lastRenderedPageBreak/>
        <w:t>Blons, E. (2023). Un rapide tour d’horizon des RH aujourd’hui. Dans L’IA au cœur de l’entreprise : Une alliée pour votre stratégie RH (pp. 14–23). EMS Éditions.</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Bourdet, P. (2020). L’apprentissage à distance : Histoire et perspectives. Presses Universitaires de France.</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Bouvard, P. (2015). #RHreconnect : Idées, pratiques et outils RH pour l’avenir de l’entreprise. EMS Éditions.</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Bratton, J., &amp; Gold, J. (2017). Human resource management: Theory and practice (6e éd.). Palgrave Macmillan.</w:t>
      </w:r>
    </w:p>
    <w:p w:rsidR="002F1C27" w:rsidRPr="00F8352C" w:rsidRDefault="002F1C27" w:rsidP="004D32AC">
      <w:pPr>
        <w:numPr>
          <w:ilvl w:val="0"/>
          <w:numId w:val="199"/>
        </w:numPr>
        <w:spacing w:before="100" w:beforeAutospacing="1" w:after="100" w:afterAutospacing="1" w:line="360" w:lineRule="auto"/>
        <w:jc w:val="both"/>
        <w:rPr>
          <w:rFonts w:asciiTheme="majorBidi" w:hAnsiTheme="majorBidi" w:cstheme="majorBidi"/>
          <w:color w:val="000000"/>
        </w:rPr>
      </w:pPr>
      <w:r w:rsidRPr="00F8352C">
        <w:rPr>
          <w:rFonts w:asciiTheme="majorBidi" w:hAnsiTheme="majorBidi" w:cstheme="majorBidi"/>
          <w:color w:val="000000"/>
        </w:rPr>
        <w:t>Brewster, C., Chung, C., &amp; Sparrow, P. (2016). Globalizing human resource management (2e éd.). Routledge.</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Bryman, A. (2016).</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Social research methods</w:t>
      </w:r>
      <w:r w:rsidRPr="00F8352C">
        <w:rPr>
          <w:rStyle w:val="apple-converted-space"/>
          <w:rFonts w:asciiTheme="majorBidi" w:hAnsiTheme="majorBidi" w:cstheme="majorBidi"/>
        </w:rPr>
        <w:t> </w:t>
      </w:r>
      <w:r w:rsidRPr="00F8352C">
        <w:rPr>
          <w:rFonts w:asciiTheme="majorBidi" w:hAnsiTheme="majorBidi" w:cstheme="majorBidi"/>
        </w:rPr>
        <w:t>(5e éd.). Oxford University Press.</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Brynjolfsson, E., &amp; McAfee, A. (2014).</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The second machine age: Work, progress, and prosperity in a time of brilliant technologies.</w:t>
      </w:r>
      <w:r w:rsidRPr="00F8352C">
        <w:rPr>
          <w:rStyle w:val="apple-converted-space"/>
          <w:rFonts w:asciiTheme="majorBidi" w:hAnsiTheme="majorBidi" w:cstheme="majorBidi"/>
        </w:rPr>
        <w:t> </w:t>
      </w:r>
      <w:r w:rsidRPr="00F8352C">
        <w:rPr>
          <w:rFonts w:asciiTheme="majorBidi" w:hAnsiTheme="majorBidi" w:cstheme="majorBidi"/>
        </w:rPr>
        <w:t>W. W. Norton &amp; Company.</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Cadin, L., Guérin, F., &amp; Pigeyre, F. (2012).</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Gestion des ressources humaines</w:t>
      </w:r>
      <w:r w:rsidRPr="00F8352C">
        <w:rPr>
          <w:rStyle w:val="apple-converted-space"/>
          <w:rFonts w:asciiTheme="majorBidi" w:hAnsiTheme="majorBidi" w:cstheme="majorBidi"/>
        </w:rPr>
        <w:t> </w:t>
      </w:r>
      <w:r w:rsidRPr="00F8352C">
        <w:rPr>
          <w:rFonts w:asciiTheme="majorBidi" w:hAnsiTheme="majorBidi" w:cstheme="majorBidi"/>
        </w:rPr>
        <w:t>(12e éd.). Dunod.</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CARDIN, L., et al. (2000).</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Gestion des ressources humaines : Pratique et éléments de théorie.</w:t>
      </w:r>
      <w:r w:rsidRPr="00F8352C">
        <w:rPr>
          <w:rStyle w:val="apple-converted-space"/>
          <w:rFonts w:asciiTheme="majorBidi" w:hAnsiTheme="majorBidi" w:cstheme="majorBidi"/>
        </w:rPr>
        <w:t> </w:t>
      </w:r>
      <w:r w:rsidRPr="00F8352C">
        <w:rPr>
          <w:rFonts w:asciiTheme="majorBidi" w:hAnsiTheme="majorBidi" w:cstheme="majorBidi"/>
        </w:rPr>
        <w:t>Dunod.</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CERDIN, J.-L. (2015).</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La cogestion des carrières.</w:t>
      </w:r>
      <w:r w:rsidRPr="00F8352C">
        <w:rPr>
          <w:rStyle w:val="apple-converted-space"/>
          <w:rFonts w:asciiTheme="majorBidi" w:hAnsiTheme="majorBidi" w:cstheme="majorBidi"/>
        </w:rPr>
        <w:t> </w:t>
      </w:r>
      <w:r w:rsidRPr="00F8352C">
        <w:rPr>
          <w:rFonts w:asciiTheme="majorBidi" w:hAnsiTheme="majorBidi" w:cstheme="majorBidi"/>
        </w:rPr>
        <w:t>EMS Management &amp; Société.</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Cohen, A. (2006).</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Toute la fonction ressources humaines.</w:t>
      </w:r>
      <w:r w:rsidRPr="00F8352C">
        <w:rPr>
          <w:rStyle w:val="apple-converted-space"/>
          <w:rFonts w:asciiTheme="majorBidi" w:hAnsiTheme="majorBidi" w:cstheme="majorBidi"/>
        </w:rPr>
        <w:t> </w:t>
      </w:r>
      <w:r w:rsidRPr="00F8352C">
        <w:rPr>
          <w:rFonts w:asciiTheme="majorBidi" w:hAnsiTheme="majorBidi" w:cstheme="majorBidi"/>
        </w:rPr>
        <w:t>Dunod.</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Collis, J., &amp; Hussey, R. (2014).</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Business research: A practical guide for undergraduate and postgraduate students</w:t>
      </w:r>
      <w:r w:rsidRPr="00F8352C">
        <w:rPr>
          <w:rStyle w:val="apple-converted-space"/>
          <w:rFonts w:asciiTheme="majorBidi" w:hAnsiTheme="majorBidi" w:cstheme="majorBidi"/>
        </w:rPr>
        <w:t> </w:t>
      </w:r>
      <w:r w:rsidRPr="00F8352C">
        <w:rPr>
          <w:rFonts w:asciiTheme="majorBidi" w:hAnsiTheme="majorBidi" w:cstheme="majorBidi"/>
        </w:rPr>
        <w:t>(4e éd.). Palgrave Macmillan.</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Coulaty, B. (2024).</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Développement des compétences stratégiques RH.</w:t>
      </w:r>
      <w:r w:rsidRPr="00F8352C">
        <w:rPr>
          <w:rStyle w:val="apple-converted-space"/>
          <w:rFonts w:asciiTheme="majorBidi" w:hAnsiTheme="majorBidi" w:cstheme="majorBidi"/>
        </w:rPr>
        <w:t> </w:t>
      </w:r>
      <w:r w:rsidRPr="00F8352C">
        <w:rPr>
          <w:rFonts w:asciiTheme="majorBidi" w:hAnsiTheme="majorBidi" w:cstheme="majorBidi"/>
        </w:rPr>
        <w:t>Dans</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Engager pour transformer</w:t>
      </w:r>
      <w:r w:rsidRPr="00F8352C">
        <w:rPr>
          <w:rStyle w:val="apple-converted-space"/>
          <w:rFonts w:asciiTheme="majorBidi" w:hAnsiTheme="majorBidi" w:cstheme="majorBidi"/>
        </w:rPr>
        <w:t> </w:t>
      </w:r>
      <w:r w:rsidRPr="00F8352C">
        <w:rPr>
          <w:rFonts w:asciiTheme="majorBidi" w:hAnsiTheme="majorBidi" w:cstheme="majorBidi"/>
        </w:rPr>
        <w:t>(pp. 391–414). EMS Éditions.</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DeVellis, R. F. (2017).</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Scale development: Theory and applications</w:t>
      </w:r>
      <w:r w:rsidRPr="00F8352C">
        <w:rPr>
          <w:rStyle w:val="apple-converted-space"/>
          <w:rFonts w:asciiTheme="majorBidi" w:hAnsiTheme="majorBidi" w:cstheme="majorBidi"/>
        </w:rPr>
        <w:t> </w:t>
      </w:r>
      <w:r w:rsidRPr="00F8352C">
        <w:rPr>
          <w:rFonts w:asciiTheme="majorBidi" w:hAnsiTheme="majorBidi" w:cstheme="majorBidi"/>
        </w:rPr>
        <w:t>(4e éd.). SAGE Publications.</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Drucker, P. (2008).</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Management: Tasks, responsibilities, practices.</w:t>
      </w:r>
      <w:r w:rsidRPr="00F8352C">
        <w:rPr>
          <w:rStyle w:val="apple-converted-space"/>
          <w:rFonts w:asciiTheme="majorBidi" w:hAnsiTheme="majorBidi" w:cstheme="majorBidi"/>
        </w:rPr>
        <w:t> </w:t>
      </w:r>
      <w:r w:rsidRPr="00F8352C">
        <w:rPr>
          <w:rFonts w:asciiTheme="majorBidi" w:hAnsiTheme="majorBidi" w:cstheme="majorBidi"/>
        </w:rPr>
        <w:t>HarperBusiness.</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Dumont, C. (2022).</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Intelligence artificielle et formation continue.</w:t>
      </w:r>
      <w:r w:rsidRPr="00F8352C">
        <w:rPr>
          <w:rStyle w:val="apple-converted-space"/>
          <w:rFonts w:asciiTheme="majorBidi" w:hAnsiTheme="majorBidi" w:cstheme="majorBidi"/>
        </w:rPr>
        <w:t> </w:t>
      </w:r>
      <w:r w:rsidRPr="00F8352C">
        <w:rPr>
          <w:rFonts w:asciiTheme="majorBidi" w:hAnsiTheme="majorBidi" w:cstheme="majorBidi"/>
        </w:rPr>
        <w:t>Éditions Management.</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Durand, J. (2021).</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Digitalisation et formation professionnelle.</w:t>
      </w:r>
      <w:r w:rsidRPr="00F8352C">
        <w:rPr>
          <w:rStyle w:val="apple-converted-space"/>
          <w:rFonts w:asciiTheme="majorBidi" w:hAnsiTheme="majorBidi" w:cstheme="majorBidi"/>
        </w:rPr>
        <w:t> </w:t>
      </w:r>
      <w:r w:rsidRPr="00F8352C">
        <w:rPr>
          <w:rFonts w:asciiTheme="majorBidi" w:hAnsiTheme="majorBidi" w:cstheme="majorBidi"/>
        </w:rPr>
        <w:t>Dunod.</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Field, A. (2018).</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Discovering statistics using IBM SPSS Statistics</w:t>
      </w:r>
      <w:r w:rsidRPr="00F8352C">
        <w:rPr>
          <w:rStyle w:val="apple-converted-space"/>
          <w:rFonts w:asciiTheme="majorBidi" w:hAnsiTheme="majorBidi" w:cstheme="majorBidi"/>
        </w:rPr>
        <w:t> </w:t>
      </w:r>
      <w:r w:rsidRPr="00F8352C">
        <w:rPr>
          <w:rFonts w:asciiTheme="majorBidi" w:hAnsiTheme="majorBidi" w:cstheme="majorBidi"/>
        </w:rPr>
        <w:t>(5e éd.). SAGE Publications.</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Gauthier, M. (2020).</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E-learning et digitalisation des compétences.</w:t>
      </w:r>
      <w:r w:rsidRPr="00F8352C">
        <w:rPr>
          <w:rStyle w:val="apple-converted-space"/>
          <w:rFonts w:asciiTheme="majorBidi" w:hAnsiTheme="majorBidi" w:cstheme="majorBidi"/>
        </w:rPr>
        <w:t> </w:t>
      </w:r>
      <w:r w:rsidRPr="00F8352C">
        <w:rPr>
          <w:rFonts w:asciiTheme="majorBidi" w:hAnsiTheme="majorBidi" w:cstheme="majorBidi"/>
        </w:rPr>
        <w:t>L’Harmattan.</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Ghiglione, R., &amp; Matalon, B. (1998).</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Les enquêtes sociologiques : Théorie et pratique</w:t>
      </w:r>
      <w:r w:rsidRPr="00F8352C">
        <w:rPr>
          <w:rStyle w:val="apple-converted-space"/>
          <w:rFonts w:asciiTheme="majorBidi" w:hAnsiTheme="majorBidi" w:cstheme="majorBidi"/>
        </w:rPr>
        <w:t> </w:t>
      </w:r>
      <w:r w:rsidRPr="00F8352C">
        <w:rPr>
          <w:rFonts w:asciiTheme="majorBidi" w:hAnsiTheme="majorBidi" w:cstheme="majorBidi"/>
        </w:rPr>
        <w:t>(5e éd.). Armand Colin.</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lastRenderedPageBreak/>
        <w:t>Giraud, L. (2022).</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Intelligence artificielle et formation continue.</w:t>
      </w:r>
      <w:r w:rsidRPr="00F8352C">
        <w:rPr>
          <w:rStyle w:val="apple-converted-space"/>
          <w:rFonts w:asciiTheme="majorBidi" w:hAnsiTheme="majorBidi" w:cstheme="majorBidi"/>
        </w:rPr>
        <w:t> </w:t>
      </w:r>
      <w:r w:rsidRPr="00F8352C">
        <w:rPr>
          <w:rFonts w:asciiTheme="majorBidi" w:hAnsiTheme="majorBidi" w:cstheme="majorBidi"/>
        </w:rPr>
        <w:t>Eyrolles.</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Goleman, D. (1995).</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Emotional intelligence: Why it can matter more than IQ.</w:t>
      </w:r>
      <w:r w:rsidRPr="00F8352C">
        <w:rPr>
          <w:rStyle w:val="apple-converted-space"/>
          <w:rFonts w:asciiTheme="majorBidi" w:hAnsiTheme="majorBidi" w:cstheme="majorBidi"/>
        </w:rPr>
        <w:t> </w:t>
      </w:r>
      <w:r w:rsidRPr="00F8352C">
        <w:rPr>
          <w:rFonts w:asciiTheme="majorBidi" w:hAnsiTheme="majorBidi" w:cstheme="majorBidi"/>
        </w:rPr>
        <w:t>Bantam Books.</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Guerrero, S. (2023).</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Les outils du pilotage social et de l’analytique RH.</w:t>
      </w:r>
      <w:r w:rsidRPr="00F8352C">
        <w:rPr>
          <w:rStyle w:val="apple-converted-space"/>
          <w:rFonts w:asciiTheme="majorBidi" w:hAnsiTheme="majorBidi" w:cstheme="majorBidi"/>
        </w:rPr>
        <w:t> </w:t>
      </w:r>
      <w:r w:rsidRPr="00F8352C">
        <w:rPr>
          <w:rFonts w:asciiTheme="majorBidi" w:hAnsiTheme="majorBidi" w:cstheme="majorBidi"/>
        </w:rPr>
        <w:t>Dans</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Les outils des RH – 5e éd.</w:t>
      </w:r>
      <w:r w:rsidRPr="00F8352C">
        <w:rPr>
          <w:rStyle w:val="apple-converted-space"/>
          <w:rFonts w:asciiTheme="majorBidi" w:hAnsiTheme="majorBidi" w:cstheme="majorBidi"/>
        </w:rPr>
        <w:t> </w:t>
      </w:r>
      <w:r w:rsidRPr="00F8352C">
        <w:rPr>
          <w:rFonts w:asciiTheme="majorBidi" w:hAnsiTheme="majorBidi" w:cstheme="majorBidi"/>
        </w:rPr>
        <w:t>(pp. 211–244). Dunod.</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Hair, J. F., Hult, G. T. M., Ringle, C. M., &amp; Sarstedt, M. (2021).</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A primer on partial least squares structural equation modeling (PLS-SEM)</w:t>
      </w:r>
      <w:r w:rsidRPr="00F8352C">
        <w:rPr>
          <w:rStyle w:val="apple-converted-space"/>
          <w:rFonts w:asciiTheme="majorBidi" w:hAnsiTheme="majorBidi" w:cstheme="majorBidi"/>
        </w:rPr>
        <w:t> </w:t>
      </w:r>
      <w:r w:rsidRPr="00F8352C">
        <w:rPr>
          <w:rFonts w:asciiTheme="majorBidi" w:hAnsiTheme="majorBidi" w:cstheme="majorBidi"/>
        </w:rPr>
        <w:t>(3e éd.). SAGE Publications.</w:t>
      </w:r>
    </w:p>
    <w:p w:rsidR="002F1C27" w:rsidRPr="00F8352C" w:rsidRDefault="002F1C27" w:rsidP="004D32AC">
      <w:pPr>
        <w:pStyle w:val="NormalWeb"/>
        <w:numPr>
          <w:ilvl w:val="0"/>
          <w:numId w:val="199"/>
        </w:numPr>
        <w:spacing w:line="360" w:lineRule="auto"/>
        <w:jc w:val="both"/>
        <w:rPr>
          <w:rFonts w:asciiTheme="majorBidi" w:hAnsiTheme="majorBidi" w:cstheme="majorBidi"/>
        </w:rPr>
      </w:pPr>
      <w:r w:rsidRPr="00F8352C">
        <w:rPr>
          <w:rFonts w:asciiTheme="majorBidi" w:hAnsiTheme="majorBidi" w:cstheme="majorBidi"/>
        </w:rPr>
        <w:t>Hair, J. F., Risher, J. J., Sarstedt, M., &amp; Ringle, C. M. (2022).</w:t>
      </w:r>
      <w:r w:rsidRPr="00F8352C">
        <w:rPr>
          <w:rStyle w:val="apple-converted-space"/>
          <w:rFonts w:asciiTheme="majorBidi" w:hAnsiTheme="majorBidi" w:cstheme="majorBidi"/>
        </w:rPr>
        <w:t> </w:t>
      </w:r>
      <w:r w:rsidRPr="00F8352C">
        <w:rPr>
          <w:rStyle w:val="Accentuation"/>
          <w:rFonts w:asciiTheme="majorBidi" w:hAnsiTheme="majorBidi" w:cstheme="majorBidi"/>
          <w:i w:val="0"/>
          <w:iCs w:val="0"/>
        </w:rPr>
        <w:t>Partial least squares structural equation modeling: An updated guide for academics and practitioners.</w:t>
      </w:r>
      <w:r w:rsidRPr="00F8352C">
        <w:rPr>
          <w:rStyle w:val="apple-converted-space"/>
          <w:rFonts w:asciiTheme="majorBidi" w:hAnsiTheme="majorBidi" w:cstheme="majorBidi"/>
        </w:rPr>
        <w:t> </w:t>
      </w:r>
      <w:r w:rsidRPr="00F8352C">
        <w:rPr>
          <w:rFonts w:asciiTheme="majorBidi" w:hAnsiTheme="majorBidi" w:cstheme="majorBidi"/>
        </w:rPr>
        <w:t>Springer.</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Haegel, A. (2016).</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Mettre en place les outils de pilotage de la fonction RH.</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Dans</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Toute la fonction ressources humaines – 3e éd.</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(pp. 329–355). Dunod.</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Hair, J. F., Risher, J. J., Sarstedt, M., &amp; Ringle, C. M. (2022).</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Partial least squares structural equation modeling: An updated guide for academics and practitioners.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Springer.</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Hayes, A. F. (2018).</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Introduction to mediation, moderation, and conditional process analysis: A regression-based approach</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(2e éd.). The Guilford Press.</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Isafo, J. R. (1996).</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La gestion des ressources humaines : Un nouveau défi pour l’entreprise zaïroise.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ED Cadicec.</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Kaplan, R., &amp; Norton, D. (2016).</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balanced scorecard: Translating strategy into action.</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Harvard Business Press.</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Kaufman, B. E. (2018).</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Theoretical perspectives on work and the employment relationship</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(6e éd.). ILR Press.</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LACONO, G. (1998).</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Laroche, P., Guery, L., Moulin, Y., Salesina, M., &amp; Stévenot, A. (2018).</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GRH : Théories et nouvelles pratiques de la fonction RH.</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De Boeck Supérieur.</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Leclercq, B. (2021).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Stratégies d’apprentissage en ligne : Théories et pratiques.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Lefebvre, S. (2021).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Stratégies d’apprentissage numérique.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Lévy, M. (2021).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Les métiers de la data.</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Dans</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Sortez vos données du frigo : Une entreprise performante avec la Data et l’IA</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(pp. 159–174). Dunod.</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Martin, C., &amp; Petit, S. (2020).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Pédagogie numérique : Méthodes et outils pour l’apprentissage en ligne.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Presses Universitaires de France.</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lastRenderedPageBreak/>
        <w:t>Martin, J., &amp; Lemoine, F. (2019).</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Formation et technologies immersives.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Éditions Eyrolles.</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Martory, B., &amp; Crozet, D. (1984).</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Fernand Nathan.</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Mayo, E. (1933).</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human problems of an industrial civilization.</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Macmillan.</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McGregor, D. (1960).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human side of enterprise.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McGraw-Hill.</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Morel, L. (2020).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Digitalisation de la formation en entreprise.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Pearson.</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Nguyen, T. (2019).</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Les MOOCs et la démocratisation du savoir.</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L’Harmattan.</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Pallant, J. (2020).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SPSS survival manual</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(7e éd.). McGraw-Hill Education.</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Peretti, J.-M. (2001).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Dictionnaire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Peretti, J.-M. (2003).</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(11e éd.). 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Peretti, J.-M. (2005).</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Ressources humaines et gestion des personnes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(5e éd.). 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Peretti, J.-M. (2008).</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(15e éd.). 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Peretti, J.-M. (2013).</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(19e éd.). 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Peretti, J.-M. (2018).</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(20e éd.). 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Peretti, J.-M. (2019).</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L’organisation de la fonction.</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Dans</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Ressources humaines : Le manuel de référence – Label FNEGE 2018</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(pp. 59–94). 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Peretti, J.-M. (2020).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(18e éd.). 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Quivy, R., &amp; Van Campenhoudt, L. (2011).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Manuel de recherche en sciences sociales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(5e éd.). Dunod.</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Ricard, N. (2020).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Motivation et engagement dans l’apprentissage en ligne.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Presses Universitaires de France.</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Rivière, M. (2021).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L’intelligence artificielle au service de la formation professionnelle.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Vuibert.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Robbins, S. P., &amp; Judge, T. A. (2022).</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Organizational behavior</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(19th ed.). Pearson.</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Salez, M. (2015).</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La performance RH.</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Dans C. Besseyre des Horts (Dir.),</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RH au quotidien – 2e éd. : 100 fiches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(pp. 604–662). Dunod.</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Sarstedt, M., Ringle, C. M., &amp; Hair, J. F. (2014).</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PLS-SEM: Looking back and moving forward.</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Long Range Planning, 47(3), 105–111.</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Sekiou, L., Peretti, J. M., Chevalier, F., &amp; Bayad, M. (2001).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La 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De Boeck Université.</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Simon, H. (2022).</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Protection des données dans le e-learning.</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Springer.</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ST-ONGE, S., Guerrero, S., Haines, V., &amp; Brun, J.-P. (2013).</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Relever les défis de la 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(5e éd.). Chenelière Éducation.</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lastRenderedPageBreak/>
        <w:t>Tavernier, O. (2021).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Les inégalités numériques et l’accès à la formation.</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CNRS Éditions.</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Taylor, F. W. (1911).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principles of scientific management.</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Harper &amp; Brothers.</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Tchameni Ngamo, S. (2021).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Les nouvelles approches de l’e-learning.</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Éditions Management.</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Thiétart, R. A. (2007).</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Méthodes de recherche en management</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(3e éd.). Dunod.</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Turgeon, B., &amp; Miller, M. (1992).</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Superviseur et 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McGraw-Hill.</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Ulrich, D. (1997).</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Human resource champions: The next agenda for adding value and delivering results.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Harvard Business Review Press.</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Ulrich, D. (2019).</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HR transformation: Building human resources from the outside in.</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Harvard Business Press.</w:t>
      </w:r>
    </w:p>
    <w:p w:rsidR="002F1C27" w:rsidRPr="00F8352C" w:rsidRDefault="002F1C27" w:rsidP="004D32AC">
      <w:pPr>
        <w:pStyle w:val="NormalWeb"/>
        <w:numPr>
          <w:ilvl w:val="0"/>
          <w:numId w:val="199"/>
        </w:numPr>
        <w:spacing w:line="360" w:lineRule="auto"/>
        <w:jc w:val="both"/>
        <w:rPr>
          <w:rFonts w:asciiTheme="majorBidi" w:hAnsiTheme="majorBidi" w:cstheme="majorBidi"/>
          <w:color w:val="000000"/>
        </w:rPr>
      </w:pPr>
      <w:r w:rsidRPr="00F8352C">
        <w:rPr>
          <w:rFonts w:asciiTheme="majorBidi" w:hAnsiTheme="majorBidi" w:cstheme="majorBidi"/>
          <w:color w:val="000000"/>
        </w:rPr>
        <w:t>VanderPlas, J. (2016).</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Python data science handbook: Essential tools for working with data.</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O’Reilly Media.</w:t>
      </w:r>
    </w:p>
    <w:p w:rsidR="002F1C27" w:rsidRPr="002F1C27" w:rsidRDefault="002F1C27" w:rsidP="004D32AC">
      <w:pPr>
        <w:pStyle w:val="Titre2"/>
        <w:numPr>
          <w:ilvl w:val="0"/>
          <w:numId w:val="205"/>
        </w:numPr>
        <w:spacing w:before="0" w:line="360" w:lineRule="auto"/>
        <w:jc w:val="both"/>
        <w:rPr>
          <w:rFonts w:asciiTheme="majorBidi" w:hAnsiTheme="majorBidi"/>
          <w:color w:val="000000"/>
          <w:sz w:val="24"/>
          <w:szCs w:val="24"/>
        </w:rPr>
      </w:pPr>
      <w:bookmarkStart w:id="2462" w:name="_Toc200486878"/>
      <w:bookmarkStart w:id="2463" w:name="_Toc200635656"/>
      <w:bookmarkStart w:id="2464" w:name="_Toc200636044"/>
      <w:bookmarkStart w:id="2465" w:name="_Toc200636433"/>
      <w:bookmarkStart w:id="2466" w:name="_Toc200756174"/>
      <w:r w:rsidRPr="002F1C27">
        <w:rPr>
          <w:rStyle w:val="lev"/>
          <w:rFonts w:asciiTheme="majorBidi" w:hAnsiTheme="majorBidi"/>
          <w:color w:val="000000"/>
          <w:sz w:val="24"/>
          <w:szCs w:val="24"/>
        </w:rPr>
        <w:t>Articles Scientifiques</w:t>
      </w:r>
      <w:bookmarkEnd w:id="2462"/>
      <w:bookmarkEnd w:id="2463"/>
      <w:bookmarkEnd w:id="2464"/>
      <w:bookmarkEnd w:id="2465"/>
      <w:bookmarkEnd w:id="2466"/>
    </w:p>
    <w:p w:rsidR="002F1C27" w:rsidRPr="00F8352C" w:rsidRDefault="002F1C27" w:rsidP="004D32AC">
      <w:pPr>
        <w:pStyle w:val="NormalWeb"/>
        <w:numPr>
          <w:ilvl w:val="0"/>
          <w:numId w:val="200"/>
        </w:numPr>
        <w:spacing w:before="0" w:beforeAutospacing="0" w:after="0" w:afterAutospacing="0" w:line="360" w:lineRule="auto"/>
        <w:jc w:val="both"/>
        <w:rPr>
          <w:rFonts w:asciiTheme="majorBidi" w:hAnsiTheme="majorBidi" w:cstheme="majorBidi"/>
          <w:color w:val="000000"/>
        </w:rPr>
      </w:pPr>
      <w:r w:rsidRPr="00F8352C">
        <w:rPr>
          <w:rFonts w:asciiTheme="majorBidi" w:hAnsiTheme="majorBidi" w:cstheme="majorBidi"/>
          <w:color w:val="000000"/>
        </w:rPr>
        <w:t>Appelbaum, E. (2000).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AMO model of HRM: A guide to better performance.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Journal of Management Studies, 37(4), 120–132.</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Barney, J. B. (1991).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Firm resources and sustained competitive advantage.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Journal of Management, 17(1), 99–120.</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Becker, B. E., &amp; Huselid, M. A. (2006).</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Strategic human resources management: Where do we go from here?</w:t>
      </w:r>
      <w:r w:rsidRPr="00F8352C">
        <w:rPr>
          <w:rFonts w:asciiTheme="majorBidi" w:hAnsiTheme="majorBidi" w:cstheme="majorBidi"/>
          <w:color w:val="000000"/>
        </w:rPr>
        <w:t>Journal of Management, 32(6), 898–925.</w:t>
      </w:r>
      <w:r w:rsidRPr="00F8352C">
        <w:rPr>
          <w:rFonts w:asciiTheme="majorBidi" w:hAnsiTheme="majorBidi" w:cstheme="majorBidi"/>
          <w:color w:val="000000"/>
        </w:rPr>
        <w:br/>
        <w:t>→ (Fusionné, cité également comme vol. 32(2), 65–88)</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Bharadwaj, A., El Sawy, O. A., Pavlou, P. A., &amp; Venkatraman, N. (2013).</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Digital business strategy: Toward a next generation of insights.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MIS Quarterly, 37(2), 471–482.</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Boudraa, B. (2019).</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Le rôle de la gestion des carrières dans le développement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Revue des Sciences Humaines, 2(2), 104–126.</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Boudiaf, A. (2013).</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Gestion prévisionnelle des emplois et des compétences (GPEC).</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Revue des Sciences Humaines, 1(1), 86–100.</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Carroll, A. B., &amp; Shabana, K. M. (2010).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business case for corporate social responsibility: A review of concepts, research and practice.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International Journal of Management Reviews, 12(1), 85–105.</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lastRenderedPageBreak/>
        <w:t>Cox, T. H., &amp; Blake, S. (1991).</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Managing cultural diversity: Implications for organizational competitiveness.</w:t>
      </w:r>
      <w:r w:rsidRPr="00F8352C">
        <w:rPr>
          <w:rFonts w:asciiTheme="majorBidi" w:hAnsiTheme="majorBidi" w:cstheme="majorBidi"/>
          <w:color w:val="000000"/>
        </w:rPr>
        <w:t>Academy of Management Perspectives, 5(3), 45–56.</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De Grip, A., &amp; Sauermann, J. (2013).</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effects of training on productivity: The transfer of on-the-job training from the perspective of economics.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Educational Research Review, 8, 28–36.</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Delaney, J. T., &amp; Huselid, M. A. (1996).</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impact of human resource management practices on perceptions of organizational performance.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Academy of Management Journal, 39(4), 949–969.</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Elidrissi, R. (2024).</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Façonner la GRH algorithmique avec l’IA : la fonction RH face aux tensions paradoxales dans les nouvelles façons de travailler.</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@GRH, 52(3), 13–41.</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El Oumami, R., &amp; El Haddad, M. Y. (2024).</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Impact de la digitalisation sur les Ressources Humaines : Étude de cas dans le secteur bancaire.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International Journal of Accounting, Finance, Auditing, Management and Economics, 5(2), 209–222.</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Fiedler, F. E. (1964).</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A contingency model of leadership effectiveness.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Advances in Experimental Social Psychology, 1, 68–138.</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Galindo, G., Garbe, E., &amp; Vignal, J. (2019).</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Des idéaux à la réalité de l’accompagnement de la GRH dans la digitalisation : le cas d’une entreprise industrielle.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@GRH, 30(1), 11–46.</w:t>
      </w:r>
      <w:r w:rsidR="00E41347">
        <w:rPr>
          <w:rFonts w:asciiTheme="majorBidi" w:hAnsiTheme="majorBidi" w:cstheme="majorBidi"/>
          <w:color w:val="000000"/>
          <w:lang w:val="en-US"/>
        </w:rPr>
        <w:t xml:space="preserve"> </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Gampine, I. (2023).</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La digitalisation des pratiques de ressources humaines et la performance des entreprises dans un environnement dynamique.</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Revue non précisée.</w:t>
      </w:r>
      <w:r w:rsidRPr="00F8352C">
        <w:rPr>
          <w:rFonts w:asciiTheme="majorBidi" w:hAnsiTheme="majorBidi" w:cstheme="majorBidi"/>
          <w:color w:val="000000"/>
        </w:rPr>
        <w:br/>
        <w:t>(Cité pp. 6–15 — plusieurs extraits fusionnés)</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Jarachi, W., Lemsaadi, S., Belakhmima, M., &amp; Khatori, Y. (2022).</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Transformation digitale et développement de la gestion des ressources humaines.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International Journal of Accounting, Finance, Auditing, Management and Economics, 3(6-1), 152–165.</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Lepak, D. P., &amp; Snell, S. A. (2002).</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Examining the human resource architecture: The relationships among human capital, employment, and human resource configurations.</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Journal of Management, 28(4), 517–543.</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Parry, E., &amp; Strohmeier, S. (2014).</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HRM in the digital age: Digital changes and challenges of the HR profession.</w:t>
      </w:r>
      <w:r w:rsidRPr="00F8352C">
        <w:rPr>
          <w:rFonts w:asciiTheme="majorBidi" w:hAnsiTheme="majorBidi" w:cstheme="majorBidi"/>
          <w:color w:val="000000"/>
        </w:rPr>
        <w:t>The International Journal of Human Resource Management, 25(5), 605–620.</w:t>
      </w:r>
    </w:p>
    <w:p w:rsidR="002F1C27" w:rsidRPr="00F8352C"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t>Schneider, B. (2000).</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psychological and organizational bases of customer satisfaction.</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The Psychology of Work and Organization, 4(1), 45–58.</w:t>
      </w:r>
    </w:p>
    <w:p w:rsidR="002F1C27" w:rsidRDefault="002F1C27" w:rsidP="004D32AC">
      <w:pPr>
        <w:pStyle w:val="NormalWeb"/>
        <w:numPr>
          <w:ilvl w:val="0"/>
          <w:numId w:val="200"/>
        </w:numPr>
        <w:spacing w:line="360" w:lineRule="auto"/>
        <w:jc w:val="both"/>
        <w:rPr>
          <w:rFonts w:asciiTheme="majorBidi" w:hAnsiTheme="majorBidi" w:cstheme="majorBidi"/>
          <w:color w:val="000000"/>
        </w:rPr>
      </w:pPr>
      <w:r w:rsidRPr="00F8352C">
        <w:rPr>
          <w:rFonts w:asciiTheme="majorBidi" w:hAnsiTheme="majorBidi" w:cstheme="majorBidi"/>
          <w:color w:val="000000"/>
        </w:rPr>
        <w:lastRenderedPageBreak/>
        <w:t>Stone, D. L., Deadrick, D. L., Lukaszewski, K. M., &amp; Johnson, R. (2015).</w:t>
      </w:r>
      <w:r w:rsidRPr="00F8352C">
        <w:rPr>
          <w:rStyle w:val="apple-converted-space"/>
          <w:rFonts w:asciiTheme="majorBidi" w:hAnsiTheme="majorBidi" w:cstheme="majorBidi"/>
          <w:color w:val="000000"/>
        </w:rPr>
        <w:t> </w:t>
      </w:r>
      <w:r w:rsidRPr="00F8352C">
        <w:rPr>
          <w:rStyle w:val="Accentuation"/>
          <w:rFonts w:asciiTheme="majorBidi" w:hAnsiTheme="majorBidi" w:cstheme="majorBidi"/>
          <w:i w:val="0"/>
          <w:iCs w:val="0"/>
          <w:color w:val="000000"/>
        </w:rPr>
        <w:t>The influence of technology on the future of human resource management.</w:t>
      </w:r>
      <w:r w:rsidRPr="00F8352C">
        <w:rPr>
          <w:rStyle w:val="apple-converted-space"/>
          <w:rFonts w:asciiTheme="majorBidi" w:hAnsiTheme="majorBidi" w:cstheme="majorBidi"/>
          <w:color w:val="000000"/>
        </w:rPr>
        <w:t> </w:t>
      </w:r>
      <w:r w:rsidRPr="00F8352C">
        <w:rPr>
          <w:rFonts w:asciiTheme="majorBidi" w:hAnsiTheme="majorBidi" w:cstheme="majorBidi"/>
          <w:color w:val="000000"/>
        </w:rPr>
        <w:t>Human Resource Management Review, 25(2), 216–231.</w:t>
      </w:r>
    </w:p>
    <w:p w:rsidR="002F1C27" w:rsidRPr="002F1C27" w:rsidRDefault="002F1C27" w:rsidP="004D32AC">
      <w:pPr>
        <w:pStyle w:val="Titre2"/>
        <w:numPr>
          <w:ilvl w:val="0"/>
          <w:numId w:val="205"/>
        </w:numPr>
        <w:spacing w:line="360" w:lineRule="auto"/>
        <w:jc w:val="both"/>
        <w:rPr>
          <w:rFonts w:asciiTheme="majorBidi" w:hAnsiTheme="majorBidi"/>
          <w:color w:val="000000"/>
          <w:sz w:val="24"/>
          <w:szCs w:val="24"/>
        </w:rPr>
      </w:pPr>
      <w:bookmarkStart w:id="2467" w:name="_Toc200486879"/>
      <w:bookmarkStart w:id="2468" w:name="_Toc200635657"/>
      <w:bookmarkStart w:id="2469" w:name="_Toc200636045"/>
      <w:bookmarkStart w:id="2470" w:name="_Toc200636434"/>
      <w:bookmarkStart w:id="2471" w:name="_Toc200756175"/>
      <w:r w:rsidRPr="002F1C27">
        <w:rPr>
          <w:rStyle w:val="lev"/>
          <w:rFonts w:asciiTheme="majorBidi" w:hAnsiTheme="majorBidi"/>
          <w:color w:val="000000"/>
          <w:sz w:val="24"/>
          <w:szCs w:val="24"/>
        </w:rPr>
        <w:t>Thèses</w:t>
      </w:r>
      <w:bookmarkEnd w:id="2467"/>
      <w:bookmarkEnd w:id="2468"/>
      <w:bookmarkEnd w:id="2469"/>
      <w:bookmarkEnd w:id="2470"/>
      <w:bookmarkEnd w:id="2471"/>
      <w:r w:rsidRPr="002F1C27">
        <w:rPr>
          <w:rStyle w:val="lev"/>
          <w:rFonts w:asciiTheme="majorBidi" w:hAnsiTheme="majorBidi"/>
          <w:color w:val="000000"/>
          <w:sz w:val="24"/>
          <w:szCs w:val="24"/>
        </w:rPr>
        <w:t xml:space="preserve"> </w:t>
      </w:r>
    </w:p>
    <w:p w:rsidR="002F1C27" w:rsidRPr="00FD6FBA" w:rsidRDefault="002F1C27" w:rsidP="004D32AC">
      <w:pPr>
        <w:pStyle w:val="NormalWeb"/>
        <w:numPr>
          <w:ilvl w:val="0"/>
          <w:numId w:val="201"/>
        </w:numPr>
        <w:spacing w:before="40" w:beforeAutospacing="0"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Benyoucef, A.</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(2022).</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La transformation digitale des RH dans les entreprises algériennes : enjeux, pratiques et perspectives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[Thèse de doctorat, Université Abderrahmane Mira – Bejaia].</w:t>
      </w:r>
    </w:p>
    <w:p w:rsidR="002F1C27" w:rsidRPr="00FD6FBA" w:rsidRDefault="002F1C27" w:rsidP="004D32AC">
      <w:pPr>
        <w:pStyle w:val="NormalWeb"/>
        <w:numPr>
          <w:ilvl w:val="0"/>
          <w:numId w:val="201"/>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Berrefas, I.</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Transformation digitale, changement organisationnel et pratiques de la gestion des ressources humaines en Algérie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[Thèse de doctorat, Université de Tlemcen].</w:t>
      </w:r>
    </w:p>
    <w:p w:rsidR="002F1C27" w:rsidRPr="00FD6FBA" w:rsidRDefault="002F1C27" w:rsidP="004D32AC">
      <w:pPr>
        <w:pStyle w:val="NormalWeb"/>
        <w:numPr>
          <w:ilvl w:val="0"/>
          <w:numId w:val="201"/>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Gampine, I.</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La digitalisation des pratiques de ressources humaines et la performance des entreprises dans un environnement dynamique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[Thèse de doctorat, Université Paul Valéry – Montpellier III].</w:t>
      </w:r>
      <w:r w:rsidRPr="00FD6FBA">
        <w:rPr>
          <w:rFonts w:asciiTheme="majorBidi" w:hAnsiTheme="majorBidi" w:cstheme="majorBidi"/>
          <w:color w:val="000000"/>
        </w:rPr>
        <w:br/>
        <w:t>TEL Archives ouvertes.</w:t>
      </w:r>
      <w:r w:rsidRPr="00FD6FBA">
        <w:rPr>
          <w:rStyle w:val="apple-converted-space"/>
          <w:rFonts w:asciiTheme="majorBidi" w:hAnsiTheme="majorBidi" w:cstheme="majorBidi"/>
          <w:color w:val="000000"/>
        </w:rPr>
        <w:t> </w:t>
      </w:r>
      <w:r>
        <w:fldChar w:fldCharType="begin"/>
      </w:r>
      <w:r>
        <w:instrText>HYPERLINK "https://theses.hal.science/tel-04626272"</w:instrText>
      </w:r>
      <w:r>
        <w:fldChar w:fldCharType="separate"/>
      </w:r>
      <w:r w:rsidR="00E41347" w:rsidRPr="00D92872">
        <w:rPr>
          <w:rStyle w:val="Lienhypertexte"/>
          <w:rFonts w:asciiTheme="majorBidi" w:hAnsiTheme="majorBidi" w:cstheme="majorBidi"/>
        </w:rPr>
        <w:t>https://theses.hal.science/tel-04626272</w:t>
      </w:r>
      <w:r>
        <w:rPr>
          <w:rStyle w:val="Lienhypertexte"/>
          <w:rFonts w:asciiTheme="majorBidi" w:hAnsiTheme="majorBidi" w:cstheme="majorBidi"/>
        </w:rPr>
        <w:fldChar w:fldCharType="end"/>
      </w:r>
    </w:p>
    <w:p w:rsidR="002F1C27" w:rsidRPr="00FD6FBA" w:rsidRDefault="002F1C27" w:rsidP="004D32AC">
      <w:pPr>
        <w:pStyle w:val="NormalWeb"/>
        <w:numPr>
          <w:ilvl w:val="0"/>
          <w:numId w:val="201"/>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L’Écuyer, F.</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(2016).</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technologies de l’information en tant que vecteur de performance de la gestion stratégique des ressources humaines dans les PME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[Thèse de doctorat, Université du Québec à Trois-Rivières].</w:t>
      </w:r>
    </w:p>
    <w:p w:rsidR="002F1C27" w:rsidRPr="00FD6FBA" w:rsidRDefault="002F1C27" w:rsidP="004D32AC">
      <w:pPr>
        <w:pStyle w:val="NormalWeb"/>
        <w:numPr>
          <w:ilvl w:val="0"/>
          <w:numId w:val="201"/>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Locufier, A.</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(2015).</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Rôle des pratiques de recrutement, d’intégration et de fidélisation des jeunes diplômés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[Thèse de doctorat, Université de Lille].</w:t>
      </w:r>
    </w:p>
    <w:p w:rsidR="002F1C27" w:rsidRPr="00FD6FBA" w:rsidRDefault="002F1C27" w:rsidP="004D32AC">
      <w:pPr>
        <w:pStyle w:val="NormalWeb"/>
        <w:numPr>
          <w:ilvl w:val="0"/>
          <w:numId w:val="201"/>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Godin, 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(2014).</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Enjeux, défis et pratiques de recrutement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[Thèse de doctorat, Université du Québec en Outaouais].</w:t>
      </w:r>
    </w:p>
    <w:p w:rsidR="002F1C27" w:rsidRPr="002F1C27" w:rsidRDefault="002F1C27" w:rsidP="004D32AC">
      <w:pPr>
        <w:pStyle w:val="Titre3"/>
        <w:numPr>
          <w:ilvl w:val="0"/>
          <w:numId w:val="205"/>
        </w:numPr>
        <w:spacing w:before="0" w:beforeAutospacing="0" w:after="0" w:afterAutospacing="0" w:line="360" w:lineRule="auto"/>
        <w:jc w:val="both"/>
        <w:rPr>
          <w:rFonts w:asciiTheme="majorBidi" w:hAnsiTheme="majorBidi" w:cstheme="majorBidi"/>
          <w:b w:val="0"/>
          <w:bCs w:val="0"/>
          <w:color w:val="000000"/>
          <w:sz w:val="24"/>
          <w:szCs w:val="24"/>
        </w:rPr>
      </w:pPr>
      <w:bookmarkStart w:id="2472" w:name="_Toc200486880"/>
      <w:bookmarkStart w:id="2473" w:name="_Toc200635658"/>
      <w:bookmarkStart w:id="2474" w:name="_Toc200636046"/>
      <w:bookmarkStart w:id="2475" w:name="_Toc200636435"/>
      <w:bookmarkStart w:id="2476" w:name="_Toc200756176"/>
      <w:r w:rsidRPr="002F1C27">
        <w:rPr>
          <w:rStyle w:val="lev"/>
          <w:rFonts w:asciiTheme="majorBidi" w:hAnsiTheme="majorBidi" w:cstheme="majorBidi"/>
          <w:b/>
          <w:bCs/>
          <w:color w:val="000000"/>
          <w:sz w:val="24"/>
          <w:szCs w:val="24"/>
        </w:rPr>
        <w:t>Sites web</w:t>
      </w:r>
      <w:bookmarkEnd w:id="2472"/>
      <w:bookmarkEnd w:id="2473"/>
      <w:bookmarkEnd w:id="2474"/>
      <w:bookmarkEnd w:id="2475"/>
      <w:bookmarkEnd w:id="2476"/>
      <w:r w:rsidRPr="002F1C27">
        <w:rPr>
          <w:rStyle w:val="apple-converted-space"/>
          <w:rFonts w:asciiTheme="majorBidi" w:hAnsiTheme="majorBidi" w:cstheme="majorBidi"/>
          <w:b w:val="0"/>
          <w:bCs w:val="0"/>
          <w:color w:val="000000"/>
          <w:sz w:val="24"/>
          <w:szCs w:val="24"/>
        </w:rPr>
        <w:t> </w:t>
      </w:r>
    </w:p>
    <w:p w:rsidR="005D03ED" w:rsidRPr="005D03ED" w:rsidRDefault="005D03ED" w:rsidP="004D32AC">
      <w:pPr>
        <w:pStyle w:val="NormalWeb"/>
        <w:numPr>
          <w:ilvl w:val="0"/>
          <w:numId w:val="204"/>
        </w:numPr>
        <w:spacing w:before="0" w:beforeAutospacing="0" w:after="0" w:afterAutospacing="0" w:line="360" w:lineRule="auto"/>
        <w:rPr>
          <w:rFonts w:asciiTheme="majorBidi" w:hAnsiTheme="majorBidi" w:cstheme="majorBidi"/>
          <w:color w:val="000000"/>
        </w:rPr>
      </w:pPr>
      <w:r w:rsidRPr="00FD6FBA">
        <w:rPr>
          <w:rStyle w:val="lev"/>
          <w:rFonts w:asciiTheme="majorBidi" w:hAnsiTheme="majorBidi" w:cstheme="majorBidi"/>
          <w:b w:val="0"/>
          <w:bCs w:val="0"/>
          <w:color w:val="000000"/>
        </w:rPr>
        <w:t>Airbnb.</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Stratégie de communication et marketing</w:t>
      </w:r>
      <w:r w:rsidRPr="008A5941">
        <w:rPr>
          <w:rStyle w:val="Accentuation"/>
          <w:rFonts w:asciiTheme="majorBidi" w:hAnsiTheme="majorBidi" w:cstheme="majorBidi"/>
          <w:i w:val="0"/>
          <w:iCs w:val="0"/>
          <w:color w:val="000000"/>
          <w:lang w:val="fr-FR"/>
        </w:rPr>
        <w:t xml:space="preserve"> digital.</w:t>
      </w:r>
      <w:r w:rsidRPr="005D03ED">
        <w:rPr>
          <w:rFonts w:asciiTheme="majorBidi" w:hAnsiTheme="majorBidi" w:cstheme="majorBidi"/>
          <w:color w:val="000000"/>
        </w:rPr>
        <w:t xml:space="preserve"> </w:t>
      </w:r>
      <w:hyperlink r:id="rId134" w:tgtFrame="_new" w:history="1">
        <w:r w:rsidRPr="00FD6FBA">
          <w:rPr>
            <w:rStyle w:val="Lienhypertexte"/>
            <w:rFonts w:asciiTheme="majorBidi" w:hAnsiTheme="majorBidi" w:cstheme="majorBidi"/>
          </w:rPr>
          <w:t>https://www.airbnb.com</w:t>
        </w:r>
      </w:hyperlink>
    </w:p>
    <w:p w:rsidR="002F1C27" w:rsidRPr="00FD6FBA" w:rsidRDefault="002F1C27" w:rsidP="004D32AC">
      <w:pPr>
        <w:pStyle w:val="NormalWeb"/>
        <w:numPr>
          <w:ilvl w:val="0"/>
          <w:numId w:val="204"/>
        </w:numPr>
        <w:spacing w:after="0" w:afterAutospacing="0"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Appvizer.</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(2022).</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Outils GPEC : tout savoir sur la gestion des compétences.</w:t>
      </w:r>
      <w:r w:rsidR="00E41347" w:rsidRPr="008A5941">
        <w:rPr>
          <w:rStyle w:val="Accentuation"/>
          <w:rFonts w:asciiTheme="majorBidi" w:hAnsiTheme="majorBidi" w:cstheme="majorBidi"/>
          <w:i w:val="0"/>
          <w:iCs w:val="0"/>
          <w:color w:val="000000"/>
          <w:lang w:val="fr-FR"/>
        </w:rPr>
        <w:t xml:space="preserve"> </w:t>
      </w:r>
      <w:hyperlink r:id="rId135" w:history="1">
        <w:r w:rsidR="00E41347" w:rsidRPr="00D92872">
          <w:rPr>
            <w:rStyle w:val="Lienhypertexte"/>
            <w:rFonts w:asciiTheme="majorBidi" w:hAnsiTheme="majorBidi" w:cstheme="majorBidi"/>
          </w:rPr>
          <w:t>https://www.appvizer.fr/magazine/ressources-humaines/gestion-competences/outils-gpec</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Cegid.</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(2024).</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Top 20 des outils de recrutement.</w:t>
      </w:r>
      <w:r w:rsidRPr="00FD6FBA">
        <w:rPr>
          <w:rStyle w:val="apple-converted-space"/>
          <w:rFonts w:asciiTheme="majorBidi" w:hAnsiTheme="majorBidi" w:cstheme="majorBidi"/>
          <w:color w:val="000000"/>
        </w:rPr>
        <w:t> </w:t>
      </w:r>
      <w:r>
        <w:fldChar w:fldCharType="begin"/>
      </w:r>
      <w:r>
        <w:instrText>HYPERLINK "https://cegid.com/" \t "_new"</w:instrText>
      </w:r>
      <w:r>
        <w:fldChar w:fldCharType="separate"/>
      </w:r>
      <w:r w:rsidRPr="00FD6FBA">
        <w:rPr>
          <w:rStyle w:val="Lienhypertexte"/>
          <w:rFonts w:asciiTheme="majorBidi" w:hAnsiTheme="majorBidi" w:cstheme="majorBidi"/>
        </w:rPr>
        <w:t>https://cegid.com</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ComboHR.</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(2024, décembre).</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Avantages salariaux : avantages pour l'entreprise et les salariés.</w:t>
      </w:r>
      <w:r w:rsidR="005D03ED" w:rsidRPr="008A5941">
        <w:rPr>
          <w:rStyle w:val="Accentuation"/>
          <w:rFonts w:asciiTheme="majorBidi" w:hAnsiTheme="majorBidi" w:cstheme="majorBidi"/>
          <w:i w:val="0"/>
          <w:iCs w:val="0"/>
          <w:color w:val="000000"/>
          <w:lang w:val="fr-FR"/>
        </w:rPr>
        <w:t xml:space="preserve"> </w:t>
      </w:r>
      <w:hyperlink r:id="rId136" w:history="1">
        <w:r w:rsidR="005D03ED" w:rsidRPr="00D92872">
          <w:rPr>
            <w:rStyle w:val="Lienhypertexte"/>
            <w:rFonts w:asciiTheme="majorBidi" w:hAnsiTheme="majorBidi" w:cstheme="majorBidi"/>
          </w:rPr>
          <w:t>https://combohr.com/fr/blog/avantages-salariaux</w:t>
        </w:r>
      </w:hyperlink>
    </w:p>
    <w:p w:rsidR="005D03ED" w:rsidRDefault="005D03ED" w:rsidP="004D32AC">
      <w:pPr>
        <w:pStyle w:val="NormalWeb"/>
        <w:numPr>
          <w:ilvl w:val="0"/>
          <w:numId w:val="204"/>
        </w:numPr>
        <w:spacing w:before="0" w:beforeAutospacing="0" w:after="0" w:afterAutospacing="0" w:line="360" w:lineRule="auto"/>
        <w:jc w:val="both"/>
        <w:rPr>
          <w:rStyle w:val="apple-converted-space"/>
          <w:rFonts w:asciiTheme="majorBidi" w:hAnsiTheme="majorBidi" w:cstheme="majorBidi"/>
          <w:color w:val="000000"/>
        </w:rPr>
      </w:pPr>
      <w:r w:rsidRPr="00FD6FBA">
        <w:rPr>
          <w:rStyle w:val="lev"/>
          <w:rFonts w:asciiTheme="majorBidi" w:hAnsiTheme="majorBidi" w:cstheme="majorBidi"/>
          <w:b w:val="0"/>
          <w:bCs w:val="0"/>
          <w:color w:val="000000"/>
        </w:rPr>
        <w:t>Cornerstone.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Talent management</w:t>
      </w:r>
      <w:r>
        <w:rPr>
          <w:rStyle w:val="Accentuation"/>
          <w:rFonts w:asciiTheme="majorBidi" w:hAnsiTheme="majorBidi" w:cstheme="majorBidi"/>
          <w:i w:val="0"/>
          <w:iCs w:val="0"/>
          <w:color w:val="000000"/>
          <w:lang w:val="en-US"/>
        </w:rPr>
        <w:t xml:space="preserve"> </w:t>
      </w:r>
      <w:r w:rsidRPr="00FD6FBA">
        <w:rPr>
          <w:rStyle w:val="Accentuation"/>
          <w:rFonts w:asciiTheme="majorBidi" w:hAnsiTheme="majorBidi" w:cstheme="majorBidi"/>
          <w:i w:val="0"/>
          <w:iCs w:val="0"/>
          <w:color w:val="000000"/>
        </w:rPr>
        <w:t>platform.</w:t>
      </w:r>
      <w:r>
        <w:rPr>
          <w:rStyle w:val="Accentuation"/>
          <w:rFonts w:asciiTheme="majorBidi" w:hAnsiTheme="majorBidi" w:cstheme="majorBidi"/>
          <w:i w:val="0"/>
          <w:iCs w:val="0"/>
          <w:color w:val="000000"/>
          <w:lang w:val="en-US"/>
        </w:rPr>
        <w:t xml:space="preserve">  </w:t>
      </w:r>
      <w:r w:rsidRPr="00FD6FBA">
        <w:rPr>
          <w:rStyle w:val="apple-converted-space"/>
          <w:rFonts w:asciiTheme="majorBidi" w:hAnsiTheme="majorBidi" w:cstheme="majorBidi"/>
          <w:color w:val="000000"/>
        </w:rPr>
        <w:t> </w:t>
      </w:r>
    </w:p>
    <w:p w:rsidR="005D03ED" w:rsidRPr="005D03ED" w:rsidRDefault="005D03ED" w:rsidP="005D03ED">
      <w:pPr>
        <w:pStyle w:val="NormalWeb"/>
        <w:spacing w:before="0" w:beforeAutospacing="0" w:after="0" w:afterAutospacing="0" w:line="360" w:lineRule="auto"/>
        <w:ind w:left="720"/>
        <w:jc w:val="both"/>
        <w:rPr>
          <w:rFonts w:asciiTheme="majorBidi" w:hAnsiTheme="majorBidi" w:cstheme="majorBidi"/>
          <w:color w:val="000000"/>
        </w:rPr>
      </w:pPr>
      <w:r w:rsidRPr="005D03ED">
        <w:rPr>
          <w:rStyle w:val="apple-converted-space"/>
          <w:rFonts w:asciiTheme="majorBidi" w:hAnsiTheme="majorBidi" w:cstheme="majorBidi"/>
          <w:color w:val="000000"/>
        </w:rPr>
        <w:t> </w:t>
      </w:r>
      <w:r>
        <w:fldChar w:fldCharType="begin"/>
      </w:r>
      <w:r>
        <w:instrText>HYPERLINK "https://www.cornerstoneondemand.com/" \t "_new"</w:instrText>
      </w:r>
      <w:r>
        <w:fldChar w:fldCharType="separate"/>
      </w:r>
      <w:r w:rsidRPr="005D03ED">
        <w:rPr>
          <w:rStyle w:val="Lienhypertexte"/>
          <w:rFonts w:asciiTheme="majorBidi" w:hAnsiTheme="majorBidi" w:cstheme="majorBidi"/>
        </w:rPr>
        <w:t>https://www.cornerstoneondemand.com</w:t>
      </w:r>
      <w:r>
        <w:rPr>
          <w:rStyle w:val="Lienhypertexte"/>
          <w:rFonts w:asciiTheme="majorBidi" w:hAnsiTheme="majorBidi" w:cstheme="majorBidi"/>
        </w:rPr>
        <w:fldChar w:fldCharType="end"/>
      </w:r>
    </w:p>
    <w:p w:rsidR="002F1C27" w:rsidRDefault="002F1C27" w:rsidP="004D32AC">
      <w:pPr>
        <w:pStyle w:val="NormalWeb"/>
        <w:numPr>
          <w:ilvl w:val="0"/>
          <w:numId w:val="204"/>
        </w:numPr>
        <w:spacing w:before="0" w:beforeAutospacing="0"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lastRenderedPageBreak/>
        <w:t>Coursera.</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Coursera for Business.</w:t>
      </w:r>
      <w:r w:rsidRPr="00FD6FBA">
        <w:rPr>
          <w:rStyle w:val="apple-converted-space"/>
          <w:rFonts w:asciiTheme="majorBidi" w:hAnsiTheme="majorBidi" w:cstheme="majorBidi"/>
          <w:color w:val="000000"/>
        </w:rPr>
        <w:t> </w:t>
      </w:r>
      <w:r>
        <w:fldChar w:fldCharType="begin"/>
      </w:r>
      <w:r>
        <w:instrText>HYPERLINK "https://www.coursera.org/business" \t "_new"</w:instrText>
      </w:r>
      <w:r>
        <w:fldChar w:fldCharType="separate"/>
      </w:r>
      <w:r w:rsidRPr="00FD6FBA">
        <w:rPr>
          <w:rStyle w:val="Lienhypertexte"/>
          <w:rFonts w:asciiTheme="majorBidi" w:hAnsiTheme="majorBidi" w:cstheme="majorBidi"/>
        </w:rPr>
        <w:t>https://www.coursera.org/business</w:t>
      </w:r>
      <w:r>
        <w:rPr>
          <w:rStyle w:val="Lienhypertexte"/>
          <w:rFonts w:asciiTheme="majorBidi" w:hAnsiTheme="majorBidi" w:cstheme="majorBidi"/>
        </w:rPr>
        <w:fldChar w:fldCharType="end"/>
      </w:r>
    </w:p>
    <w:p w:rsidR="005D03ED" w:rsidRPr="00FD6FBA" w:rsidRDefault="005D03ED" w:rsidP="004D32AC">
      <w:pPr>
        <w:pStyle w:val="NormalWeb"/>
        <w:numPr>
          <w:ilvl w:val="0"/>
          <w:numId w:val="204"/>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DocuSign.</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Signature électronique et gestion des</w:t>
      </w:r>
      <w:r w:rsidRPr="008A5941">
        <w:rPr>
          <w:rStyle w:val="Accentuation"/>
          <w:rFonts w:asciiTheme="majorBidi" w:hAnsiTheme="majorBidi" w:cstheme="majorBidi"/>
          <w:i w:val="0"/>
          <w:iCs w:val="0"/>
          <w:color w:val="000000"/>
          <w:lang w:val="fr-FR"/>
        </w:rPr>
        <w:t xml:space="preserve"> contrats. </w:t>
      </w:r>
      <w:hyperlink r:id="rId137" w:tgtFrame="_new" w:history="1">
        <w:r w:rsidRPr="00FD6FBA">
          <w:rPr>
            <w:rStyle w:val="Lienhypertexte"/>
            <w:rFonts w:asciiTheme="majorBidi" w:hAnsiTheme="majorBidi" w:cstheme="majorBidi"/>
          </w:rPr>
          <w:t>https://www.docusign.com</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Edenred France.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(2024, avril).</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Avantages sociaux en entreprise : le point sur la liste.</w:t>
      </w:r>
      <w:r>
        <w:fldChar w:fldCharType="begin"/>
      </w:r>
      <w:r>
        <w:instrText>HYPERLINK "https://www.edenred.fr/magazine/anticiper-les-tendances/avantages-salaries/avantages-sociaux-en-entreprise-le-point-sur-la-liste" \t "_new"</w:instrText>
      </w:r>
      <w:r>
        <w:fldChar w:fldCharType="separate"/>
      </w:r>
      <w:r w:rsidRPr="00FD6FBA">
        <w:rPr>
          <w:rStyle w:val="Lienhypertexte"/>
          <w:rFonts w:asciiTheme="majorBidi" w:hAnsiTheme="majorBidi" w:cstheme="majorBidi"/>
        </w:rPr>
        <w:t>https://www.edenred.fr/.../avantages-sociaux-en-entreprise-le-point-sur-la-liste</w:t>
      </w:r>
      <w:r>
        <w:rPr>
          <w:rStyle w:val="Lienhypertexte"/>
          <w:rFonts w:asciiTheme="majorBidi" w:hAnsiTheme="majorBidi" w:cstheme="majorBidi"/>
        </w:rPr>
        <w:fldChar w:fldCharType="end"/>
      </w:r>
    </w:p>
    <w:p w:rsidR="002F1C27"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Edenred France.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(2024, mai).</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meilleurs avantages salariés pour fidéliser vos équipes.</w:t>
      </w:r>
      <w:r>
        <w:fldChar w:fldCharType="begin"/>
      </w:r>
      <w:r>
        <w:instrText>HYPERLINK "https://www.edenred.fr/magazine/anticiper-les-tendances/avantages-salaries/entreprise-tous-les-avantages-salaries-voici-tout-ce-quil-faut-savoir" \t "_new"</w:instrText>
      </w:r>
      <w:r>
        <w:fldChar w:fldCharType="separate"/>
      </w:r>
      <w:r w:rsidRPr="00FD6FBA">
        <w:rPr>
          <w:rStyle w:val="Lienhypertexte"/>
          <w:rFonts w:asciiTheme="majorBidi" w:hAnsiTheme="majorBidi" w:cstheme="majorBidi"/>
        </w:rPr>
        <w:t>https://www.edenred.fr/.../entreprise-tous-les-avantages-salaries-voici-tout-ce-quil-faut-savoir</w:t>
      </w:r>
      <w:r>
        <w:rPr>
          <w:rStyle w:val="Lienhypertexte"/>
          <w:rFonts w:asciiTheme="majorBidi" w:hAnsiTheme="majorBidi" w:cstheme="majorBidi"/>
        </w:rPr>
        <w:fldChar w:fldCharType="end"/>
      </w:r>
    </w:p>
    <w:p w:rsidR="00B92249" w:rsidRPr="00B92249"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Elamp.</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(2020).</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Focus sur les outils innovants pour réussir sa GPEC.</w:t>
      </w:r>
      <w:r w:rsidRPr="00FD6FBA">
        <w:rPr>
          <w:rStyle w:val="apple-converted-space"/>
          <w:rFonts w:asciiTheme="majorBidi" w:hAnsiTheme="majorBidi" w:cstheme="majorBidi"/>
          <w:color w:val="000000"/>
        </w:rPr>
        <w:t> </w:t>
      </w:r>
      <w:r>
        <w:fldChar w:fldCharType="begin"/>
      </w:r>
      <w:r>
        <w:instrText>HYPERLINK "https://www.elamp.fr/outils-gpec" \t "_new"</w:instrText>
      </w:r>
      <w:r>
        <w:fldChar w:fldCharType="separate"/>
      </w:r>
      <w:r w:rsidRPr="00FD6FBA">
        <w:rPr>
          <w:rStyle w:val="Lienhypertexte"/>
          <w:rFonts w:asciiTheme="majorBidi" w:hAnsiTheme="majorBidi" w:cstheme="majorBidi"/>
        </w:rPr>
        <w:t>https://www.elamp.fr/outils-gpec</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Ekip.</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(2025, février).</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Avantages financiers : primes, augmentations, épargne salariale.</w:t>
      </w:r>
      <w:r w:rsidR="00B92249" w:rsidRPr="008A5941">
        <w:rPr>
          <w:rStyle w:val="Accentuation"/>
          <w:rFonts w:asciiTheme="majorBidi" w:hAnsiTheme="majorBidi" w:cstheme="majorBidi"/>
          <w:i w:val="0"/>
          <w:iCs w:val="0"/>
          <w:color w:val="000000"/>
          <w:lang w:val="fr-FR"/>
        </w:rPr>
        <w:t xml:space="preserve"> </w:t>
      </w:r>
      <w:hyperlink r:id="rId138" w:history="1">
        <w:r w:rsidR="00B92249" w:rsidRPr="00D92872">
          <w:rPr>
            <w:rStyle w:val="Lienhypertexte"/>
            <w:rFonts w:asciiTheme="majorBidi" w:hAnsiTheme="majorBidi" w:cstheme="majorBidi"/>
          </w:rPr>
          <w:t>https://blog.ekip.app/avantages-financiers/</w:t>
        </w:r>
      </w:hyperlink>
    </w:p>
    <w:p w:rsidR="002F1C27" w:rsidRPr="00FD6FBA" w:rsidRDefault="002F1C27" w:rsidP="004D32AC">
      <w:pPr>
        <w:pStyle w:val="NormalWeb"/>
        <w:numPr>
          <w:ilvl w:val="0"/>
          <w:numId w:val="204"/>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Google.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Analyse de la performance web avec Google</w:t>
      </w:r>
      <w:r w:rsidR="00B92249" w:rsidRPr="008A5941">
        <w:rPr>
          <w:rStyle w:val="Accentuation"/>
          <w:rFonts w:asciiTheme="majorBidi" w:hAnsiTheme="majorBidi" w:cstheme="majorBidi"/>
          <w:i w:val="0"/>
          <w:iCs w:val="0"/>
          <w:color w:val="000000"/>
          <w:lang w:val="fr-FR"/>
        </w:rPr>
        <w:t xml:space="preserve"> Analytics. </w:t>
      </w:r>
      <w:hyperlink r:id="rId139" w:history="1">
        <w:r w:rsidR="00B92249" w:rsidRPr="00D92872">
          <w:rPr>
            <w:rStyle w:val="Lienhypertexte"/>
            <w:rFonts w:asciiTheme="majorBidi" w:hAnsiTheme="majorBidi" w:cstheme="majorBidi"/>
          </w:rPr>
          <w:t>https://analytics.google.com</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HubSpot.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Automatisation marketing et gestion des campagnes </w:t>
      </w:r>
      <w:r w:rsidR="00B92249" w:rsidRPr="008A5941">
        <w:rPr>
          <w:rStyle w:val="Accentuation"/>
          <w:rFonts w:asciiTheme="majorBidi" w:hAnsiTheme="majorBidi" w:cstheme="majorBidi"/>
          <w:i w:val="0"/>
          <w:iCs w:val="0"/>
          <w:color w:val="000000"/>
          <w:lang w:val="fr-FR"/>
        </w:rPr>
        <w:t xml:space="preserve">numériques. </w:t>
      </w:r>
      <w:hyperlink r:id="rId140" w:tgtFrame="_new" w:history="1">
        <w:r w:rsidRPr="00FD6FBA">
          <w:rPr>
            <w:rStyle w:val="Lienhypertexte"/>
            <w:rFonts w:asciiTheme="majorBidi" w:hAnsiTheme="majorBidi" w:cstheme="majorBidi"/>
          </w:rPr>
          <w:t>https://www.hubspot.com</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IBM.</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Optimisation des processus métier grâce au BPM.</w:t>
      </w:r>
      <w:r w:rsidRPr="00FD6FBA">
        <w:rPr>
          <w:rStyle w:val="apple-converted-space"/>
          <w:rFonts w:asciiTheme="majorBidi" w:hAnsiTheme="majorBidi" w:cstheme="majorBidi"/>
          <w:color w:val="000000"/>
        </w:rPr>
        <w:t> </w:t>
      </w:r>
      <w:r>
        <w:fldChar w:fldCharType="begin"/>
      </w:r>
      <w:r>
        <w:instrText>HYPERLINK "https://www.ibm.com/" \t "_new"</w:instrText>
      </w:r>
      <w:r>
        <w:fldChar w:fldCharType="separate"/>
      </w:r>
      <w:r w:rsidRPr="00FD6FBA">
        <w:rPr>
          <w:rStyle w:val="Lienhypertexte"/>
          <w:rFonts w:asciiTheme="majorBidi" w:hAnsiTheme="majorBidi" w:cstheme="majorBidi"/>
        </w:rPr>
        <w:t>https://www.ibm.com</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IGS-RH.</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La digitalisation des RH, quels impacts ?</w:t>
      </w:r>
      <w:r w:rsidRPr="00FD6FBA">
        <w:rPr>
          <w:rStyle w:val="apple-converted-space"/>
          <w:rFonts w:asciiTheme="majorBidi" w:hAnsiTheme="majorBidi" w:cstheme="majorBidi"/>
          <w:color w:val="000000"/>
        </w:rPr>
        <w:t> </w:t>
      </w:r>
      <w:r>
        <w:fldChar w:fldCharType="begin"/>
      </w:r>
      <w:r>
        <w:instrText>HYPERLINK "https://www.igs-ecoles.com/blogs/digitalisation-fonction-rh" \t "_new"</w:instrText>
      </w:r>
      <w:r>
        <w:fldChar w:fldCharType="separate"/>
      </w:r>
      <w:r w:rsidRPr="00FD6FBA">
        <w:rPr>
          <w:rStyle w:val="Lienhypertexte"/>
          <w:rFonts w:asciiTheme="majorBidi" w:hAnsiTheme="majorBidi" w:cstheme="majorBidi"/>
        </w:rPr>
        <w:t>https://www.igs-ecoles.com/blogs/digitalisation-fonction-rh</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iCIMS.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Company.</w:t>
      </w:r>
      <w:r w:rsidRPr="00FD6FBA">
        <w:rPr>
          <w:rStyle w:val="apple-converted-space"/>
          <w:rFonts w:asciiTheme="majorBidi" w:hAnsiTheme="majorBidi" w:cstheme="majorBidi"/>
          <w:color w:val="000000"/>
        </w:rPr>
        <w:t> </w:t>
      </w:r>
      <w:r>
        <w:fldChar w:fldCharType="begin"/>
      </w:r>
      <w:r>
        <w:instrText>HYPERLINK "https://www.icims.com/company/" \t "_new"</w:instrText>
      </w:r>
      <w:r>
        <w:fldChar w:fldCharType="separate"/>
      </w:r>
      <w:r w:rsidRPr="00FD6FBA">
        <w:rPr>
          <w:rStyle w:val="Lienhypertexte"/>
          <w:rFonts w:asciiTheme="majorBidi" w:hAnsiTheme="majorBidi" w:cstheme="majorBidi"/>
        </w:rPr>
        <w:t>https://www.icims.com/company/</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Jumia Algérie.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Site de vente en ligne en Algérie.</w:t>
      </w:r>
      <w:r w:rsidRPr="00FD6FBA">
        <w:rPr>
          <w:rStyle w:val="apple-converted-space"/>
          <w:rFonts w:asciiTheme="majorBidi" w:hAnsiTheme="majorBidi" w:cstheme="majorBidi"/>
          <w:color w:val="000000"/>
        </w:rPr>
        <w:t> </w:t>
      </w:r>
      <w:r>
        <w:fldChar w:fldCharType="begin"/>
      </w:r>
      <w:r>
        <w:instrText>HYPERLINK "https://www.jumia.dz/" \t "_new"</w:instrText>
      </w:r>
      <w:r>
        <w:fldChar w:fldCharType="separate"/>
      </w:r>
      <w:r w:rsidRPr="00FD6FBA">
        <w:rPr>
          <w:rStyle w:val="Lienhypertexte"/>
          <w:rFonts w:asciiTheme="majorBidi" w:hAnsiTheme="majorBidi" w:cstheme="majorBidi"/>
        </w:rPr>
        <w:t>https://www.jumia.dz</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Kwark Education.</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La digitalisation : Définition, enjeux, avantages et inconvénients.</w:t>
      </w:r>
      <w:r>
        <w:fldChar w:fldCharType="begin"/>
      </w:r>
      <w:r>
        <w:instrText>HYPERLINK "https://kwark.education/blog/la-digitalisation-definition-enjeux-avantages-et-inconvenients" \t "_new"</w:instrText>
      </w:r>
      <w:r>
        <w:fldChar w:fldCharType="separate"/>
      </w:r>
      <w:r w:rsidRPr="00FD6FBA">
        <w:rPr>
          <w:rStyle w:val="Lienhypertexte"/>
          <w:rFonts w:asciiTheme="majorBidi" w:hAnsiTheme="majorBidi" w:cstheme="majorBidi"/>
        </w:rPr>
        <w:t>https://kwark.education/...</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Layan.</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(2024).</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tendances et outils de l'e-recrutement en 2024.</w:t>
      </w:r>
      <w:r w:rsidRPr="00FD6FBA">
        <w:rPr>
          <w:rStyle w:val="apple-converted-space"/>
          <w:rFonts w:asciiTheme="majorBidi" w:hAnsiTheme="majorBidi" w:cstheme="majorBidi"/>
          <w:color w:val="000000"/>
        </w:rPr>
        <w:t> </w:t>
      </w:r>
      <w:r>
        <w:fldChar w:fldCharType="begin"/>
      </w:r>
      <w:r>
        <w:instrText>HYPERLINK "https://layan.eu/" \t "_new"</w:instrText>
      </w:r>
      <w:r>
        <w:fldChar w:fldCharType="separate"/>
      </w:r>
      <w:r w:rsidRPr="00FD6FBA">
        <w:rPr>
          <w:rStyle w:val="Lienhypertexte"/>
          <w:rFonts w:asciiTheme="majorBidi" w:hAnsiTheme="majorBidi" w:cstheme="majorBidi"/>
        </w:rPr>
        <w:t>https://layan.eu</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Lattice.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Performance management software.</w:t>
      </w:r>
      <w:r w:rsidRPr="00FD6FBA">
        <w:rPr>
          <w:rStyle w:val="apple-converted-space"/>
          <w:rFonts w:asciiTheme="majorBidi" w:hAnsiTheme="majorBidi" w:cstheme="majorBidi"/>
          <w:color w:val="000000"/>
        </w:rPr>
        <w:t> </w:t>
      </w:r>
      <w:r>
        <w:fldChar w:fldCharType="begin"/>
      </w:r>
      <w:r>
        <w:instrText>HYPERLINK "https://lattice.com/" \t "_new"</w:instrText>
      </w:r>
      <w:r>
        <w:fldChar w:fldCharType="separate"/>
      </w:r>
      <w:r w:rsidRPr="00FD6FBA">
        <w:rPr>
          <w:rStyle w:val="Lienhypertexte"/>
          <w:rFonts w:asciiTheme="majorBidi" w:hAnsiTheme="majorBidi" w:cstheme="majorBidi"/>
        </w:rPr>
        <w:t>https://lattice.com</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LeMagIT.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4 types de transformation digitale.</w:t>
      </w:r>
      <w:r w:rsidRPr="00FD6FBA">
        <w:rPr>
          <w:rStyle w:val="apple-converted-space"/>
          <w:rFonts w:asciiTheme="majorBidi" w:hAnsiTheme="majorBidi" w:cstheme="majorBidi"/>
          <w:color w:val="000000"/>
        </w:rPr>
        <w:t> </w:t>
      </w:r>
      <w:r>
        <w:fldChar w:fldCharType="begin"/>
      </w:r>
      <w:r>
        <w:instrText>HYPERLINK "https://www.lemagit.fr/conseil/Les-4-types-de-transformation-digitale" \t "_new"</w:instrText>
      </w:r>
      <w:r>
        <w:fldChar w:fldCharType="separate"/>
      </w:r>
      <w:r w:rsidRPr="00FD6FBA">
        <w:rPr>
          <w:rStyle w:val="Lienhypertexte"/>
          <w:rFonts w:asciiTheme="majorBidi" w:hAnsiTheme="majorBidi" w:cstheme="majorBidi"/>
        </w:rPr>
        <w:t>https://www.lemagit.fr/...</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LinkedIn.</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LinkedIn Learning.</w:t>
      </w:r>
      <w:r w:rsidRPr="00FD6FBA">
        <w:rPr>
          <w:rStyle w:val="apple-converted-space"/>
          <w:rFonts w:asciiTheme="majorBidi" w:hAnsiTheme="majorBidi" w:cstheme="majorBidi"/>
          <w:color w:val="000000"/>
        </w:rPr>
        <w:t> </w:t>
      </w:r>
      <w:r>
        <w:fldChar w:fldCharType="begin"/>
      </w:r>
      <w:r>
        <w:instrText>HYPERLINK "https://www.linkedin.com/learning" \t "_new"</w:instrText>
      </w:r>
      <w:r>
        <w:fldChar w:fldCharType="separate"/>
      </w:r>
      <w:r w:rsidRPr="00FD6FBA">
        <w:rPr>
          <w:rStyle w:val="Lienhypertexte"/>
          <w:rFonts w:asciiTheme="majorBidi" w:hAnsiTheme="majorBidi" w:cstheme="majorBidi"/>
        </w:rPr>
        <w:t>https://www.linkedin.com/learning</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Microsoft.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Plateforme de collaboration et gestion documentaire avec SharePoint.</w:t>
      </w:r>
      <w:r>
        <w:fldChar w:fldCharType="begin"/>
      </w:r>
      <w:r>
        <w:instrText>HYPERLINK "https://www.microsoft.com/" \t "_new"</w:instrText>
      </w:r>
      <w:r>
        <w:fldChar w:fldCharType="separate"/>
      </w:r>
      <w:r w:rsidRPr="00FD6FBA">
        <w:rPr>
          <w:rStyle w:val="Lienhypertexte"/>
          <w:rFonts w:asciiTheme="majorBidi" w:hAnsiTheme="majorBidi" w:cstheme="majorBidi"/>
        </w:rPr>
        <w:t>https://www.microsoft.com</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Microsoft.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Microsoft Teams.</w:t>
      </w:r>
      <w:r w:rsidRPr="00FD6FBA">
        <w:rPr>
          <w:rStyle w:val="apple-converted-space"/>
          <w:rFonts w:asciiTheme="majorBidi" w:hAnsiTheme="majorBidi" w:cstheme="majorBidi"/>
          <w:color w:val="000000"/>
        </w:rPr>
        <w:t> </w:t>
      </w:r>
      <w:r>
        <w:fldChar w:fldCharType="begin"/>
      </w:r>
      <w:r>
        <w:instrText>HYPERLINK "https://www.microsoft.com/fr-fr/microsoft-teams" \t "_new"</w:instrText>
      </w:r>
      <w:r>
        <w:fldChar w:fldCharType="separate"/>
      </w:r>
      <w:r w:rsidRPr="00FD6FBA">
        <w:rPr>
          <w:rStyle w:val="Lienhypertexte"/>
          <w:rFonts w:asciiTheme="majorBidi" w:hAnsiTheme="majorBidi" w:cstheme="majorBidi"/>
        </w:rPr>
        <w:t>https://www.microsoft.com/fr-fr/microsoft-teams</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Microsoft.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Yammer – Connecter les employés et les </w:t>
      </w:r>
      <w:r w:rsidR="00B92249" w:rsidRPr="008A5941">
        <w:rPr>
          <w:rStyle w:val="Accentuation"/>
          <w:rFonts w:asciiTheme="majorBidi" w:hAnsiTheme="majorBidi" w:cstheme="majorBidi"/>
          <w:i w:val="0"/>
          <w:iCs w:val="0"/>
          <w:color w:val="000000"/>
          <w:lang w:val="fr-FR"/>
        </w:rPr>
        <w:t xml:space="preserve">équipes </w:t>
      </w:r>
      <w:hyperlink r:id="rId141" w:tgtFrame="_new" w:history="1">
        <w:r w:rsidRPr="00FD6FBA">
          <w:rPr>
            <w:rStyle w:val="Lienhypertexte"/>
            <w:rFonts w:asciiTheme="majorBidi" w:hAnsiTheme="majorBidi" w:cstheme="majorBidi"/>
          </w:rPr>
          <w:t>https://www.microsoft.com/fr-fr/microsoft-365/yammer</w:t>
        </w:r>
      </w:hyperlink>
    </w:p>
    <w:p w:rsidR="002F1C27" w:rsidRPr="00FD6FBA" w:rsidRDefault="002F1C27" w:rsidP="004D32AC">
      <w:pPr>
        <w:pStyle w:val="NormalWeb"/>
        <w:numPr>
          <w:ilvl w:val="0"/>
          <w:numId w:val="204"/>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MyCrowdConnect.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À propos de </w:t>
      </w:r>
      <w:r w:rsidR="00B92249" w:rsidRPr="008A5941">
        <w:rPr>
          <w:rStyle w:val="Accentuation"/>
          <w:rFonts w:asciiTheme="majorBidi" w:hAnsiTheme="majorBidi" w:cstheme="majorBidi"/>
          <w:i w:val="0"/>
          <w:iCs w:val="0"/>
          <w:color w:val="000000"/>
          <w:lang w:val="fr-FR"/>
        </w:rPr>
        <w:t xml:space="preserve"> </w:t>
      </w:r>
      <w:r w:rsidR="00B92249" w:rsidRPr="00FD6FBA">
        <w:rPr>
          <w:rStyle w:val="Accentuation"/>
          <w:rFonts w:asciiTheme="majorBidi" w:hAnsiTheme="majorBidi" w:cstheme="majorBidi"/>
          <w:i w:val="0"/>
          <w:iCs w:val="0"/>
          <w:color w:val="000000"/>
        </w:rPr>
        <w:t>MyCrowdConnect</w:t>
      </w:r>
      <w:r w:rsidR="00B92249" w:rsidRPr="008A5941">
        <w:rPr>
          <w:rStyle w:val="Accentuation"/>
          <w:rFonts w:asciiTheme="majorBidi" w:hAnsiTheme="majorBidi" w:cstheme="majorBidi"/>
          <w:i w:val="0"/>
          <w:iCs w:val="0"/>
          <w:color w:val="000000"/>
          <w:lang w:val="fr-FR"/>
        </w:rPr>
        <w:t xml:space="preserve">. </w:t>
      </w:r>
      <w:hyperlink r:id="rId142" w:history="1">
        <w:r w:rsidR="00B92249" w:rsidRPr="00D92872">
          <w:rPr>
            <w:rStyle w:val="Lienhypertexte"/>
            <w:rFonts w:asciiTheme="majorBidi" w:hAnsiTheme="majorBidi" w:cstheme="majorBidi"/>
          </w:rPr>
          <w:t>https://www.mycrowdconnect.com/about</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lastRenderedPageBreak/>
        <w:t>OpenAI.</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Modèles d’intelligence artificielle pour l’automatisation et la génération de contenu.</w:t>
      </w:r>
      <w:r w:rsidR="00B92249" w:rsidRPr="008A5941">
        <w:rPr>
          <w:rStyle w:val="Accentuation"/>
          <w:rFonts w:asciiTheme="majorBidi" w:hAnsiTheme="majorBidi" w:cstheme="majorBidi"/>
          <w:i w:val="0"/>
          <w:iCs w:val="0"/>
          <w:color w:val="000000"/>
          <w:lang w:val="fr-FR"/>
        </w:rPr>
        <w:t xml:space="preserve"> </w:t>
      </w:r>
      <w:hyperlink r:id="rId143" w:history="1">
        <w:r w:rsidR="00B92249" w:rsidRPr="00D92872">
          <w:rPr>
            <w:rStyle w:val="Lienhypertexte"/>
            <w:rFonts w:asciiTheme="majorBidi" w:hAnsiTheme="majorBidi" w:cstheme="majorBidi"/>
          </w:rPr>
          <w:t>https://openai.com/chatgpt</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Oracle.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Taleo – Cloud Talent Acquisition.</w:t>
      </w:r>
      <w:r w:rsidRPr="00FD6FBA">
        <w:rPr>
          <w:rStyle w:val="apple-converted-space"/>
          <w:rFonts w:asciiTheme="majorBidi" w:hAnsiTheme="majorBidi" w:cstheme="majorBidi"/>
          <w:color w:val="000000"/>
        </w:rPr>
        <w:t> </w:t>
      </w:r>
      <w:r>
        <w:fldChar w:fldCharType="begin"/>
      </w:r>
      <w:r>
        <w:instrText>HYPERLINK "https://www.oracle.com/human-capital-management/talent-management/taleo/" \t "_new"</w:instrText>
      </w:r>
      <w:r>
        <w:fldChar w:fldCharType="separate"/>
      </w:r>
      <w:r w:rsidRPr="00FD6FBA">
        <w:rPr>
          <w:rStyle w:val="Lienhypertexte"/>
          <w:rFonts w:asciiTheme="majorBidi" w:hAnsiTheme="majorBidi" w:cstheme="majorBidi"/>
        </w:rPr>
        <w:t>https://www.oracle.com/human-capital-management/talent-management/taleo/</w:t>
      </w:r>
      <w:r>
        <w:rPr>
          <w:rStyle w:val="Lienhypertexte"/>
          <w:rFonts w:asciiTheme="majorBidi" w:hAnsiTheme="majorBidi" w:cstheme="majorBidi"/>
        </w:rPr>
        <w:fldChar w:fldCharType="end"/>
      </w:r>
    </w:p>
    <w:p w:rsidR="002F1C27"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OVHcloud.</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Solutions de serveurs dédiés et cloud </w:t>
      </w:r>
      <w:proofErr w:type="spellStart"/>
      <w:r w:rsidR="00B92249" w:rsidRPr="008A5941">
        <w:rPr>
          <w:rStyle w:val="Accentuation"/>
          <w:rFonts w:asciiTheme="majorBidi" w:hAnsiTheme="majorBidi" w:cstheme="majorBidi"/>
          <w:i w:val="0"/>
          <w:iCs w:val="0"/>
          <w:color w:val="000000"/>
          <w:lang w:val="fr-FR"/>
        </w:rPr>
        <w:t>computing</w:t>
      </w:r>
      <w:proofErr w:type="spellEnd"/>
      <w:r w:rsidR="00B92249" w:rsidRPr="008A5941">
        <w:rPr>
          <w:rStyle w:val="Accentuation"/>
          <w:rFonts w:asciiTheme="majorBidi" w:hAnsiTheme="majorBidi" w:cstheme="majorBidi"/>
          <w:i w:val="0"/>
          <w:iCs w:val="0"/>
          <w:color w:val="000000"/>
          <w:lang w:val="fr-FR"/>
        </w:rPr>
        <w:t xml:space="preserve">. </w:t>
      </w:r>
      <w:hyperlink r:id="rId144" w:tgtFrame="_new" w:history="1">
        <w:r w:rsidRPr="00FD6FBA">
          <w:rPr>
            <w:rStyle w:val="Lienhypertexte"/>
            <w:rFonts w:asciiTheme="majorBidi" w:hAnsiTheme="majorBidi" w:cstheme="majorBidi"/>
          </w:rPr>
          <w:t>https://www.ovhcloud.com</w:t>
        </w:r>
      </w:hyperlink>
    </w:p>
    <w:p w:rsidR="002F1C27" w:rsidRPr="00FD6FBA" w:rsidRDefault="002F1C27" w:rsidP="004D32AC">
      <w:pPr>
        <w:pStyle w:val="NormalWeb"/>
        <w:numPr>
          <w:ilvl w:val="0"/>
          <w:numId w:val="204"/>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PeopleSpheres.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Top 5 des astuces pour optimiser votre stratégie </w:t>
      </w:r>
      <w:r w:rsidR="00B92249" w:rsidRPr="008A5941">
        <w:rPr>
          <w:rStyle w:val="Accentuation"/>
          <w:rFonts w:asciiTheme="majorBidi" w:hAnsiTheme="majorBidi" w:cstheme="majorBidi"/>
          <w:i w:val="0"/>
          <w:iCs w:val="0"/>
          <w:color w:val="000000"/>
          <w:lang w:val="fr-FR"/>
        </w:rPr>
        <w:t xml:space="preserve">RH. </w:t>
      </w:r>
      <w:hyperlink r:id="rId145" w:tgtFrame="_new" w:history="1">
        <w:r w:rsidRPr="00FD6FBA">
          <w:rPr>
            <w:rStyle w:val="Lienhypertexte"/>
            <w:rFonts w:asciiTheme="majorBidi" w:hAnsiTheme="majorBidi" w:cstheme="majorBidi"/>
          </w:rPr>
          <w:t>https://peoplespheres.com/...</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Reducbox.</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 juin).</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Prime ou subvention : quels avantages pour les salariés </w:t>
      </w:r>
      <w:r w:rsidR="00B92249" w:rsidRPr="008A5941">
        <w:rPr>
          <w:rStyle w:val="Accentuation"/>
          <w:rFonts w:asciiTheme="majorBidi" w:hAnsiTheme="majorBidi" w:cstheme="majorBidi"/>
          <w:i w:val="0"/>
          <w:iCs w:val="0"/>
          <w:color w:val="000000"/>
          <w:lang w:val="fr-FR"/>
        </w:rPr>
        <w:t xml:space="preserve">? </w:t>
      </w:r>
      <w:hyperlink r:id="rId146" w:history="1">
        <w:r w:rsidR="00B92249" w:rsidRPr="00D92872">
          <w:rPr>
            <w:rStyle w:val="Lienhypertexte"/>
            <w:rFonts w:asciiTheme="majorBidi" w:hAnsiTheme="majorBidi" w:cstheme="majorBidi"/>
          </w:rPr>
          <w:t>https://www.reducbox.com/...</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Recruitee.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(2024).</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 top 30 des meilleurs outils de recrutement à adopter.</w:t>
      </w:r>
      <w:r w:rsidRPr="00FD6FBA">
        <w:rPr>
          <w:rStyle w:val="apple-converted-space"/>
          <w:rFonts w:asciiTheme="majorBidi" w:hAnsiTheme="majorBidi" w:cstheme="majorBidi"/>
          <w:color w:val="000000"/>
        </w:rPr>
        <w:t> </w:t>
      </w:r>
      <w:r>
        <w:fldChar w:fldCharType="begin"/>
      </w:r>
      <w:r>
        <w:instrText>HYPERLINK "https://recruitee.com/" \t "_new"</w:instrText>
      </w:r>
      <w:r>
        <w:fldChar w:fldCharType="separate"/>
      </w:r>
      <w:r w:rsidRPr="00FD6FBA">
        <w:rPr>
          <w:rStyle w:val="Lienhypertexte"/>
          <w:rFonts w:asciiTheme="majorBidi" w:hAnsiTheme="majorBidi" w:cstheme="majorBidi"/>
        </w:rPr>
        <w:t>https://recruitee.com</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Sage.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Logiciels de gestion pour entreprises.</w:t>
      </w:r>
      <w:r w:rsidRPr="00FD6FBA">
        <w:rPr>
          <w:rStyle w:val="apple-converted-space"/>
          <w:rFonts w:asciiTheme="majorBidi" w:hAnsiTheme="majorBidi" w:cstheme="majorBidi"/>
          <w:color w:val="000000"/>
        </w:rPr>
        <w:t> </w:t>
      </w:r>
      <w:r>
        <w:fldChar w:fldCharType="begin"/>
      </w:r>
      <w:r>
        <w:instrText>HYPERLINK "https://www.sage.com/" \t "_new"</w:instrText>
      </w:r>
      <w:r>
        <w:fldChar w:fldCharType="separate"/>
      </w:r>
      <w:r w:rsidRPr="00FD6FBA">
        <w:rPr>
          <w:rStyle w:val="Lienhypertexte"/>
          <w:rFonts w:asciiTheme="majorBidi" w:hAnsiTheme="majorBidi" w:cstheme="majorBidi"/>
        </w:rPr>
        <w:t>https://www.sage.com</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SAP.</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Talent management solutions.</w:t>
      </w:r>
      <w:r w:rsidRPr="00FD6FBA">
        <w:rPr>
          <w:rStyle w:val="apple-converted-space"/>
          <w:rFonts w:asciiTheme="majorBidi" w:hAnsiTheme="majorBidi" w:cstheme="majorBidi"/>
          <w:color w:val="000000"/>
        </w:rPr>
        <w:t> </w:t>
      </w:r>
      <w:r>
        <w:fldChar w:fldCharType="begin"/>
      </w:r>
      <w:r>
        <w:instrText>HYPERLINK "https://www.sap.com/products/hcm/talent-management.html" \t "_new"</w:instrText>
      </w:r>
      <w:r>
        <w:fldChar w:fldCharType="separate"/>
      </w:r>
      <w:r w:rsidRPr="00FD6FBA">
        <w:rPr>
          <w:rStyle w:val="Lienhypertexte"/>
          <w:rFonts w:asciiTheme="majorBidi" w:hAnsiTheme="majorBidi" w:cstheme="majorBidi"/>
        </w:rPr>
        <w:t>https://www.sap.com/products/hcm/talent-management.html</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ScopTalent.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E-recrutement : Définition, avantages et </w:t>
      </w:r>
      <w:r w:rsidR="00B92249" w:rsidRPr="008A5941">
        <w:rPr>
          <w:rStyle w:val="Accentuation"/>
          <w:rFonts w:asciiTheme="majorBidi" w:hAnsiTheme="majorBidi" w:cstheme="majorBidi"/>
          <w:i w:val="0"/>
          <w:iCs w:val="0"/>
          <w:color w:val="000000"/>
          <w:lang w:val="fr-FR"/>
        </w:rPr>
        <w:t xml:space="preserve">outils. </w:t>
      </w:r>
      <w:hyperlink r:id="rId147" w:history="1">
        <w:r w:rsidR="00B92249" w:rsidRPr="00D92872">
          <w:rPr>
            <w:rStyle w:val="Lienhypertexte"/>
            <w:rFonts w:asciiTheme="majorBidi" w:hAnsiTheme="majorBidi" w:cstheme="majorBidi"/>
          </w:rPr>
          <w:t>https://scoptalent.com</w:t>
        </w:r>
      </w:hyperlink>
    </w:p>
    <w:p w:rsidR="002F1C27" w:rsidRPr="00FD6FBA" w:rsidRDefault="002F1C27" w:rsidP="004D32AC">
      <w:pPr>
        <w:pStyle w:val="NormalWeb"/>
        <w:numPr>
          <w:ilvl w:val="0"/>
          <w:numId w:val="204"/>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Signaturit.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(2024).</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Les 5 outils indispensables d’un service RH </w:t>
      </w:r>
      <w:r w:rsidR="00B92249" w:rsidRPr="008A5941">
        <w:rPr>
          <w:rStyle w:val="Accentuation"/>
          <w:rFonts w:asciiTheme="majorBidi" w:hAnsiTheme="majorBidi" w:cstheme="majorBidi"/>
          <w:i w:val="0"/>
          <w:iCs w:val="0"/>
          <w:color w:val="000000"/>
          <w:lang w:val="fr-FR"/>
        </w:rPr>
        <w:t xml:space="preserve">digitalisé. </w:t>
      </w:r>
      <w:hyperlink r:id="rId148" w:history="1">
        <w:r w:rsidR="00B92249" w:rsidRPr="00D92872">
          <w:rPr>
            <w:rStyle w:val="Lienhypertexte"/>
            <w:rFonts w:asciiTheme="majorBidi" w:hAnsiTheme="majorBidi" w:cstheme="majorBidi"/>
          </w:rPr>
          <w:t>https://www.signaturit.com/fr/...</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Slack.</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Slack pour les entreprises.</w:t>
      </w:r>
      <w:r w:rsidRPr="00FD6FBA">
        <w:rPr>
          <w:rStyle w:val="apple-converted-space"/>
          <w:rFonts w:asciiTheme="majorBidi" w:hAnsiTheme="majorBidi" w:cstheme="majorBidi"/>
          <w:color w:val="000000"/>
        </w:rPr>
        <w:t> </w:t>
      </w:r>
      <w:r>
        <w:fldChar w:fldCharType="begin"/>
      </w:r>
      <w:r>
        <w:instrText>HYPERLINK "https://slack.com/intl/fr-fr/" \t "_new"</w:instrText>
      </w:r>
      <w:r>
        <w:fldChar w:fldCharType="separate"/>
      </w:r>
      <w:r w:rsidRPr="00FD6FBA">
        <w:rPr>
          <w:rStyle w:val="Lienhypertexte"/>
          <w:rFonts w:asciiTheme="majorBidi" w:hAnsiTheme="majorBidi" w:cstheme="majorBidi"/>
        </w:rPr>
        <w:t>https://slack.com/intl/fr-fr/</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TechTarget.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Adobe Sign.</w:t>
      </w:r>
      <w:r w:rsidRPr="00FD6FBA">
        <w:rPr>
          <w:rStyle w:val="apple-converted-space"/>
          <w:rFonts w:asciiTheme="majorBidi" w:hAnsiTheme="majorBidi" w:cstheme="majorBidi"/>
          <w:color w:val="000000"/>
        </w:rPr>
        <w:t> </w:t>
      </w:r>
      <w:r>
        <w:fldChar w:fldCharType="begin"/>
      </w:r>
      <w:r>
        <w:instrText>HYPERLINK "https://www.techtarget.com/searchcontentmanagement/definition/Adobe-Sign" \t "_new"</w:instrText>
      </w:r>
      <w:r>
        <w:fldChar w:fldCharType="separate"/>
      </w:r>
      <w:r w:rsidRPr="00FD6FBA">
        <w:rPr>
          <w:rStyle w:val="Lienhypertexte"/>
          <w:rFonts w:asciiTheme="majorBidi" w:hAnsiTheme="majorBidi" w:cstheme="majorBidi"/>
        </w:rPr>
        <w:t>https://www.techtarget.com/...</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Terralaboris asbl.</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Rémunération / Avantages / </w:t>
      </w:r>
      <w:r w:rsidR="00B92249" w:rsidRPr="008A5941">
        <w:rPr>
          <w:rStyle w:val="Accentuation"/>
          <w:rFonts w:asciiTheme="majorBidi" w:hAnsiTheme="majorBidi" w:cstheme="majorBidi"/>
          <w:i w:val="0"/>
          <w:iCs w:val="0"/>
          <w:color w:val="000000"/>
          <w:lang w:val="fr-FR"/>
        </w:rPr>
        <w:t xml:space="preserve"> Frais. </w:t>
      </w:r>
      <w:hyperlink r:id="rId149" w:tgtFrame="_new" w:history="1">
        <w:r w:rsidRPr="00FD6FBA">
          <w:rPr>
            <w:rStyle w:val="Lienhypertexte"/>
            <w:rFonts w:asciiTheme="majorBidi" w:hAnsiTheme="majorBidi" w:cstheme="majorBidi"/>
          </w:rPr>
          <w:t>https://www.terralaboris.be/...</w:t>
        </w:r>
      </w:hyperlink>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Tuleap.</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La transformation digitale des entreprises.</w:t>
      </w:r>
      <w:r w:rsidRPr="00FD6FBA">
        <w:rPr>
          <w:rStyle w:val="apple-converted-space"/>
          <w:rFonts w:asciiTheme="majorBidi" w:hAnsiTheme="majorBidi" w:cstheme="majorBidi"/>
          <w:color w:val="000000"/>
        </w:rPr>
        <w:t> </w:t>
      </w:r>
      <w:r>
        <w:fldChar w:fldCharType="begin"/>
      </w:r>
      <w:r>
        <w:instrText>HYPERLINK "https://www.tuleap.org/fr/transformation-numerique-agile/la-transformation-digitale-des-entreprises" \t "_new"</w:instrText>
      </w:r>
      <w:r>
        <w:fldChar w:fldCharType="separate"/>
      </w:r>
      <w:r w:rsidRPr="00FD6FBA">
        <w:rPr>
          <w:rStyle w:val="Lienhypertexte"/>
          <w:rFonts w:asciiTheme="majorBidi" w:hAnsiTheme="majorBidi" w:cstheme="majorBidi"/>
        </w:rPr>
        <w:t>https://www.tuleap.org/...</w:t>
      </w:r>
      <w:r>
        <w:rPr>
          <w:rStyle w:val="Lienhypertexte"/>
          <w:rFonts w:asciiTheme="majorBidi" w:hAnsiTheme="majorBidi" w:cstheme="majorBidi"/>
        </w:rPr>
        <w:fldChar w:fldCharType="end"/>
      </w:r>
    </w:p>
    <w:p w:rsidR="002F1C27" w:rsidRPr="00FD6FBA"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Urssaf.</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(2025, janvier).</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avantages en nature.</w:t>
      </w:r>
      <w:r w:rsidRPr="00FD6FBA">
        <w:rPr>
          <w:rStyle w:val="apple-converted-space"/>
          <w:rFonts w:asciiTheme="majorBidi" w:hAnsiTheme="majorBidi" w:cstheme="majorBidi"/>
          <w:color w:val="000000"/>
        </w:rPr>
        <w:t> </w:t>
      </w:r>
      <w:r>
        <w:fldChar w:fldCharType="begin"/>
      </w:r>
      <w:r>
        <w:instrText>HYPERLINK "https://www.urssaf.fr/accueil/employeur/cotisations/avantages-en-nature.html" \t "_new"</w:instrText>
      </w:r>
      <w:r>
        <w:fldChar w:fldCharType="separate"/>
      </w:r>
      <w:r w:rsidRPr="00FD6FBA">
        <w:rPr>
          <w:rStyle w:val="Lienhypertexte"/>
          <w:rFonts w:asciiTheme="majorBidi" w:hAnsiTheme="majorBidi" w:cstheme="majorBidi"/>
        </w:rPr>
        <w:t>https://www.urssaf.fr/...</w:t>
      </w:r>
      <w:r>
        <w:rPr>
          <w:rStyle w:val="Lienhypertexte"/>
          <w:rFonts w:asciiTheme="majorBidi" w:hAnsiTheme="majorBidi" w:cstheme="majorBidi"/>
        </w:rPr>
        <w:fldChar w:fldCharType="end"/>
      </w:r>
    </w:p>
    <w:p w:rsidR="002F1C27" w:rsidRPr="00B92249" w:rsidRDefault="002F1C27" w:rsidP="004D32AC">
      <w:pPr>
        <w:pStyle w:val="NormalWeb"/>
        <w:numPr>
          <w:ilvl w:val="0"/>
          <w:numId w:val="204"/>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Workday.</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(2017).</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 xml:space="preserve">Why medium enterprises choose </w:t>
      </w:r>
      <w:r w:rsidR="00B92249">
        <w:rPr>
          <w:rStyle w:val="Accentuation"/>
          <w:rFonts w:asciiTheme="majorBidi" w:hAnsiTheme="majorBidi" w:cstheme="majorBidi"/>
          <w:i w:val="0"/>
          <w:iCs w:val="0"/>
          <w:color w:val="000000"/>
          <w:lang w:val="en-US"/>
        </w:rPr>
        <w:t xml:space="preserve">Workday. </w:t>
      </w:r>
      <w:hyperlink r:id="rId150" w:history="1">
        <w:r w:rsidR="00B92249" w:rsidRPr="00D92872">
          <w:rPr>
            <w:rStyle w:val="Lienhypertexte"/>
            <w:rFonts w:asciiTheme="majorBidi" w:hAnsiTheme="majorBidi" w:cstheme="majorBidi"/>
          </w:rPr>
          <w:t>https://blog.workday.com/...</w:t>
        </w:r>
      </w:hyperlink>
    </w:p>
    <w:p w:rsidR="002F1C27" w:rsidRPr="002F1C27" w:rsidRDefault="002F1C27" w:rsidP="004D32AC">
      <w:pPr>
        <w:pStyle w:val="Titre2"/>
        <w:numPr>
          <w:ilvl w:val="0"/>
          <w:numId w:val="205"/>
        </w:numPr>
        <w:spacing w:before="0" w:line="360" w:lineRule="auto"/>
        <w:jc w:val="both"/>
        <w:rPr>
          <w:rFonts w:asciiTheme="majorBidi" w:hAnsiTheme="majorBidi"/>
          <w:color w:val="000000"/>
          <w:sz w:val="24"/>
          <w:szCs w:val="24"/>
        </w:rPr>
      </w:pPr>
      <w:bookmarkStart w:id="2477" w:name="_Toc200486881"/>
      <w:bookmarkStart w:id="2478" w:name="_Toc200635659"/>
      <w:bookmarkStart w:id="2479" w:name="_Toc200636047"/>
      <w:bookmarkStart w:id="2480" w:name="_Toc200636436"/>
      <w:bookmarkStart w:id="2481" w:name="_Toc200756177"/>
      <w:r w:rsidRPr="002F1C27">
        <w:rPr>
          <w:rStyle w:val="lev"/>
          <w:rFonts w:asciiTheme="majorBidi" w:hAnsiTheme="majorBidi"/>
          <w:color w:val="000000"/>
          <w:sz w:val="24"/>
          <w:szCs w:val="24"/>
        </w:rPr>
        <w:t>Rapports professionnels et institutionnels</w:t>
      </w:r>
      <w:bookmarkEnd w:id="2477"/>
      <w:bookmarkEnd w:id="2478"/>
      <w:bookmarkEnd w:id="2479"/>
      <w:bookmarkEnd w:id="2480"/>
      <w:bookmarkEnd w:id="2481"/>
    </w:p>
    <w:p w:rsidR="002F1C27" w:rsidRPr="00FD6FBA" w:rsidRDefault="002F1C27" w:rsidP="004D32AC">
      <w:pPr>
        <w:pStyle w:val="NormalWeb"/>
        <w:numPr>
          <w:ilvl w:val="0"/>
          <w:numId w:val="202"/>
        </w:numPr>
        <w:spacing w:before="0" w:beforeAutospacing="0"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Barabel, M., &amp; Meier, O.</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(2020).</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RH à l’ère du Covid-19 : Les bonnes pratiques à retenir.</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Dunod.</w:t>
      </w:r>
    </w:p>
    <w:p w:rsidR="002F1C27" w:rsidRPr="00FD6FBA" w:rsidRDefault="002F1C27" w:rsidP="004D32AC">
      <w:pPr>
        <w:pStyle w:val="NormalWeb"/>
        <w:numPr>
          <w:ilvl w:val="0"/>
          <w:numId w:val="202"/>
        </w:numPr>
        <w:spacing w:before="0" w:beforeAutospacing="0"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Deloitte.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(2021).</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The future of work: Redefining workforce strategies.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Deloitte Insights.</w:t>
      </w:r>
    </w:p>
    <w:p w:rsidR="002F1C27" w:rsidRPr="00FD6FBA" w:rsidRDefault="002F1C27" w:rsidP="004D32AC">
      <w:pPr>
        <w:pStyle w:val="NormalWeb"/>
        <w:numPr>
          <w:ilvl w:val="0"/>
          <w:numId w:val="202"/>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Gallup.</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(2021).</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State of the global workplace report.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Gallup Press.</w:t>
      </w:r>
    </w:p>
    <w:p w:rsidR="002F1C27" w:rsidRPr="00FD6FBA" w:rsidRDefault="002F1C27" w:rsidP="004D32AC">
      <w:pPr>
        <w:pStyle w:val="NormalWeb"/>
        <w:numPr>
          <w:ilvl w:val="0"/>
          <w:numId w:val="202"/>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lastRenderedPageBreak/>
        <w:t>Harvard Business Review.</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(2022).</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The future of work: Flexible schedules and productivity.</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HBR Press.</w:t>
      </w:r>
    </w:p>
    <w:p w:rsidR="002F1C27" w:rsidRPr="00FD6FBA" w:rsidRDefault="002F1C27" w:rsidP="004D32AC">
      <w:pPr>
        <w:pStyle w:val="NormalWeb"/>
        <w:numPr>
          <w:ilvl w:val="0"/>
          <w:numId w:val="202"/>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IGS-RH.</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(s.d.).</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métiers RH : tendances de demain.</w:t>
      </w:r>
      <w:r w:rsidRPr="00FD6FBA">
        <w:rPr>
          <w:rFonts w:asciiTheme="majorBidi" w:hAnsiTheme="majorBidi" w:cstheme="majorBidi"/>
          <w:color w:val="000000"/>
        </w:rPr>
        <w:br/>
      </w:r>
      <w:hyperlink r:id="rId151" w:tgtFrame="_new" w:history="1">
        <w:r w:rsidRPr="00FD6FBA">
          <w:rPr>
            <w:rStyle w:val="Lienhypertexte"/>
            <w:rFonts w:asciiTheme="majorBidi" w:hAnsiTheme="majorBidi" w:cstheme="majorBidi"/>
          </w:rPr>
          <w:t>https://www.igs-ecoles.com/blogs/les-metiers-rh-tendances-de-demain</w:t>
        </w:r>
      </w:hyperlink>
    </w:p>
    <w:p w:rsidR="002F1C27" w:rsidRPr="00FD6FBA" w:rsidRDefault="002F1C27" w:rsidP="004D32AC">
      <w:pPr>
        <w:pStyle w:val="NormalWeb"/>
        <w:numPr>
          <w:ilvl w:val="0"/>
          <w:numId w:val="202"/>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Korn Ferry.</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(2020).</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Talent strategy and corporate responsibility.</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Korn Ferry Institute.</w:t>
      </w:r>
    </w:p>
    <w:p w:rsidR="002F1C27" w:rsidRPr="00FD6FBA" w:rsidRDefault="002F1C27" w:rsidP="004D32AC">
      <w:pPr>
        <w:pStyle w:val="NormalWeb"/>
        <w:numPr>
          <w:ilvl w:val="0"/>
          <w:numId w:val="202"/>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McKinsey &amp; Company.</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(2022).</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The talent imperative: Strengthening workforce resilience.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McKinsey &amp; Company.</w:t>
      </w:r>
    </w:p>
    <w:p w:rsidR="002F1C27" w:rsidRPr="00FD6FBA" w:rsidRDefault="002F1C27" w:rsidP="004D32AC">
      <w:pPr>
        <w:pStyle w:val="NormalWeb"/>
        <w:numPr>
          <w:ilvl w:val="0"/>
          <w:numId w:val="202"/>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Mercer.</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(2020).</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Employee benefits and workplace satisfaction trends.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Mercer Consulting.</w:t>
      </w:r>
    </w:p>
    <w:p w:rsidR="002F1C27" w:rsidRPr="00FD6FBA" w:rsidRDefault="002F1C27" w:rsidP="004D32AC">
      <w:pPr>
        <w:pStyle w:val="NormalWeb"/>
        <w:numPr>
          <w:ilvl w:val="0"/>
          <w:numId w:val="202"/>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PwC.</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(2021).</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Mental health and workforce sustainability.</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PricewaterhouseCoopers.</w:t>
      </w:r>
    </w:p>
    <w:p w:rsidR="002F1C27" w:rsidRPr="00FD6FBA" w:rsidRDefault="002F1C27" w:rsidP="004D32AC">
      <w:pPr>
        <w:pStyle w:val="NormalWeb"/>
        <w:numPr>
          <w:ilvl w:val="0"/>
          <w:numId w:val="202"/>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SHRM (Society for Human Resource Management).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(2021).</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Workplace well-being and productivity trends.</w:t>
      </w:r>
      <w:r w:rsidRPr="00FD6FBA">
        <w:rPr>
          <w:rFonts w:asciiTheme="majorBidi" w:hAnsiTheme="majorBidi" w:cstheme="majorBidi"/>
          <w:color w:val="000000"/>
        </w:rPr>
        <w:t>SHRM.</w:t>
      </w:r>
    </w:p>
    <w:p w:rsidR="002F1C27" w:rsidRPr="00FD6FBA" w:rsidRDefault="002F1C27" w:rsidP="004D32AC">
      <w:pPr>
        <w:pStyle w:val="NormalWeb"/>
        <w:numPr>
          <w:ilvl w:val="0"/>
          <w:numId w:val="202"/>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WEF (World Economic Forum).</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(2022).</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The future of jobs report.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World Economic Forum.</w:t>
      </w:r>
    </w:p>
    <w:p w:rsidR="002F1C27" w:rsidRPr="002F1C27" w:rsidRDefault="002F1C27" w:rsidP="004D32AC">
      <w:pPr>
        <w:pStyle w:val="Titre2"/>
        <w:numPr>
          <w:ilvl w:val="0"/>
          <w:numId w:val="205"/>
        </w:numPr>
        <w:spacing w:before="0" w:line="360" w:lineRule="auto"/>
        <w:jc w:val="both"/>
        <w:rPr>
          <w:rFonts w:asciiTheme="majorBidi" w:hAnsiTheme="majorBidi"/>
          <w:color w:val="000000"/>
          <w:sz w:val="24"/>
          <w:szCs w:val="24"/>
        </w:rPr>
      </w:pPr>
      <w:bookmarkStart w:id="2482" w:name="_Toc200486882"/>
      <w:bookmarkStart w:id="2483" w:name="_Toc200635660"/>
      <w:bookmarkStart w:id="2484" w:name="_Toc200636048"/>
      <w:bookmarkStart w:id="2485" w:name="_Toc200636437"/>
      <w:bookmarkStart w:id="2486" w:name="_Toc200756178"/>
      <w:r w:rsidRPr="002F1C27">
        <w:rPr>
          <w:rStyle w:val="lev"/>
          <w:rFonts w:asciiTheme="majorBidi" w:hAnsiTheme="majorBidi"/>
          <w:color w:val="000000"/>
          <w:sz w:val="24"/>
          <w:szCs w:val="24"/>
        </w:rPr>
        <w:t>Articles de presse &amp; publications non scientifiques</w:t>
      </w:r>
      <w:bookmarkEnd w:id="2482"/>
      <w:bookmarkEnd w:id="2483"/>
      <w:bookmarkEnd w:id="2484"/>
      <w:bookmarkEnd w:id="2485"/>
      <w:bookmarkEnd w:id="2486"/>
    </w:p>
    <w:p w:rsidR="002F1C27" w:rsidRPr="00FD6FBA" w:rsidRDefault="002F1C27" w:rsidP="004D32AC">
      <w:pPr>
        <w:pStyle w:val="NormalWeb"/>
        <w:numPr>
          <w:ilvl w:val="0"/>
          <w:numId w:val="203"/>
        </w:numPr>
        <w:spacing w:before="0" w:beforeAutospacing="0" w:line="360" w:lineRule="auto"/>
        <w:rPr>
          <w:rFonts w:asciiTheme="majorBidi" w:hAnsiTheme="majorBidi" w:cstheme="majorBidi"/>
          <w:color w:val="000000"/>
        </w:rPr>
      </w:pPr>
      <w:r w:rsidRPr="00FD6FBA">
        <w:rPr>
          <w:rStyle w:val="lev"/>
          <w:rFonts w:asciiTheme="majorBidi" w:hAnsiTheme="majorBidi" w:cstheme="majorBidi"/>
          <w:b w:val="0"/>
          <w:bCs w:val="0"/>
          <w:color w:val="000000"/>
        </w:rPr>
        <w:t>Barro, A.</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(2022, 17 mars).</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Digitalisation RH : quels impacts sur les processus internes?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Le Monde Informatique.</w:t>
      </w:r>
      <w:r w:rsidRPr="00FD6FBA">
        <w:rPr>
          <w:rFonts w:asciiTheme="majorBidi" w:hAnsiTheme="majorBidi" w:cstheme="majorBidi"/>
          <w:color w:val="000000"/>
        </w:rPr>
        <w:br/>
      </w:r>
      <w:hyperlink r:id="rId152" w:tgtFrame="_new" w:history="1">
        <w:r w:rsidRPr="00FD6FBA">
          <w:rPr>
            <w:rStyle w:val="Lienhypertexte"/>
            <w:rFonts w:asciiTheme="majorBidi" w:hAnsiTheme="majorBidi" w:cstheme="majorBidi"/>
          </w:rPr>
          <w:t>https://www.lemondeinformatique.fr/actualites/lire-digitalisation-rh-quels-impacts-sur-les-processus-internes-84521.html</w:t>
        </w:r>
      </w:hyperlink>
    </w:p>
    <w:p w:rsidR="002F1C27" w:rsidRPr="00FD6FBA" w:rsidRDefault="002F1C27" w:rsidP="004D32AC">
      <w:pPr>
        <w:pStyle w:val="NormalWeb"/>
        <w:numPr>
          <w:ilvl w:val="0"/>
          <w:numId w:val="203"/>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Bensalah, Y.</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 14 juin).</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 recrutement à l’ère de l’intelligence artificielle.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Les Échos Start.</w:t>
      </w:r>
      <w:r w:rsidRPr="00FD6FBA">
        <w:rPr>
          <w:rFonts w:asciiTheme="majorBidi" w:hAnsiTheme="majorBidi" w:cstheme="majorBidi"/>
          <w:color w:val="000000"/>
        </w:rPr>
        <w:br/>
      </w:r>
      <w:r>
        <w:fldChar w:fldCharType="begin"/>
      </w:r>
      <w:r>
        <w:instrText>HYPERLINK "https://start.lesechos.fr/travailler-mieux/ressources-humaines/le-recrutement-a-lere-de-lintelligence-artificielle-20348.php" \t "_new"</w:instrText>
      </w:r>
      <w:r>
        <w:fldChar w:fldCharType="separate"/>
      </w:r>
      <w:r w:rsidRPr="00FD6FBA">
        <w:rPr>
          <w:rStyle w:val="Lienhypertexte"/>
          <w:rFonts w:asciiTheme="majorBidi" w:hAnsiTheme="majorBidi" w:cstheme="majorBidi"/>
        </w:rPr>
        <w:t>https://start.lesechos.fr/travailler-mieux/ressources-humaines/le-recrutement-a-lere-de-lintelligence-artificielle-20348.php</w:t>
      </w:r>
      <w:r>
        <w:rPr>
          <w:rStyle w:val="Lienhypertexte"/>
          <w:rFonts w:asciiTheme="majorBidi" w:hAnsiTheme="majorBidi" w:cstheme="majorBidi"/>
        </w:rPr>
        <w:fldChar w:fldCharType="end"/>
      </w:r>
    </w:p>
    <w:p w:rsidR="002F1C27" w:rsidRPr="00FD6FBA" w:rsidRDefault="002F1C27" w:rsidP="004D32AC">
      <w:pPr>
        <w:pStyle w:val="NormalWeb"/>
        <w:numPr>
          <w:ilvl w:val="0"/>
          <w:numId w:val="203"/>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Bernard, A.</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 21 avril).</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soft skills dans le recrutement moderne.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Harvard Business Review France.</w:t>
      </w:r>
      <w:r w:rsidRPr="00FD6FBA">
        <w:rPr>
          <w:rFonts w:asciiTheme="majorBidi" w:hAnsiTheme="majorBidi" w:cstheme="majorBidi"/>
          <w:color w:val="000000"/>
        </w:rPr>
        <w:br/>
      </w:r>
      <w:r>
        <w:fldChar w:fldCharType="begin"/>
      </w:r>
      <w:r>
        <w:instrText>HYPERLINK "https://www.hbrfrance.fr/chroniques-experts/2023/04/50139-les-soft-skills-dans-le-recrutement-moderne/" \t "_new"</w:instrText>
      </w:r>
      <w:r>
        <w:fldChar w:fldCharType="separate"/>
      </w:r>
      <w:r w:rsidRPr="00FD6FBA">
        <w:rPr>
          <w:rStyle w:val="Lienhypertexte"/>
          <w:rFonts w:asciiTheme="majorBidi" w:hAnsiTheme="majorBidi" w:cstheme="majorBidi"/>
        </w:rPr>
        <w:t>https://www.hbrfrance.fr/chroniques-experts/2023/04/50139-les-soft-skills-dans-le-recrutement-moderne/</w:t>
      </w:r>
      <w:r>
        <w:rPr>
          <w:rStyle w:val="Lienhypertexte"/>
          <w:rFonts w:asciiTheme="majorBidi" w:hAnsiTheme="majorBidi" w:cstheme="majorBidi"/>
        </w:rPr>
        <w:fldChar w:fldCharType="end"/>
      </w:r>
    </w:p>
    <w:p w:rsidR="002F1C27" w:rsidRPr="00FD6FBA" w:rsidRDefault="002F1C27" w:rsidP="004D32AC">
      <w:pPr>
        <w:pStyle w:val="NormalWeb"/>
        <w:numPr>
          <w:ilvl w:val="0"/>
          <w:numId w:val="203"/>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Dupont, J.</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(2022, 9 décembre).</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La digitalisation des RH progresse, mais des défis subsistent.</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Le Figaro Économie.</w:t>
      </w:r>
      <w:r w:rsidRPr="00FD6FBA">
        <w:rPr>
          <w:rFonts w:asciiTheme="majorBidi" w:hAnsiTheme="majorBidi" w:cstheme="majorBidi"/>
          <w:color w:val="000000"/>
        </w:rPr>
        <w:br/>
      </w:r>
      <w:hyperlink r:id="rId153" w:tgtFrame="_new" w:history="1">
        <w:r w:rsidRPr="00FD6FBA">
          <w:rPr>
            <w:rStyle w:val="Lienhypertexte"/>
            <w:rFonts w:asciiTheme="majorBidi" w:hAnsiTheme="majorBidi" w:cstheme="majorBidi"/>
          </w:rPr>
          <w:t>https://www.lefigaro.fr/economie/la-digitalisation-des-rh-progresse-mais-des-defis-subsistent-20221209</w:t>
        </w:r>
      </w:hyperlink>
    </w:p>
    <w:p w:rsidR="002F1C27" w:rsidRPr="00FD6FBA" w:rsidRDefault="002F1C27" w:rsidP="004D32AC">
      <w:pPr>
        <w:pStyle w:val="NormalWeb"/>
        <w:numPr>
          <w:ilvl w:val="0"/>
          <w:numId w:val="203"/>
        </w:numPr>
        <w:spacing w:line="360" w:lineRule="auto"/>
        <w:jc w:val="both"/>
        <w:rPr>
          <w:rFonts w:asciiTheme="majorBidi" w:hAnsiTheme="majorBidi" w:cstheme="majorBidi"/>
          <w:color w:val="000000"/>
        </w:rPr>
      </w:pPr>
      <w:r w:rsidRPr="00FD6FBA">
        <w:rPr>
          <w:rStyle w:val="lev"/>
          <w:rFonts w:asciiTheme="majorBidi" w:hAnsiTheme="majorBidi" w:cstheme="majorBidi"/>
          <w:b w:val="0"/>
          <w:bCs w:val="0"/>
          <w:color w:val="000000"/>
        </w:rPr>
        <w:t>Europe 1.</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(2021, 6 septembre).</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Recruter via les réseaux sociaux : une nouvelle tendance ?</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Europe1.fr</w:t>
      </w:r>
      <w:r w:rsidRPr="00FD6FBA">
        <w:rPr>
          <w:rFonts w:asciiTheme="majorBidi" w:hAnsiTheme="majorBidi" w:cstheme="majorBidi"/>
          <w:color w:val="000000"/>
        </w:rPr>
        <w:br/>
      </w:r>
      <w:r w:rsidR="00000000">
        <w:lastRenderedPageBreak/>
        <w:fldChar w:fldCharType="begin"/>
      </w:r>
      <w:r w:rsidR="00000000">
        <w:instrText>HYPERLINK "https://www.europe1.fr/emploi/recruter-via-les-reseaux-sociaux-une-nouvelle-tendance-4064278" \t "_new"</w:instrText>
      </w:r>
      <w:r w:rsidR="00000000">
        <w:fldChar w:fldCharType="separate"/>
      </w:r>
      <w:r w:rsidRPr="00FD6FBA">
        <w:rPr>
          <w:rStyle w:val="Lienhypertexte"/>
          <w:rFonts w:asciiTheme="majorBidi" w:hAnsiTheme="majorBidi" w:cstheme="majorBidi"/>
        </w:rPr>
        <w:t>https://www.europe1.fr/emploi/recruter-via-les-reseaux-sociaux-une-nouvelle-tendance-4064278</w:t>
      </w:r>
      <w:r w:rsidR="00000000">
        <w:rPr>
          <w:rStyle w:val="Lienhypertexte"/>
          <w:rFonts w:asciiTheme="majorBidi" w:hAnsiTheme="majorBidi" w:cstheme="majorBidi"/>
        </w:rPr>
        <w:fldChar w:fldCharType="end"/>
      </w:r>
    </w:p>
    <w:p w:rsidR="002F1C27" w:rsidRPr="00FD6FBA" w:rsidRDefault="002F1C27" w:rsidP="004D32AC">
      <w:pPr>
        <w:pStyle w:val="NormalWeb"/>
        <w:numPr>
          <w:ilvl w:val="0"/>
          <w:numId w:val="203"/>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Lefebvre, M.</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 12 octobre).</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L’IA au service de la formation : une révolution en cours.</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Les Échos.</w:t>
      </w:r>
      <w:r w:rsidRPr="00FD6FBA">
        <w:rPr>
          <w:rFonts w:asciiTheme="majorBidi" w:hAnsiTheme="majorBidi" w:cstheme="majorBidi"/>
          <w:color w:val="000000"/>
        </w:rPr>
        <w:br/>
      </w:r>
      <w:r>
        <w:fldChar w:fldCharType="begin"/>
      </w:r>
      <w:r>
        <w:instrText>HYPERLINK "https://www.lesechos.fr/idees-debats/editos-analyses/lia-au-service-de-la-formation-une-revolution-en-cours-1974631" \t "_new"</w:instrText>
      </w:r>
      <w:r>
        <w:fldChar w:fldCharType="separate"/>
      </w:r>
      <w:r w:rsidRPr="00FD6FBA">
        <w:rPr>
          <w:rStyle w:val="Lienhypertexte"/>
          <w:rFonts w:asciiTheme="majorBidi" w:hAnsiTheme="majorBidi" w:cstheme="majorBidi"/>
        </w:rPr>
        <w:t>https://www.lesechos.fr/idees-debats/editos-analyses/lia-au-service-de-la-formation-une-revolution-en-cours-1974631</w:t>
      </w:r>
      <w:r>
        <w:rPr>
          <w:rStyle w:val="Lienhypertexte"/>
          <w:rFonts w:asciiTheme="majorBidi" w:hAnsiTheme="majorBidi" w:cstheme="majorBidi"/>
        </w:rPr>
        <w:fldChar w:fldCharType="end"/>
      </w:r>
    </w:p>
    <w:p w:rsidR="002F1C27" w:rsidRPr="00FD6FBA" w:rsidRDefault="002F1C27" w:rsidP="004D32AC">
      <w:pPr>
        <w:pStyle w:val="NormalWeb"/>
        <w:numPr>
          <w:ilvl w:val="0"/>
          <w:numId w:val="203"/>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Le Monde.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(2023, 3 juillet).</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Formation continue : les salariés réclament plus de numérique.</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Le Monde.</w:t>
      </w:r>
      <w:r w:rsidRPr="00FD6FBA">
        <w:rPr>
          <w:rFonts w:asciiTheme="majorBidi" w:hAnsiTheme="majorBidi" w:cstheme="majorBidi"/>
          <w:color w:val="000000"/>
        </w:rPr>
        <w:br/>
      </w:r>
      <w:hyperlink r:id="rId154" w:tgtFrame="_new" w:history="1">
        <w:r w:rsidRPr="00FD6FBA">
          <w:rPr>
            <w:rStyle w:val="Lienhypertexte"/>
            <w:rFonts w:asciiTheme="majorBidi" w:hAnsiTheme="majorBidi" w:cstheme="majorBidi"/>
          </w:rPr>
          <w:t>https://www.lemonde.fr/economie/article/2023/07/03/formation-continue-les-salaries-reclament-plus-de-numerique_6173086_3234.html</w:t>
        </w:r>
      </w:hyperlink>
    </w:p>
    <w:p w:rsidR="002F1C27" w:rsidRPr="00FD6FBA" w:rsidRDefault="002F1C27" w:rsidP="004D32AC">
      <w:pPr>
        <w:pStyle w:val="NormalWeb"/>
        <w:numPr>
          <w:ilvl w:val="0"/>
          <w:numId w:val="203"/>
        </w:numPr>
        <w:spacing w:line="360" w:lineRule="auto"/>
        <w:rPr>
          <w:rFonts w:asciiTheme="majorBidi" w:hAnsiTheme="majorBidi" w:cstheme="majorBidi"/>
          <w:color w:val="000000"/>
        </w:rPr>
      </w:pPr>
      <w:r w:rsidRPr="00FD6FBA">
        <w:rPr>
          <w:rStyle w:val="lev"/>
          <w:rFonts w:asciiTheme="majorBidi" w:hAnsiTheme="majorBidi" w:cstheme="majorBidi"/>
          <w:b w:val="0"/>
          <w:bCs w:val="0"/>
          <w:color w:val="000000"/>
        </w:rPr>
        <w:t>Morin, C.</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(2022, 4 octobre).</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RH et transformation digitale : où en sont les entreprises françaises ?</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Harvard Business Review France.</w:t>
      </w:r>
      <w:r w:rsidRPr="00FD6FBA">
        <w:rPr>
          <w:rFonts w:asciiTheme="majorBidi" w:hAnsiTheme="majorBidi" w:cstheme="majorBidi"/>
          <w:color w:val="000000"/>
        </w:rPr>
        <w:br/>
      </w:r>
      <w:r>
        <w:fldChar w:fldCharType="begin"/>
      </w:r>
      <w:r>
        <w:instrText>HYPERLINK "https://www.hbrfrance.fr/magazine/2022/10/42698-rh-et-transformation-digitale-ou-en-sont-les-entreprises-francaises/" \t "_new"</w:instrText>
      </w:r>
      <w:r>
        <w:fldChar w:fldCharType="separate"/>
      </w:r>
      <w:r w:rsidRPr="00FD6FBA">
        <w:rPr>
          <w:rStyle w:val="Lienhypertexte"/>
          <w:rFonts w:asciiTheme="majorBidi" w:hAnsiTheme="majorBidi" w:cstheme="majorBidi"/>
        </w:rPr>
        <w:t>https://www.hbrfrance.fr/magazine/2022/10/42698-rh-et-transformation-digitale-ou-en-sont-les-entreprises-francaises/</w:t>
      </w:r>
      <w:r>
        <w:rPr>
          <w:rStyle w:val="Lienhypertexte"/>
          <w:rFonts w:asciiTheme="majorBidi" w:hAnsiTheme="majorBidi" w:cstheme="majorBidi"/>
        </w:rPr>
        <w:fldChar w:fldCharType="end"/>
      </w:r>
    </w:p>
    <w:p w:rsidR="00B42486" w:rsidRDefault="002F1C27" w:rsidP="004D32AC">
      <w:pPr>
        <w:pStyle w:val="NormalWeb"/>
        <w:numPr>
          <w:ilvl w:val="0"/>
          <w:numId w:val="203"/>
        </w:numPr>
        <w:spacing w:line="360" w:lineRule="auto"/>
        <w:jc w:val="both"/>
        <w:rPr>
          <w:rFonts w:asciiTheme="majorBidi" w:hAnsiTheme="majorBidi" w:cstheme="majorBidi"/>
          <w:color w:val="000000"/>
        </w:rPr>
        <w:sectPr w:rsidR="00B42486" w:rsidSect="00D91E89">
          <w:headerReference w:type="default" r:id="rId155"/>
          <w:pgSz w:w="11900" w:h="16840"/>
          <w:pgMar w:top="1440" w:right="1440" w:bottom="1440" w:left="1440" w:header="708" w:footer="708" w:gutter="0"/>
          <w:cols w:space="708"/>
          <w:docGrid w:linePitch="360"/>
        </w:sectPr>
      </w:pPr>
      <w:r w:rsidRPr="00FD6FBA">
        <w:rPr>
          <w:rStyle w:val="lev"/>
          <w:rFonts w:asciiTheme="majorBidi" w:hAnsiTheme="majorBidi" w:cstheme="majorBidi"/>
          <w:b w:val="0"/>
          <w:bCs w:val="0"/>
          <w:color w:val="000000"/>
        </w:rPr>
        <w:t>Petit, V.</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(2024, 8 février).</w:t>
      </w:r>
      <w:r w:rsidRPr="00FD6FBA">
        <w:rPr>
          <w:rStyle w:val="apple-converted-space"/>
          <w:rFonts w:asciiTheme="majorBidi" w:hAnsiTheme="majorBidi" w:cstheme="majorBidi"/>
          <w:color w:val="000000"/>
        </w:rPr>
        <w:t> </w:t>
      </w:r>
      <w:r w:rsidRPr="00FD6FBA">
        <w:rPr>
          <w:rStyle w:val="Accentuation"/>
          <w:rFonts w:asciiTheme="majorBidi" w:hAnsiTheme="majorBidi" w:cstheme="majorBidi"/>
          <w:i w:val="0"/>
          <w:iCs w:val="0"/>
          <w:color w:val="000000"/>
        </w:rPr>
        <w:t>Les avantages salariés plébiscités en 2024.</w:t>
      </w:r>
      <w:r w:rsidRPr="00FD6FBA">
        <w:rPr>
          <w:rStyle w:val="apple-converted-space"/>
          <w:rFonts w:asciiTheme="majorBidi" w:hAnsiTheme="majorBidi" w:cstheme="majorBidi"/>
          <w:color w:val="000000"/>
        </w:rPr>
        <w:t> </w:t>
      </w:r>
      <w:r w:rsidRPr="00FD6FBA">
        <w:rPr>
          <w:rFonts w:asciiTheme="majorBidi" w:hAnsiTheme="majorBidi" w:cstheme="majorBidi"/>
          <w:color w:val="000000"/>
        </w:rPr>
        <w:t>Le Parisien Économie.</w:t>
      </w:r>
      <w:r w:rsidRPr="00FD6FBA">
        <w:rPr>
          <w:rFonts w:asciiTheme="majorBidi" w:hAnsiTheme="majorBidi" w:cstheme="majorBidi"/>
          <w:color w:val="000000"/>
        </w:rPr>
        <w:br/>
      </w:r>
      <w:r>
        <w:fldChar w:fldCharType="begin"/>
      </w:r>
      <w:r>
        <w:instrText>HYPERLINK "https://www.leparisien.fr/economie/les-avantages-salaries-plebiscites-en-2024-08-02-2024-6A3RSZTZEFG5QFOOZBP2QZVPRE.php" \t "_new"</w:instrText>
      </w:r>
      <w:r>
        <w:fldChar w:fldCharType="separate"/>
      </w:r>
      <w:r w:rsidRPr="00FD6FBA">
        <w:rPr>
          <w:rStyle w:val="Lienhypertexte"/>
          <w:rFonts w:asciiTheme="majorBidi" w:hAnsiTheme="majorBidi" w:cstheme="majorBidi"/>
        </w:rPr>
        <w:t>https://www.leparisien.fr/economie/les-avantages-salaries-plebiscites-en-2024-08-02-2024-6A3RSZTZEFG5QFOOZBP2QZVPRE.php</w:t>
      </w:r>
      <w:r>
        <w:rPr>
          <w:rStyle w:val="Lienhypertexte"/>
          <w:rFonts w:asciiTheme="majorBidi" w:hAnsiTheme="majorBidi" w:cstheme="majorBidi"/>
        </w:rPr>
        <w:fldChar w:fldCharType="end"/>
      </w:r>
    </w:p>
    <w:p w:rsidR="002F1C27" w:rsidRPr="00FD6FBA" w:rsidRDefault="002F1C27" w:rsidP="00B42486">
      <w:pPr>
        <w:pStyle w:val="NormalWeb"/>
        <w:spacing w:line="360" w:lineRule="auto"/>
        <w:ind w:left="720"/>
        <w:jc w:val="both"/>
        <w:rPr>
          <w:rFonts w:asciiTheme="majorBidi" w:hAnsiTheme="majorBidi" w:cstheme="majorBidi"/>
          <w:color w:val="000000"/>
        </w:rPr>
      </w:pPr>
    </w:p>
    <w:p w:rsidR="002F1C27" w:rsidRPr="00FD6FBA" w:rsidRDefault="002F1C27" w:rsidP="002F1C27">
      <w:pPr>
        <w:pStyle w:val="NormalWeb"/>
        <w:spacing w:line="360" w:lineRule="auto"/>
        <w:jc w:val="both"/>
        <w:rPr>
          <w:rFonts w:asciiTheme="majorBidi" w:hAnsiTheme="majorBidi" w:cstheme="majorBidi"/>
          <w:color w:val="000000"/>
        </w:rPr>
      </w:pPr>
    </w:p>
    <w:p w:rsidR="002F1C27" w:rsidRPr="00FD6FBA" w:rsidRDefault="002F1C27" w:rsidP="002F1C27">
      <w:pPr>
        <w:pStyle w:val="NormalWeb"/>
        <w:spacing w:line="360" w:lineRule="auto"/>
        <w:ind w:left="720"/>
        <w:jc w:val="both"/>
        <w:rPr>
          <w:rFonts w:asciiTheme="majorBidi" w:hAnsiTheme="majorBidi" w:cstheme="majorBidi"/>
          <w:color w:val="000000"/>
        </w:rPr>
      </w:pPr>
    </w:p>
    <w:p w:rsidR="002F1C27" w:rsidRPr="00FD6FBA" w:rsidRDefault="002F1C27" w:rsidP="002F1C27">
      <w:pPr>
        <w:spacing w:line="360" w:lineRule="auto"/>
        <w:jc w:val="both"/>
        <w:rPr>
          <w:rFonts w:asciiTheme="majorBidi" w:hAnsiTheme="majorBidi" w:cstheme="majorBidi"/>
        </w:rPr>
      </w:pPr>
    </w:p>
    <w:p w:rsidR="00400B74" w:rsidRDefault="00400B74" w:rsidP="0045362C">
      <w:pPr>
        <w:spacing w:line="360" w:lineRule="auto"/>
        <w:rPr>
          <w:b/>
          <w:bCs/>
          <w:color w:val="000000"/>
          <w:sz w:val="32"/>
          <w:szCs w:val="32"/>
          <w:lang w:eastAsia="fr-FR"/>
        </w:rPr>
      </w:pPr>
    </w:p>
    <w:p w:rsidR="00400B74" w:rsidRDefault="00400B74" w:rsidP="0045362C">
      <w:pPr>
        <w:spacing w:line="360" w:lineRule="auto"/>
        <w:rPr>
          <w:b/>
          <w:bCs/>
          <w:color w:val="000000"/>
          <w:sz w:val="32"/>
          <w:szCs w:val="32"/>
          <w:lang w:eastAsia="fr-FR"/>
        </w:rPr>
      </w:pPr>
    </w:p>
    <w:p w:rsidR="00400B74" w:rsidRDefault="00400B74" w:rsidP="0045362C">
      <w:pPr>
        <w:spacing w:line="360" w:lineRule="auto"/>
        <w:rPr>
          <w:b/>
          <w:bCs/>
          <w:color w:val="000000"/>
          <w:sz w:val="32"/>
          <w:szCs w:val="32"/>
          <w:lang w:eastAsia="fr-FR"/>
        </w:rPr>
      </w:pPr>
    </w:p>
    <w:p w:rsidR="009542E0" w:rsidRPr="007B209A" w:rsidRDefault="009542E0" w:rsidP="001D6D54">
      <w:pPr>
        <w:rPr>
          <w:rFonts w:asciiTheme="majorBidi" w:hAnsiTheme="majorBidi" w:cstheme="majorBidi"/>
          <w:b/>
          <w:bCs/>
          <w:sz w:val="72"/>
          <w:szCs w:val="72"/>
        </w:rPr>
      </w:pPr>
    </w:p>
    <w:p w:rsidR="007D3892" w:rsidRPr="007B209A" w:rsidRDefault="007D3892" w:rsidP="00B42486">
      <w:pPr>
        <w:rPr>
          <w:rFonts w:asciiTheme="majorBidi" w:hAnsiTheme="majorBidi" w:cstheme="majorBidi"/>
          <w:b/>
          <w:bCs/>
          <w:sz w:val="72"/>
          <w:szCs w:val="72"/>
        </w:rPr>
      </w:pPr>
    </w:p>
    <w:p w:rsidR="00131B8E" w:rsidRPr="00194E42" w:rsidRDefault="00E94C87" w:rsidP="00194E42">
      <w:pPr>
        <w:pStyle w:val="Titre3"/>
        <w:jc w:val="center"/>
        <w:rPr>
          <w:sz w:val="96"/>
          <w:szCs w:val="96"/>
          <w:lang w:val="fr-FR"/>
        </w:rPr>
      </w:pPr>
      <w:bookmarkStart w:id="2487" w:name="_Toc200486883"/>
      <w:bookmarkStart w:id="2488" w:name="_Toc200635661"/>
      <w:bookmarkStart w:id="2489" w:name="_Toc200636049"/>
      <w:bookmarkStart w:id="2490" w:name="_Toc200636438"/>
      <w:bookmarkStart w:id="2491" w:name="_Toc200756179"/>
      <w:r w:rsidRPr="00194E42">
        <w:rPr>
          <w:sz w:val="96"/>
          <w:szCs w:val="96"/>
          <w:lang w:val="fr-FR"/>
        </w:rPr>
        <w:t>ANNEXES</w:t>
      </w:r>
      <w:bookmarkEnd w:id="2487"/>
      <w:bookmarkEnd w:id="2488"/>
      <w:bookmarkEnd w:id="2489"/>
      <w:bookmarkEnd w:id="2490"/>
      <w:bookmarkEnd w:id="2491"/>
    </w:p>
    <w:p w:rsidR="00E94C87" w:rsidRDefault="00E94C87" w:rsidP="00B75385">
      <w:pPr>
        <w:jc w:val="center"/>
        <w:rPr>
          <w:rFonts w:asciiTheme="majorBidi" w:hAnsiTheme="majorBidi" w:cstheme="majorBidi"/>
          <w:b/>
          <w:bCs/>
          <w:sz w:val="72"/>
          <w:szCs w:val="72"/>
          <w:lang w:val="fr-FR"/>
        </w:rPr>
      </w:pPr>
    </w:p>
    <w:p w:rsidR="00E94C87" w:rsidRDefault="00E94C87" w:rsidP="00B75385">
      <w:pPr>
        <w:jc w:val="center"/>
        <w:rPr>
          <w:rFonts w:asciiTheme="majorBidi" w:hAnsiTheme="majorBidi" w:cstheme="majorBidi"/>
          <w:b/>
          <w:bCs/>
          <w:sz w:val="72"/>
          <w:szCs w:val="72"/>
          <w:lang w:val="fr-FR"/>
        </w:rPr>
      </w:pPr>
    </w:p>
    <w:p w:rsidR="00B42486" w:rsidRDefault="00B42486" w:rsidP="00B42486">
      <w:pPr>
        <w:rPr>
          <w:rFonts w:asciiTheme="majorBidi" w:hAnsiTheme="majorBidi" w:cstheme="majorBidi"/>
          <w:b/>
          <w:bCs/>
          <w:sz w:val="72"/>
          <w:szCs w:val="72"/>
          <w:lang w:val="fr-FR"/>
        </w:rPr>
        <w:sectPr w:rsidR="00B42486" w:rsidSect="00D91E89">
          <w:headerReference w:type="default" r:id="rId156"/>
          <w:pgSz w:w="11900" w:h="16840"/>
          <w:pgMar w:top="1440" w:right="1440" w:bottom="1440" w:left="1440" w:header="708" w:footer="708" w:gutter="0"/>
          <w:cols w:space="708"/>
          <w:docGrid w:linePitch="360"/>
        </w:sectPr>
      </w:pPr>
    </w:p>
    <w:p w:rsidR="005705ED" w:rsidRDefault="008467EA" w:rsidP="00B42486">
      <w:pPr>
        <w:spacing w:before="100" w:beforeAutospacing="1" w:after="100" w:afterAutospacing="1" w:line="360" w:lineRule="auto"/>
        <w:rPr>
          <w:rFonts w:asciiTheme="majorBidi" w:hAnsiTheme="majorBidi" w:cstheme="majorBidi"/>
          <w:color w:val="000000"/>
          <w:lang w:val="fr-FR"/>
        </w:rPr>
      </w:pPr>
      <w:r>
        <w:rPr>
          <w:rFonts w:asciiTheme="majorBidi" w:hAnsiTheme="majorBidi" w:cstheme="majorBidi"/>
          <w:noProof/>
          <w:color w:val="000000"/>
          <w:lang w:val="fr-FR"/>
          <w14:ligatures w14:val="standardContextual"/>
        </w:rPr>
        <w:lastRenderedPageBreak/>
        <w:drawing>
          <wp:anchor distT="0" distB="0" distL="114300" distR="114300" simplePos="0" relativeHeight="251657216" behindDoc="0" locked="0" layoutInCell="1" allowOverlap="1">
            <wp:simplePos x="0" y="0"/>
            <wp:positionH relativeFrom="column">
              <wp:posOffset>-690113</wp:posOffset>
            </wp:positionH>
            <wp:positionV relativeFrom="paragraph">
              <wp:posOffset>448310</wp:posOffset>
            </wp:positionV>
            <wp:extent cx="6969760" cy="7724140"/>
            <wp:effectExtent l="0" t="0" r="2540" b="0"/>
            <wp:wrapTopAndBottom/>
            <wp:docPr id="2083329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29903" name="Picture 2083329903"/>
                    <pic:cNvPicPr/>
                  </pic:nvPicPr>
                  <pic:blipFill rotWithShape="1">
                    <a:blip r:embed="rId157">
                      <a:extLst>
                        <a:ext uri="{28A0092B-C50C-407E-A947-70E740481C1C}">
                          <a14:useLocalDpi xmlns:a14="http://schemas.microsoft.com/office/drawing/2010/main" val="0"/>
                        </a:ext>
                      </a:extLst>
                    </a:blip>
                    <a:srcRect l="22969" t="9111" r="25767"/>
                    <a:stretch/>
                  </pic:blipFill>
                  <pic:spPr bwMode="auto">
                    <a:xfrm>
                      <a:off x="0" y="0"/>
                      <a:ext cx="6969760" cy="7724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05ED">
        <w:rPr>
          <w:rFonts w:asciiTheme="majorBidi" w:hAnsiTheme="majorBidi" w:cstheme="majorBidi"/>
          <w:b/>
          <w:bCs/>
          <w:color w:val="000000"/>
          <w:lang w:val="fr-FR"/>
        </w:rPr>
        <w:t>Annexe</w:t>
      </w:r>
      <w:r w:rsidR="005705ED" w:rsidRPr="008764AA">
        <w:rPr>
          <w:rFonts w:asciiTheme="majorBidi" w:hAnsiTheme="majorBidi" w:cstheme="majorBidi"/>
          <w:b/>
          <w:bCs/>
          <w:color w:val="000000"/>
          <w:lang w:val="fr-FR"/>
        </w:rPr>
        <w:t xml:space="preserve"> N°0</w:t>
      </w:r>
      <w:r w:rsidR="005705ED">
        <w:rPr>
          <w:rFonts w:asciiTheme="majorBidi" w:hAnsiTheme="majorBidi" w:cstheme="majorBidi"/>
          <w:b/>
          <w:bCs/>
          <w:color w:val="000000"/>
          <w:lang w:val="fr-FR"/>
        </w:rPr>
        <w:t>1</w:t>
      </w:r>
      <w:r w:rsidR="005705ED" w:rsidRPr="008764AA">
        <w:rPr>
          <w:rFonts w:asciiTheme="majorBidi" w:hAnsiTheme="majorBidi" w:cstheme="majorBidi"/>
          <w:b/>
          <w:bCs/>
          <w:color w:val="000000"/>
          <w:lang w:val="fr-FR"/>
        </w:rPr>
        <w:t> :</w:t>
      </w:r>
      <w:r w:rsidR="005705ED" w:rsidRPr="008764AA">
        <w:rPr>
          <w:rFonts w:asciiTheme="majorBidi" w:hAnsiTheme="majorBidi" w:cstheme="majorBidi"/>
          <w:color w:val="000000"/>
          <w:lang w:val="fr-FR"/>
        </w:rPr>
        <w:t xml:space="preserve"> </w:t>
      </w:r>
      <w:r w:rsidR="005705ED" w:rsidRPr="008467EA">
        <w:rPr>
          <w:rFonts w:asciiTheme="majorBidi" w:hAnsiTheme="majorBidi" w:cstheme="majorBidi"/>
          <w:color w:val="000000"/>
          <w:lang w:val="fr-FR"/>
        </w:rPr>
        <w:t>Expression de besoin en personnel</w:t>
      </w:r>
    </w:p>
    <w:p w:rsidR="004F0587" w:rsidRDefault="004F0587" w:rsidP="004F0587">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recrutement</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5705ED" w:rsidRDefault="008467EA" w:rsidP="004F0587">
      <w:pPr>
        <w:spacing w:before="100" w:beforeAutospacing="1" w:after="100" w:afterAutospacing="1" w:line="360" w:lineRule="auto"/>
        <w:jc w:val="center"/>
        <w:rPr>
          <w:rFonts w:asciiTheme="majorBidi" w:hAnsiTheme="majorBidi" w:cstheme="majorBidi"/>
          <w:color w:val="000000"/>
          <w:lang w:val="fr-FR"/>
        </w:rPr>
      </w:pPr>
      <w:r>
        <w:rPr>
          <w:rFonts w:asciiTheme="majorBidi" w:hAnsiTheme="majorBidi" w:cstheme="majorBidi"/>
          <w:noProof/>
          <w:color w:val="000000"/>
          <w:lang w:val="fr-FR"/>
          <w14:ligatures w14:val="standardContextual"/>
        </w:rPr>
        <w:lastRenderedPageBreak/>
        <w:drawing>
          <wp:anchor distT="0" distB="0" distL="114300" distR="114300" simplePos="0" relativeHeight="251658240" behindDoc="0" locked="0" layoutInCell="1" allowOverlap="1">
            <wp:simplePos x="0" y="0"/>
            <wp:positionH relativeFrom="column">
              <wp:posOffset>-121920</wp:posOffset>
            </wp:positionH>
            <wp:positionV relativeFrom="paragraph">
              <wp:posOffset>441960</wp:posOffset>
            </wp:positionV>
            <wp:extent cx="5904230" cy="7863840"/>
            <wp:effectExtent l="0" t="0" r="1270" b="0"/>
            <wp:wrapTopAndBottom/>
            <wp:docPr id="314582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82981" name="Picture 314582981"/>
                    <pic:cNvPicPr/>
                  </pic:nvPicPr>
                  <pic:blipFill rotWithShape="1">
                    <a:blip r:embed="rId158">
                      <a:extLst>
                        <a:ext uri="{28A0092B-C50C-407E-A947-70E740481C1C}">
                          <a14:useLocalDpi xmlns:a14="http://schemas.microsoft.com/office/drawing/2010/main" val="0"/>
                        </a:ext>
                      </a:extLst>
                    </a:blip>
                    <a:srcRect l="31289" t="26058" r="34606"/>
                    <a:stretch/>
                  </pic:blipFill>
                  <pic:spPr bwMode="auto">
                    <a:xfrm>
                      <a:off x="0" y="0"/>
                      <a:ext cx="5904230" cy="7863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05ED">
        <w:rPr>
          <w:rFonts w:asciiTheme="majorBidi" w:hAnsiTheme="majorBidi" w:cstheme="majorBidi"/>
          <w:b/>
          <w:bCs/>
          <w:color w:val="000000"/>
          <w:lang w:val="fr-FR"/>
        </w:rPr>
        <w:t>Annexe</w:t>
      </w:r>
      <w:r w:rsidR="005705ED" w:rsidRPr="008764AA">
        <w:rPr>
          <w:rFonts w:asciiTheme="majorBidi" w:hAnsiTheme="majorBidi" w:cstheme="majorBidi"/>
          <w:b/>
          <w:bCs/>
          <w:color w:val="000000"/>
          <w:lang w:val="fr-FR"/>
        </w:rPr>
        <w:t xml:space="preserve"> N°0</w:t>
      </w:r>
      <w:r w:rsidR="005705ED">
        <w:rPr>
          <w:rFonts w:asciiTheme="majorBidi" w:hAnsiTheme="majorBidi" w:cstheme="majorBidi"/>
          <w:b/>
          <w:bCs/>
          <w:color w:val="000000"/>
          <w:lang w:val="fr-FR"/>
        </w:rPr>
        <w:t>2</w:t>
      </w:r>
      <w:r w:rsidR="005705ED" w:rsidRPr="008764AA">
        <w:rPr>
          <w:rFonts w:asciiTheme="majorBidi" w:hAnsiTheme="majorBidi" w:cstheme="majorBidi"/>
          <w:b/>
          <w:bCs/>
          <w:color w:val="000000"/>
          <w:lang w:val="fr-FR"/>
        </w:rPr>
        <w:t> :</w:t>
      </w:r>
      <w:r w:rsidR="005705ED" w:rsidRPr="008764AA">
        <w:rPr>
          <w:rFonts w:asciiTheme="majorBidi" w:hAnsiTheme="majorBidi" w:cstheme="majorBidi"/>
          <w:color w:val="000000"/>
          <w:lang w:val="fr-FR"/>
        </w:rPr>
        <w:t xml:space="preserve"> </w:t>
      </w:r>
      <w:r w:rsidR="005705ED" w:rsidRPr="008467EA">
        <w:rPr>
          <w:rFonts w:asciiTheme="majorBidi" w:hAnsiTheme="majorBidi" w:cstheme="majorBidi"/>
          <w:color w:val="000000"/>
          <w:lang w:val="fr-FR"/>
        </w:rPr>
        <w:t>Fiche de poste</w:t>
      </w:r>
    </w:p>
    <w:p w:rsidR="008467EA" w:rsidRDefault="004F0587" w:rsidP="004F0587">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recrutement</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5705ED" w:rsidRDefault="008467EA" w:rsidP="008467EA">
      <w:pPr>
        <w:spacing w:before="100" w:beforeAutospacing="1" w:after="100" w:afterAutospacing="1" w:line="360" w:lineRule="auto"/>
        <w:jc w:val="center"/>
        <w:rPr>
          <w:rFonts w:asciiTheme="majorBidi" w:hAnsiTheme="majorBidi" w:cstheme="majorBidi"/>
          <w:color w:val="000000"/>
          <w:lang w:val="fr-FR"/>
        </w:rPr>
      </w:pPr>
      <w:r>
        <w:rPr>
          <w:rFonts w:asciiTheme="majorBidi" w:hAnsiTheme="majorBidi" w:cstheme="majorBidi"/>
          <w:noProof/>
          <w:color w:val="000000"/>
          <w:lang w:val="fr-FR"/>
          <w14:ligatures w14:val="standardContextual"/>
        </w:rPr>
        <w:lastRenderedPageBreak/>
        <w:drawing>
          <wp:anchor distT="0" distB="0" distL="114300" distR="114300" simplePos="0" relativeHeight="251659264" behindDoc="0" locked="0" layoutInCell="1" allowOverlap="1">
            <wp:simplePos x="0" y="0"/>
            <wp:positionH relativeFrom="column">
              <wp:posOffset>-584752</wp:posOffset>
            </wp:positionH>
            <wp:positionV relativeFrom="paragraph">
              <wp:posOffset>436880</wp:posOffset>
            </wp:positionV>
            <wp:extent cx="6905755" cy="5148469"/>
            <wp:effectExtent l="0" t="0" r="3175" b="0"/>
            <wp:wrapTopAndBottom/>
            <wp:docPr id="7158321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32165" name="Picture 715832165"/>
                    <pic:cNvPicPr/>
                  </pic:nvPicPr>
                  <pic:blipFill rotWithShape="1">
                    <a:blip r:embed="rId159">
                      <a:extLst>
                        <a:ext uri="{28A0092B-C50C-407E-A947-70E740481C1C}">
                          <a14:useLocalDpi xmlns:a14="http://schemas.microsoft.com/office/drawing/2010/main" val="0"/>
                        </a:ext>
                      </a:extLst>
                    </a:blip>
                    <a:srcRect l="18768" t="16131" r="20165" b="11031"/>
                    <a:stretch/>
                  </pic:blipFill>
                  <pic:spPr bwMode="auto">
                    <a:xfrm>
                      <a:off x="0" y="0"/>
                      <a:ext cx="6905755" cy="51484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05ED">
        <w:rPr>
          <w:rFonts w:asciiTheme="majorBidi" w:hAnsiTheme="majorBidi" w:cstheme="majorBidi"/>
          <w:b/>
          <w:bCs/>
          <w:color w:val="000000"/>
          <w:lang w:val="fr-FR"/>
        </w:rPr>
        <w:t>Annexe</w:t>
      </w:r>
      <w:r w:rsidR="005705ED" w:rsidRPr="008764AA">
        <w:rPr>
          <w:rFonts w:asciiTheme="majorBidi" w:hAnsiTheme="majorBidi" w:cstheme="majorBidi"/>
          <w:b/>
          <w:bCs/>
          <w:color w:val="000000"/>
          <w:lang w:val="fr-FR"/>
        </w:rPr>
        <w:t xml:space="preserve"> N°0</w:t>
      </w:r>
      <w:r w:rsidR="005705ED">
        <w:rPr>
          <w:rFonts w:asciiTheme="majorBidi" w:hAnsiTheme="majorBidi" w:cstheme="majorBidi"/>
          <w:b/>
          <w:bCs/>
          <w:color w:val="000000"/>
          <w:lang w:val="fr-FR"/>
        </w:rPr>
        <w:t>3</w:t>
      </w:r>
      <w:r w:rsidR="005705ED" w:rsidRPr="008764AA">
        <w:rPr>
          <w:rFonts w:asciiTheme="majorBidi" w:hAnsiTheme="majorBidi" w:cstheme="majorBidi"/>
          <w:b/>
          <w:bCs/>
          <w:color w:val="000000"/>
          <w:lang w:val="fr-FR"/>
        </w:rPr>
        <w:t xml:space="preserve"> : </w:t>
      </w:r>
      <w:r w:rsidR="005705ED" w:rsidRPr="008467EA">
        <w:rPr>
          <w:rFonts w:asciiTheme="majorBidi" w:hAnsiTheme="majorBidi" w:cstheme="majorBidi"/>
          <w:color w:val="000000"/>
          <w:lang w:val="fr-FR"/>
        </w:rPr>
        <w:t>Fiche de sélection et entretien des candidats</w:t>
      </w:r>
    </w:p>
    <w:p w:rsidR="004F0587" w:rsidRDefault="004F0587" w:rsidP="004F0587">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recrutement</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BD70E0" w:rsidRDefault="00BD70E0" w:rsidP="004F0587">
      <w:pPr>
        <w:spacing w:before="100" w:beforeAutospacing="1" w:after="100" w:afterAutospacing="1" w:line="360" w:lineRule="auto"/>
        <w:rPr>
          <w:rFonts w:asciiTheme="majorBidi" w:hAnsiTheme="majorBidi" w:cstheme="majorBidi"/>
          <w:b/>
          <w:bCs/>
          <w:color w:val="000000"/>
          <w:lang w:val="fr-FR"/>
        </w:rPr>
      </w:pP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5705ED" w:rsidRDefault="005705ED" w:rsidP="00BD70E0">
      <w:pPr>
        <w:spacing w:before="100" w:beforeAutospacing="1" w:after="100" w:afterAutospacing="1" w:line="360" w:lineRule="auto"/>
        <w:jc w:val="center"/>
        <w:rPr>
          <w:rFonts w:asciiTheme="majorBidi" w:hAnsiTheme="majorBidi" w:cstheme="majorBidi"/>
          <w:color w:val="000000"/>
          <w:lang w:val="fr-FR"/>
        </w:rPr>
      </w:pPr>
      <w:r>
        <w:rPr>
          <w:rFonts w:asciiTheme="majorBidi" w:hAnsiTheme="majorBidi" w:cstheme="majorBidi"/>
          <w:b/>
          <w:bCs/>
          <w:color w:val="000000"/>
          <w:lang w:val="fr-FR"/>
        </w:rPr>
        <w:t>Annexe</w:t>
      </w:r>
      <w:r w:rsidRPr="008764AA">
        <w:rPr>
          <w:rFonts w:asciiTheme="majorBidi" w:hAnsiTheme="majorBidi" w:cstheme="majorBidi"/>
          <w:b/>
          <w:bCs/>
          <w:color w:val="000000"/>
          <w:lang w:val="fr-FR"/>
        </w:rPr>
        <w:t xml:space="preserve"> N°0</w:t>
      </w:r>
      <w:r>
        <w:rPr>
          <w:rFonts w:asciiTheme="majorBidi" w:hAnsiTheme="majorBidi" w:cstheme="majorBidi"/>
          <w:b/>
          <w:bCs/>
          <w:color w:val="000000"/>
          <w:lang w:val="fr-FR"/>
        </w:rPr>
        <w:t>4</w:t>
      </w:r>
      <w:r w:rsidRPr="008764AA">
        <w:rPr>
          <w:rFonts w:asciiTheme="majorBidi" w:hAnsiTheme="majorBidi" w:cstheme="majorBidi"/>
          <w:b/>
          <w:bCs/>
          <w:color w:val="000000"/>
          <w:lang w:val="fr-FR"/>
        </w:rPr>
        <w:t> :</w:t>
      </w:r>
      <w:r w:rsidRPr="008764AA">
        <w:rPr>
          <w:rFonts w:asciiTheme="majorBidi" w:hAnsiTheme="majorBidi" w:cstheme="majorBidi"/>
          <w:color w:val="000000"/>
          <w:lang w:val="fr-FR"/>
        </w:rPr>
        <w:t xml:space="preserve"> </w:t>
      </w:r>
      <w:r w:rsidRPr="00BD70E0">
        <w:rPr>
          <w:rFonts w:asciiTheme="majorBidi" w:hAnsiTheme="majorBidi" w:cstheme="majorBidi"/>
          <w:color w:val="000000"/>
          <w:lang w:val="fr-FR"/>
        </w:rPr>
        <w:t>L’offre d'emploi</w:t>
      </w: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r>
        <w:rPr>
          <w:rFonts w:asciiTheme="majorBidi" w:hAnsiTheme="majorBidi" w:cstheme="majorBidi"/>
          <w:noProof/>
          <w:color w:val="000000"/>
          <w:lang w:val="fr-FR"/>
          <w14:ligatures w14:val="standardContextual"/>
        </w:rPr>
        <w:drawing>
          <wp:inline distT="0" distB="0" distL="0" distR="0">
            <wp:extent cx="5951085" cy="5136444"/>
            <wp:effectExtent l="0" t="0" r="5715" b="0"/>
            <wp:docPr id="2189681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68170" name="Picture 218968170"/>
                    <pic:cNvPicPr/>
                  </pic:nvPicPr>
                  <pic:blipFill rotWithShape="1">
                    <a:blip r:embed="rId160">
                      <a:extLst>
                        <a:ext uri="{28A0092B-C50C-407E-A947-70E740481C1C}">
                          <a14:useLocalDpi xmlns:a14="http://schemas.microsoft.com/office/drawing/2010/main" val="0"/>
                        </a:ext>
                      </a:extLst>
                    </a:blip>
                    <a:srcRect l="26023" t="20183" r="22346" b="8522"/>
                    <a:stretch/>
                  </pic:blipFill>
                  <pic:spPr bwMode="auto">
                    <a:xfrm>
                      <a:off x="0" y="0"/>
                      <a:ext cx="5951085" cy="5136444"/>
                    </a:xfrm>
                    <a:prstGeom prst="rect">
                      <a:avLst/>
                    </a:prstGeom>
                    <a:ln>
                      <a:noFill/>
                    </a:ln>
                    <a:extLst>
                      <a:ext uri="{53640926-AAD7-44D8-BBD7-CCE9431645EC}">
                        <a14:shadowObscured xmlns:a14="http://schemas.microsoft.com/office/drawing/2010/main"/>
                      </a:ext>
                    </a:extLst>
                  </pic:spPr>
                </pic:pic>
              </a:graphicData>
            </a:graphic>
          </wp:inline>
        </w:drawing>
      </w:r>
    </w:p>
    <w:p w:rsidR="004F0587" w:rsidRDefault="004F0587" w:rsidP="004F0587">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recrutement</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BD70E0" w:rsidRDefault="00BD70E0" w:rsidP="00BD70E0">
      <w:pPr>
        <w:spacing w:before="100" w:beforeAutospacing="1" w:after="100" w:afterAutospacing="1" w:line="360" w:lineRule="auto"/>
        <w:jc w:val="center"/>
        <w:rPr>
          <w:rFonts w:asciiTheme="majorBidi" w:hAnsiTheme="majorBidi" w:cstheme="majorBidi"/>
          <w:b/>
          <w:bCs/>
          <w:color w:val="000000"/>
          <w:lang w:val="fr-FR"/>
        </w:rPr>
      </w:pPr>
    </w:p>
    <w:p w:rsidR="00BD70E0" w:rsidRDefault="00BD70E0" w:rsidP="004F0587">
      <w:pPr>
        <w:spacing w:before="100" w:beforeAutospacing="1" w:after="100" w:afterAutospacing="1" w:line="360" w:lineRule="auto"/>
        <w:rPr>
          <w:rFonts w:asciiTheme="majorBidi" w:hAnsiTheme="majorBidi" w:cstheme="majorBidi"/>
          <w:b/>
          <w:bCs/>
          <w:color w:val="000000"/>
          <w:lang w:val="fr-FR"/>
        </w:rPr>
      </w:pPr>
    </w:p>
    <w:p w:rsidR="005705ED" w:rsidRDefault="0029069B" w:rsidP="004F0587">
      <w:pPr>
        <w:spacing w:before="100" w:beforeAutospacing="1" w:after="100" w:afterAutospacing="1" w:line="360" w:lineRule="auto"/>
        <w:jc w:val="center"/>
        <w:rPr>
          <w:rFonts w:asciiTheme="majorBidi" w:hAnsiTheme="majorBidi" w:cstheme="majorBidi"/>
          <w:color w:val="000000"/>
          <w:lang w:val="fr-FR"/>
        </w:rPr>
      </w:pPr>
      <w:r>
        <w:rPr>
          <w:rFonts w:asciiTheme="majorBidi" w:hAnsiTheme="majorBidi" w:cstheme="majorBidi"/>
          <w:noProof/>
          <w:color w:val="000000"/>
          <w:lang w:val="fr-FR"/>
          <w14:ligatures w14:val="standardContextual"/>
        </w:rPr>
        <w:lastRenderedPageBreak/>
        <w:drawing>
          <wp:anchor distT="0" distB="0" distL="114300" distR="114300" simplePos="0" relativeHeight="251665408" behindDoc="0" locked="0" layoutInCell="1" allowOverlap="1">
            <wp:simplePos x="0" y="0"/>
            <wp:positionH relativeFrom="column">
              <wp:posOffset>-89584</wp:posOffset>
            </wp:positionH>
            <wp:positionV relativeFrom="paragraph">
              <wp:posOffset>439420</wp:posOffset>
            </wp:positionV>
            <wp:extent cx="5981700" cy="7139305"/>
            <wp:effectExtent l="0" t="0" r="0" b="0"/>
            <wp:wrapTopAndBottom/>
            <wp:docPr id="14784362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436245" name="Picture 1478436245"/>
                    <pic:cNvPicPr/>
                  </pic:nvPicPr>
                  <pic:blipFill rotWithShape="1">
                    <a:blip r:embed="rId161">
                      <a:extLst>
                        <a:ext uri="{28A0092B-C50C-407E-A947-70E740481C1C}">
                          <a14:useLocalDpi xmlns:a14="http://schemas.microsoft.com/office/drawing/2010/main" val="0"/>
                        </a:ext>
                      </a:extLst>
                    </a:blip>
                    <a:srcRect l="25043" t="7252" r="28385" b="3825"/>
                    <a:stretch/>
                  </pic:blipFill>
                  <pic:spPr bwMode="auto">
                    <a:xfrm>
                      <a:off x="0" y="0"/>
                      <a:ext cx="5981700" cy="7139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05ED">
        <w:rPr>
          <w:rFonts w:asciiTheme="majorBidi" w:hAnsiTheme="majorBidi" w:cstheme="majorBidi"/>
          <w:b/>
          <w:bCs/>
          <w:color w:val="000000"/>
          <w:lang w:val="fr-FR"/>
        </w:rPr>
        <w:t>Annexe</w:t>
      </w:r>
      <w:r w:rsidR="005705ED" w:rsidRPr="008764AA">
        <w:rPr>
          <w:rFonts w:asciiTheme="majorBidi" w:hAnsiTheme="majorBidi" w:cstheme="majorBidi"/>
          <w:b/>
          <w:bCs/>
          <w:color w:val="000000"/>
          <w:lang w:val="fr-FR"/>
        </w:rPr>
        <w:t xml:space="preserve"> N°0</w:t>
      </w:r>
      <w:r w:rsidR="005705ED">
        <w:rPr>
          <w:rFonts w:asciiTheme="majorBidi" w:hAnsiTheme="majorBidi" w:cstheme="majorBidi"/>
          <w:b/>
          <w:bCs/>
          <w:color w:val="000000"/>
          <w:lang w:val="fr-FR"/>
        </w:rPr>
        <w:t>5</w:t>
      </w:r>
      <w:r w:rsidR="005705ED" w:rsidRPr="008764AA">
        <w:rPr>
          <w:rFonts w:asciiTheme="majorBidi" w:hAnsiTheme="majorBidi" w:cstheme="majorBidi"/>
          <w:b/>
          <w:bCs/>
          <w:color w:val="000000"/>
          <w:lang w:val="fr-FR"/>
        </w:rPr>
        <w:t> :</w:t>
      </w:r>
      <w:r w:rsidR="005705ED" w:rsidRPr="008764AA">
        <w:rPr>
          <w:rFonts w:asciiTheme="majorBidi" w:hAnsiTheme="majorBidi" w:cstheme="majorBidi"/>
          <w:color w:val="000000"/>
          <w:lang w:val="fr-FR"/>
        </w:rPr>
        <w:t xml:space="preserve"> </w:t>
      </w:r>
      <w:r w:rsidR="005705ED" w:rsidRPr="00BD70E0">
        <w:rPr>
          <w:rFonts w:asciiTheme="majorBidi" w:hAnsiTheme="majorBidi" w:cstheme="majorBidi"/>
          <w:color w:val="000000"/>
          <w:lang w:val="fr-FR"/>
        </w:rPr>
        <w:t>Dossier de recrutement</w:t>
      </w:r>
    </w:p>
    <w:p w:rsidR="00BD70E0" w:rsidRPr="008764AA" w:rsidRDefault="00BD70E0" w:rsidP="00BD70E0">
      <w:pPr>
        <w:spacing w:before="100" w:beforeAutospacing="1" w:after="100" w:afterAutospacing="1" w:line="360" w:lineRule="auto"/>
        <w:jc w:val="center"/>
        <w:rPr>
          <w:rFonts w:asciiTheme="majorBidi" w:hAnsiTheme="majorBidi" w:cstheme="majorBidi"/>
          <w:color w:val="000000"/>
          <w:lang w:val="fr-FR"/>
        </w:rPr>
      </w:pPr>
    </w:p>
    <w:p w:rsidR="00BD70E0" w:rsidRPr="004F0587" w:rsidRDefault="004F0587" w:rsidP="004F0587">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recrutement</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5705ED" w:rsidRDefault="005705ED" w:rsidP="00BD70E0">
      <w:pPr>
        <w:spacing w:before="100" w:beforeAutospacing="1" w:after="100" w:afterAutospacing="1" w:line="360" w:lineRule="auto"/>
        <w:jc w:val="center"/>
        <w:rPr>
          <w:rFonts w:asciiTheme="majorBidi" w:hAnsiTheme="majorBidi" w:cstheme="majorBidi"/>
          <w:color w:val="000000"/>
          <w:lang w:val="fr-FR"/>
        </w:rPr>
      </w:pPr>
      <w:r>
        <w:rPr>
          <w:rFonts w:asciiTheme="majorBidi" w:hAnsiTheme="majorBidi" w:cstheme="majorBidi"/>
          <w:b/>
          <w:bCs/>
          <w:color w:val="000000"/>
          <w:lang w:val="fr-FR"/>
        </w:rPr>
        <w:lastRenderedPageBreak/>
        <w:t>Annexe</w:t>
      </w:r>
      <w:r w:rsidRPr="008764AA">
        <w:rPr>
          <w:rFonts w:asciiTheme="majorBidi" w:hAnsiTheme="majorBidi" w:cstheme="majorBidi"/>
          <w:b/>
          <w:bCs/>
          <w:color w:val="000000"/>
          <w:lang w:val="fr-FR"/>
        </w:rPr>
        <w:t xml:space="preserve"> N°0</w:t>
      </w:r>
      <w:r>
        <w:rPr>
          <w:rFonts w:asciiTheme="majorBidi" w:hAnsiTheme="majorBidi" w:cstheme="majorBidi"/>
          <w:b/>
          <w:bCs/>
          <w:color w:val="000000"/>
          <w:lang w:val="fr-FR"/>
        </w:rPr>
        <w:t>6</w:t>
      </w:r>
      <w:r w:rsidRPr="008764AA">
        <w:rPr>
          <w:rFonts w:asciiTheme="majorBidi" w:hAnsiTheme="majorBidi" w:cstheme="majorBidi"/>
          <w:b/>
          <w:bCs/>
          <w:color w:val="000000"/>
          <w:lang w:val="fr-FR"/>
        </w:rPr>
        <w:t> :</w:t>
      </w:r>
      <w:r w:rsidRPr="008764AA">
        <w:rPr>
          <w:rFonts w:asciiTheme="majorBidi" w:hAnsiTheme="majorBidi" w:cstheme="majorBidi"/>
          <w:color w:val="000000"/>
          <w:lang w:val="fr-FR"/>
        </w:rPr>
        <w:t xml:space="preserve"> </w:t>
      </w:r>
      <w:proofErr w:type="spellStart"/>
      <w:r w:rsidRPr="00BD70E0">
        <w:rPr>
          <w:rFonts w:asciiTheme="majorBidi" w:hAnsiTheme="majorBidi" w:cstheme="majorBidi"/>
          <w:color w:val="000000"/>
          <w:lang w:val="fr-FR"/>
        </w:rPr>
        <w:t>Procès</w:t>
      </w:r>
      <w:r w:rsidR="0051794F">
        <w:rPr>
          <w:rFonts w:asciiTheme="majorBidi" w:hAnsiTheme="majorBidi" w:cstheme="majorBidi"/>
          <w:color w:val="000000"/>
          <w:lang w:val="fr-FR"/>
        </w:rPr>
        <w:t xml:space="preserve"> </w:t>
      </w:r>
      <w:r w:rsidRPr="00BD70E0">
        <w:rPr>
          <w:rFonts w:asciiTheme="majorBidi" w:hAnsiTheme="majorBidi" w:cstheme="majorBidi"/>
          <w:color w:val="000000"/>
          <w:lang w:val="fr-FR"/>
        </w:rPr>
        <w:t>verbal</w:t>
      </w:r>
      <w:proofErr w:type="spellEnd"/>
      <w:r w:rsidRPr="00BD70E0">
        <w:rPr>
          <w:rFonts w:asciiTheme="majorBidi" w:hAnsiTheme="majorBidi" w:cstheme="majorBidi"/>
          <w:color w:val="000000"/>
          <w:lang w:val="fr-FR"/>
        </w:rPr>
        <w:t xml:space="preserve"> d’installation</w:t>
      </w:r>
    </w:p>
    <w:p w:rsidR="00BD70E0" w:rsidRDefault="00BD70E0" w:rsidP="000C1677">
      <w:pPr>
        <w:spacing w:before="100" w:beforeAutospacing="1" w:after="100" w:afterAutospacing="1" w:line="360" w:lineRule="auto"/>
        <w:jc w:val="center"/>
        <w:rPr>
          <w:rFonts w:asciiTheme="majorBidi" w:hAnsiTheme="majorBidi" w:cstheme="majorBidi"/>
          <w:b/>
          <w:bCs/>
          <w:color w:val="000000"/>
          <w:lang w:val="fr-FR"/>
        </w:rPr>
      </w:pPr>
      <w:r>
        <w:rPr>
          <w:rFonts w:asciiTheme="majorBidi" w:hAnsiTheme="majorBidi" w:cstheme="majorBidi"/>
          <w:b/>
          <w:bCs/>
          <w:noProof/>
          <w:color w:val="000000"/>
          <w:lang w:val="fr-FR"/>
          <w14:ligatures w14:val="standardContextual"/>
        </w:rPr>
        <w:drawing>
          <wp:inline distT="0" distB="0" distL="0" distR="0">
            <wp:extent cx="5596751" cy="6518787"/>
            <wp:effectExtent l="0" t="0" r="4445" b="0"/>
            <wp:docPr id="16926868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686802" name="Picture 1692686802"/>
                    <pic:cNvPicPr/>
                  </pic:nvPicPr>
                  <pic:blipFill rotWithShape="1">
                    <a:blip r:embed="rId162">
                      <a:extLst>
                        <a:ext uri="{28A0092B-C50C-407E-A947-70E740481C1C}">
                          <a14:useLocalDpi xmlns:a14="http://schemas.microsoft.com/office/drawing/2010/main" val="0"/>
                        </a:ext>
                      </a:extLst>
                    </a:blip>
                    <a:srcRect l="34082" t="32198" r="35728" b="11544"/>
                    <a:stretch/>
                  </pic:blipFill>
                  <pic:spPr bwMode="auto">
                    <a:xfrm>
                      <a:off x="0" y="0"/>
                      <a:ext cx="5696130" cy="6634538"/>
                    </a:xfrm>
                    <a:prstGeom prst="rect">
                      <a:avLst/>
                    </a:prstGeom>
                    <a:ln>
                      <a:noFill/>
                    </a:ln>
                    <a:extLst>
                      <a:ext uri="{53640926-AAD7-44D8-BBD7-CCE9431645EC}">
                        <a14:shadowObscured xmlns:a14="http://schemas.microsoft.com/office/drawing/2010/main"/>
                      </a:ext>
                    </a:extLst>
                  </pic:spPr>
                </pic:pic>
              </a:graphicData>
            </a:graphic>
          </wp:inline>
        </w:drawing>
      </w:r>
    </w:p>
    <w:p w:rsidR="004F0587" w:rsidRDefault="004F0587" w:rsidP="004F0587">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recrutement</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BD70E0" w:rsidRDefault="00BD70E0" w:rsidP="00B841F4">
      <w:pPr>
        <w:spacing w:before="100" w:beforeAutospacing="1" w:after="100" w:afterAutospacing="1" w:line="360" w:lineRule="auto"/>
        <w:rPr>
          <w:rFonts w:asciiTheme="majorBidi" w:hAnsiTheme="majorBidi" w:cstheme="majorBidi"/>
          <w:b/>
          <w:bCs/>
          <w:color w:val="000000"/>
          <w:lang w:val="fr-FR"/>
        </w:rPr>
      </w:pPr>
    </w:p>
    <w:p w:rsidR="000C206C" w:rsidRDefault="004F0587" w:rsidP="00BD70E0">
      <w:pPr>
        <w:spacing w:before="100" w:beforeAutospacing="1" w:after="100" w:afterAutospacing="1" w:line="360" w:lineRule="auto"/>
        <w:jc w:val="center"/>
        <w:rPr>
          <w:rFonts w:asciiTheme="majorBidi" w:hAnsiTheme="majorBidi" w:cstheme="majorBidi"/>
          <w:color w:val="000000"/>
          <w:lang w:val="fr-FR"/>
        </w:rPr>
      </w:pPr>
      <w:r>
        <w:rPr>
          <w:rFonts w:asciiTheme="majorBidi" w:hAnsiTheme="majorBidi" w:cstheme="majorBidi"/>
          <w:noProof/>
          <w:color w:val="000000"/>
          <w:lang w:val="fr-FR"/>
          <w14:ligatures w14:val="standardContextual"/>
        </w:rPr>
        <w:lastRenderedPageBreak/>
        <w:drawing>
          <wp:anchor distT="0" distB="0" distL="114300" distR="114300" simplePos="0" relativeHeight="251660288" behindDoc="0" locked="0" layoutInCell="1" allowOverlap="1">
            <wp:simplePos x="0" y="0"/>
            <wp:positionH relativeFrom="column">
              <wp:posOffset>366395</wp:posOffset>
            </wp:positionH>
            <wp:positionV relativeFrom="paragraph">
              <wp:posOffset>398780</wp:posOffset>
            </wp:positionV>
            <wp:extent cx="5475605" cy="7260590"/>
            <wp:effectExtent l="0" t="0" r="0" b="3810"/>
            <wp:wrapTopAndBottom/>
            <wp:docPr id="21191061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06124" name="Picture 2119106124"/>
                    <pic:cNvPicPr/>
                  </pic:nvPicPr>
                  <pic:blipFill rotWithShape="1">
                    <a:blip r:embed="rId163">
                      <a:extLst>
                        <a:ext uri="{28A0092B-C50C-407E-A947-70E740481C1C}">
                          <a14:useLocalDpi xmlns:a14="http://schemas.microsoft.com/office/drawing/2010/main" val="0"/>
                        </a:ext>
                      </a:extLst>
                    </a:blip>
                    <a:srcRect l="33054" t="25342" r="34390" b="5598"/>
                    <a:stretch/>
                  </pic:blipFill>
                  <pic:spPr bwMode="auto">
                    <a:xfrm>
                      <a:off x="0" y="0"/>
                      <a:ext cx="5475605" cy="7260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206C">
        <w:rPr>
          <w:rFonts w:asciiTheme="majorBidi" w:hAnsiTheme="majorBidi" w:cstheme="majorBidi"/>
          <w:b/>
          <w:bCs/>
          <w:color w:val="000000"/>
          <w:lang w:val="fr-FR"/>
        </w:rPr>
        <w:t>Annex</w:t>
      </w:r>
      <w:r w:rsidR="000C206C" w:rsidRPr="008764AA">
        <w:rPr>
          <w:rFonts w:asciiTheme="majorBidi" w:hAnsiTheme="majorBidi" w:cstheme="majorBidi"/>
          <w:b/>
          <w:bCs/>
          <w:color w:val="000000"/>
          <w:lang w:val="fr-FR"/>
        </w:rPr>
        <w:t>e N°0</w:t>
      </w:r>
      <w:r w:rsidR="000C206C">
        <w:rPr>
          <w:rFonts w:asciiTheme="majorBidi" w:hAnsiTheme="majorBidi" w:cstheme="majorBidi"/>
          <w:b/>
          <w:bCs/>
          <w:color w:val="000000"/>
          <w:lang w:val="fr-FR"/>
        </w:rPr>
        <w:t>7</w:t>
      </w:r>
      <w:r w:rsidR="000C206C" w:rsidRPr="008764AA">
        <w:rPr>
          <w:rFonts w:asciiTheme="majorBidi" w:hAnsiTheme="majorBidi" w:cstheme="majorBidi"/>
          <w:b/>
          <w:bCs/>
          <w:color w:val="000000"/>
          <w:lang w:val="fr-FR"/>
        </w:rPr>
        <w:t> :</w:t>
      </w:r>
      <w:r w:rsidR="000C206C" w:rsidRPr="008764AA">
        <w:rPr>
          <w:rFonts w:asciiTheme="majorBidi" w:hAnsiTheme="majorBidi" w:cstheme="majorBidi"/>
          <w:lang w:val="fr-FR"/>
        </w:rPr>
        <w:t xml:space="preserve"> </w:t>
      </w:r>
      <w:r w:rsidR="000C206C" w:rsidRPr="00BD70E0">
        <w:rPr>
          <w:rFonts w:asciiTheme="majorBidi" w:hAnsiTheme="majorBidi" w:cstheme="majorBidi"/>
          <w:color w:val="000000"/>
          <w:lang w:val="fr-FR"/>
        </w:rPr>
        <w:t>Évaluation de la période d'essai</w:t>
      </w:r>
    </w:p>
    <w:p w:rsidR="004F0587" w:rsidRDefault="004F0587" w:rsidP="004F0587">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recrutement</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BD70E0" w:rsidRPr="00BD70E0" w:rsidRDefault="00BD70E0" w:rsidP="00BD70E0">
      <w:pPr>
        <w:spacing w:before="100" w:beforeAutospacing="1" w:after="100" w:afterAutospacing="1" w:line="360" w:lineRule="auto"/>
        <w:jc w:val="center"/>
        <w:rPr>
          <w:rFonts w:asciiTheme="majorBidi" w:hAnsiTheme="majorBidi" w:cstheme="majorBidi"/>
          <w:color w:val="000000"/>
          <w:lang w:val="fr-FR"/>
        </w:rPr>
      </w:pPr>
    </w:p>
    <w:p w:rsidR="000C206C" w:rsidRDefault="00BD70E0" w:rsidP="00BD70E0">
      <w:pPr>
        <w:spacing w:before="100" w:beforeAutospacing="1" w:after="100" w:afterAutospacing="1" w:line="360" w:lineRule="auto"/>
        <w:jc w:val="center"/>
        <w:rPr>
          <w:rFonts w:asciiTheme="majorBidi" w:hAnsiTheme="majorBidi" w:cstheme="majorBidi"/>
          <w:color w:val="000000"/>
          <w:lang w:val="fr-FR"/>
        </w:rPr>
      </w:pPr>
      <w:r>
        <w:rPr>
          <w:rFonts w:asciiTheme="majorBidi" w:hAnsiTheme="majorBidi" w:cstheme="majorBidi"/>
          <w:b/>
          <w:bCs/>
          <w:noProof/>
          <w:color w:val="000000"/>
          <w:lang w:val="fr-FR"/>
          <w14:ligatures w14:val="standardContextual"/>
        </w:rPr>
        <w:lastRenderedPageBreak/>
        <w:drawing>
          <wp:anchor distT="0" distB="0" distL="114300" distR="114300" simplePos="0" relativeHeight="251661312" behindDoc="0" locked="0" layoutInCell="1" allowOverlap="1" wp14:anchorId="0A614D31">
            <wp:simplePos x="0" y="0"/>
            <wp:positionH relativeFrom="column">
              <wp:posOffset>-24833</wp:posOffset>
            </wp:positionH>
            <wp:positionV relativeFrom="paragraph">
              <wp:posOffset>370360</wp:posOffset>
            </wp:positionV>
            <wp:extent cx="5881370" cy="6511925"/>
            <wp:effectExtent l="0" t="0" r="0" b="3175"/>
            <wp:wrapTopAndBottom/>
            <wp:docPr id="17928339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833974" name="Picture 1792833974"/>
                    <pic:cNvPicPr/>
                  </pic:nvPicPr>
                  <pic:blipFill rotWithShape="1">
                    <a:blip r:embed="rId164" cstate="print">
                      <a:extLst>
                        <a:ext uri="{28A0092B-C50C-407E-A947-70E740481C1C}">
                          <a14:useLocalDpi xmlns:a14="http://schemas.microsoft.com/office/drawing/2010/main" val="0"/>
                        </a:ext>
                      </a:extLst>
                    </a:blip>
                    <a:srcRect l="23603" t="1851" r="20987"/>
                    <a:stretch/>
                  </pic:blipFill>
                  <pic:spPr bwMode="auto">
                    <a:xfrm>
                      <a:off x="0" y="0"/>
                      <a:ext cx="5881370" cy="6511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66D7">
        <w:rPr>
          <w:rFonts w:asciiTheme="majorBidi" w:hAnsiTheme="majorBidi" w:cstheme="majorBidi"/>
          <w:b/>
          <w:bCs/>
          <w:color w:val="000000"/>
          <w:lang w:val="fr-FR"/>
        </w:rPr>
        <w:t>Annex</w:t>
      </w:r>
      <w:r w:rsidR="00BF66D7" w:rsidRPr="008764AA">
        <w:rPr>
          <w:rFonts w:asciiTheme="majorBidi" w:hAnsiTheme="majorBidi" w:cstheme="majorBidi"/>
          <w:b/>
          <w:bCs/>
          <w:color w:val="000000"/>
          <w:lang w:val="fr-FR"/>
        </w:rPr>
        <w:t>e N°</w:t>
      </w:r>
      <w:r w:rsidR="00BF66D7">
        <w:rPr>
          <w:rFonts w:asciiTheme="majorBidi" w:hAnsiTheme="majorBidi" w:cstheme="majorBidi"/>
          <w:b/>
          <w:bCs/>
          <w:color w:val="000000"/>
          <w:lang w:val="fr-FR"/>
        </w:rPr>
        <w:t>08</w:t>
      </w:r>
      <w:r w:rsidR="00BF66D7" w:rsidRPr="008764AA">
        <w:rPr>
          <w:rFonts w:asciiTheme="majorBidi" w:hAnsiTheme="majorBidi" w:cstheme="majorBidi"/>
          <w:b/>
          <w:bCs/>
          <w:color w:val="000000"/>
          <w:lang w:val="fr-FR"/>
        </w:rPr>
        <w:t> :</w:t>
      </w:r>
      <w:r w:rsidR="00BF66D7" w:rsidRPr="008764AA">
        <w:rPr>
          <w:rFonts w:asciiTheme="majorBidi" w:hAnsiTheme="majorBidi" w:cstheme="majorBidi"/>
          <w:color w:val="000000"/>
          <w:lang w:val="fr-FR"/>
        </w:rPr>
        <w:t xml:space="preserve"> </w:t>
      </w:r>
      <w:r w:rsidR="00BF66D7" w:rsidRPr="00BD70E0">
        <w:rPr>
          <w:rFonts w:asciiTheme="majorBidi" w:hAnsiTheme="majorBidi" w:cstheme="majorBidi"/>
          <w:color w:val="000000"/>
          <w:lang w:val="fr-FR"/>
        </w:rPr>
        <w:t>Évaluation de formation à chaud</w:t>
      </w:r>
    </w:p>
    <w:p w:rsidR="00BD70E0" w:rsidRDefault="00BD70E0" w:rsidP="00BD70E0">
      <w:pPr>
        <w:spacing w:before="100" w:beforeAutospacing="1" w:after="100" w:afterAutospacing="1" w:line="360" w:lineRule="auto"/>
        <w:jc w:val="center"/>
        <w:rPr>
          <w:rFonts w:asciiTheme="majorBidi" w:hAnsiTheme="majorBidi" w:cstheme="majorBidi"/>
          <w:color w:val="000000"/>
          <w:lang w:val="fr-FR"/>
        </w:rPr>
      </w:pPr>
    </w:p>
    <w:p w:rsidR="00E34474" w:rsidRDefault="00E34474" w:rsidP="00E34474">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formation</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BD70E0" w:rsidRDefault="00BD70E0" w:rsidP="00BD70E0">
      <w:pPr>
        <w:spacing w:before="100" w:beforeAutospacing="1" w:after="100" w:afterAutospacing="1" w:line="360" w:lineRule="auto"/>
        <w:jc w:val="center"/>
        <w:rPr>
          <w:rFonts w:asciiTheme="majorBidi" w:hAnsiTheme="majorBidi" w:cstheme="majorBidi"/>
          <w:color w:val="000000"/>
          <w:lang w:val="fr-FR"/>
        </w:rPr>
      </w:pPr>
    </w:p>
    <w:p w:rsidR="00BD70E0" w:rsidRDefault="00BD70E0" w:rsidP="00BD70E0">
      <w:pPr>
        <w:spacing w:before="100" w:beforeAutospacing="1" w:after="100" w:afterAutospacing="1" w:line="360" w:lineRule="auto"/>
        <w:rPr>
          <w:rFonts w:asciiTheme="majorBidi" w:hAnsiTheme="majorBidi" w:cstheme="majorBidi"/>
          <w:b/>
          <w:bCs/>
          <w:color w:val="000000"/>
          <w:lang w:val="fr-FR"/>
        </w:rPr>
      </w:pPr>
    </w:p>
    <w:p w:rsidR="00BF66D7" w:rsidRDefault="00BD70E0" w:rsidP="00BD70E0">
      <w:pPr>
        <w:spacing w:before="100" w:beforeAutospacing="1" w:after="100" w:afterAutospacing="1" w:line="360" w:lineRule="auto"/>
        <w:jc w:val="center"/>
        <w:rPr>
          <w:rFonts w:asciiTheme="majorBidi" w:hAnsiTheme="majorBidi" w:cstheme="majorBidi"/>
          <w:color w:val="000000"/>
          <w:lang w:val="fr-FR"/>
        </w:rPr>
      </w:pPr>
      <w:r>
        <w:rPr>
          <w:rFonts w:asciiTheme="majorBidi" w:hAnsiTheme="majorBidi" w:cstheme="majorBidi"/>
          <w:noProof/>
          <w:color w:val="000000"/>
          <w:lang w:val="fr-FR"/>
          <w14:ligatures w14:val="standardContextual"/>
        </w:rPr>
        <w:lastRenderedPageBreak/>
        <w:drawing>
          <wp:anchor distT="0" distB="0" distL="114300" distR="114300" simplePos="0" relativeHeight="251662336" behindDoc="0" locked="0" layoutInCell="1" allowOverlap="1" wp14:anchorId="7B74924F">
            <wp:simplePos x="0" y="0"/>
            <wp:positionH relativeFrom="column">
              <wp:posOffset>36322</wp:posOffset>
            </wp:positionH>
            <wp:positionV relativeFrom="paragraph">
              <wp:posOffset>438150</wp:posOffset>
            </wp:positionV>
            <wp:extent cx="5708015" cy="7277100"/>
            <wp:effectExtent l="0" t="0" r="0" b="0"/>
            <wp:wrapTopAndBottom/>
            <wp:docPr id="13134430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443073" name="Picture 1313443073"/>
                    <pic:cNvPicPr/>
                  </pic:nvPicPr>
                  <pic:blipFill rotWithShape="1">
                    <a:blip r:embed="rId165">
                      <a:extLst>
                        <a:ext uri="{28A0092B-C50C-407E-A947-70E740481C1C}">
                          <a14:useLocalDpi xmlns:a14="http://schemas.microsoft.com/office/drawing/2010/main" val="0"/>
                        </a:ext>
                      </a:extLst>
                    </a:blip>
                    <a:srcRect l="30089" t="12608" r="28560" b="3054"/>
                    <a:stretch/>
                  </pic:blipFill>
                  <pic:spPr bwMode="auto">
                    <a:xfrm>
                      <a:off x="0" y="0"/>
                      <a:ext cx="5708015" cy="7277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66D7">
        <w:rPr>
          <w:rFonts w:asciiTheme="majorBidi" w:hAnsiTheme="majorBidi" w:cstheme="majorBidi"/>
          <w:b/>
          <w:bCs/>
          <w:color w:val="000000"/>
          <w:lang w:val="fr-FR"/>
        </w:rPr>
        <w:t>Annexe</w:t>
      </w:r>
      <w:r w:rsidR="00BF66D7" w:rsidRPr="008764AA">
        <w:rPr>
          <w:rFonts w:asciiTheme="majorBidi" w:hAnsiTheme="majorBidi" w:cstheme="majorBidi"/>
          <w:b/>
          <w:bCs/>
          <w:color w:val="000000"/>
          <w:lang w:val="fr-FR"/>
        </w:rPr>
        <w:t xml:space="preserve"> N°</w:t>
      </w:r>
      <w:r w:rsidR="00BF66D7">
        <w:rPr>
          <w:rFonts w:asciiTheme="majorBidi" w:hAnsiTheme="majorBidi" w:cstheme="majorBidi"/>
          <w:b/>
          <w:bCs/>
          <w:color w:val="000000"/>
          <w:lang w:val="fr-FR"/>
        </w:rPr>
        <w:t>09</w:t>
      </w:r>
      <w:r w:rsidR="00BF66D7" w:rsidRPr="008764AA">
        <w:rPr>
          <w:rFonts w:asciiTheme="majorBidi" w:hAnsiTheme="majorBidi" w:cstheme="majorBidi"/>
          <w:b/>
          <w:bCs/>
          <w:color w:val="000000"/>
          <w:lang w:val="fr-FR"/>
        </w:rPr>
        <w:t> :</w:t>
      </w:r>
      <w:r w:rsidR="00BF66D7" w:rsidRPr="008764AA">
        <w:rPr>
          <w:rFonts w:asciiTheme="majorBidi" w:hAnsiTheme="majorBidi" w:cstheme="majorBidi"/>
          <w:color w:val="000000"/>
          <w:lang w:val="fr-FR"/>
        </w:rPr>
        <w:t xml:space="preserve"> </w:t>
      </w:r>
      <w:r w:rsidR="00BF66D7" w:rsidRPr="00BD70E0">
        <w:rPr>
          <w:rFonts w:asciiTheme="majorBidi" w:hAnsiTheme="majorBidi" w:cstheme="majorBidi"/>
          <w:color w:val="000000"/>
          <w:lang w:val="fr-FR"/>
        </w:rPr>
        <w:t>Évaluation de formation à froid</w:t>
      </w:r>
    </w:p>
    <w:p w:rsidR="00E34474" w:rsidRDefault="00E34474" w:rsidP="00E34474">
      <w:pPr>
        <w:spacing w:before="100" w:beforeAutospacing="1" w:after="100" w:afterAutospacing="1" w:line="360" w:lineRule="auto"/>
        <w:jc w:val="center"/>
        <w:rPr>
          <w:rFonts w:asciiTheme="majorBidi" w:hAnsiTheme="majorBidi" w:cstheme="majorBidi"/>
          <w:color w:val="000000"/>
          <w:lang w:val="fr-FR"/>
        </w:rPr>
      </w:pPr>
      <w:r w:rsidRPr="004F0587">
        <w:rPr>
          <w:rFonts w:asciiTheme="majorBidi" w:hAnsiTheme="majorBidi" w:cstheme="majorBidi"/>
          <w:b/>
          <w:bCs/>
          <w:color w:val="000000"/>
          <w:lang w:val="fr-FR"/>
        </w:rPr>
        <w:t>Source :</w:t>
      </w:r>
      <w:r>
        <w:rPr>
          <w:rFonts w:asciiTheme="majorBidi" w:hAnsiTheme="majorBidi" w:cstheme="majorBidi"/>
          <w:color w:val="000000"/>
          <w:lang w:val="fr-FR"/>
        </w:rPr>
        <w:t xml:space="preserve"> </w:t>
      </w:r>
      <w:r w:rsidRPr="008245B3">
        <w:rPr>
          <w:rFonts w:asciiTheme="majorBidi" w:hAnsiTheme="majorBidi" w:cstheme="majorBidi"/>
          <w:color w:val="000000"/>
        </w:rPr>
        <w:t>Département RH</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 </w:t>
      </w:r>
      <w:r>
        <w:rPr>
          <w:rFonts w:asciiTheme="majorBidi" w:hAnsiTheme="majorBidi" w:cstheme="majorBidi"/>
          <w:color w:val="000000"/>
          <w:lang w:val="fr-FR"/>
        </w:rPr>
        <w:t>Procédure de formation</w:t>
      </w:r>
      <w:r w:rsidRPr="008245B3">
        <w:rPr>
          <w:rFonts w:asciiTheme="majorBidi" w:hAnsiTheme="majorBidi" w:cstheme="majorBidi"/>
          <w:color w:val="000000"/>
        </w:rPr>
        <w:t xml:space="preserve"> »</w:t>
      </w:r>
      <w:r>
        <w:rPr>
          <w:rFonts w:asciiTheme="majorBidi" w:hAnsiTheme="majorBidi" w:cstheme="majorBidi"/>
          <w:color w:val="000000"/>
          <w:lang w:val="fr-FR"/>
        </w:rPr>
        <w:t xml:space="preserve"> </w:t>
      </w:r>
      <w:r w:rsidRPr="008245B3">
        <w:rPr>
          <w:rFonts w:asciiTheme="majorBidi" w:hAnsiTheme="majorBidi" w:cstheme="majorBidi"/>
          <w:color w:val="000000"/>
        </w:rPr>
        <w:t>document interne</w:t>
      </w:r>
      <w:r>
        <w:rPr>
          <w:rFonts w:asciiTheme="majorBidi" w:hAnsiTheme="majorBidi" w:cstheme="majorBidi"/>
          <w:color w:val="000000"/>
          <w:lang w:val="fr-FR"/>
        </w:rPr>
        <w:t xml:space="preserve">, </w:t>
      </w:r>
      <w:r w:rsidRPr="008245B3">
        <w:rPr>
          <w:rFonts w:asciiTheme="majorBidi" w:hAnsiTheme="majorBidi" w:cstheme="majorBidi"/>
          <w:color w:val="000000"/>
        </w:rPr>
        <w:t xml:space="preserve">Hasnaoui Logistique, </w:t>
      </w:r>
      <w:r>
        <w:rPr>
          <w:rFonts w:asciiTheme="majorBidi" w:hAnsiTheme="majorBidi" w:cstheme="majorBidi"/>
          <w:color w:val="000000"/>
          <w:lang w:val="fr-FR"/>
        </w:rPr>
        <w:t>2025</w:t>
      </w:r>
    </w:p>
    <w:p w:rsidR="00BD70E0" w:rsidRDefault="00BD70E0" w:rsidP="00BD70E0">
      <w:pPr>
        <w:spacing w:before="100" w:beforeAutospacing="1" w:after="100" w:afterAutospacing="1" w:line="360" w:lineRule="auto"/>
        <w:rPr>
          <w:rFonts w:asciiTheme="majorBidi" w:hAnsiTheme="majorBidi" w:cstheme="majorBidi"/>
          <w:b/>
          <w:bCs/>
          <w:color w:val="000000"/>
          <w:lang w:val="fr-FR"/>
        </w:rPr>
      </w:pPr>
    </w:p>
    <w:p w:rsidR="007B7318" w:rsidRDefault="007B7318" w:rsidP="001840DA">
      <w:pPr>
        <w:pStyle w:val="p1"/>
        <w:spacing w:line="360" w:lineRule="auto"/>
        <w:rPr>
          <w:color w:val="0C0C0C"/>
          <w:sz w:val="24"/>
          <w:szCs w:val="24"/>
          <w:lang w:val="fr-FR"/>
        </w:rPr>
      </w:pPr>
      <w:r w:rsidRPr="00AE572C">
        <w:rPr>
          <w:b/>
          <w:bCs/>
          <w:sz w:val="24"/>
          <w:szCs w:val="24"/>
          <w:lang w:val="fr-FR"/>
        </w:rPr>
        <w:lastRenderedPageBreak/>
        <w:t>Annexe N°1</w:t>
      </w:r>
      <w:r>
        <w:rPr>
          <w:b/>
          <w:bCs/>
          <w:sz w:val="24"/>
          <w:szCs w:val="24"/>
          <w:lang w:val="fr-FR"/>
        </w:rPr>
        <w:t>0</w:t>
      </w:r>
      <w:r w:rsidRPr="00AE572C">
        <w:rPr>
          <w:b/>
          <w:bCs/>
          <w:sz w:val="24"/>
          <w:szCs w:val="24"/>
          <w:lang w:val="fr-FR"/>
        </w:rPr>
        <w:t xml:space="preserve"> : </w:t>
      </w:r>
      <w:r w:rsidR="0051794F">
        <w:rPr>
          <w:color w:val="0C0C0C"/>
          <w:sz w:val="24"/>
          <w:szCs w:val="24"/>
          <w:lang w:val="fr-FR"/>
        </w:rPr>
        <w:t xml:space="preserve">le </w:t>
      </w:r>
      <w:r>
        <w:rPr>
          <w:color w:val="0C0C0C"/>
          <w:sz w:val="24"/>
          <w:szCs w:val="24"/>
          <w:lang w:val="fr-FR"/>
        </w:rPr>
        <w:t>questionnaire</w:t>
      </w:r>
    </w:p>
    <w:p w:rsidR="0051794F" w:rsidRPr="00E019CD" w:rsidRDefault="0051794F" w:rsidP="0051794F">
      <w:pPr>
        <w:pStyle w:val="p1"/>
        <w:spacing w:after="240"/>
        <w:rPr>
          <w:b/>
          <w:bCs/>
          <w:color w:val="18191B"/>
          <w:sz w:val="24"/>
          <w:szCs w:val="24"/>
          <w:lang w:eastAsia="fr-FR"/>
        </w:rPr>
      </w:pPr>
      <w:r w:rsidRPr="0051794F">
        <w:rPr>
          <w:rFonts w:asciiTheme="majorBidi" w:hAnsiTheme="majorBidi" w:cstheme="majorBidi"/>
          <w:b/>
          <w:bCs/>
          <w:sz w:val="24"/>
          <w:szCs w:val="24"/>
        </w:rPr>
        <w:t>Enquête sur</w:t>
      </w:r>
      <w:r w:rsidRPr="0051794F">
        <w:rPr>
          <w:rStyle w:val="apple-converted-space"/>
          <w:rFonts w:asciiTheme="majorBidi" w:hAnsiTheme="majorBidi" w:cstheme="majorBidi"/>
          <w:b/>
          <w:bCs/>
          <w:sz w:val="24"/>
          <w:szCs w:val="24"/>
        </w:rPr>
        <w:t> </w:t>
      </w:r>
      <w:r w:rsidRPr="0051794F">
        <w:rPr>
          <w:b/>
          <w:bCs/>
          <w:sz w:val="24"/>
          <w:szCs w:val="24"/>
        </w:rPr>
        <w:t>"</w:t>
      </w:r>
      <w:r w:rsidRPr="008A5941">
        <w:rPr>
          <w:rStyle w:val="apple-converted-space"/>
          <w:rFonts w:asciiTheme="majorBidi" w:hAnsiTheme="majorBidi" w:cstheme="majorBidi"/>
          <w:b/>
          <w:bCs/>
          <w:sz w:val="24"/>
          <w:szCs w:val="24"/>
          <w:lang w:val="fr-FR"/>
        </w:rPr>
        <w:t>L’</w:t>
      </w:r>
      <w:r w:rsidRPr="008A5941">
        <w:rPr>
          <w:rFonts w:asciiTheme="majorBidi" w:hAnsiTheme="majorBidi" w:cstheme="majorBidi"/>
          <w:b/>
          <w:bCs/>
          <w:color w:val="202124"/>
          <w:sz w:val="24"/>
          <w:szCs w:val="24"/>
          <w:lang w:val="fr-FR"/>
        </w:rPr>
        <w:t>i</w:t>
      </w:r>
      <w:r w:rsidRPr="00E019CD">
        <w:rPr>
          <w:rFonts w:asciiTheme="majorBidi" w:hAnsiTheme="majorBidi" w:cstheme="majorBidi"/>
          <w:b/>
          <w:bCs/>
          <w:color w:val="202124"/>
          <w:sz w:val="24"/>
          <w:szCs w:val="24"/>
          <w:lang w:eastAsia="fr-FR"/>
        </w:rPr>
        <w:t>mpact de la Digitalisation sur le Recrutement et la Formation en RH</w:t>
      </w:r>
      <w:r w:rsidRPr="0051794F">
        <w:rPr>
          <w:b/>
          <w:bCs/>
          <w:sz w:val="24"/>
          <w:szCs w:val="24"/>
        </w:rPr>
        <w:t xml:space="preserve"> "</w:t>
      </w:r>
    </w:p>
    <w:p w:rsidR="0051794F" w:rsidRPr="00E019CD" w:rsidRDefault="0051794F" w:rsidP="0051794F">
      <w:pPr>
        <w:jc w:val="both"/>
        <w:rPr>
          <w:rFonts w:asciiTheme="majorBidi" w:hAnsiTheme="majorBidi" w:cstheme="majorBidi"/>
          <w:color w:val="202124"/>
          <w:lang w:eastAsia="fr-FR"/>
        </w:rPr>
      </w:pPr>
      <w:r>
        <w:rPr>
          <w:rFonts w:asciiTheme="majorBidi" w:hAnsiTheme="majorBidi" w:cstheme="majorBidi"/>
          <w:noProof/>
          <w:color w:val="202124"/>
          <w:lang w:eastAsia="fr-FR"/>
        </w:rPr>
        <mc:AlternateContent>
          <mc:Choice Requires="wps">
            <w:drawing>
              <wp:anchor distT="0" distB="0" distL="114300" distR="114300" simplePos="0" relativeHeight="251697152" behindDoc="0" locked="0" layoutInCell="1" allowOverlap="1" wp14:anchorId="2F6A39C3" wp14:editId="1936ACEF">
                <wp:simplePos x="0" y="0"/>
                <wp:positionH relativeFrom="column">
                  <wp:posOffset>9525</wp:posOffset>
                </wp:positionH>
                <wp:positionV relativeFrom="paragraph">
                  <wp:posOffset>36055</wp:posOffset>
                </wp:positionV>
                <wp:extent cx="6099350" cy="854110"/>
                <wp:effectExtent l="0" t="0" r="9525" b="9525"/>
                <wp:wrapNone/>
                <wp:docPr id="85912813" name="Zone de texte 1"/>
                <wp:cNvGraphicFramePr/>
                <a:graphic xmlns:a="http://schemas.openxmlformats.org/drawingml/2006/main">
                  <a:graphicData uri="http://schemas.microsoft.com/office/word/2010/wordprocessingShape">
                    <wps:wsp>
                      <wps:cNvSpPr txBox="1"/>
                      <wps:spPr>
                        <a:xfrm>
                          <a:off x="0" y="0"/>
                          <a:ext cx="6099350" cy="854110"/>
                        </a:xfrm>
                        <a:prstGeom prst="rect">
                          <a:avLst/>
                        </a:prstGeom>
                        <a:solidFill>
                          <a:schemeClr val="lt1"/>
                        </a:solidFill>
                        <a:ln w="6350">
                          <a:solidFill>
                            <a:prstClr val="black"/>
                          </a:solidFill>
                        </a:ln>
                      </wps:spPr>
                      <wps:txbx>
                        <w:txbxContent>
                          <w:p w:rsidR="0051794F" w:rsidRDefault="0051794F" w:rsidP="0051794F">
                            <w:pPr>
                              <w:spacing w:line="360" w:lineRule="auto"/>
                              <w:jc w:val="both"/>
                              <w:rPr>
                                <w:rFonts w:asciiTheme="majorBidi" w:hAnsiTheme="majorBidi" w:cstheme="majorBidi"/>
                                <w:color w:val="202124"/>
                                <w:lang w:eastAsia="fr-FR"/>
                              </w:rPr>
                            </w:pPr>
                            <w:r w:rsidRPr="00E019CD">
                              <w:rPr>
                                <w:rFonts w:asciiTheme="majorBidi" w:hAnsiTheme="majorBidi" w:cstheme="majorBidi"/>
                                <w:color w:val="202124"/>
                                <w:lang w:eastAsia="fr-FR"/>
                              </w:rPr>
                              <w:t>Ce questionnaire vise à évaluer l’impact de la digitalisation sur l’optimisation des processus de recrutement et de formation au sein de votre entreprise. Les réponses resteront confidentielles et seront utilisées uniquement à des fins académiques.</w:t>
                            </w:r>
                          </w:p>
                          <w:p w:rsidR="0051794F" w:rsidRDefault="0051794F" w:rsidP="0051794F">
                            <w:pPr>
                              <w:spacing w:line="36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A39C3" id="Zone de texte 1" o:spid="_x0000_s1029" type="#_x0000_t202" style="position:absolute;left:0;text-align:left;margin-left:.75pt;margin-top:2.85pt;width:480.25pt;height:6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" fillcolor="white [3201]" strokeweight=".5pt">
                <v:textbox>
                  <w:txbxContent>
                    <w:p w:rsidR="0051794F" w:rsidRDefault="0051794F" w:rsidP="0051794F">
                      <w:pPr>
                        <w:spacing w:line="360" w:lineRule="auto"/>
                        <w:jc w:val="both"/>
                        <w:rPr>
                          <w:rFonts w:asciiTheme="majorBidi" w:hAnsiTheme="majorBidi" w:cstheme="majorBidi"/>
                          <w:color w:val="202124"/>
                          <w:lang w:eastAsia="fr-FR"/>
                        </w:rPr>
                      </w:pPr>
                      <w:r w:rsidRPr="00E019CD">
                        <w:rPr>
                          <w:rFonts w:asciiTheme="majorBidi" w:hAnsiTheme="majorBidi" w:cstheme="majorBidi"/>
                          <w:color w:val="202124"/>
                          <w:lang w:eastAsia="fr-FR"/>
                        </w:rPr>
                        <w:t>Ce questionnaire vise à évaluer l’impact de la digitalisation sur l’optimisation des processus de recrutement et de formation au sein de votre entreprise. Les réponses resteront confidentielles et seront utilisées uniquement à des fins académiques.</w:t>
                      </w:r>
                    </w:p>
                    <w:p w:rsidR="0051794F" w:rsidRDefault="0051794F" w:rsidP="0051794F">
                      <w:pPr>
                        <w:spacing w:line="360" w:lineRule="auto"/>
                      </w:pPr>
                    </w:p>
                  </w:txbxContent>
                </v:textbox>
              </v:shape>
            </w:pict>
          </mc:Fallback>
        </mc:AlternateContent>
      </w:r>
    </w:p>
    <w:p w:rsidR="0051794F" w:rsidRDefault="0051794F" w:rsidP="0051794F"/>
    <w:p w:rsidR="0051794F" w:rsidRDefault="0051794F" w:rsidP="0051794F"/>
    <w:p w:rsidR="0051794F" w:rsidRDefault="0051794F" w:rsidP="0051794F"/>
    <w:p w:rsidR="0051794F" w:rsidRDefault="0051794F" w:rsidP="0051794F">
      <w:pPr>
        <w:spacing w:line="360" w:lineRule="auto"/>
        <w:rPr>
          <w:rFonts w:asciiTheme="majorBidi" w:hAnsiTheme="majorBidi" w:cstheme="majorBidi"/>
          <w:b/>
          <w:bCs/>
        </w:rPr>
      </w:pPr>
    </w:p>
    <w:p w:rsidR="0051794F" w:rsidRPr="002C502E" w:rsidRDefault="0051794F" w:rsidP="0051794F">
      <w:pPr>
        <w:spacing w:before="240" w:line="360" w:lineRule="auto"/>
        <w:rPr>
          <w:rFonts w:asciiTheme="majorBidi" w:hAnsiTheme="majorBidi" w:cstheme="majorBidi"/>
          <w:b/>
          <w:bCs/>
        </w:rPr>
      </w:pPr>
      <w:r w:rsidRPr="002C502E">
        <w:rPr>
          <w:rFonts w:asciiTheme="majorBidi" w:hAnsiTheme="majorBidi" w:cstheme="majorBidi"/>
          <w:b/>
          <w:bCs/>
        </w:rPr>
        <w:t>Niveau de digitalisation RH dans l’entreprise</w:t>
      </w:r>
    </w:p>
    <w:p w:rsidR="0051794F" w:rsidRPr="002C502E" w:rsidRDefault="0051794F" w:rsidP="0051794F">
      <w:pPr>
        <w:spacing w:line="360" w:lineRule="auto"/>
        <w:rPr>
          <w:rFonts w:asciiTheme="majorBidi" w:hAnsiTheme="majorBidi" w:cstheme="majorBidi"/>
        </w:rPr>
      </w:pPr>
      <w:r w:rsidRPr="008A5941">
        <w:rPr>
          <w:rFonts w:asciiTheme="majorBidi" w:hAnsiTheme="majorBidi" w:cstheme="majorBidi"/>
          <w:b/>
          <w:bCs/>
          <w:lang w:val="fr-FR"/>
        </w:rPr>
        <w:t>Q1:</w:t>
      </w:r>
      <w:r w:rsidRPr="008A5941">
        <w:rPr>
          <w:rFonts w:asciiTheme="majorBidi" w:hAnsiTheme="majorBidi" w:cstheme="majorBidi"/>
          <w:lang w:val="fr-FR"/>
        </w:rPr>
        <w:t xml:space="preserve"> </w:t>
      </w:r>
      <w:r w:rsidRPr="002C502E">
        <w:rPr>
          <w:rFonts w:asciiTheme="majorBidi" w:hAnsiTheme="majorBidi" w:cstheme="majorBidi"/>
        </w:rPr>
        <w:t>Votre entreprise utilise-t-elle actuellement des outils numériques pour la gestion des</w:t>
      </w:r>
      <w:r w:rsidRPr="008A5941">
        <w:rPr>
          <w:rFonts w:asciiTheme="majorBidi" w:hAnsiTheme="majorBidi" w:cstheme="majorBidi"/>
          <w:lang w:val="fr-FR"/>
        </w:rPr>
        <w:t xml:space="preserve"> ressources humaines </w:t>
      </w:r>
    </w:p>
    <w:p w:rsidR="0051794F" w:rsidRPr="002C502E" w:rsidRDefault="0051794F" w:rsidP="004D32AC">
      <w:pPr>
        <w:pStyle w:val="Paragraphedeliste"/>
        <w:numPr>
          <w:ilvl w:val="0"/>
          <w:numId w:val="206"/>
        </w:numPr>
        <w:spacing w:line="360" w:lineRule="auto"/>
        <w:rPr>
          <w:rFonts w:asciiTheme="majorBidi" w:hAnsiTheme="majorBidi" w:cstheme="majorBidi"/>
        </w:rPr>
      </w:pPr>
      <w:r w:rsidRPr="002C502E">
        <w:rPr>
          <w:rFonts w:asciiTheme="majorBidi" w:hAnsiTheme="majorBidi" w:cstheme="majorBidi"/>
        </w:rPr>
        <w:t>Oui</w:t>
      </w:r>
    </w:p>
    <w:p w:rsidR="0051794F" w:rsidRPr="002C502E" w:rsidRDefault="0051794F" w:rsidP="004D32AC">
      <w:pPr>
        <w:pStyle w:val="Paragraphedeliste"/>
        <w:numPr>
          <w:ilvl w:val="0"/>
          <w:numId w:val="206"/>
        </w:numPr>
        <w:spacing w:line="360" w:lineRule="auto"/>
        <w:rPr>
          <w:rFonts w:asciiTheme="majorBidi" w:hAnsiTheme="majorBidi" w:cstheme="majorBidi"/>
        </w:rPr>
      </w:pPr>
      <w:r w:rsidRPr="002C502E">
        <w:rPr>
          <w:rFonts w:asciiTheme="majorBidi" w:hAnsiTheme="majorBidi" w:cstheme="majorBidi"/>
        </w:rPr>
        <w:t>Non</w:t>
      </w:r>
    </w:p>
    <w:p w:rsidR="0051794F" w:rsidRPr="002C502E" w:rsidRDefault="0051794F" w:rsidP="0051794F">
      <w:pPr>
        <w:spacing w:line="360" w:lineRule="auto"/>
        <w:rPr>
          <w:rFonts w:asciiTheme="majorBidi" w:hAnsiTheme="majorBidi" w:cstheme="majorBidi"/>
        </w:rPr>
      </w:pPr>
      <w:r w:rsidRPr="008A5941">
        <w:rPr>
          <w:rFonts w:asciiTheme="majorBidi" w:hAnsiTheme="majorBidi" w:cstheme="majorBidi"/>
          <w:b/>
          <w:bCs/>
          <w:lang w:val="fr-FR"/>
        </w:rPr>
        <w:t>Q2:</w:t>
      </w:r>
      <w:r w:rsidRPr="008A5941">
        <w:rPr>
          <w:rFonts w:asciiTheme="majorBidi" w:hAnsiTheme="majorBidi" w:cstheme="majorBidi"/>
          <w:lang w:val="fr-FR"/>
        </w:rPr>
        <w:t xml:space="preserve"> </w:t>
      </w:r>
      <w:r w:rsidRPr="002C502E">
        <w:rPr>
          <w:rFonts w:asciiTheme="majorBidi" w:hAnsiTheme="majorBidi" w:cstheme="majorBidi"/>
        </w:rPr>
        <w:t>Si oui, lesquels ? (Plusieurs choix possibles)</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ERP (ex. Odoo, SAP, Oracle)</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ATS (Système de suivi des candidatures)</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Système d'information RH (SIRH)</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LinkedIn</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Sites de recrutement ( ex. Emploitic, Triemploi )</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Entretien en visioconférence</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Plateforme de e-learning</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Webinaires / Formations en ligne</w:t>
      </w:r>
    </w:p>
    <w:p w:rsidR="0051794F" w:rsidRPr="00036A39" w:rsidRDefault="0051794F" w:rsidP="004D32AC">
      <w:pPr>
        <w:pStyle w:val="Paragraphedeliste"/>
        <w:numPr>
          <w:ilvl w:val="0"/>
          <w:numId w:val="207"/>
        </w:numPr>
        <w:spacing w:line="360" w:lineRule="auto"/>
        <w:rPr>
          <w:rFonts w:asciiTheme="majorBidi" w:hAnsiTheme="majorBidi" w:cstheme="majorBidi"/>
        </w:rPr>
      </w:pPr>
      <w:r w:rsidRPr="00036A39">
        <w:rPr>
          <w:rFonts w:asciiTheme="majorBidi" w:hAnsiTheme="majorBidi" w:cstheme="majorBidi"/>
        </w:rPr>
        <w:t>Outils de suivi des compétences</w:t>
      </w:r>
    </w:p>
    <w:p w:rsidR="0051794F" w:rsidRPr="002C502E" w:rsidRDefault="0051794F" w:rsidP="0051794F">
      <w:pPr>
        <w:spacing w:line="360" w:lineRule="auto"/>
        <w:rPr>
          <w:rFonts w:asciiTheme="majorBidi" w:hAnsiTheme="majorBidi" w:cstheme="majorBidi"/>
        </w:rPr>
      </w:pPr>
      <w:r w:rsidRPr="008A5941">
        <w:rPr>
          <w:rFonts w:asciiTheme="majorBidi" w:hAnsiTheme="majorBidi" w:cstheme="majorBidi"/>
          <w:b/>
          <w:bCs/>
          <w:lang w:val="fr-FR"/>
        </w:rPr>
        <w:t>Q3:</w:t>
      </w:r>
      <w:r w:rsidRPr="008A5941">
        <w:rPr>
          <w:rFonts w:asciiTheme="majorBidi" w:hAnsiTheme="majorBidi" w:cstheme="majorBidi"/>
          <w:lang w:val="fr-FR"/>
        </w:rPr>
        <w:t xml:space="preserve"> </w:t>
      </w:r>
      <w:r w:rsidRPr="002C502E">
        <w:rPr>
          <w:rFonts w:asciiTheme="majorBidi" w:hAnsiTheme="majorBidi" w:cstheme="majorBidi"/>
        </w:rPr>
        <w:t>Depuis combien d’années votre entreprise utilise-t-elle ces outils digitaux RH ?</w:t>
      </w:r>
    </w:p>
    <w:p w:rsidR="0051794F" w:rsidRPr="00036A39" w:rsidRDefault="0051794F" w:rsidP="004D32AC">
      <w:pPr>
        <w:pStyle w:val="Paragraphedeliste"/>
        <w:numPr>
          <w:ilvl w:val="0"/>
          <w:numId w:val="208"/>
        </w:numPr>
        <w:spacing w:line="360" w:lineRule="auto"/>
        <w:rPr>
          <w:rFonts w:asciiTheme="majorBidi" w:hAnsiTheme="majorBidi" w:cstheme="majorBidi"/>
        </w:rPr>
      </w:pPr>
      <w:r w:rsidRPr="00036A39">
        <w:rPr>
          <w:rFonts w:asciiTheme="majorBidi" w:hAnsiTheme="majorBidi" w:cstheme="majorBidi"/>
        </w:rPr>
        <w:t>Moins de 1 an</w:t>
      </w:r>
    </w:p>
    <w:p w:rsidR="0051794F" w:rsidRPr="00036A39" w:rsidRDefault="0051794F" w:rsidP="004D32AC">
      <w:pPr>
        <w:pStyle w:val="Paragraphedeliste"/>
        <w:numPr>
          <w:ilvl w:val="0"/>
          <w:numId w:val="208"/>
        </w:numPr>
        <w:spacing w:line="360" w:lineRule="auto"/>
        <w:rPr>
          <w:rFonts w:asciiTheme="majorBidi" w:hAnsiTheme="majorBidi" w:cstheme="majorBidi"/>
        </w:rPr>
      </w:pPr>
      <w:r w:rsidRPr="00036A39">
        <w:rPr>
          <w:rFonts w:asciiTheme="majorBidi" w:hAnsiTheme="majorBidi" w:cstheme="majorBidi"/>
        </w:rPr>
        <w:t>Entre 1 et 3 ans</w:t>
      </w:r>
    </w:p>
    <w:p w:rsidR="0051794F" w:rsidRPr="00036A39" w:rsidRDefault="0051794F" w:rsidP="004D32AC">
      <w:pPr>
        <w:pStyle w:val="Paragraphedeliste"/>
        <w:numPr>
          <w:ilvl w:val="0"/>
          <w:numId w:val="208"/>
        </w:numPr>
        <w:spacing w:after="240" w:line="360" w:lineRule="auto"/>
        <w:rPr>
          <w:rFonts w:asciiTheme="majorBidi" w:hAnsiTheme="majorBidi" w:cstheme="majorBidi"/>
        </w:rPr>
      </w:pPr>
      <w:r w:rsidRPr="00036A39">
        <w:rPr>
          <w:rFonts w:asciiTheme="majorBidi" w:hAnsiTheme="majorBidi" w:cstheme="majorBidi"/>
        </w:rPr>
        <w:t>Plus de 3 ans</w:t>
      </w:r>
    </w:p>
    <w:p w:rsidR="0051794F" w:rsidRPr="00E019CD" w:rsidRDefault="0051794F" w:rsidP="0051794F">
      <w:pPr>
        <w:spacing w:line="360" w:lineRule="auto"/>
        <w:rPr>
          <w:rFonts w:asciiTheme="majorBidi" w:hAnsiTheme="majorBidi" w:cstheme="majorBidi"/>
          <w:b/>
          <w:bCs/>
        </w:rPr>
      </w:pPr>
      <w:r w:rsidRPr="00E019CD">
        <w:rPr>
          <w:rFonts w:asciiTheme="majorBidi" w:hAnsiTheme="majorBidi" w:cstheme="majorBidi"/>
          <w:b/>
          <w:bCs/>
        </w:rPr>
        <w:t>Informations générales</w:t>
      </w:r>
    </w:p>
    <w:p w:rsidR="0051794F" w:rsidRPr="00E019CD" w:rsidRDefault="0051794F" w:rsidP="0051794F">
      <w:pPr>
        <w:spacing w:line="360" w:lineRule="auto"/>
        <w:rPr>
          <w:rFonts w:asciiTheme="majorBidi" w:hAnsiTheme="majorBidi" w:cstheme="majorBidi"/>
        </w:rPr>
      </w:pPr>
      <w:r>
        <w:rPr>
          <w:rFonts w:asciiTheme="majorBidi" w:hAnsiTheme="majorBidi" w:cstheme="majorBidi"/>
          <w:b/>
          <w:bCs/>
          <w:lang w:val="en-US"/>
        </w:rPr>
        <w:t xml:space="preserve">Q4: </w:t>
      </w:r>
      <w:r w:rsidRPr="00E019CD">
        <w:rPr>
          <w:rFonts w:asciiTheme="majorBidi" w:hAnsiTheme="majorBidi" w:cstheme="majorBidi"/>
        </w:rPr>
        <w:t>Sexe</w:t>
      </w:r>
    </w:p>
    <w:p w:rsidR="0051794F" w:rsidRPr="00036A39" w:rsidRDefault="0051794F" w:rsidP="004D32AC">
      <w:pPr>
        <w:pStyle w:val="Paragraphedeliste"/>
        <w:numPr>
          <w:ilvl w:val="0"/>
          <w:numId w:val="209"/>
        </w:numPr>
        <w:spacing w:line="360" w:lineRule="auto"/>
        <w:rPr>
          <w:rFonts w:asciiTheme="majorBidi" w:hAnsiTheme="majorBidi" w:cstheme="majorBidi"/>
        </w:rPr>
      </w:pPr>
      <w:r w:rsidRPr="00036A39">
        <w:rPr>
          <w:rFonts w:asciiTheme="majorBidi" w:hAnsiTheme="majorBidi" w:cstheme="majorBidi"/>
        </w:rPr>
        <w:t>Homme</w:t>
      </w:r>
    </w:p>
    <w:p w:rsidR="0051794F" w:rsidRPr="00036A39" w:rsidRDefault="0051794F" w:rsidP="004D32AC">
      <w:pPr>
        <w:pStyle w:val="Paragraphedeliste"/>
        <w:numPr>
          <w:ilvl w:val="0"/>
          <w:numId w:val="209"/>
        </w:numPr>
        <w:spacing w:line="360" w:lineRule="auto"/>
        <w:rPr>
          <w:rFonts w:asciiTheme="majorBidi" w:hAnsiTheme="majorBidi" w:cstheme="majorBidi"/>
        </w:rPr>
      </w:pPr>
      <w:r w:rsidRPr="00036A39">
        <w:rPr>
          <w:rFonts w:asciiTheme="majorBidi" w:hAnsiTheme="majorBidi" w:cstheme="majorBidi"/>
        </w:rPr>
        <w:t>Femme</w:t>
      </w:r>
    </w:p>
    <w:p w:rsidR="0051794F" w:rsidRPr="00E019CD" w:rsidRDefault="0051794F" w:rsidP="0051794F">
      <w:pPr>
        <w:spacing w:line="360" w:lineRule="auto"/>
        <w:rPr>
          <w:rFonts w:asciiTheme="majorBidi" w:hAnsiTheme="majorBidi" w:cstheme="majorBidi"/>
        </w:rPr>
      </w:pPr>
      <w:r>
        <w:rPr>
          <w:rFonts w:asciiTheme="majorBidi" w:hAnsiTheme="majorBidi" w:cstheme="majorBidi"/>
          <w:b/>
          <w:bCs/>
          <w:lang w:val="en-US"/>
        </w:rPr>
        <w:t xml:space="preserve">Q5: </w:t>
      </w:r>
      <w:r w:rsidRPr="00E019CD">
        <w:rPr>
          <w:rFonts w:asciiTheme="majorBidi" w:hAnsiTheme="majorBidi" w:cstheme="majorBidi"/>
        </w:rPr>
        <w:t>Âge</w:t>
      </w:r>
    </w:p>
    <w:p w:rsidR="0051794F" w:rsidRPr="00036A39" w:rsidRDefault="0051794F" w:rsidP="004D32AC">
      <w:pPr>
        <w:pStyle w:val="Paragraphedeliste"/>
        <w:numPr>
          <w:ilvl w:val="0"/>
          <w:numId w:val="210"/>
        </w:numPr>
        <w:spacing w:line="360" w:lineRule="auto"/>
        <w:rPr>
          <w:rFonts w:asciiTheme="majorBidi" w:hAnsiTheme="majorBidi" w:cstheme="majorBidi"/>
        </w:rPr>
      </w:pPr>
      <w:r w:rsidRPr="00036A39">
        <w:rPr>
          <w:rFonts w:asciiTheme="majorBidi" w:hAnsiTheme="majorBidi" w:cstheme="majorBidi"/>
        </w:rPr>
        <w:t>18-25 ans</w:t>
      </w:r>
    </w:p>
    <w:p w:rsidR="0051794F" w:rsidRPr="00036A39" w:rsidRDefault="0051794F" w:rsidP="004D32AC">
      <w:pPr>
        <w:pStyle w:val="Paragraphedeliste"/>
        <w:numPr>
          <w:ilvl w:val="0"/>
          <w:numId w:val="210"/>
        </w:numPr>
        <w:spacing w:line="360" w:lineRule="auto"/>
        <w:rPr>
          <w:rFonts w:asciiTheme="majorBidi" w:hAnsiTheme="majorBidi" w:cstheme="majorBidi"/>
        </w:rPr>
      </w:pPr>
      <w:r w:rsidRPr="00036A39">
        <w:rPr>
          <w:rFonts w:asciiTheme="majorBidi" w:hAnsiTheme="majorBidi" w:cstheme="majorBidi"/>
        </w:rPr>
        <w:t>26-35 ans</w:t>
      </w:r>
    </w:p>
    <w:p w:rsidR="0051794F" w:rsidRPr="00036A39" w:rsidRDefault="0051794F" w:rsidP="004D32AC">
      <w:pPr>
        <w:pStyle w:val="Paragraphedeliste"/>
        <w:numPr>
          <w:ilvl w:val="0"/>
          <w:numId w:val="210"/>
        </w:numPr>
        <w:spacing w:line="360" w:lineRule="auto"/>
        <w:rPr>
          <w:rFonts w:asciiTheme="majorBidi" w:hAnsiTheme="majorBidi" w:cstheme="majorBidi"/>
        </w:rPr>
      </w:pPr>
      <w:r w:rsidRPr="00036A39">
        <w:rPr>
          <w:rFonts w:asciiTheme="majorBidi" w:hAnsiTheme="majorBidi" w:cstheme="majorBidi"/>
        </w:rPr>
        <w:lastRenderedPageBreak/>
        <w:t>36-45 ans</w:t>
      </w:r>
    </w:p>
    <w:p w:rsidR="0051794F" w:rsidRPr="00036A39" w:rsidRDefault="0051794F" w:rsidP="004D32AC">
      <w:pPr>
        <w:pStyle w:val="Paragraphedeliste"/>
        <w:numPr>
          <w:ilvl w:val="0"/>
          <w:numId w:val="210"/>
        </w:numPr>
        <w:spacing w:line="360" w:lineRule="auto"/>
        <w:rPr>
          <w:rFonts w:asciiTheme="majorBidi" w:hAnsiTheme="majorBidi" w:cstheme="majorBidi"/>
        </w:rPr>
      </w:pPr>
      <w:r w:rsidRPr="00036A39">
        <w:rPr>
          <w:rFonts w:asciiTheme="majorBidi" w:hAnsiTheme="majorBidi" w:cstheme="majorBidi"/>
        </w:rPr>
        <w:t>46 ans et plus</w:t>
      </w:r>
    </w:p>
    <w:p w:rsidR="0051794F" w:rsidRPr="00E019CD" w:rsidRDefault="0051794F" w:rsidP="0051794F">
      <w:pPr>
        <w:spacing w:line="360" w:lineRule="auto"/>
        <w:rPr>
          <w:rFonts w:asciiTheme="majorBidi" w:hAnsiTheme="majorBidi" w:cstheme="majorBidi"/>
        </w:rPr>
      </w:pPr>
      <w:r>
        <w:rPr>
          <w:rFonts w:asciiTheme="majorBidi" w:hAnsiTheme="majorBidi" w:cstheme="majorBidi"/>
          <w:b/>
          <w:bCs/>
          <w:lang w:val="en-US"/>
        </w:rPr>
        <w:t xml:space="preserve">Q6: </w:t>
      </w:r>
      <w:r w:rsidRPr="00E019CD">
        <w:rPr>
          <w:rFonts w:asciiTheme="majorBidi" w:hAnsiTheme="majorBidi" w:cstheme="majorBidi"/>
        </w:rPr>
        <w:t>Niveau d’études</w:t>
      </w:r>
    </w:p>
    <w:p w:rsidR="0051794F" w:rsidRPr="00036A39" w:rsidRDefault="0051794F" w:rsidP="004D32AC">
      <w:pPr>
        <w:pStyle w:val="Paragraphedeliste"/>
        <w:numPr>
          <w:ilvl w:val="0"/>
          <w:numId w:val="211"/>
        </w:numPr>
        <w:spacing w:line="360" w:lineRule="auto"/>
        <w:rPr>
          <w:rFonts w:asciiTheme="majorBidi" w:hAnsiTheme="majorBidi" w:cstheme="majorBidi"/>
        </w:rPr>
      </w:pPr>
      <w:r w:rsidRPr="00036A39">
        <w:rPr>
          <w:rFonts w:asciiTheme="majorBidi" w:hAnsiTheme="majorBidi" w:cstheme="majorBidi"/>
        </w:rPr>
        <w:t>Inférieur au BAC</w:t>
      </w:r>
    </w:p>
    <w:p w:rsidR="0051794F" w:rsidRPr="00036A39" w:rsidRDefault="0051794F" w:rsidP="004D32AC">
      <w:pPr>
        <w:pStyle w:val="Paragraphedeliste"/>
        <w:numPr>
          <w:ilvl w:val="0"/>
          <w:numId w:val="211"/>
        </w:numPr>
        <w:spacing w:line="360" w:lineRule="auto"/>
        <w:rPr>
          <w:rFonts w:asciiTheme="majorBidi" w:hAnsiTheme="majorBidi" w:cstheme="majorBidi"/>
        </w:rPr>
      </w:pPr>
      <w:r w:rsidRPr="00036A39">
        <w:rPr>
          <w:rFonts w:asciiTheme="majorBidi" w:hAnsiTheme="majorBidi" w:cstheme="majorBidi"/>
        </w:rPr>
        <w:t>Bac</w:t>
      </w:r>
    </w:p>
    <w:p w:rsidR="0051794F" w:rsidRPr="00036A39" w:rsidRDefault="0051794F" w:rsidP="004D32AC">
      <w:pPr>
        <w:pStyle w:val="Paragraphedeliste"/>
        <w:numPr>
          <w:ilvl w:val="0"/>
          <w:numId w:val="211"/>
        </w:numPr>
        <w:spacing w:line="360" w:lineRule="auto"/>
        <w:rPr>
          <w:rFonts w:asciiTheme="majorBidi" w:hAnsiTheme="majorBidi" w:cstheme="majorBidi"/>
        </w:rPr>
      </w:pPr>
      <w:r w:rsidRPr="00036A39">
        <w:rPr>
          <w:rFonts w:asciiTheme="majorBidi" w:hAnsiTheme="majorBidi" w:cstheme="majorBidi"/>
        </w:rPr>
        <w:t>BAC +1 à BAC +2</w:t>
      </w:r>
    </w:p>
    <w:p w:rsidR="0051794F" w:rsidRPr="00036A39" w:rsidRDefault="0051794F" w:rsidP="004D32AC">
      <w:pPr>
        <w:pStyle w:val="Paragraphedeliste"/>
        <w:numPr>
          <w:ilvl w:val="0"/>
          <w:numId w:val="211"/>
        </w:numPr>
        <w:spacing w:line="360" w:lineRule="auto"/>
        <w:rPr>
          <w:rFonts w:asciiTheme="majorBidi" w:hAnsiTheme="majorBidi" w:cstheme="majorBidi"/>
        </w:rPr>
      </w:pPr>
      <w:r w:rsidRPr="00036A39">
        <w:rPr>
          <w:rFonts w:asciiTheme="majorBidi" w:hAnsiTheme="majorBidi" w:cstheme="majorBidi"/>
        </w:rPr>
        <w:t>BAC +3 à BAC +4</w:t>
      </w:r>
    </w:p>
    <w:p w:rsidR="0051794F" w:rsidRPr="00036A39" w:rsidRDefault="0051794F" w:rsidP="004D32AC">
      <w:pPr>
        <w:pStyle w:val="Paragraphedeliste"/>
        <w:numPr>
          <w:ilvl w:val="0"/>
          <w:numId w:val="211"/>
        </w:numPr>
        <w:spacing w:line="360" w:lineRule="auto"/>
        <w:rPr>
          <w:rFonts w:asciiTheme="majorBidi" w:hAnsiTheme="majorBidi" w:cstheme="majorBidi"/>
        </w:rPr>
      </w:pPr>
      <w:r w:rsidRPr="00036A39">
        <w:rPr>
          <w:rFonts w:asciiTheme="majorBidi" w:hAnsiTheme="majorBidi" w:cstheme="majorBidi"/>
        </w:rPr>
        <w:t>BAC +5</w:t>
      </w:r>
    </w:p>
    <w:p w:rsidR="0051794F" w:rsidRPr="00036A39" w:rsidRDefault="0051794F" w:rsidP="004D32AC">
      <w:pPr>
        <w:pStyle w:val="Paragraphedeliste"/>
        <w:numPr>
          <w:ilvl w:val="0"/>
          <w:numId w:val="211"/>
        </w:numPr>
        <w:spacing w:line="360" w:lineRule="auto"/>
        <w:rPr>
          <w:rFonts w:asciiTheme="majorBidi" w:hAnsiTheme="majorBidi" w:cstheme="majorBidi"/>
        </w:rPr>
      </w:pPr>
      <w:r w:rsidRPr="00036A39">
        <w:rPr>
          <w:rFonts w:asciiTheme="majorBidi" w:hAnsiTheme="majorBidi" w:cstheme="majorBidi"/>
        </w:rPr>
        <w:t>Supérieur à BAC +5</w:t>
      </w:r>
    </w:p>
    <w:p w:rsidR="0051794F" w:rsidRPr="00E019CD" w:rsidRDefault="0051794F" w:rsidP="0051794F">
      <w:pPr>
        <w:spacing w:line="360" w:lineRule="auto"/>
        <w:rPr>
          <w:rFonts w:asciiTheme="majorBidi" w:hAnsiTheme="majorBidi" w:cstheme="majorBidi"/>
        </w:rPr>
      </w:pPr>
      <w:r w:rsidRPr="008A5941">
        <w:rPr>
          <w:rFonts w:asciiTheme="majorBidi" w:hAnsiTheme="majorBidi" w:cstheme="majorBidi"/>
          <w:b/>
          <w:bCs/>
          <w:lang w:val="fr-FR"/>
        </w:rPr>
        <w:t xml:space="preserve">Q7: </w:t>
      </w:r>
      <w:r w:rsidRPr="00E019CD">
        <w:rPr>
          <w:rFonts w:asciiTheme="majorBidi" w:hAnsiTheme="majorBidi" w:cstheme="majorBidi"/>
        </w:rPr>
        <w:t>Quelle est votre catégorie socioprofessionnelle ?</w:t>
      </w:r>
    </w:p>
    <w:p w:rsidR="0051794F" w:rsidRPr="00036A39" w:rsidRDefault="0051794F" w:rsidP="004D32AC">
      <w:pPr>
        <w:pStyle w:val="Paragraphedeliste"/>
        <w:numPr>
          <w:ilvl w:val="0"/>
          <w:numId w:val="212"/>
        </w:numPr>
        <w:spacing w:line="360" w:lineRule="auto"/>
        <w:rPr>
          <w:rFonts w:asciiTheme="majorBidi" w:hAnsiTheme="majorBidi" w:cstheme="majorBidi"/>
        </w:rPr>
      </w:pPr>
      <w:r w:rsidRPr="00036A39">
        <w:rPr>
          <w:rFonts w:asciiTheme="majorBidi" w:hAnsiTheme="majorBidi" w:cstheme="majorBidi"/>
        </w:rPr>
        <w:t>Dirigeant d'entreprise ou cadre supérieur</w:t>
      </w:r>
    </w:p>
    <w:p w:rsidR="0051794F" w:rsidRPr="00036A39" w:rsidRDefault="0051794F" w:rsidP="004D32AC">
      <w:pPr>
        <w:pStyle w:val="Paragraphedeliste"/>
        <w:numPr>
          <w:ilvl w:val="0"/>
          <w:numId w:val="212"/>
        </w:numPr>
        <w:spacing w:line="360" w:lineRule="auto"/>
        <w:rPr>
          <w:rFonts w:asciiTheme="majorBidi" w:hAnsiTheme="majorBidi" w:cstheme="majorBidi"/>
        </w:rPr>
      </w:pPr>
      <w:r w:rsidRPr="00036A39">
        <w:rPr>
          <w:rFonts w:asciiTheme="majorBidi" w:hAnsiTheme="majorBidi" w:cstheme="majorBidi"/>
        </w:rPr>
        <w:t>Manager / Chef d'équipe</w:t>
      </w:r>
    </w:p>
    <w:p w:rsidR="0051794F" w:rsidRPr="00036A39" w:rsidRDefault="0051794F" w:rsidP="004D32AC">
      <w:pPr>
        <w:pStyle w:val="Paragraphedeliste"/>
        <w:numPr>
          <w:ilvl w:val="0"/>
          <w:numId w:val="212"/>
        </w:numPr>
        <w:spacing w:line="360" w:lineRule="auto"/>
        <w:rPr>
          <w:rFonts w:asciiTheme="majorBidi" w:hAnsiTheme="majorBidi" w:cstheme="majorBidi"/>
        </w:rPr>
      </w:pPr>
      <w:r w:rsidRPr="00036A39">
        <w:rPr>
          <w:rFonts w:asciiTheme="majorBidi" w:hAnsiTheme="majorBidi" w:cstheme="majorBidi"/>
        </w:rPr>
        <w:t>Employé</w:t>
      </w:r>
    </w:p>
    <w:p w:rsidR="0051794F" w:rsidRPr="00036A39" w:rsidRDefault="0051794F" w:rsidP="004D32AC">
      <w:pPr>
        <w:pStyle w:val="Paragraphedeliste"/>
        <w:numPr>
          <w:ilvl w:val="0"/>
          <w:numId w:val="212"/>
        </w:numPr>
        <w:spacing w:line="360" w:lineRule="auto"/>
        <w:rPr>
          <w:rFonts w:asciiTheme="majorBidi" w:hAnsiTheme="majorBidi" w:cstheme="majorBidi"/>
        </w:rPr>
      </w:pPr>
      <w:r w:rsidRPr="00036A39">
        <w:rPr>
          <w:rFonts w:asciiTheme="majorBidi" w:hAnsiTheme="majorBidi" w:cstheme="majorBidi"/>
        </w:rPr>
        <w:t>Stagiaire / Apprenti</w:t>
      </w:r>
    </w:p>
    <w:p w:rsidR="0051794F" w:rsidRPr="00E019CD" w:rsidRDefault="0051794F" w:rsidP="0051794F">
      <w:pPr>
        <w:spacing w:line="360" w:lineRule="auto"/>
        <w:rPr>
          <w:rFonts w:asciiTheme="majorBidi" w:hAnsiTheme="majorBidi" w:cstheme="majorBidi"/>
        </w:rPr>
      </w:pPr>
      <w:r w:rsidRPr="008A5941">
        <w:rPr>
          <w:rFonts w:asciiTheme="majorBidi" w:hAnsiTheme="majorBidi" w:cstheme="majorBidi"/>
          <w:b/>
          <w:bCs/>
          <w:lang w:val="fr-FR"/>
        </w:rPr>
        <w:t xml:space="preserve">Q8: </w:t>
      </w:r>
      <w:r w:rsidRPr="00E019CD">
        <w:rPr>
          <w:rFonts w:asciiTheme="majorBidi" w:hAnsiTheme="majorBidi" w:cstheme="majorBidi"/>
        </w:rPr>
        <w:t>Dans quel département travaillez-vous ?</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Ressources humaines</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Finances ou comptabilité</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Marketing</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Contrôle de gestion</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Production ou opérations</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Service client</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Informatique ou technologies de l'information (IT)</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Juridique</w:t>
      </w:r>
    </w:p>
    <w:p w:rsidR="0051794F" w:rsidRPr="00036A39" w:rsidRDefault="0051794F" w:rsidP="004D32AC">
      <w:pPr>
        <w:pStyle w:val="Paragraphedeliste"/>
        <w:numPr>
          <w:ilvl w:val="0"/>
          <w:numId w:val="213"/>
        </w:numPr>
        <w:spacing w:line="360" w:lineRule="auto"/>
        <w:rPr>
          <w:rFonts w:asciiTheme="majorBidi" w:hAnsiTheme="majorBidi" w:cstheme="majorBidi"/>
        </w:rPr>
      </w:pPr>
      <w:r w:rsidRPr="00036A39">
        <w:rPr>
          <w:rFonts w:asciiTheme="majorBidi" w:hAnsiTheme="majorBidi" w:cstheme="majorBidi"/>
        </w:rPr>
        <w:t>Commercial</w:t>
      </w:r>
    </w:p>
    <w:p w:rsidR="0051794F" w:rsidRPr="00036A39" w:rsidRDefault="0051794F" w:rsidP="004D32AC">
      <w:pPr>
        <w:pStyle w:val="Paragraphedeliste"/>
        <w:numPr>
          <w:ilvl w:val="0"/>
          <w:numId w:val="213"/>
        </w:numPr>
        <w:spacing w:line="360" w:lineRule="auto"/>
        <w:rPr>
          <w:rFonts w:asciiTheme="majorBidi" w:hAnsiTheme="majorBidi" w:cstheme="majorBidi"/>
          <w:lang w:val="en-US"/>
        </w:rPr>
      </w:pPr>
      <w:proofErr w:type="spellStart"/>
      <w:r w:rsidRPr="00036A39">
        <w:rPr>
          <w:rFonts w:asciiTheme="majorBidi" w:hAnsiTheme="majorBidi" w:cstheme="majorBidi"/>
          <w:lang w:val="en-US"/>
        </w:rPr>
        <w:t>Autre</w:t>
      </w:r>
      <w:proofErr w:type="spellEnd"/>
    </w:p>
    <w:p w:rsidR="0051794F" w:rsidRPr="00E019CD" w:rsidRDefault="0051794F" w:rsidP="0051794F">
      <w:pPr>
        <w:spacing w:line="360" w:lineRule="auto"/>
        <w:rPr>
          <w:rFonts w:asciiTheme="majorBidi" w:hAnsiTheme="majorBidi" w:cstheme="majorBidi"/>
        </w:rPr>
      </w:pPr>
      <w:r>
        <w:rPr>
          <w:rFonts w:asciiTheme="majorBidi" w:hAnsiTheme="majorBidi" w:cstheme="majorBidi"/>
          <w:b/>
          <w:bCs/>
          <w:lang w:val="en-US"/>
        </w:rPr>
        <w:t xml:space="preserve">Q9: </w:t>
      </w:r>
      <w:r w:rsidRPr="00E019CD">
        <w:rPr>
          <w:rFonts w:asciiTheme="majorBidi" w:hAnsiTheme="majorBidi" w:cstheme="majorBidi"/>
        </w:rPr>
        <w:t>Expérience professionnelle</w:t>
      </w:r>
    </w:p>
    <w:p w:rsidR="0051794F" w:rsidRPr="00036A39" w:rsidRDefault="0051794F" w:rsidP="004D32AC">
      <w:pPr>
        <w:pStyle w:val="Paragraphedeliste"/>
        <w:numPr>
          <w:ilvl w:val="0"/>
          <w:numId w:val="214"/>
        </w:numPr>
        <w:spacing w:line="360" w:lineRule="auto"/>
        <w:rPr>
          <w:rFonts w:asciiTheme="majorBidi" w:hAnsiTheme="majorBidi" w:cstheme="majorBidi"/>
        </w:rPr>
      </w:pPr>
      <w:r w:rsidRPr="00036A39">
        <w:rPr>
          <w:rFonts w:asciiTheme="majorBidi" w:hAnsiTheme="majorBidi" w:cstheme="majorBidi"/>
        </w:rPr>
        <w:t>Moins de 2 ans</w:t>
      </w:r>
    </w:p>
    <w:p w:rsidR="0051794F" w:rsidRPr="00036A39" w:rsidRDefault="0051794F" w:rsidP="004D32AC">
      <w:pPr>
        <w:pStyle w:val="Paragraphedeliste"/>
        <w:numPr>
          <w:ilvl w:val="0"/>
          <w:numId w:val="214"/>
        </w:numPr>
        <w:spacing w:line="360" w:lineRule="auto"/>
        <w:rPr>
          <w:rFonts w:asciiTheme="majorBidi" w:hAnsiTheme="majorBidi" w:cstheme="majorBidi"/>
        </w:rPr>
      </w:pPr>
      <w:r w:rsidRPr="00036A39">
        <w:rPr>
          <w:rFonts w:asciiTheme="majorBidi" w:hAnsiTheme="majorBidi" w:cstheme="majorBidi"/>
        </w:rPr>
        <w:t>2-5 ans</w:t>
      </w:r>
    </w:p>
    <w:p w:rsidR="0051794F" w:rsidRPr="00036A39" w:rsidRDefault="0051794F" w:rsidP="004D32AC">
      <w:pPr>
        <w:pStyle w:val="Paragraphedeliste"/>
        <w:numPr>
          <w:ilvl w:val="0"/>
          <w:numId w:val="214"/>
        </w:numPr>
        <w:spacing w:line="360" w:lineRule="auto"/>
        <w:rPr>
          <w:rFonts w:asciiTheme="majorBidi" w:hAnsiTheme="majorBidi" w:cstheme="majorBidi"/>
        </w:rPr>
      </w:pPr>
      <w:r w:rsidRPr="00036A39">
        <w:rPr>
          <w:rFonts w:asciiTheme="majorBidi" w:hAnsiTheme="majorBidi" w:cstheme="majorBidi"/>
        </w:rPr>
        <w:t>6-10 ans</w:t>
      </w:r>
    </w:p>
    <w:p w:rsidR="0051794F" w:rsidRPr="00036A39" w:rsidRDefault="0051794F" w:rsidP="004D32AC">
      <w:pPr>
        <w:pStyle w:val="Paragraphedeliste"/>
        <w:numPr>
          <w:ilvl w:val="0"/>
          <w:numId w:val="214"/>
        </w:numPr>
        <w:spacing w:line="360" w:lineRule="auto"/>
        <w:rPr>
          <w:rFonts w:asciiTheme="majorBidi" w:hAnsiTheme="majorBidi" w:cstheme="majorBidi"/>
        </w:rPr>
      </w:pPr>
      <w:r w:rsidRPr="00036A39">
        <w:rPr>
          <w:rFonts w:asciiTheme="majorBidi" w:hAnsiTheme="majorBidi" w:cstheme="majorBidi"/>
        </w:rPr>
        <w:t>Plus de 10 ans</w:t>
      </w:r>
    </w:p>
    <w:p w:rsidR="0051794F" w:rsidRDefault="0051794F" w:rsidP="004D32AC">
      <w:pPr>
        <w:pStyle w:val="Paragraphedeliste"/>
        <w:numPr>
          <w:ilvl w:val="0"/>
          <w:numId w:val="214"/>
        </w:numPr>
        <w:spacing w:after="240" w:line="360" w:lineRule="auto"/>
        <w:rPr>
          <w:rFonts w:asciiTheme="majorBidi" w:hAnsiTheme="majorBidi" w:cstheme="majorBidi"/>
        </w:rPr>
      </w:pPr>
      <w:r w:rsidRPr="00036A39">
        <w:rPr>
          <w:rFonts w:asciiTheme="majorBidi" w:hAnsiTheme="majorBidi" w:cstheme="majorBidi"/>
        </w:rPr>
        <w:t>Coordonnées de l’entreprise</w:t>
      </w:r>
    </w:p>
    <w:p w:rsidR="0051794F" w:rsidRDefault="0051794F" w:rsidP="0051794F">
      <w:pPr>
        <w:pStyle w:val="Paragraphedeliste"/>
        <w:spacing w:after="240" w:line="360" w:lineRule="auto"/>
        <w:rPr>
          <w:rFonts w:asciiTheme="majorBidi" w:hAnsiTheme="majorBidi" w:cstheme="majorBidi"/>
        </w:rPr>
      </w:pPr>
    </w:p>
    <w:p w:rsidR="0051794F" w:rsidRPr="00036A39" w:rsidRDefault="0051794F" w:rsidP="0051794F">
      <w:pPr>
        <w:spacing w:line="360" w:lineRule="auto"/>
        <w:rPr>
          <w:rFonts w:asciiTheme="majorBidi" w:hAnsiTheme="majorBidi" w:cstheme="majorBidi"/>
          <w:b/>
          <w:bCs/>
        </w:rPr>
      </w:pPr>
      <w:r w:rsidRPr="00036A39">
        <w:rPr>
          <w:rFonts w:asciiTheme="majorBidi" w:hAnsiTheme="majorBidi" w:cstheme="majorBidi"/>
          <w:b/>
          <w:bCs/>
        </w:rPr>
        <w:lastRenderedPageBreak/>
        <w:t>Coordonnées de l’entreprise</w:t>
      </w:r>
    </w:p>
    <w:p w:rsidR="0051794F" w:rsidRPr="00E019CD" w:rsidRDefault="0051794F" w:rsidP="0051794F">
      <w:pPr>
        <w:spacing w:line="360" w:lineRule="auto"/>
        <w:rPr>
          <w:rFonts w:asciiTheme="majorBidi" w:hAnsiTheme="majorBidi" w:cstheme="majorBidi"/>
        </w:rPr>
      </w:pPr>
      <w:r w:rsidRPr="008A5941">
        <w:rPr>
          <w:rFonts w:asciiTheme="majorBidi" w:hAnsiTheme="majorBidi" w:cstheme="majorBidi"/>
          <w:b/>
          <w:bCs/>
          <w:lang w:val="fr-FR"/>
        </w:rPr>
        <w:t xml:space="preserve">Q10: </w:t>
      </w:r>
      <w:r w:rsidRPr="00E019CD">
        <w:rPr>
          <w:rFonts w:asciiTheme="majorBidi" w:hAnsiTheme="majorBidi" w:cstheme="majorBidi"/>
        </w:rPr>
        <w:t>Quel est le secteur d’activité de votre entreprise ?</w:t>
      </w:r>
    </w:p>
    <w:p w:rsidR="0051794F" w:rsidRPr="00036A39" w:rsidRDefault="0051794F" w:rsidP="004D32AC">
      <w:pPr>
        <w:pStyle w:val="Paragraphedeliste"/>
        <w:numPr>
          <w:ilvl w:val="0"/>
          <w:numId w:val="215"/>
        </w:numPr>
        <w:spacing w:line="360" w:lineRule="auto"/>
        <w:rPr>
          <w:rFonts w:asciiTheme="majorBidi" w:hAnsiTheme="majorBidi" w:cstheme="majorBidi"/>
        </w:rPr>
      </w:pPr>
      <w:r w:rsidRPr="00036A39">
        <w:rPr>
          <w:rFonts w:asciiTheme="majorBidi" w:hAnsiTheme="majorBidi" w:cstheme="majorBidi"/>
        </w:rPr>
        <w:t>Industrie</w:t>
      </w:r>
    </w:p>
    <w:p w:rsidR="0051794F" w:rsidRPr="00036A39" w:rsidRDefault="0051794F" w:rsidP="004D32AC">
      <w:pPr>
        <w:pStyle w:val="Paragraphedeliste"/>
        <w:numPr>
          <w:ilvl w:val="0"/>
          <w:numId w:val="215"/>
        </w:numPr>
        <w:spacing w:line="360" w:lineRule="auto"/>
        <w:rPr>
          <w:rFonts w:asciiTheme="majorBidi" w:hAnsiTheme="majorBidi" w:cstheme="majorBidi"/>
        </w:rPr>
      </w:pPr>
      <w:r w:rsidRPr="00036A39">
        <w:rPr>
          <w:rFonts w:asciiTheme="majorBidi" w:hAnsiTheme="majorBidi" w:cstheme="majorBidi"/>
        </w:rPr>
        <w:t>Commerce</w:t>
      </w:r>
    </w:p>
    <w:p w:rsidR="0051794F" w:rsidRPr="00036A39" w:rsidRDefault="0051794F" w:rsidP="004D32AC">
      <w:pPr>
        <w:pStyle w:val="Paragraphedeliste"/>
        <w:numPr>
          <w:ilvl w:val="0"/>
          <w:numId w:val="215"/>
        </w:numPr>
        <w:spacing w:line="360" w:lineRule="auto"/>
        <w:rPr>
          <w:rFonts w:asciiTheme="majorBidi" w:hAnsiTheme="majorBidi" w:cstheme="majorBidi"/>
        </w:rPr>
      </w:pPr>
      <w:r w:rsidRPr="00036A39">
        <w:rPr>
          <w:rFonts w:asciiTheme="majorBidi" w:hAnsiTheme="majorBidi" w:cstheme="majorBidi"/>
        </w:rPr>
        <w:t>Services</w:t>
      </w:r>
    </w:p>
    <w:p w:rsidR="0051794F" w:rsidRPr="00036A39" w:rsidRDefault="0051794F" w:rsidP="004D32AC">
      <w:pPr>
        <w:pStyle w:val="Paragraphedeliste"/>
        <w:numPr>
          <w:ilvl w:val="0"/>
          <w:numId w:val="215"/>
        </w:numPr>
        <w:spacing w:line="360" w:lineRule="auto"/>
        <w:rPr>
          <w:rFonts w:asciiTheme="majorBidi" w:hAnsiTheme="majorBidi" w:cstheme="majorBidi"/>
        </w:rPr>
      </w:pPr>
      <w:r w:rsidRPr="00036A39">
        <w:rPr>
          <w:rFonts w:asciiTheme="majorBidi" w:hAnsiTheme="majorBidi" w:cstheme="majorBidi"/>
        </w:rPr>
        <w:t>Santé</w:t>
      </w:r>
    </w:p>
    <w:p w:rsidR="0051794F" w:rsidRPr="00036A39" w:rsidRDefault="0051794F" w:rsidP="004D32AC">
      <w:pPr>
        <w:pStyle w:val="Paragraphedeliste"/>
        <w:numPr>
          <w:ilvl w:val="0"/>
          <w:numId w:val="215"/>
        </w:numPr>
        <w:spacing w:line="360" w:lineRule="auto"/>
        <w:rPr>
          <w:rFonts w:asciiTheme="majorBidi" w:hAnsiTheme="majorBidi" w:cstheme="majorBidi"/>
          <w:lang w:val="en-US"/>
        </w:rPr>
      </w:pPr>
      <w:proofErr w:type="spellStart"/>
      <w:r w:rsidRPr="00036A39">
        <w:rPr>
          <w:rFonts w:asciiTheme="majorBidi" w:hAnsiTheme="majorBidi" w:cstheme="majorBidi"/>
          <w:lang w:val="en-US"/>
        </w:rPr>
        <w:t>Autre</w:t>
      </w:r>
      <w:proofErr w:type="spellEnd"/>
    </w:p>
    <w:p w:rsidR="0051794F" w:rsidRPr="00036A39" w:rsidRDefault="0051794F" w:rsidP="0051794F">
      <w:pPr>
        <w:spacing w:line="360" w:lineRule="auto"/>
        <w:rPr>
          <w:rFonts w:asciiTheme="majorBidi" w:hAnsiTheme="majorBidi" w:cstheme="majorBidi"/>
        </w:rPr>
      </w:pPr>
      <w:r w:rsidRPr="008A5941">
        <w:rPr>
          <w:rFonts w:asciiTheme="majorBidi" w:hAnsiTheme="majorBidi" w:cstheme="majorBidi"/>
          <w:b/>
          <w:bCs/>
          <w:lang w:val="fr-FR"/>
        </w:rPr>
        <w:t xml:space="preserve">Q11: </w:t>
      </w:r>
      <w:r w:rsidRPr="00E019CD">
        <w:rPr>
          <w:rFonts w:asciiTheme="majorBidi" w:hAnsiTheme="majorBidi" w:cstheme="majorBidi"/>
        </w:rPr>
        <w:t>Quelle est la taille de votre entreprise ?</w:t>
      </w:r>
    </w:p>
    <w:p w:rsidR="0051794F" w:rsidRPr="00036A39" w:rsidRDefault="0051794F" w:rsidP="004D32AC">
      <w:pPr>
        <w:pStyle w:val="Paragraphedeliste"/>
        <w:numPr>
          <w:ilvl w:val="0"/>
          <w:numId w:val="216"/>
        </w:numPr>
        <w:spacing w:line="360" w:lineRule="auto"/>
        <w:rPr>
          <w:rFonts w:asciiTheme="majorBidi" w:hAnsiTheme="majorBidi" w:cstheme="majorBidi"/>
          <w:lang w:val="en-US"/>
        </w:rPr>
      </w:pPr>
      <w:proofErr w:type="spellStart"/>
      <w:r w:rsidRPr="00036A39">
        <w:rPr>
          <w:rFonts w:asciiTheme="majorBidi" w:hAnsiTheme="majorBidi" w:cstheme="majorBidi"/>
          <w:lang w:val="en-US"/>
        </w:rPr>
        <w:t>Moins</w:t>
      </w:r>
      <w:proofErr w:type="spellEnd"/>
      <w:r w:rsidRPr="00036A39">
        <w:rPr>
          <w:rFonts w:asciiTheme="majorBidi" w:hAnsiTheme="majorBidi" w:cstheme="majorBidi"/>
          <w:lang w:val="en-US"/>
        </w:rPr>
        <w:t xml:space="preserve"> de 50 </w:t>
      </w:r>
      <w:proofErr w:type="spellStart"/>
      <w:r w:rsidRPr="00036A39">
        <w:rPr>
          <w:rFonts w:asciiTheme="majorBidi" w:hAnsiTheme="majorBidi" w:cstheme="majorBidi"/>
          <w:lang w:val="en-US"/>
        </w:rPr>
        <w:t>employés</w:t>
      </w:r>
      <w:proofErr w:type="spellEnd"/>
    </w:p>
    <w:p w:rsidR="0051794F" w:rsidRPr="00036A39" w:rsidRDefault="0051794F" w:rsidP="004D32AC">
      <w:pPr>
        <w:pStyle w:val="Paragraphedeliste"/>
        <w:numPr>
          <w:ilvl w:val="0"/>
          <w:numId w:val="216"/>
        </w:numPr>
        <w:spacing w:line="360" w:lineRule="auto"/>
        <w:rPr>
          <w:rFonts w:asciiTheme="majorBidi" w:hAnsiTheme="majorBidi" w:cstheme="majorBidi"/>
          <w:lang w:val="en-US"/>
        </w:rPr>
      </w:pPr>
      <w:r w:rsidRPr="00036A39">
        <w:rPr>
          <w:rFonts w:asciiTheme="majorBidi" w:hAnsiTheme="majorBidi" w:cstheme="majorBidi"/>
          <w:lang w:val="en-US"/>
        </w:rPr>
        <w:t xml:space="preserve">50-200 </w:t>
      </w:r>
      <w:proofErr w:type="spellStart"/>
      <w:r w:rsidRPr="00036A39">
        <w:rPr>
          <w:rFonts w:asciiTheme="majorBidi" w:hAnsiTheme="majorBidi" w:cstheme="majorBidi"/>
          <w:lang w:val="en-US"/>
        </w:rPr>
        <w:t>employés</w:t>
      </w:r>
      <w:proofErr w:type="spellEnd"/>
    </w:p>
    <w:p w:rsidR="0051794F" w:rsidRPr="00036A39" w:rsidRDefault="0051794F" w:rsidP="004D32AC">
      <w:pPr>
        <w:pStyle w:val="Paragraphedeliste"/>
        <w:numPr>
          <w:ilvl w:val="0"/>
          <w:numId w:val="216"/>
        </w:numPr>
        <w:spacing w:line="360" w:lineRule="auto"/>
        <w:rPr>
          <w:rFonts w:asciiTheme="majorBidi" w:hAnsiTheme="majorBidi" w:cstheme="majorBidi"/>
          <w:lang w:val="en-US"/>
        </w:rPr>
      </w:pPr>
      <w:r w:rsidRPr="00036A39">
        <w:rPr>
          <w:rFonts w:asciiTheme="majorBidi" w:hAnsiTheme="majorBidi" w:cstheme="majorBidi"/>
          <w:lang w:val="en-US"/>
        </w:rPr>
        <w:t xml:space="preserve">200-500 </w:t>
      </w:r>
      <w:proofErr w:type="spellStart"/>
      <w:r w:rsidRPr="00036A39">
        <w:rPr>
          <w:rFonts w:asciiTheme="majorBidi" w:hAnsiTheme="majorBidi" w:cstheme="majorBidi"/>
          <w:lang w:val="en-US"/>
        </w:rPr>
        <w:t>employés</w:t>
      </w:r>
      <w:proofErr w:type="spellEnd"/>
    </w:p>
    <w:p w:rsidR="0051794F" w:rsidRPr="00036A39" w:rsidRDefault="0051794F" w:rsidP="004D32AC">
      <w:pPr>
        <w:pStyle w:val="Paragraphedeliste"/>
        <w:numPr>
          <w:ilvl w:val="0"/>
          <w:numId w:val="216"/>
        </w:numPr>
        <w:spacing w:line="360" w:lineRule="auto"/>
        <w:rPr>
          <w:rFonts w:asciiTheme="majorBidi" w:hAnsiTheme="majorBidi" w:cstheme="majorBidi"/>
          <w:lang w:val="en-US"/>
        </w:rPr>
      </w:pPr>
      <w:proofErr w:type="gramStart"/>
      <w:r w:rsidRPr="00036A39">
        <w:rPr>
          <w:rFonts w:asciiTheme="majorBidi" w:hAnsiTheme="majorBidi" w:cstheme="majorBidi"/>
          <w:lang w:val="en-US"/>
        </w:rPr>
        <w:t>Plus</w:t>
      </w:r>
      <w:proofErr w:type="gramEnd"/>
      <w:r w:rsidRPr="00036A39">
        <w:rPr>
          <w:rFonts w:asciiTheme="majorBidi" w:hAnsiTheme="majorBidi" w:cstheme="majorBidi"/>
          <w:lang w:val="en-US"/>
        </w:rPr>
        <w:t xml:space="preserve"> de 500 </w:t>
      </w:r>
      <w:proofErr w:type="spellStart"/>
      <w:r w:rsidRPr="00036A39">
        <w:rPr>
          <w:rFonts w:asciiTheme="majorBidi" w:hAnsiTheme="majorBidi" w:cstheme="majorBidi"/>
          <w:lang w:val="en-US"/>
        </w:rPr>
        <w:t>employés</w:t>
      </w:r>
      <w:proofErr w:type="spellEnd"/>
    </w:p>
    <w:p w:rsidR="0051794F" w:rsidRPr="00E019CD" w:rsidRDefault="0051794F" w:rsidP="0051794F">
      <w:pPr>
        <w:spacing w:line="360" w:lineRule="auto"/>
        <w:rPr>
          <w:rFonts w:asciiTheme="majorBidi" w:hAnsiTheme="majorBidi" w:cstheme="majorBidi"/>
        </w:rPr>
      </w:pPr>
      <w:r w:rsidRPr="008A5941">
        <w:rPr>
          <w:rFonts w:asciiTheme="majorBidi" w:hAnsiTheme="majorBidi" w:cstheme="majorBidi"/>
          <w:b/>
          <w:bCs/>
          <w:lang w:val="fr-FR"/>
        </w:rPr>
        <w:t xml:space="preserve">Q12: </w:t>
      </w:r>
      <w:r w:rsidRPr="00E019CD">
        <w:rPr>
          <w:rFonts w:asciiTheme="majorBidi" w:hAnsiTheme="majorBidi" w:cstheme="majorBidi"/>
        </w:rPr>
        <w:t>Votre entreprise est-elle publique ou privée ?</w:t>
      </w:r>
    </w:p>
    <w:p w:rsidR="0051794F" w:rsidRPr="00036A39" w:rsidRDefault="0051794F" w:rsidP="004D32AC">
      <w:pPr>
        <w:pStyle w:val="Paragraphedeliste"/>
        <w:numPr>
          <w:ilvl w:val="0"/>
          <w:numId w:val="217"/>
        </w:numPr>
        <w:spacing w:line="360" w:lineRule="auto"/>
        <w:rPr>
          <w:rFonts w:asciiTheme="majorBidi" w:hAnsiTheme="majorBidi" w:cstheme="majorBidi"/>
        </w:rPr>
      </w:pPr>
      <w:r w:rsidRPr="00036A39">
        <w:rPr>
          <w:rFonts w:asciiTheme="majorBidi" w:hAnsiTheme="majorBidi" w:cstheme="majorBidi"/>
        </w:rPr>
        <w:t>Publique</w:t>
      </w:r>
    </w:p>
    <w:p w:rsidR="0051794F" w:rsidRPr="00036A39" w:rsidRDefault="0051794F" w:rsidP="004D32AC">
      <w:pPr>
        <w:pStyle w:val="Paragraphedeliste"/>
        <w:numPr>
          <w:ilvl w:val="0"/>
          <w:numId w:val="217"/>
        </w:numPr>
        <w:spacing w:after="240" w:line="360" w:lineRule="auto"/>
        <w:rPr>
          <w:rFonts w:asciiTheme="majorBidi" w:hAnsiTheme="majorBidi" w:cstheme="majorBidi"/>
        </w:rPr>
      </w:pPr>
      <w:r w:rsidRPr="00036A39">
        <w:rPr>
          <w:rFonts w:asciiTheme="majorBidi" w:hAnsiTheme="majorBidi" w:cstheme="majorBidi"/>
        </w:rPr>
        <w:t>Privée</w:t>
      </w:r>
    </w:p>
    <w:p w:rsidR="0051794F" w:rsidRPr="00E019CD" w:rsidRDefault="0051794F" w:rsidP="0051794F">
      <w:pPr>
        <w:pStyle w:val="p1"/>
        <w:spacing w:line="360" w:lineRule="auto"/>
        <w:rPr>
          <w:rFonts w:asciiTheme="majorBidi" w:hAnsiTheme="majorBidi" w:cstheme="majorBidi"/>
          <w:sz w:val="24"/>
          <w:szCs w:val="24"/>
        </w:rPr>
      </w:pPr>
      <w:r w:rsidRPr="00E019CD">
        <w:rPr>
          <w:rFonts w:asciiTheme="majorBidi" w:hAnsiTheme="majorBidi" w:cstheme="majorBidi"/>
          <w:b/>
          <w:bCs/>
          <w:sz w:val="24"/>
          <w:szCs w:val="24"/>
        </w:rPr>
        <w:t>Evaluation des variables</w:t>
      </w:r>
    </w:p>
    <w:p w:rsidR="0051794F" w:rsidRPr="00E019CD" w:rsidRDefault="0051794F" w:rsidP="0051794F">
      <w:pPr>
        <w:pStyle w:val="p1"/>
        <w:spacing w:line="360" w:lineRule="auto"/>
        <w:rPr>
          <w:rFonts w:asciiTheme="majorBidi" w:hAnsiTheme="majorBidi" w:cstheme="majorBidi"/>
          <w:b/>
          <w:bCs/>
          <w:sz w:val="24"/>
          <w:szCs w:val="24"/>
        </w:rPr>
      </w:pPr>
      <w:r w:rsidRPr="00E019CD">
        <w:rPr>
          <w:rFonts w:asciiTheme="majorBidi" w:hAnsiTheme="majorBidi" w:cstheme="majorBidi"/>
          <w:b/>
          <w:bCs/>
          <w:sz w:val="24"/>
          <w:szCs w:val="24"/>
        </w:rPr>
        <w:t>Automatisation</w:t>
      </w:r>
    </w:p>
    <w:p w:rsidR="0051794F" w:rsidRPr="00E019CD" w:rsidRDefault="0051794F" w:rsidP="0051794F">
      <w:pPr>
        <w:pStyle w:val="p1"/>
        <w:spacing w:line="360" w:lineRule="auto"/>
        <w:rPr>
          <w:rFonts w:asciiTheme="majorBidi" w:hAnsiTheme="majorBidi" w:cstheme="majorBidi"/>
          <w:sz w:val="24"/>
          <w:szCs w:val="24"/>
        </w:rPr>
      </w:pPr>
      <w:r w:rsidRPr="008A5941">
        <w:rPr>
          <w:rFonts w:asciiTheme="majorBidi" w:hAnsiTheme="majorBidi" w:cstheme="majorBidi"/>
          <w:b/>
          <w:bCs/>
          <w:sz w:val="24"/>
          <w:szCs w:val="24"/>
          <w:lang w:val="fr-FR"/>
        </w:rPr>
        <w:t>Q13:</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Sur une échelle de 1 à 5, dans quelle mesure êtes-vous d'accord avec les déclarations</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suivantes ? (soit 1 : pas du tout d'accord et 5 : tout à fait d'accord)</w:t>
      </w:r>
    </w:p>
    <w:tbl>
      <w:tblPr>
        <w:tblStyle w:val="Grilledutableau"/>
        <w:tblW w:w="0" w:type="auto"/>
        <w:tblLook w:val="04A0" w:firstRow="1" w:lastRow="0" w:firstColumn="1" w:lastColumn="0" w:noHBand="0" w:noVBand="1"/>
      </w:tblPr>
      <w:tblGrid>
        <w:gridCol w:w="2623"/>
        <w:gridCol w:w="1427"/>
        <w:gridCol w:w="1019"/>
        <w:gridCol w:w="1262"/>
        <w:gridCol w:w="1353"/>
        <w:gridCol w:w="1331"/>
      </w:tblGrid>
      <w:tr w:rsidR="0051794F" w:rsidRPr="00E019CD" w:rsidTr="0051794F">
        <w:tc>
          <w:tcPr>
            <w:tcW w:w="2661" w:type="dxa"/>
            <w:tcBorders>
              <w:top w:val="nil"/>
              <w:left w:val="nil"/>
            </w:tcBorders>
          </w:tcPr>
          <w:p w:rsidR="0051794F" w:rsidRDefault="0051794F" w:rsidP="00A83391">
            <w:pPr>
              <w:spacing w:line="360" w:lineRule="auto"/>
              <w:rPr>
                <w:rFonts w:asciiTheme="majorBidi" w:hAnsiTheme="majorBidi" w:cstheme="majorBidi"/>
              </w:rPr>
            </w:pPr>
          </w:p>
          <w:p w:rsidR="0051794F" w:rsidRPr="00E019CD" w:rsidRDefault="0051794F" w:rsidP="00A83391">
            <w:pPr>
              <w:spacing w:line="360" w:lineRule="auto"/>
              <w:rPr>
                <w:rFonts w:asciiTheme="majorBidi" w:hAnsiTheme="majorBidi" w:cstheme="majorBidi"/>
              </w:rPr>
            </w:pPr>
          </w:p>
        </w:tc>
        <w:tc>
          <w:tcPr>
            <w:tcW w:w="1450"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lang w:val="en-US"/>
              </w:rPr>
              <w:t>P</w:t>
            </w:r>
            <w:r w:rsidRPr="00E019CD">
              <w:rPr>
                <w:rFonts w:asciiTheme="majorBidi" w:hAnsiTheme="majorBidi" w:cstheme="majorBidi"/>
              </w:rPr>
              <w:t>as du tout d'accord</w:t>
            </w:r>
          </w:p>
        </w:tc>
        <w:tc>
          <w:tcPr>
            <w:tcW w:w="905" w:type="dxa"/>
          </w:tcPr>
          <w:p w:rsidR="0051794F" w:rsidRPr="00E019CD" w:rsidRDefault="0051794F" w:rsidP="00A83391">
            <w:pPr>
              <w:spacing w:line="360" w:lineRule="auto"/>
              <w:rPr>
                <w:rFonts w:asciiTheme="majorBidi" w:hAnsiTheme="majorBidi" w:cstheme="majorBidi"/>
              </w:rPr>
            </w:pPr>
            <w:proofErr w:type="spellStart"/>
            <w:r w:rsidRPr="00E019CD">
              <w:rPr>
                <w:rFonts w:asciiTheme="majorBidi" w:hAnsiTheme="majorBidi" w:cstheme="majorBidi"/>
                <w:lang w:val="en-US"/>
              </w:rPr>
              <w:t>Peu</w:t>
            </w:r>
            <w:proofErr w:type="spellEnd"/>
            <w:r w:rsidRPr="00E019CD">
              <w:rPr>
                <w:rFonts w:asciiTheme="majorBidi" w:hAnsiTheme="majorBidi" w:cstheme="majorBidi"/>
                <w:lang w:val="en-US"/>
              </w:rPr>
              <w:t xml:space="preserve"> </w:t>
            </w:r>
            <w:r w:rsidRPr="00E019CD">
              <w:rPr>
                <w:rFonts w:asciiTheme="majorBidi" w:hAnsiTheme="majorBidi" w:cstheme="majorBidi"/>
              </w:rPr>
              <w:t>d'accord</w:t>
            </w:r>
          </w:p>
        </w:tc>
        <w:tc>
          <w:tcPr>
            <w:tcW w:w="1284"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Neutre</w:t>
            </w:r>
            <w:proofErr w:type="spellEnd"/>
          </w:p>
        </w:tc>
        <w:tc>
          <w:tcPr>
            <w:tcW w:w="1367"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D’accord</w:t>
            </w:r>
            <w:proofErr w:type="spellEnd"/>
            <w:r w:rsidRPr="00E019CD">
              <w:rPr>
                <w:rFonts w:asciiTheme="majorBidi" w:hAnsiTheme="majorBidi" w:cstheme="majorBidi"/>
                <w:lang w:val="en-US"/>
              </w:rPr>
              <w:t xml:space="preserve"> </w:t>
            </w:r>
          </w:p>
        </w:tc>
        <w:tc>
          <w:tcPr>
            <w:tcW w:w="1348"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rPr>
              <w:t>tout à fait d'accord</w:t>
            </w:r>
          </w:p>
        </w:tc>
      </w:tr>
      <w:tr w:rsidR="0051794F" w:rsidRPr="00E019CD" w:rsidTr="0051794F">
        <w:tc>
          <w:tcPr>
            <w:tcW w:w="26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La présélection des CV est souvent automatisée dans votre entreprise.</w:t>
            </w:r>
          </w:p>
        </w:tc>
        <w:tc>
          <w:tcPr>
            <w:tcW w:w="1450" w:type="dxa"/>
          </w:tcPr>
          <w:p w:rsidR="0051794F" w:rsidRPr="00E019CD" w:rsidRDefault="0051794F" w:rsidP="00A83391">
            <w:pPr>
              <w:spacing w:line="360" w:lineRule="auto"/>
              <w:rPr>
                <w:rFonts w:asciiTheme="majorBidi" w:hAnsiTheme="majorBidi" w:cstheme="majorBidi"/>
              </w:rPr>
            </w:pPr>
          </w:p>
        </w:tc>
        <w:tc>
          <w:tcPr>
            <w:tcW w:w="905" w:type="dxa"/>
          </w:tcPr>
          <w:p w:rsidR="0051794F" w:rsidRPr="00E019CD" w:rsidRDefault="0051794F" w:rsidP="00A83391">
            <w:pPr>
              <w:spacing w:line="360" w:lineRule="auto"/>
              <w:rPr>
                <w:rFonts w:asciiTheme="majorBidi" w:hAnsiTheme="majorBidi" w:cstheme="majorBidi"/>
              </w:rPr>
            </w:pPr>
          </w:p>
        </w:tc>
        <w:tc>
          <w:tcPr>
            <w:tcW w:w="1284" w:type="dxa"/>
          </w:tcPr>
          <w:p w:rsidR="0051794F" w:rsidRPr="00E019CD" w:rsidRDefault="0051794F" w:rsidP="00A83391">
            <w:pPr>
              <w:spacing w:line="360" w:lineRule="auto"/>
              <w:rPr>
                <w:rFonts w:asciiTheme="majorBidi" w:hAnsiTheme="majorBidi" w:cstheme="majorBidi"/>
              </w:rPr>
            </w:pPr>
          </w:p>
        </w:tc>
        <w:tc>
          <w:tcPr>
            <w:tcW w:w="1367" w:type="dxa"/>
          </w:tcPr>
          <w:p w:rsidR="0051794F" w:rsidRPr="00E019CD" w:rsidRDefault="0051794F" w:rsidP="00A83391">
            <w:pPr>
              <w:spacing w:line="360" w:lineRule="auto"/>
              <w:rPr>
                <w:rFonts w:asciiTheme="majorBidi" w:hAnsiTheme="majorBidi" w:cstheme="majorBidi"/>
              </w:rPr>
            </w:pPr>
          </w:p>
        </w:tc>
        <w:tc>
          <w:tcPr>
            <w:tcW w:w="134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Les tests de recrutement sont fréquemment automatisés.</w:t>
            </w:r>
          </w:p>
        </w:tc>
        <w:tc>
          <w:tcPr>
            <w:tcW w:w="1450" w:type="dxa"/>
          </w:tcPr>
          <w:p w:rsidR="0051794F" w:rsidRPr="00E019CD" w:rsidRDefault="0051794F" w:rsidP="00A83391">
            <w:pPr>
              <w:spacing w:line="360" w:lineRule="auto"/>
              <w:rPr>
                <w:rFonts w:asciiTheme="majorBidi" w:hAnsiTheme="majorBidi" w:cstheme="majorBidi"/>
              </w:rPr>
            </w:pPr>
          </w:p>
        </w:tc>
        <w:tc>
          <w:tcPr>
            <w:tcW w:w="905" w:type="dxa"/>
          </w:tcPr>
          <w:p w:rsidR="0051794F" w:rsidRPr="00E019CD" w:rsidRDefault="0051794F" w:rsidP="00A83391">
            <w:pPr>
              <w:spacing w:line="360" w:lineRule="auto"/>
              <w:rPr>
                <w:rFonts w:asciiTheme="majorBidi" w:hAnsiTheme="majorBidi" w:cstheme="majorBidi"/>
              </w:rPr>
            </w:pPr>
          </w:p>
        </w:tc>
        <w:tc>
          <w:tcPr>
            <w:tcW w:w="1284" w:type="dxa"/>
          </w:tcPr>
          <w:p w:rsidR="0051794F" w:rsidRPr="00E019CD" w:rsidRDefault="0051794F" w:rsidP="00A83391">
            <w:pPr>
              <w:spacing w:line="360" w:lineRule="auto"/>
              <w:rPr>
                <w:rFonts w:asciiTheme="majorBidi" w:hAnsiTheme="majorBidi" w:cstheme="majorBidi"/>
              </w:rPr>
            </w:pPr>
          </w:p>
        </w:tc>
        <w:tc>
          <w:tcPr>
            <w:tcW w:w="1367" w:type="dxa"/>
          </w:tcPr>
          <w:p w:rsidR="0051794F" w:rsidRPr="00E019CD" w:rsidRDefault="0051794F" w:rsidP="00A83391">
            <w:pPr>
              <w:spacing w:line="360" w:lineRule="auto"/>
              <w:rPr>
                <w:rFonts w:asciiTheme="majorBidi" w:hAnsiTheme="majorBidi" w:cstheme="majorBidi"/>
              </w:rPr>
            </w:pPr>
          </w:p>
        </w:tc>
        <w:tc>
          <w:tcPr>
            <w:tcW w:w="134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La planification des entretiens est largement gérée par des outils automatiques.</w:t>
            </w:r>
          </w:p>
        </w:tc>
        <w:tc>
          <w:tcPr>
            <w:tcW w:w="1450" w:type="dxa"/>
          </w:tcPr>
          <w:p w:rsidR="0051794F" w:rsidRPr="00E019CD" w:rsidRDefault="0051794F" w:rsidP="00A83391">
            <w:pPr>
              <w:spacing w:line="360" w:lineRule="auto"/>
              <w:rPr>
                <w:rFonts w:asciiTheme="majorBidi" w:hAnsiTheme="majorBidi" w:cstheme="majorBidi"/>
              </w:rPr>
            </w:pPr>
          </w:p>
        </w:tc>
        <w:tc>
          <w:tcPr>
            <w:tcW w:w="905" w:type="dxa"/>
          </w:tcPr>
          <w:p w:rsidR="0051794F" w:rsidRPr="00E019CD" w:rsidRDefault="0051794F" w:rsidP="00A83391">
            <w:pPr>
              <w:spacing w:line="360" w:lineRule="auto"/>
              <w:rPr>
                <w:rFonts w:asciiTheme="majorBidi" w:hAnsiTheme="majorBidi" w:cstheme="majorBidi"/>
              </w:rPr>
            </w:pPr>
          </w:p>
        </w:tc>
        <w:tc>
          <w:tcPr>
            <w:tcW w:w="1284" w:type="dxa"/>
          </w:tcPr>
          <w:p w:rsidR="0051794F" w:rsidRPr="00E019CD" w:rsidRDefault="0051794F" w:rsidP="00A83391">
            <w:pPr>
              <w:spacing w:line="360" w:lineRule="auto"/>
              <w:rPr>
                <w:rFonts w:asciiTheme="majorBidi" w:hAnsiTheme="majorBidi" w:cstheme="majorBidi"/>
              </w:rPr>
            </w:pPr>
          </w:p>
        </w:tc>
        <w:tc>
          <w:tcPr>
            <w:tcW w:w="1367" w:type="dxa"/>
          </w:tcPr>
          <w:p w:rsidR="0051794F" w:rsidRPr="00E019CD" w:rsidRDefault="0051794F" w:rsidP="00A83391">
            <w:pPr>
              <w:spacing w:line="360" w:lineRule="auto"/>
              <w:rPr>
                <w:rFonts w:asciiTheme="majorBidi" w:hAnsiTheme="majorBidi" w:cstheme="majorBidi"/>
              </w:rPr>
            </w:pPr>
          </w:p>
        </w:tc>
        <w:tc>
          <w:tcPr>
            <w:tcW w:w="134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lastRenderedPageBreak/>
              <w:t>Le suivi des candidatures est globalement automatisé.</w:t>
            </w:r>
          </w:p>
        </w:tc>
        <w:tc>
          <w:tcPr>
            <w:tcW w:w="1450" w:type="dxa"/>
          </w:tcPr>
          <w:p w:rsidR="0051794F" w:rsidRPr="00E019CD" w:rsidRDefault="0051794F" w:rsidP="00A83391">
            <w:pPr>
              <w:spacing w:line="360" w:lineRule="auto"/>
              <w:rPr>
                <w:rFonts w:asciiTheme="majorBidi" w:hAnsiTheme="majorBidi" w:cstheme="majorBidi"/>
              </w:rPr>
            </w:pPr>
          </w:p>
        </w:tc>
        <w:tc>
          <w:tcPr>
            <w:tcW w:w="905" w:type="dxa"/>
          </w:tcPr>
          <w:p w:rsidR="0051794F" w:rsidRPr="00E019CD" w:rsidRDefault="0051794F" w:rsidP="00A83391">
            <w:pPr>
              <w:spacing w:line="360" w:lineRule="auto"/>
              <w:rPr>
                <w:rFonts w:asciiTheme="majorBidi" w:hAnsiTheme="majorBidi" w:cstheme="majorBidi"/>
              </w:rPr>
            </w:pPr>
          </w:p>
        </w:tc>
        <w:tc>
          <w:tcPr>
            <w:tcW w:w="1284" w:type="dxa"/>
          </w:tcPr>
          <w:p w:rsidR="0051794F" w:rsidRPr="00E019CD" w:rsidRDefault="0051794F" w:rsidP="00A83391">
            <w:pPr>
              <w:spacing w:line="360" w:lineRule="auto"/>
              <w:rPr>
                <w:rFonts w:asciiTheme="majorBidi" w:hAnsiTheme="majorBidi" w:cstheme="majorBidi"/>
              </w:rPr>
            </w:pPr>
          </w:p>
        </w:tc>
        <w:tc>
          <w:tcPr>
            <w:tcW w:w="1367" w:type="dxa"/>
          </w:tcPr>
          <w:p w:rsidR="0051794F" w:rsidRPr="00E019CD" w:rsidRDefault="0051794F" w:rsidP="00A83391">
            <w:pPr>
              <w:spacing w:line="360" w:lineRule="auto"/>
              <w:rPr>
                <w:rFonts w:asciiTheme="majorBidi" w:hAnsiTheme="majorBidi" w:cstheme="majorBidi"/>
              </w:rPr>
            </w:pPr>
          </w:p>
        </w:tc>
        <w:tc>
          <w:tcPr>
            <w:tcW w:w="134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Des notifications automatiques sont systématiquement envoyées aux candidats.</w:t>
            </w:r>
          </w:p>
        </w:tc>
        <w:tc>
          <w:tcPr>
            <w:tcW w:w="1450" w:type="dxa"/>
          </w:tcPr>
          <w:p w:rsidR="0051794F" w:rsidRPr="00E019CD" w:rsidRDefault="0051794F" w:rsidP="00A83391">
            <w:pPr>
              <w:spacing w:line="360" w:lineRule="auto"/>
              <w:rPr>
                <w:rFonts w:asciiTheme="majorBidi" w:hAnsiTheme="majorBidi" w:cstheme="majorBidi"/>
              </w:rPr>
            </w:pPr>
          </w:p>
        </w:tc>
        <w:tc>
          <w:tcPr>
            <w:tcW w:w="905" w:type="dxa"/>
          </w:tcPr>
          <w:p w:rsidR="0051794F" w:rsidRPr="00E019CD" w:rsidRDefault="0051794F" w:rsidP="00A83391">
            <w:pPr>
              <w:spacing w:line="360" w:lineRule="auto"/>
              <w:rPr>
                <w:rFonts w:asciiTheme="majorBidi" w:hAnsiTheme="majorBidi" w:cstheme="majorBidi"/>
              </w:rPr>
            </w:pPr>
          </w:p>
        </w:tc>
        <w:tc>
          <w:tcPr>
            <w:tcW w:w="1284" w:type="dxa"/>
          </w:tcPr>
          <w:p w:rsidR="0051794F" w:rsidRPr="00E019CD" w:rsidRDefault="0051794F" w:rsidP="00A83391">
            <w:pPr>
              <w:spacing w:line="360" w:lineRule="auto"/>
              <w:rPr>
                <w:rFonts w:asciiTheme="majorBidi" w:hAnsiTheme="majorBidi" w:cstheme="majorBidi"/>
              </w:rPr>
            </w:pPr>
          </w:p>
        </w:tc>
        <w:tc>
          <w:tcPr>
            <w:tcW w:w="1367" w:type="dxa"/>
          </w:tcPr>
          <w:p w:rsidR="0051794F" w:rsidRPr="00E019CD" w:rsidRDefault="0051794F" w:rsidP="00A83391">
            <w:pPr>
              <w:spacing w:line="360" w:lineRule="auto"/>
              <w:rPr>
                <w:rFonts w:asciiTheme="majorBidi" w:hAnsiTheme="majorBidi" w:cstheme="majorBidi"/>
              </w:rPr>
            </w:pPr>
          </w:p>
        </w:tc>
        <w:tc>
          <w:tcPr>
            <w:tcW w:w="134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L'automatisation des processus RH réduit fortement les interventions manuelles.</w:t>
            </w:r>
          </w:p>
        </w:tc>
        <w:tc>
          <w:tcPr>
            <w:tcW w:w="1450" w:type="dxa"/>
          </w:tcPr>
          <w:p w:rsidR="0051794F" w:rsidRPr="00E019CD" w:rsidRDefault="0051794F" w:rsidP="00A83391">
            <w:pPr>
              <w:spacing w:line="360" w:lineRule="auto"/>
              <w:rPr>
                <w:rFonts w:asciiTheme="majorBidi" w:hAnsiTheme="majorBidi" w:cstheme="majorBidi"/>
              </w:rPr>
            </w:pPr>
          </w:p>
        </w:tc>
        <w:tc>
          <w:tcPr>
            <w:tcW w:w="905" w:type="dxa"/>
          </w:tcPr>
          <w:p w:rsidR="0051794F" w:rsidRPr="00E019CD" w:rsidRDefault="0051794F" w:rsidP="00A83391">
            <w:pPr>
              <w:spacing w:line="360" w:lineRule="auto"/>
              <w:rPr>
                <w:rFonts w:asciiTheme="majorBidi" w:hAnsiTheme="majorBidi" w:cstheme="majorBidi"/>
              </w:rPr>
            </w:pPr>
          </w:p>
        </w:tc>
        <w:tc>
          <w:tcPr>
            <w:tcW w:w="1284" w:type="dxa"/>
          </w:tcPr>
          <w:p w:rsidR="0051794F" w:rsidRPr="00E019CD" w:rsidRDefault="0051794F" w:rsidP="00A83391">
            <w:pPr>
              <w:spacing w:line="360" w:lineRule="auto"/>
              <w:rPr>
                <w:rFonts w:asciiTheme="majorBidi" w:hAnsiTheme="majorBidi" w:cstheme="majorBidi"/>
              </w:rPr>
            </w:pPr>
          </w:p>
        </w:tc>
        <w:tc>
          <w:tcPr>
            <w:tcW w:w="1367" w:type="dxa"/>
          </w:tcPr>
          <w:p w:rsidR="0051794F" w:rsidRPr="00E019CD" w:rsidRDefault="0051794F" w:rsidP="00A83391">
            <w:pPr>
              <w:spacing w:line="360" w:lineRule="auto"/>
              <w:rPr>
                <w:rFonts w:asciiTheme="majorBidi" w:hAnsiTheme="majorBidi" w:cstheme="majorBidi"/>
              </w:rPr>
            </w:pPr>
          </w:p>
        </w:tc>
        <w:tc>
          <w:tcPr>
            <w:tcW w:w="134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L'automatisation permet une meilleure coordination entre les acteurs RH.</w:t>
            </w:r>
          </w:p>
        </w:tc>
        <w:tc>
          <w:tcPr>
            <w:tcW w:w="1450" w:type="dxa"/>
          </w:tcPr>
          <w:p w:rsidR="0051794F" w:rsidRPr="00E019CD" w:rsidRDefault="0051794F" w:rsidP="00A83391">
            <w:pPr>
              <w:spacing w:line="360" w:lineRule="auto"/>
              <w:rPr>
                <w:rFonts w:asciiTheme="majorBidi" w:hAnsiTheme="majorBidi" w:cstheme="majorBidi"/>
              </w:rPr>
            </w:pPr>
          </w:p>
        </w:tc>
        <w:tc>
          <w:tcPr>
            <w:tcW w:w="905" w:type="dxa"/>
          </w:tcPr>
          <w:p w:rsidR="0051794F" w:rsidRPr="00E019CD" w:rsidRDefault="0051794F" w:rsidP="00A83391">
            <w:pPr>
              <w:spacing w:line="360" w:lineRule="auto"/>
              <w:rPr>
                <w:rFonts w:asciiTheme="majorBidi" w:hAnsiTheme="majorBidi" w:cstheme="majorBidi"/>
              </w:rPr>
            </w:pPr>
          </w:p>
        </w:tc>
        <w:tc>
          <w:tcPr>
            <w:tcW w:w="1284" w:type="dxa"/>
          </w:tcPr>
          <w:p w:rsidR="0051794F" w:rsidRPr="00E019CD" w:rsidRDefault="0051794F" w:rsidP="00A83391">
            <w:pPr>
              <w:spacing w:line="360" w:lineRule="auto"/>
              <w:rPr>
                <w:rFonts w:asciiTheme="majorBidi" w:hAnsiTheme="majorBidi" w:cstheme="majorBidi"/>
              </w:rPr>
            </w:pPr>
          </w:p>
        </w:tc>
        <w:tc>
          <w:tcPr>
            <w:tcW w:w="1367" w:type="dxa"/>
          </w:tcPr>
          <w:p w:rsidR="0051794F" w:rsidRPr="00E019CD" w:rsidRDefault="0051794F" w:rsidP="00A83391">
            <w:pPr>
              <w:spacing w:line="360" w:lineRule="auto"/>
              <w:rPr>
                <w:rFonts w:asciiTheme="majorBidi" w:hAnsiTheme="majorBidi" w:cstheme="majorBidi"/>
              </w:rPr>
            </w:pPr>
          </w:p>
        </w:tc>
        <w:tc>
          <w:tcPr>
            <w:tcW w:w="134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Votre entreprise utilise régulièrement des outils pour automatiser la formation.</w:t>
            </w:r>
          </w:p>
        </w:tc>
        <w:tc>
          <w:tcPr>
            <w:tcW w:w="1450" w:type="dxa"/>
          </w:tcPr>
          <w:p w:rsidR="0051794F" w:rsidRPr="00E019CD" w:rsidRDefault="0051794F" w:rsidP="00A83391">
            <w:pPr>
              <w:spacing w:line="360" w:lineRule="auto"/>
              <w:rPr>
                <w:rFonts w:asciiTheme="majorBidi" w:hAnsiTheme="majorBidi" w:cstheme="majorBidi"/>
              </w:rPr>
            </w:pPr>
          </w:p>
        </w:tc>
        <w:tc>
          <w:tcPr>
            <w:tcW w:w="905" w:type="dxa"/>
          </w:tcPr>
          <w:p w:rsidR="0051794F" w:rsidRPr="00E019CD" w:rsidRDefault="0051794F" w:rsidP="00A83391">
            <w:pPr>
              <w:spacing w:line="360" w:lineRule="auto"/>
              <w:rPr>
                <w:rFonts w:asciiTheme="majorBidi" w:hAnsiTheme="majorBidi" w:cstheme="majorBidi"/>
              </w:rPr>
            </w:pPr>
          </w:p>
        </w:tc>
        <w:tc>
          <w:tcPr>
            <w:tcW w:w="1284" w:type="dxa"/>
          </w:tcPr>
          <w:p w:rsidR="0051794F" w:rsidRPr="00E019CD" w:rsidRDefault="0051794F" w:rsidP="00A83391">
            <w:pPr>
              <w:spacing w:line="360" w:lineRule="auto"/>
              <w:rPr>
                <w:rFonts w:asciiTheme="majorBidi" w:hAnsiTheme="majorBidi" w:cstheme="majorBidi"/>
              </w:rPr>
            </w:pPr>
          </w:p>
        </w:tc>
        <w:tc>
          <w:tcPr>
            <w:tcW w:w="1367" w:type="dxa"/>
          </w:tcPr>
          <w:p w:rsidR="0051794F" w:rsidRPr="00E019CD" w:rsidRDefault="0051794F" w:rsidP="00A83391">
            <w:pPr>
              <w:spacing w:line="360" w:lineRule="auto"/>
              <w:rPr>
                <w:rFonts w:asciiTheme="majorBidi" w:hAnsiTheme="majorBidi" w:cstheme="majorBidi"/>
              </w:rPr>
            </w:pPr>
          </w:p>
        </w:tc>
        <w:tc>
          <w:tcPr>
            <w:tcW w:w="1348" w:type="dxa"/>
          </w:tcPr>
          <w:p w:rsidR="0051794F" w:rsidRPr="00E019CD" w:rsidRDefault="0051794F" w:rsidP="00A83391">
            <w:pPr>
              <w:spacing w:line="360" w:lineRule="auto"/>
              <w:rPr>
                <w:rFonts w:asciiTheme="majorBidi" w:hAnsiTheme="majorBidi" w:cstheme="majorBidi"/>
              </w:rPr>
            </w:pPr>
          </w:p>
        </w:tc>
      </w:tr>
    </w:tbl>
    <w:p w:rsidR="0051794F" w:rsidRPr="00E019CD" w:rsidRDefault="0051794F" w:rsidP="0051794F">
      <w:pPr>
        <w:spacing w:before="240" w:line="360" w:lineRule="auto"/>
        <w:rPr>
          <w:rFonts w:asciiTheme="majorBidi" w:hAnsiTheme="majorBidi" w:cstheme="majorBidi"/>
          <w:b/>
          <w:bCs/>
        </w:rPr>
      </w:pPr>
      <w:r w:rsidRPr="00E019CD">
        <w:rPr>
          <w:rFonts w:asciiTheme="majorBidi" w:hAnsiTheme="majorBidi" w:cstheme="majorBidi"/>
          <w:b/>
          <w:bCs/>
        </w:rPr>
        <w:t>Numérisation</w:t>
      </w:r>
    </w:p>
    <w:p w:rsidR="0051794F" w:rsidRPr="00E019CD" w:rsidRDefault="0051794F" w:rsidP="0051794F">
      <w:pPr>
        <w:pStyle w:val="p1"/>
        <w:spacing w:line="360" w:lineRule="auto"/>
        <w:rPr>
          <w:rFonts w:asciiTheme="majorBidi" w:hAnsiTheme="majorBidi" w:cstheme="majorBidi"/>
          <w:sz w:val="24"/>
          <w:szCs w:val="24"/>
        </w:rPr>
      </w:pPr>
      <w:r w:rsidRPr="008A5941">
        <w:rPr>
          <w:rFonts w:asciiTheme="majorBidi" w:hAnsiTheme="majorBidi" w:cstheme="majorBidi"/>
          <w:b/>
          <w:bCs/>
          <w:sz w:val="24"/>
          <w:szCs w:val="24"/>
          <w:lang w:val="fr-FR"/>
        </w:rPr>
        <w:t>Q14:</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Sur une échelle de 1 à 5, dans quelle mesure êtes-vous d'accord avec les déclarations</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suivantes ? (soit 1 : pas du tout d'accord et 5 : tout à fait d'accord)</w:t>
      </w:r>
    </w:p>
    <w:tbl>
      <w:tblPr>
        <w:tblStyle w:val="Grilledutableau"/>
        <w:tblW w:w="0" w:type="auto"/>
        <w:tblLook w:val="04A0" w:firstRow="1" w:lastRow="0" w:firstColumn="1" w:lastColumn="0" w:noHBand="0" w:noVBand="1"/>
      </w:tblPr>
      <w:tblGrid>
        <w:gridCol w:w="3168"/>
        <w:gridCol w:w="1389"/>
        <w:gridCol w:w="1019"/>
        <w:gridCol w:w="1079"/>
        <w:gridCol w:w="1109"/>
        <w:gridCol w:w="1251"/>
      </w:tblGrid>
      <w:tr w:rsidR="0051794F" w:rsidRPr="00E019CD" w:rsidTr="0051794F">
        <w:tc>
          <w:tcPr>
            <w:tcW w:w="3261" w:type="dxa"/>
            <w:tcBorders>
              <w:top w:val="nil"/>
              <w:left w:val="nil"/>
            </w:tcBorders>
          </w:tcPr>
          <w:p w:rsidR="0051794F" w:rsidRDefault="0051794F" w:rsidP="00A83391">
            <w:pPr>
              <w:spacing w:line="360" w:lineRule="auto"/>
              <w:rPr>
                <w:rFonts w:asciiTheme="majorBidi" w:hAnsiTheme="majorBidi" w:cstheme="majorBidi"/>
              </w:rPr>
            </w:pPr>
          </w:p>
          <w:p w:rsidR="0051794F" w:rsidRPr="00E019CD" w:rsidRDefault="0051794F" w:rsidP="00A83391">
            <w:pPr>
              <w:spacing w:line="360" w:lineRule="auto"/>
              <w:rPr>
                <w:rFonts w:asciiTheme="majorBidi" w:hAnsiTheme="majorBidi" w:cstheme="majorBidi"/>
              </w:rPr>
            </w:pPr>
          </w:p>
        </w:tc>
        <w:tc>
          <w:tcPr>
            <w:tcW w:w="1417"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lang w:val="en-US"/>
              </w:rPr>
              <w:t>P</w:t>
            </w:r>
            <w:r w:rsidRPr="00E019CD">
              <w:rPr>
                <w:rFonts w:asciiTheme="majorBidi" w:hAnsiTheme="majorBidi" w:cstheme="majorBidi"/>
              </w:rPr>
              <w:t>as du tout d'accord</w:t>
            </w:r>
          </w:p>
        </w:tc>
        <w:tc>
          <w:tcPr>
            <w:tcW w:w="864" w:type="dxa"/>
          </w:tcPr>
          <w:p w:rsidR="0051794F" w:rsidRPr="00E019CD" w:rsidRDefault="0051794F" w:rsidP="00A83391">
            <w:pPr>
              <w:spacing w:line="360" w:lineRule="auto"/>
              <w:rPr>
                <w:rFonts w:asciiTheme="majorBidi" w:hAnsiTheme="majorBidi" w:cstheme="majorBidi"/>
              </w:rPr>
            </w:pPr>
            <w:proofErr w:type="spellStart"/>
            <w:r w:rsidRPr="00E019CD">
              <w:rPr>
                <w:rFonts w:asciiTheme="majorBidi" w:hAnsiTheme="majorBidi" w:cstheme="majorBidi"/>
                <w:lang w:val="en-US"/>
              </w:rPr>
              <w:t>Peu</w:t>
            </w:r>
            <w:proofErr w:type="spellEnd"/>
            <w:r w:rsidRPr="00E019CD">
              <w:rPr>
                <w:rFonts w:asciiTheme="majorBidi" w:hAnsiTheme="majorBidi" w:cstheme="majorBidi"/>
                <w:lang w:val="en-US"/>
              </w:rPr>
              <w:t xml:space="preserve"> </w:t>
            </w:r>
            <w:r w:rsidRPr="00E019CD">
              <w:rPr>
                <w:rFonts w:asciiTheme="majorBidi" w:hAnsiTheme="majorBidi" w:cstheme="majorBidi"/>
              </w:rPr>
              <w:t>d'accord</w:t>
            </w:r>
          </w:p>
        </w:tc>
        <w:tc>
          <w:tcPr>
            <w:tcW w:w="1095"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Neutre</w:t>
            </w:r>
            <w:proofErr w:type="spellEnd"/>
          </w:p>
        </w:tc>
        <w:tc>
          <w:tcPr>
            <w:tcW w:w="1109"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D’accord</w:t>
            </w:r>
            <w:proofErr w:type="spellEnd"/>
            <w:r w:rsidRPr="00E019CD">
              <w:rPr>
                <w:rFonts w:asciiTheme="majorBidi" w:hAnsiTheme="majorBidi" w:cstheme="majorBidi"/>
                <w:lang w:val="en-US"/>
              </w:rPr>
              <w:t xml:space="preserve"> </w:t>
            </w:r>
          </w:p>
        </w:tc>
        <w:tc>
          <w:tcPr>
            <w:tcW w:w="1269"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rPr>
              <w:t>tout à fait d'accord</w:t>
            </w:r>
          </w:p>
        </w:tc>
      </w:tr>
      <w:tr w:rsidR="0051794F" w:rsidRPr="00E019CD" w:rsidTr="0051794F">
        <w:tc>
          <w:tcPr>
            <w:tcW w:w="32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Les dossiers des candidats sont systématiquement archivés en format numérique.</w:t>
            </w:r>
          </w:p>
        </w:tc>
        <w:tc>
          <w:tcPr>
            <w:tcW w:w="1417" w:type="dxa"/>
          </w:tcPr>
          <w:p w:rsidR="0051794F" w:rsidRPr="00E019CD" w:rsidRDefault="0051794F" w:rsidP="00A83391">
            <w:pPr>
              <w:spacing w:line="360" w:lineRule="auto"/>
              <w:rPr>
                <w:rFonts w:asciiTheme="majorBidi" w:hAnsiTheme="majorBidi" w:cstheme="majorBidi"/>
              </w:rPr>
            </w:pPr>
          </w:p>
        </w:tc>
        <w:tc>
          <w:tcPr>
            <w:tcW w:w="864" w:type="dxa"/>
          </w:tcPr>
          <w:p w:rsidR="0051794F" w:rsidRPr="00E019CD" w:rsidRDefault="0051794F" w:rsidP="00A83391">
            <w:pPr>
              <w:spacing w:line="360" w:lineRule="auto"/>
              <w:rPr>
                <w:rFonts w:asciiTheme="majorBidi" w:hAnsiTheme="majorBidi" w:cstheme="majorBidi"/>
              </w:rPr>
            </w:pPr>
          </w:p>
        </w:tc>
        <w:tc>
          <w:tcPr>
            <w:tcW w:w="1095" w:type="dxa"/>
          </w:tcPr>
          <w:p w:rsidR="0051794F" w:rsidRPr="00E019CD" w:rsidRDefault="0051794F" w:rsidP="00A83391">
            <w:pPr>
              <w:spacing w:line="360" w:lineRule="auto"/>
              <w:rPr>
                <w:rFonts w:asciiTheme="majorBidi" w:hAnsiTheme="majorBidi" w:cstheme="majorBidi"/>
              </w:rPr>
            </w:pPr>
          </w:p>
        </w:tc>
        <w:tc>
          <w:tcPr>
            <w:tcW w:w="1109" w:type="dxa"/>
          </w:tcPr>
          <w:p w:rsidR="0051794F" w:rsidRPr="00E019CD" w:rsidRDefault="0051794F" w:rsidP="00A83391">
            <w:pPr>
              <w:spacing w:line="360" w:lineRule="auto"/>
              <w:rPr>
                <w:rFonts w:asciiTheme="majorBidi" w:hAnsiTheme="majorBidi" w:cstheme="majorBidi"/>
              </w:rPr>
            </w:pPr>
          </w:p>
        </w:tc>
        <w:tc>
          <w:tcPr>
            <w:tcW w:w="126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Les formulaires RH sont totalement dématérialisés.</w:t>
            </w:r>
          </w:p>
        </w:tc>
        <w:tc>
          <w:tcPr>
            <w:tcW w:w="1417" w:type="dxa"/>
          </w:tcPr>
          <w:p w:rsidR="0051794F" w:rsidRPr="00E019CD" w:rsidRDefault="0051794F" w:rsidP="00A83391">
            <w:pPr>
              <w:spacing w:line="360" w:lineRule="auto"/>
              <w:rPr>
                <w:rFonts w:asciiTheme="majorBidi" w:hAnsiTheme="majorBidi" w:cstheme="majorBidi"/>
              </w:rPr>
            </w:pPr>
          </w:p>
        </w:tc>
        <w:tc>
          <w:tcPr>
            <w:tcW w:w="864" w:type="dxa"/>
          </w:tcPr>
          <w:p w:rsidR="0051794F" w:rsidRPr="00E019CD" w:rsidRDefault="0051794F" w:rsidP="00A83391">
            <w:pPr>
              <w:spacing w:line="360" w:lineRule="auto"/>
              <w:rPr>
                <w:rFonts w:asciiTheme="majorBidi" w:hAnsiTheme="majorBidi" w:cstheme="majorBidi"/>
              </w:rPr>
            </w:pPr>
          </w:p>
        </w:tc>
        <w:tc>
          <w:tcPr>
            <w:tcW w:w="1095" w:type="dxa"/>
          </w:tcPr>
          <w:p w:rsidR="0051794F" w:rsidRPr="00E019CD" w:rsidRDefault="0051794F" w:rsidP="00A83391">
            <w:pPr>
              <w:spacing w:line="360" w:lineRule="auto"/>
              <w:rPr>
                <w:rFonts w:asciiTheme="majorBidi" w:hAnsiTheme="majorBidi" w:cstheme="majorBidi"/>
              </w:rPr>
            </w:pPr>
          </w:p>
        </w:tc>
        <w:tc>
          <w:tcPr>
            <w:tcW w:w="1109" w:type="dxa"/>
          </w:tcPr>
          <w:p w:rsidR="0051794F" w:rsidRPr="00E019CD" w:rsidRDefault="0051794F" w:rsidP="00A83391">
            <w:pPr>
              <w:spacing w:line="360" w:lineRule="auto"/>
              <w:rPr>
                <w:rFonts w:asciiTheme="majorBidi" w:hAnsiTheme="majorBidi" w:cstheme="majorBidi"/>
              </w:rPr>
            </w:pPr>
          </w:p>
        </w:tc>
        <w:tc>
          <w:tcPr>
            <w:tcW w:w="126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La signature électronique est fréquemment utilisée.</w:t>
            </w:r>
          </w:p>
        </w:tc>
        <w:tc>
          <w:tcPr>
            <w:tcW w:w="1417" w:type="dxa"/>
          </w:tcPr>
          <w:p w:rsidR="0051794F" w:rsidRPr="00E019CD" w:rsidRDefault="0051794F" w:rsidP="00A83391">
            <w:pPr>
              <w:spacing w:line="360" w:lineRule="auto"/>
              <w:rPr>
                <w:rFonts w:asciiTheme="majorBidi" w:hAnsiTheme="majorBidi" w:cstheme="majorBidi"/>
              </w:rPr>
            </w:pPr>
          </w:p>
        </w:tc>
        <w:tc>
          <w:tcPr>
            <w:tcW w:w="864" w:type="dxa"/>
          </w:tcPr>
          <w:p w:rsidR="0051794F" w:rsidRPr="00E019CD" w:rsidRDefault="0051794F" w:rsidP="00A83391">
            <w:pPr>
              <w:spacing w:line="360" w:lineRule="auto"/>
              <w:rPr>
                <w:rFonts w:asciiTheme="majorBidi" w:hAnsiTheme="majorBidi" w:cstheme="majorBidi"/>
              </w:rPr>
            </w:pPr>
          </w:p>
        </w:tc>
        <w:tc>
          <w:tcPr>
            <w:tcW w:w="1095" w:type="dxa"/>
          </w:tcPr>
          <w:p w:rsidR="0051794F" w:rsidRPr="00E019CD" w:rsidRDefault="0051794F" w:rsidP="00A83391">
            <w:pPr>
              <w:spacing w:line="360" w:lineRule="auto"/>
              <w:rPr>
                <w:rFonts w:asciiTheme="majorBidi" w:hAnsiTheme="majorBidi" w:cstheme="majorBidi"/>
              </w:rPr>
            </w:pPr>
          </w:p>
        </w:tc>
        <w:tc>
          <w:tcPr>
            <w:tcW w:w="1109" w:type="dxa"/>
          </w:tcPr>
          <w:p w:rsidR="0051794F" w:rsidRPr="00E019CD" w:rsidRDefault="0051794F" w:rsidP="00A83391">
            <w:pPr>
              <w:spacing w:line="360" w:lineRule="auto"/>
              <w:rPr>
                <w:rFonts w:asciiTheme="majorBidi" w:hAnsiTheme="majorBidi" w:cstheme="majorBidi"/>
              </w:rPr>
            </w:pPr>
          </w:p>
        </w:tc>
        <w:tc>
          <w:tcPr>
            <w:tcW w:w="126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lastRenderedPageBreak/>
              <w:t>Les supports de formation sont généralement numériques.</w:t>
            </w:r>
          </w:p>
        </w:tc>
        <w:tc>
          <w:tcPr>
            <w:tcW w:w="1417" w:type="dxa"/>
          </w:tcPr>
          <w:p w:rsidR="0051794F" w:rsidRPr="00E019CD" w:rsidRDefault="0051794F" w:rsidP="00A83391">
            <w:pPr>
              <w:spacing w:line="360" w:lineRule="auto"/>
              <w:rPr>
                <w:rFonts w:asciiTheme="majorBidi" w:hAnsiTheme="majorBidi" w:cstheme="majorBidi"/>
              </w:rPr>
            </w:pPr>
          </w:p>
        </w:tc>
        <w:tc>
          <w:tcPr>
            <w:tcW w:w="864" w:type="dxa"/>
          </w:tcPr>
          <w:p w:rsidR="0051794F" w:rsidRPr="00E019CD" w:rsidRDefault="0051794F" w:rsidP="00A83391">
            <w:pPr>
              <w:spacing w:line="360" w:lineRule="auto"/>
              <w:rPr>
                <w:rFonts w:asciiTheme="majorBidi" w:hAnsiTheme="majorBidi" w:cstheme="majorBidi"/>
              </w:rPr>
            </w:pPr>
          </w:p>
        </w:tc>
        <w:tc>
          <w:tcPr>
            <w:tcW w:w="1095" w:type="dxa"/>
          </w:tcPr>
          <w:p w:rsidR="0051794F" w:rsidRPr="00E019CD" w:rsidRDefault="0051794F" w:rsidP="00A83391">
            <w:pPr>
              <w:spacing w:line="360" w:lineRule="auto"/>
              <w:rPr>
                <w:rFonts w:asciiTheme="majorBidi" w:hAnsiTheme="majorBidi" w:cstheme="majorBidi"/>
              </w:rPr>
            </w:pPr>
          </w:p>
        </w:tc>
        <w:tc>
          <w:tcPr>
            <w:tcW w:w="1109" w:type="dxa"/>
          </w:tcPr>
          <w:p w:rsidR="0051794F" w:rsidRPr="00E019CD" w:rsidRDefault="0051794F" w:rsidP="00A83391">
            <w:pPr>
              <w:spacing w:line="360" w:lineRule="auto"/>
              <w:rPr>
                <w:rFonts w:asciiTheme="majorBidi" w:hAnsiTheme="majorBidi" w:cstheme="majorBidi"/>
              </w:rPr>
            </w:pPr>
          </w:p>
        </w:tc>
        <w:tc>
          <w:tcPr>
            <w:tcW w:w="126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Les données RH sont exclusivement gérées sous format numérique.</w:t>
            </w:r>
          </w:p>
        </w:tc>
        <w:tc>
          <w:tcPr>
            <w:tcW w:w="1417" w:type="dxa"/>
          </w:tcPr>
          <w:p w:rsidR="0051794F" w:rsidRPr="00E019CD" w:rsidRDefault="0051794F" w:rsidP="00A83391">
            <w:pPr>
              <w:spacing w:line="360" w:lineRule="auto"/>
              <w:rPr>
                <w:rFonts w:asciiTheme="majorBidi" w:hAnsiTheme="majorBidi" w:cstheme="majorBidi"/>
              </w:rPr>
            </w:pPr>
          </w:p>
        </w:tc>
        <w:tc>
          <w:tcPr>
            <w:tcW w:w="864" w:type="dxa"/>
          </w:tcPr>
          <w:p w:rsidR="0051794F" w:rsidRPr="00E019CD" w:rsidRDefault="0051794F" w:rsidP="00A83391">
            <w:pPr>
              <w:spacing w:line="360" w:lineRule="auto"/>
              <w:rPr>
                <w:rFonts w:asciiTheme="majorBidi" w:hAnsiTheme="majorBidi" w:cstheme="majorBidi"/>
              </w:rPr>
            </w:pPr>
          </w:p>
        </w:tc>
        <w:tc>
          <w:tcPr>
            <w:tcW w:w="1095" w:type="dxa"/>
          </w:tcPr>
          <w:p w:rsidR="0051794F" w:rsidRPr="00E019CD" w:rsidRDefault="0051794F" w:rsidP="00A83391">
            <w:pPr>
              <w:spacing w:line="360" w:lineRule="auto"/>
              <w:rPr>
                <w:rFonts w:asciiTheme="majorBidi" w:hAnsiTheme="majorBidi" w:cstheme="majorBidi"/>
              </w:rPr>
            </w:pPr>
          </w:p>
        </w:tc>
        <w:tc>
          <w:tcPr>
            <w:tcW w:w="1109" w:type="dxa"/>
          </w:tcPr>
          <w:p w:rsidR="0051794F" w:rsidRPr="00E019CD" w:rsidRDefault="0051794F" w:rsidP="00A83391">
            <w:pPr>
              <w:spacing w:line="360" w:lineRule="auto"/>
              <w:rPr>
                <w:rFonts w:asciiTheme="majorBidi" w:hAnsiTheme="majorBidi" w:cstheme="majorBidi"/>
              </w:rPr>
            </w:pPr>
          </w:p>
        </w:tc>
        <w:tc>
          <w:tcPr>
            <w:tcW w:w="126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La numérisation facilite considérablement la mise à jour des dossiers RH.</w:t>
            </w:r>
          </w:p>
        </w:tc>
        <w:tc>
          <w:tcPr>
            <w:tcW w:w="1417" w:type="dxa"/>
          </w:tcPr>
          <w:p w:rsidR="0051794F" w:rsidRPr="00E019CD" w:rsidRDefault="0051794F" w:rsidP="00A83391">
            <w:pPr>
              <w:spacing w:line="360" w:lineRule="auto"/>
              <w:rPr>
                <w:rFonts w:asciiTheme="majorBidi" w:hAnsiTheme="majorBidi" w:cstheme="majorBidi"/>
              </w:rPr>
            </w:pPr>
          </w:p>
        </w:tc>
        <w:tc>
          <w:tcPr>
            <w:tcW w:w="864" w:type="dxa"/>
          </w:tcPr>
          <w:p w:rsidR="0051794F" w:rsidRPr="00E019CD" w:rsidRDefault="0051794F" w:rsidP="00A83391">
            <w:pPr>
              <w:spacing w:line="360" w:lineRule="auto"/>
              <w:rPr>
                <w:rFonts w:asciiTheme="majorBidi" w:hAnsiTheme="majorBidi" w:cstheme="majorBidi"/>
              </w:rPr>
            </w:pPr>
          </w:p>
        </w:tc>
        <w:tc>
          <w:tcPr>
            <w:tcW w:w="1095" w:type="dxa"/>
          </w:tcPr>
          <w:p w:rsidR="0051794F" w:rsidRPr="00E019CD" w:rsidRDefault="0051794F" w:rsidP="00A83391">
            <w:pPr>
              <w:spacing w:line="360" w:lineRule="auto"/>
              <w:rPr>
                <w:rFonts w:asciiTheme="majorBidi" w:hAnsiTheme="majorBidi" w:cstheme="majorBidi"/>
              </w:rPr>
            </w:pPr>
          </w:p>
        </w:tc>
        <w:tc>
          <w:tcPr>
            <w:tcW w:w="1109" w:type="dxa"/>
          </w:tcPr>
          <w:p w:rsidR="0051794F" w:rsidRPr="00E019CD" w:rsidRDefault="0051794F" w:rsidP="00A83391">
            <w:pPr>
              <w:spacing w:line="360" w:lineRule="auto"/>
              <w:rPr>
                <w:rFonts w:asciiTheme="majorBidi" w:hAnsiTheme="majorBidi" w:cstheme="majorBidi"/>
              </w:rPr>
            </w:pPr>
          </w:p>
        </w:tc>
        <w:tc>
          <w:tcPr>
            <w:tcW w:w="126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61"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Les entretiens RH sont parfois enregistrés numériquement pour le suivi.</w:t>
            </w:r>
          </w:p>
        </w:tc>
        <w:tc>
          <w:tcPr>
            <w:tcW w:w="1417" w:type="dxa"/>
          </w:tcPr>
          <w:p w:rsidR="0051794F" w:rsidRPr="00E019CD" w:rsidRDefault="0051794F" w:rsidP="00A83391">
            <w:pPr>
              <w:spacing w:line="360" w:lineRule="auto"/>
              <w:rPr>
                <w:rFonts w:asciiTheme="majorBidi" w:hAnsiTheme="majorBidi" w:cstheme="majorBidi"/>
              </w:rPr>
            </w:pPr>
          </w:p>
        </w:tc>
        <w:tc>
          <w:tcPr>
            <w:tcW w:w="864" w:type="dxa"/>
          </w:tcPr>
          <w:p w:rsidR="0051794F" w:rsidRPr="00E019CD" w:rsidRDefault="0051794F" w:rsidP="00A83391">
            <w:pPr>
              <w:spacing w:line="360" w:lineRule="auto"/>
              <w:rPr>
                <w:rFonts w:asciiTheme="majorBidi" w:hAnsiTheme="majorBidi" w:cstheme="majorBidi"/>
              </w:rPr>
            </w:pPr>
          </w:p>
        </w:tc>
        <w:tc>
          <w:tcPr>
            <w:tcW w:w="1095" w:type="dxa"/>
          </w:tcPr>
          <w:p w:rsidR="0051794F" w:rsidRPr="00E019CD" w:rsidRDefault="0051794F" w:rsidP="00A83391">
            <w:pPr>
              <w:spacing w:line="360" w:lineRule="auto"/>
              <w:rPr>
                <w:rFonts w:asciiTheme="majorBidi" w:hAnsiTheme="majorBidi" w:cstheme="majorBidi"/>
              </w:rPr>
            </w:pPr>
          </w:p>
        </w:tc>
        <w:tc>
          <w:tcPr>
            <w:tcW w:w="1109" w:type="dxa"/>
          </w:tcPr>
          <w:p w:rsidR="0051794F" w:rsidRPr="00E019CD" w:rsidRDefault="0051794F" w:rsidP="00A83391">
            <w:pPr>
              <w:spacing w:line="360" w:lineRule="auto"/>
              <w:rPr>
                <w:rFonts w:asciiTheme="majorBidi" w:hAnsiTheme="majorBidi" w:cstheme="majorBidi"/>
              </w:rPr>
            </w:pPr>
          </w:p>
        </w:tc>
        <w:tc>
          <w:tcPr>
            <w:tcW w:w="1269" w:type="dxa"/>
          </w:tcPr>
          <w:p w:rsidR="0051794F" w:rsidRPr="00E019CD" w:rsidRDefault="0051794F" w:rsidP="00A83391">
            <w:pPr>
              <w:spacing w:line="360" w:lineRule="auto"/>
              <w:rPr>
                <w:rFonts w:asciiTheme="majorBidi" w:hAnsiTheme="majorBidi" w:cstheme="majorBidi"/>
              </w:rPr>
            </w:pPr>
          </w:p>
        </w:tc>
      </w:tr>
    </w:tbl>
    <w:p w:rsidR="0051794F" w:rsidRPr="00740E6B" w:rsidRDefault="0051794F" w:rsidP="0051794F">
      <w:pPr>
        <w:spacing w:before="240" w:line="360" w:lineRule="auto"/>
        <w:rPr>
          <w:rFonts w:asciiTheme="majorBidi" w:hAnsiTheme="majorBidi" w:cstheme="majorBidi"/>
          <w:b/>
          <w:bCs/>
        </w:rPr>
      </w:pPr>
      <w:r w:rsidRPr="00740E6B">
        <w:rPr>
          <w:rFonts w:asciiTheme="majorBidi" w:hAnsiTheme="majorBidi" w:cstheme="majorBidi"/>
          <w:b/>
          <w:bCs/>
        </w:rPr>
        <w:t>Accessibilité numérique</w:t>
      </w:r>
    </w:p>
    <w:p w:rsidR="0051794F" w:rsidRPr="00E019CD" w:rsidRDefault="0051794F" w:rsidP="0051794F">
      <w:pPr>
        <w:pStyle w:val="p1"/>
        <w:spacing w:line="360" w:lineRule="auto"/>
        <w:rPr>
          <w:rFonts w:asciiTheme="majorBidi" w:hAnsiTheme="majorBidi" w:cstheme="majorBidi"/>
          <w:sz w:val="24"/>
          <w:szCs w:val="24"/>
        </w:rPr>
      </w:pPr>
      <w:r w:rsidRPr="008A5941">
        <w:rPr>
          <w:rFonts w:asciiTheme="majorBidi" w:hAnsiTheme="majorBidi" w:cstheme="majorBidi"/>
          <w:b/>
          <w:bCs/>
          <w:sz w:val="24"/>
          <w:szCs w:val="24"/>
          <w:lang w:val="fr-FR"/>
        </w:rPr>
        <w:t>Q15:</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Sur une échelle de 1 à 5, dans quelle mesure êtes-vous d'accord avec les déclarations</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suivantes ? (soit 1 : pas du tout d'accord et 5 : tout à fait d'accord)</w:t>
      </w:r>
    </w:p>
    <w:tbl>
      <w:tblPr>
        <w:tblStyle w:val="Grilledutableau"/>
        <w:tblW w:w="0" w:type="auto"/>
        <w:tblLook w:val="04A0" w:firstRow="1" w:lastRow="0" w:firstColumn="1" w:lastColumn="0" w:noHBand="0" w:noVBand="1"/>
      </w:tblPr>
      <w:tblGrid>
        <w:gridCol w:w="2662"/>
        <w:gridCol w:w="1494"/>
        <w:gridCol w:w="1019"/>
        <w:gridCol w:w="1211"/>
        <w:gridCol w:w="1322"/>
        <w:gridCol w:w="1307"/>
      </w:tblGrid>
      <w:tr w:rsidR="0051794F" w:rsidRPr="00E019CD" w:rsidTr="0051794F">
        <w:tc>
          <w:tcPr>
            <w:tcW w:w="2694" w:type="dxa"/>
            <w:tcBorders>
              <w:top w:val="nil"/>
              <w:left w:val="nil"/>
            </w:tcBorders>
          </w:tcPr>
          <w:p w:rsidR="0051794F" w:rsidRDefault="0051794F" w:rsidP="00A83391">
            <w:pPr>
              <w:spacing w:line="360" w:lineRule="auto"/>
              <w:rPr>
                <w:rFonts w:asciiTheme="majorBidi" w:hAnsiTheme="majorBidi" w:cstheme="majorBidi"/>
              </w:rPr>
            </w:pPr>
          </w:p>
          <w:p w:rsidR="0051794F" w:rsidRPr="00E019CD" w:rsidRDefault="0051794F" w:rsidP="00A83391">
            <w:pPr>
              <w:spacing w:line="360" w:lineRule="auto"/>
              <w:rPr>
                <w:rFonts w:asciiTheme="majorBidi" w:hAnsiTheme="majorBidi" w:cstheme="majorBidi"/>
              </w:rPr>
            </w:pPr>
          </w:p>
        </w:tc>
        <w:tc>
          <w:tcPr>
            <w:tcW w:w="1559"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lang w:val="en-US"/>
              </w:rPr>
              <w:t>P</w:t>
            </w:r>
            <w:r w:rsidRPr="00E019CD">
              <w:rPr>
                <w:rFonts w:asciiTheme="majorBidi" w:hAnsiTheme="majorBidi" w:cstheme="majorBidi"/>
              </w:rPr>
              <w:t>as du tout d'accord</w:t>
            </w:r>
          </w:p>
        </w:tc>
        <w:tc>
          <w:tcPr>
            <w:tcW w:w="806" w:type="dxa"/>
          </w:tcPr>
          <w:p w:rsidR="0051794F" w:rsidRPr="00E019CD" w:rsidRDefault="0051794F" w:rsidP="00A83391">
            <w:pPr>
              <w:spacing w:line="360" w:lineRule="auto"/>
              <w:rPr>
                <w:rFonts w:asciiTheme="majorBidi" w:hAnsiTheme="majorBidi" w:cstheme="majorBidi"/>
              </w:rPr>
            </w:pPr>
            <w:proofErr w:type="spellStart"/>
            <w:r w:rsidRPr="00E019CD">
              <w:rPr>
                <w:rFonts w:asciiTheme="majorBidi" w:hAnsiTheme="majorBidi" w:cstheme="majorBidi"/>
                <w:lang w:val="en-US"/>
              </w:rPr>
              <w:t>Peu</w:t>
            </w:r>
            <w:proofErr w:type="spellEnd"/>
            <w:r w:rsidRPr="00E019CD">
              <w:rPr>
                <w:rFonts w:asciiTheme="majorBidi" w:hAnsiTheme="majorBidi" w:cstheme="majorBidi"/>
                <w:lang w:val="en-US"/>
              </w:rPr>
              <w:t xml:space="preserve"> </w:t>
            </w:r>
            <w:r w:rsidRPr="00E019CD">
              <w:rPr>
                <w:rFonts w:asciiTheme="majorBidi" w:hAnsiTheme="majorBidi" w:cstheme="majorBidi"/>
              </w:rPr>
              <w:t>d'accord</w:t>
            </w:r>
          </w:p>
        </w:tc>
        <w:tc>
          <w:tcPr>
            <w:tcW w:w="1258"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Neutre</w:t>
            </w:r>
            <w:proofErr w:type="spellEnd"/>
          </w:p>
        </w:tc>
        <w:tc>
          <w:tcPr>
            <w:tcW w:w="1351"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D’accord</w:t>
            </w:r>
            <w:proofErr w:type="spellEnd"/>
            <w:r w:rsidRPr="00E019CD">
              <w:rPr>
                <w:rFonts w:asciiTheme="majorBidi" w:hAnsiTheme="majorBidi" w:cstheme="majorBidi"/>
                <w:lang w:val="en-US"/>
              </w:rPr>
              <w:t xml:space="preserve"> </w:t>
            </w:r>
          </w:p>
        </w:tc>
        <w:tc>
          <w:tcPr>
            <w:tcW w:w="1347"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rPr>
              <w:t>tout à fait d'accord</w:t>
            </w:r>
          </w:p>
        </w:tc>
      </w:tr>
      <w:tr w:rsidR="0051794F" w:rsidRPr="00E019CD" w:rsidTr="0051794F">
        <w:tc>
          <w:tcPr>
            <w:tcW w:w="2694"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Les outils RH sont toujours accessibles à distance pour les employés.</w:t>
            </w:r>
          </w:p>
        </w:tc>
        <w:tc>
          <w:tcPr>
            <w:tcW w:w="1559" w:type="dxa"/>
          </w:tcPr>
          <w:p w:rsidR="0051794F" w:rsidRPr="00E019CD" w:rsidRDefault="0051794F" w:rsidP="00A83391">
            <w:pPr>
              <w:spacing w:line="360" w:lineRule="auto"/>
              <w:rPr>
                <w:rFonts w:asciiTheme="majorBidi" w:hAnsiTheme="majorBidi" w:cstheme="majorBidi"/>
              </w:rPr>
            </w:pPr>
          </w:p>
        </w:tc>
        <w:tc>
          <w:tcPr>
            <w:tcW w:w="806" w:type="dxa"/>
          </w:tcPr>
          <w:p w:rsidR="0051794F" w:rsidRPr="00E019CD" w:rsidRDefault="0051794F" w:rsidP="00A83391">
            <w:pPr>
              <w:spacing w:line="360" w:lineRule="auto"/>
              <w:rPr>
                <w:rFonts w:asciiTheme="majorBidi" w:hAnsiTheme="majorBidi" w:cstheme="majorBidi"/>
              </w:rPr>
            </w:pPr>
          </w:p>
        </w:tc>
        <w:tc>
          <w:tcPr>
            <w:tcW w:w="1258" w:type="dxa"/>
          </w:tcPr>
          <w:p w:rsidR="0051794F" w:rsidRPr="00E019CD" w:rsidRDefault="0051794F" w:rsidP="00A83391">
            <w:pPr>
              <w:spacing w:line="360" w:lineRule="auto"/>
              <w:rPr>
                <w:rFonts w:asciiTheme="majorBidi" w:hAnsiTheme="majorBidi" w:cstheme="majorBidi"/>
              </w:rPr>
            </w:pPr>
          </w:p>
        </w:tc>
        <w:tc>
          <w:tcPr>
            <w:tcW w:w="1351" w:type="dxa"/>
          </w:tcPr>
          <w:p w:rsidR="0051794F" w:rsidRPr="00E019CD" w:rsidRDefault="0051794F" w:rsidP="00A83391">
            <w:pPr>
              <w:spacing w:line="360" w:lineRule="auto"/>
              <w:rPr>
                <w:rFonts w:asciiTheme="majorBidi" w:hAnsiTheme="majorBidi" w:cstheme="majorBidi"/>
              </w:rPr>
            </w:pPr>
          </w:p>
        </w:tc>
        <w:tc>
          <w:tcPr>
            <w:tcW w:w="1347"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94"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Les plateformes RH sont compatibles avec plusieurs appareils (PC, mobile, tablette).</w:t>
            </w:r>
          </w:p>
        </w:tc>
        <w:tc>
          <w:tcPr>
            <w:tcW w:w="1559" w:type="dxa"/>
          </w:tcPr>
          <w:p w:rsidR="0051794F" w:rsidRPr="00E019CD" w:rsidRDefault="0051794F" w:rsidP="00A83391">
            <w:pPr>
              <w:spacing w:line="360" w:lineRule="auto"/>
              <w:rPr>
                <w:rFonts w:asciiTheme="majorBidi" w:hAnsiTheme="majorBidi" w:cstheme="majorBidi"/>
              </w:rPr>
            </w:pPr>
          </w:p>
        </w:tc>
        <w:tc>
          <w:tcPr>
            <w:tcW w:w="806" w:type="dxa"/>
          </w:tcPr>
          <w:p w:rsidR="0051794F" w:rsidRPr="00E019CD" w:rsidRDefault="0051794F" w:rsidP="00A83391">
            <w:pPr>
              <w:spacing w:line="360" w:lineRule="auto"/>
              <w:rPr>
                <w:rFonts w:asciiTheme="majorBidi" w:hAnsiTheme="majorBidi" w:cstheme="majorBidi"/>
              </w:rPr>
            </w:pPr>
          </w:p>
        </w:tc>
        <w:tc>
          <w:tcPr>
            <w:tcW w:w="1258" w:type="dxa"/>
          </w:tcPr>
          <w:p w:rsidR="0051794F" w:rsidRPr="00E019CD" w:rsidRDefault="0051794F" w:rsidP="00A83391">
            <w:pPr>
              <w:spacing w:line="360" w:lineRule="auto"/>
              <w:rPr>
                <w:rFonts w:asciiTheme="majorBidi" w:hAnsiTheme="majorBidi" w:cstheme="majorBidi"/>
              </w:rPr>
            </w:pPr>
          </w:p>
        </w:tc>
        <w:tc>
          <w:tcPr>
            <w:tcW w:w="1351" w:type="dxa"/>
          </w:tcPr>
          <w:p w:rsidR="0051794F" w:rsidRPr="00E019CD" w:rsidRDefault="0051794F" w:rsidP="00A83391">
            <w:pPr>
              <w:spacing w:line="360" w:lineRule="auto"/>
              <w:rPr>
                <w:rFonts w:asciiTheme="majorBidi" w:hAnsiTheme="majorBidi" w:cstheme="majorBidi"/>
              </w:rPr>
            </w:pPr>
          </w:p>
        </w:tc>
        <w:tc>
          <w:tcPr>
            <w:tcW w:w="1347"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94" w:type="dxa"/>
          </w:tcPr>
          <w:p w:rsidR="0051794F" w:rsidRPr="002C502E" w:rsidRDefault="0051794F" w:rsidP="00A83391">
            <w:pPr>
              <w:pStyle w:val="NormalWeb"/>
              <w:spacing w:before="0" w:beforeAutospacing="0" w:after="0" w:afterAutospacing="0" w:line="360" w:lineRule="auto"/>
              <w:rPr>
                <w:rFonts w:asciiTheme="majorBidi" w:hAnsiTheme="majorBidi" w:cstheme="majorBidi"/>
                <w:color w:val="202124"/>
              </w:rPr>
            </w:pPr>
            <w:r w:rsidRPr="002C502E">
              <w:rPr>
                <w:rFonts w:asciiTheme="majorBidi" w:hAnsiTheme="majorBidi" w:cstheme="majorBidi"/>
                <w:color w:val="202124"/>
              </w:rPr>
              <w:t>Les collaborateurs peuvent accéder </w:t>
            </w:r>
            <w:r w:rsidRPr="002C502E">
              <w:rPr>
                <w:rStyle w:val="lev"/>
                <w:rFonts w:asciiTheme="majorBidi" w:hAnsiTheme="majorBidi" w:cstheme="majorBidi"/>
                <w:b w:val="0"/>
                <w:bCs w:val="0"/>
                <w:color w:val="202124"/>
              </w:rPr>
              <w:t>facilement</w:t>
            </w:r>
            <w:r w:rsidRPr="002C502E">
              <w:rPr>
                <w:rFonts w:asciiTheme="majorBidi" w:hAnsiTheme="majorBidi" w:cstheme="majorBidi"/>
                <w:color w:val="202124"/>
              </w:rPr>
              <w:t> aux informations RH.</w:t>
            </w:r>
          </w:p>
        </w:tc>
        <w:tc>
          <w:tcPr>
            <w:tcW w:w="1559" w:type="dxa"/>
          </w:tcPr>
          <w:p w:rsidR="0051794F" w:rsidRPr="00E019CD" w:rsidRDefault="0051794F" w:rsidP="00A83391">
            <w:pPr>
              <w:spacing w:line="360" w:lineRule="auto"/>
              <w:rPr>
                <w:rFonts w:asciiTheme="majorBidi" w:hAnsiTheme="majorBidi" w:cstheme="majorBidi"/>
              </w:rPr>
            </w:pPr>
          </w:p>
        </w:tc>
        <w:tc>
          <w:tcPr>
            <w:tcW w:w="806" w:type="dxa"/>
          </w:tcPr>
          <w:p w:rsidR="0051794F" w:rsidRPr="00E019CD" w:rsidRDefault="0051794F" w:rsidP="00A83391">
            <w:pPr>
              <w:spacing w:line="360" w:lineRule="auto"/>
              <w:rPr>
                <w:rFonts w:asciiTheme="majorBidi" w:hAnsiTheme="majorBidi" w:cstheme="majorBidi"/>
              </w:rPr>
            </w:pPr>
          </w:p>
        </w:tc>
        <w:tc>
          <w:tcPr>
            <w:tcW w:w="1258" w:type="dxa"/>
          </w:tcPr>
          <w:p w:rsidR="0051794F" w:rsidRPr="00E019CD" w:rsidRDefault="0051794F" w:rsidP="00A83391">
            <w:pPr>
              <w:spacing w:line="360" w:lineRule="auto"/>
              <w:rPr>
                <w:rFonts w:asciiTheme="majorBidi" w:hAnsiTheme="majorBidi" w:cstheme="majorBidi"/>
              </w:rPr>
            </w:pPr>
          </w:p>
        </w:tc>
        <w:tc>
          <w:tcPr>
            <w:tcW w:w="1351" w:type="dxa"/>
          </w:tcPr>
          <w:p w:rsidR="0051794F" w:rsidRPr="00E019CD" w:rsidRDefault="0051794F" w:rsidP="00A83391">
            <w:pPr>
              <w:spacing w:line="360" w:lineRule="auto"/>
              <w:rPr>
                <w:rFonts w:asciiTheme="majorBidi" w:hAnsiTheme="majorBidi" w:cstheme="majorBidi"/>
              </w:rPr>
            </w:pPr>
          </w:p>
        </w:tc>
        <w:tc>
          <w:tcPr>
            <w:tcW w:w="1347"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94" w:type="dxa"/>
          </w:tcPr>
          <w:p w:rsidR="0051794F" w:rsidRPr="002C502E" w:rsidRDefault="0051794F" w:rsidP="00A83391">
            <w:pPr>
              <w:pStyle w:val="NormalWeb"/>
              <w:spacing w:before="0" w:beforeAutospacing="0" w:after="0" w:afterAutospacing="0" w:line="360" w:lineRule="auto"/>
              <w:rPr>
                <w:b/>
                <w:bCs/>
                <w:color w:val="202124"/>
              </w:rPr>
            </w:pPr>
            <w:r w:rsidRPr="002C502E">
              <w:rPr>
                <w:color w:val="202124"/>
              </w:rPr>
              <w:t xml:space="preserve">L'accès aux outils digitaux </w:t>
            </w:r>
            <w:r w:rsidRPr="002C502E">
              <w:rPr>
                <w:color w:val="202124"/>
              </w:rPr>
              <w:lastRenderedPageBreak/>
              <w:t>est </w:t>
            </w:r>
            <w:r w:rsidRPr="002C502E">
              <w:rPr>
                <w:rStyle w:val="lev"/>
                <w:b w:val="0"/>
                <w:bCs w:val="0"/>
                <w:color w:val="202124"/>
              </w:rPr>
              <w:t>généralement simple et rapide</w:t>
            </w:r>
            <w:r w:rsidRPr="002C502E">
              <w:rPr>
                <w:b/>
                <w:bCs/>
                <w:color w:val="202124"/>
              </w:rPr>
              <w:t>.</w:t>
            </w:r>
          </w:p>
          <w:p w:rsidR="0051794F" w:rsidRPr="00E019CD" w:rsidRDefault="0051794F" w:rsidP="00A83391">
            <w:pPr>
              <w:spacing w:line="360" w:lineRule="auto"/>
              <w:rPr>
                <w:rFonts w:asciiTheme="majorBidi" w:hAnsiTheme="majorBidi" w:cstheme="majorBidi"/>
              </w:rPr>
            </w:pPr>
          </w:p>
        </w:tc>
        <w:tc>
          <w:tcPr>
            <w:tcW w:w="1559" w:type="dxa"/>
          </w:tcPr>
          <w:p w:rsidR="0051794F" w:rsidRPr="00E019CD" w:rsidRDefault="0051794F" w:rsidP="00A83391">
            <w:pPr>
              <w:spacing w:line="360" w:lineRule="auto"/>
              <w:rPr>
                <w:rFonts w:asciiTheme="majorBidi" w:hAnsiTheme="majorBidi" w:cstheme="majorBidi"/>
              </w:rPr>
            </w:pPr>
          </w:p>
        </w:tc>
        <w:tc>
          <w:tcPr>
            <w:tcW w:w="806" w:type="dxa"/>
          </w:tcPr>
          <w:p w:rsidR="0051794F" w:rsidRPr="00E019CD" w:rsidRDefault="0051794F" w:rsidP="00A83391">
            <w:pPr>
              <w:spacing w:line="360" w:lineRule="auto"/>
              <w:rPr>
                <w:rFonts w:asciiTheme="majorBidi" w:hAnsiTheme="majorBidi" w:cstheme="majorBidi"/>
              </w:rPr>
            </w:pPr>
          </w:p>
        </w:tc>
        <w:tc>
          <w:tcPr>
            <w:tcW w:w="1258" w:type="dxa"/>
          </w:tcPr>
          <w:p w:rsidR="0051794F" w:rsidRPr="00E019CD" w:rsidRDefault="0051794F" w:rsidP="00A83391">
            <w:pPr>
              <w:spacing w:line="360" w:lineRule="auto"/>
              <w:rPr>
                <w:rFonts w:asciiTheme="majorBidi" w:hAnsiTheme="majorBidi" w:cstheme="majorBidi"/>
              </w:rPr>
            </w:pPr>
          </w:p>
        </w:tc>
        <w:tc>
          <w:tcPr>
            <w:tcW w:w="1351" w:type="dxa"/>
          </w:tcPr>
          <w:p w:rsidR="0051794F" w:rsidRPr="00E019CD" w:rsidRDefault="0051794F" w:rsidP="00A83391">
            <w:pPr>
              <w:spacing w:line="360" w:lineRule="auto"/>
              <w:rPr>
                <w:rFonts w:asciiTheme="majorBidi" w:hAnsiTheme="majorBidi" w:cstheme="majorBidi"/>
              </w:rPr>
            </w:pPr>
          </w:p>
        </w:tc>
        <w:tc>
          <w:tcPr>
            <w:tcW w:w="1347"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94"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L'accessibilité numérique améliore la réactivité des services RH.</w:t>
            </w:r>
          </w:p>
        </w:tc>
        <w:tc>
          <w:tcPr>
            <w:tcW w:w="1559" w:type="dxa"/>
          </w:tcPr>
          <w:p w:rsidR="0051794F" w:rsidRPr="00E019CD" w:rsidRDefault="0051794F" w:rsidP="00A83391">
            <w:pPr>
              <w:spacing w:line="360" w:lineRule="auto"/>
              <w:rPr>
                <w:rFonts w:asciiTheme="majorBidi" w:hAnsiTheme="majorBidi" w:cstheme="majorBidi"/>
              </w:rPr>
            </w:pPr>
          </w:p>
        </w:tc>
        <w:tc>
          <w:tcPr>
            <w:tcW w:w="806" w:type="dxa"/>
          </w:tcPr>
          <w:p w:rsidR="0051794F" w:rsidRPr="00E019CD" w:rsidRDefault="0051794F" w:rsidP="00A83391">
            <w:pPr>
              <w:spacing w:line="360" w:lineRule="auto"/>
              <w:rPr>
                <w:rFonts w:asciiTheme="majorBidi" w:hAnsiTheme="majorBidi" w:cstheme="majorBidi"/>
              </w:rPr>
            </w:pPr>
          </w:p>
        </w:tc>
        <w:tc>
          <w:tcPr>
            <w:tcW w:w="1258" w:type="dxa"/>
          </w:tcPr>
          <w:p w:rsidR="0051794F" w:rsidRPr="00E019CD" w:rsidRDefault="0051794F" w:rsidP="00A83391">
            <w:pPr>
              <w:spacing w:line="360" w:lineRule="auto"/>
              <w:rPr>
                <w:rFonts w:asciiTheme="majorBidi" w:hAnsiTheme="majorBidi" w:cstheme="majorBidi"/>
              </w:rPr>
            </w:pPr>
          </w:p>
        </w:tc>
        <w:tc>
          <w:tcPr>
            <w:tcW w:w="1351" w:type="dxa"/>
          </w:tcPr>
          <w:p w:rsidR="0051794F" w:rsidRPr="00E019CD" w:rsidRDefault="0051794F" w:rsidP="00A83391">
            <w:pPr>
              <w:spacing w:line="360" w:lineRule="auto"/>
              <w:rPr>
                <w:rFonts w:asciiTheme="majorBidi" w:hAnsiTheme="majorBidi" w:cstheme="majorBidi"/>
              </w:rPr>
            </w:pPr>
          </w:p>
        </w:tc>
        <w:tc>
          <w:tcPr>
            <w:tcW w:w="1347"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94"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Les formations en ligne sont facilement accessibles pour tous les salariés.</w:t>
            </w:r>
          </w:p>
        </w:tc>
        <w:tc>
          <w:tcPr>
            <w:tcW w:w="1559" w:type="dxa"/>
          </w:tcPr>
          <w:p w:rsidR="0051794F" w:rsidRPr="00E019CD" w:rsidRDefault="0051794F" w:rsidP="00A83391">
            <w:pPr>
              <w:spacing w:line="360" w:lineRule="auto"/>
              <w:rPr>
                <w:rFonts w:asciiTheme="majorBidi" w:hAnsiTheme="majorBidi" w:cstheme="majorBidi"/>
              </w:rPr>
            </w:pPr>
          </w:p>
        </w:tc>
        <w:tc>
          <w:tcPr>
            <w:tcW w:w="806" w:type="dxa"/>
          </w:tcPr>
          <w:p w:rsidR="0051794F" w:rsidRPr="00E019CD" w:rsidRDefault="0051794F" w:rsidP="00A83391">
            <w:pPr>
              <w:spacing w:line="360" w:lineRule="auto"/>
              <w:rPr>
                <w:rFonts w:asciiTheme="majorBidi" w:hAnsiTheme="majorBidi" w:cstheme="majorBidi"/>
              </w:rPr>
            </w:pPr>
          </w:p>
        </w:tc>
        <w:tc>
          <w:tcPr>
            <w:tcW w:w="1258" w:type="dxa"/>
          </w:tcPr>
          <w:p w:rsidR="0051794F" w:rsidRPr="00E019CD" w:rsidRDefault="0051794F" w:rsidP="00A83391">
            <w:pPr>
              <w:spacing w:line="360" w:lineRule="auto"/>
              <w:rPr>
                <w:rFonts w:asciiTheme="majorBidi" w:hAnsiTheme="majorBidi" w:cstheme="majorBidi"/>
              </w:rPr>
            </w:pPr>
          </w:p>
        </w:tc>
        <w:tc>
          <w:tcPr>
            <w:tcW w:w="1351" w:type="dxa"/>
          </w:tcPr>
          <w:p w:rsidR="0051794F" w:rsidRPr="00E019CD" w:rsidRDefault="0051794F" w:rsidP="00A83391">
            <w:pPr>
              <w:spacing w:line="360" w:lineRule="auto"/>
              <w:rPr>
                <w:rFonts w:asciiTheme="majorBidi" w:hAnsiTheme="majorBidi" w:cstheme="majorBidi"/>
              </w:rPr>
            </w:pPr>
          </w:p>
        </w:tc>
        <w:tc>
          <w:tcPr>
            <w:tcW w:w="1347"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694" w:type="dxa"/>
          </w:tcPr>
          <w:p w:rsidR="0051794F" w:rsidRPr="00E019CD" w:rsidRDefault="0051794F" w:rsidP="00A83391">
            <w:pPr>
              <w:spacing w:line="360" w:lineRule="auto"/>
              <w:rPr>
                <w:rFonts w:asciiTheme="majorBidi" w:hAnsiTheme="majorBidi" w:cstheme="majorBidi"/>
              </w:rPr>
            </w:pPr>
            <w:r w:rsidRPr="002C502E">
              <w:rPr>
                <w:rFonts w:asciiTheme="majorBidi" w:hAnsiTheme="majorBidi" w:cstheme="majorBidi"/>
              </w:rPr>
              <w:t>L'entreprise favorise l'utilisation mobile des outils RH.</w:t>
            </w:r>
          </w:p>
        </w:tc>
        <w:tc>
          <w:tcPr>
            <w:tcW w:w="1559" w:type="dxa"/>
          </w:tcPr>
          <w:p w:rsidR="0051794F" w:rsidRPr="00E019CD" w:rsidRDefault="0051794F" w:rsidP="00A83391">
            <w:pPr>
              <w:spacing w:line="360" w:lineRule="auto"/>
              <w:rPr>
                <w:rFonts w:asciiTheme="majorBidi" w:hAnsiTheme="majorBidi" w:cstheme="majorBidi"/>
              </w:rPr>
            </w:pPr>
          </w:p>
        </w:tc>
        <w:tc>
          <w:tcPr>
            <w:tcW w:w="806" w:type="dxa"/>
          </w:tcPr>
          <w:p w:rsidR="0051794F" w:rsidRPr="00E019CD" w:rsidRDefault="0051794F" w:rsidP="00A83391">
            <w:pPr>
              <w:spacing w:line="360" w:lineRule="auto"/>
              <w:rPr>
                <w:rFonts w:asciiTheme="majorBidi" w:hAnsiTheme="majorBidi" w:cstheme="majorBidi"/>
              </w:rPr>
            </w:pPr>
          </w:p>
        </w:tc>
        <w:tc>
          <w:tcPr>
            <w:tcW w:w="1258" w:type="dxa"/>
          </w:tcPr>
          <w:p w:rsidR="0051794F" w:rsidRPr="00E019CD" w:rsidRDefault="0051794F" w:rsidP="00A83391">
            <w:pPr>
              <w:spacing w:line="360" w:lineRule="auto"/>
              <w:rPr>
                <w:rFonts w:asciiTheme="majorBidi" w:hAnsiTheme="majorBidi" w:cstheme="majorBidi"/>
              </w:rPr>
            </w:pPr>
          </w:p>
        </w:tc>
        <w:tc>
          <w:tcPr>
            <w:tcW w:w="1351" w:type="dxa"/>
          </w:tcPr>
          <w:p w:rsidR="0051794F" w:rsidRPr="00E019CD" w:rsidRDefault="0051794F" w:rsidP="00A83391">
            <w:pPr>
              <w:spacing w:line="360" w:lineRule="auto"/>
              <w:rPr>
                <w:rFonts w:asciiTheme="majorBidi" w:hAnsiTheme="majorBidi" w:cstheme="majorBidi"/>
              </w:rPr>
            </w:pPr>
          </w:p>
        </w:tc>
        <w:tc>
          <w:tcPr>
            <w:tcW w:w="1347" w:type="dxa"/>
          </w:tcPr>
          <w:p w:rsidR="0051794F" w:rsidRPr="00E019CD" w:rsidRDefault="0051794F" w:rsidP="00A83391">
            <w:pPr>
              <w:spacing w:line="360" w:lineRule="auto"/>
              <w:rPr>
                <w:rFonts w:asciiTheme="majorBidi" w:hAnsiTheme="majorBidi" w:cstheme="majorBidi"/>
              </w:rPr>
            </w:pPr>
          </w:p>
        </w:tc>
      </w:tr>
    </w:tbl>
    <w:p w:rsidR="0051794F" w:rsidRPr="00740E6B" w:rsidRDefault="0051794F" w:rsidP="0051794F">
      <w:pPr>
        <w:spacing w:before="240" w:line="360" w:lineRule="auto"/>
        <w:rPr>
          <w:rFonts w:asciiTheme="majorBidi" w:hAnsiTheme="majorBidi" w:cstheme="majorBidi"/>
          <w:b/>
          <w:bCs/>
        </w:rPr>
      </w:pPr>
      <w:r w:rsidRPr="00740E6B">
        <w:rPr>
          <w:rFonts w:asciiTheme="majorBidi" w:hAnsiTheme="majorBidi" w:cstheme="majorBidi"/>
          <w:b/>
          <w:bCs/>
        </w:rPr>
        <w:t>Recrutement digitalisé</w:t>
      </w:r>
    </w:p>
    <w:p w:rsidR="0051794F" w:rsidRPr="00E019CD" w:rsidRDefault="0051794F" w:rsidP="0051794F">
      <w:pPr>
        <w:pStyle w:val="p1"/>
        <w:spacing w:line="360" w:lineRule="auto"/>
        <w:rPr>
          <w:rFonts w:asciiTheme="majorBidi" w:hAnsiTheme="majorBidi" w:cstheme="majorBidi"/>
          <w:sz w:val="24"/>
          <w:szCs w:val="24"/>
        </w:rPr>
      </w:pPr>
      <w:r w:rsidRPr="008A5941">
        <w:rPr>
          <w:rFonts w:asciiTheme="majorBidi" w:hAnsiTheme="majorBidi" w:cstheme="majorBidi"/>
          <w:b/>
          <w:bCs/>
          <w:sz w:val="24"/>
          <w:szCs w:val="24"/>
          <w:lang w:val="fr-FR"/>
        </w:rPr>
        <w:t>Q16:</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Sur une échelle de 1 à 5, dans quelle mesure êtes-vous d'accord avec les déclarations</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suivantes ? (soit 1 : pas du tout d'accord et 5 : tout à fait d'accord)</w:t>
      </w:r>
    </w:p>
    <w:tbl>
      <w:tblPr>
        <w:tblStyle w:val="Grilledutableau"/>
        <w:tblW w:w="9021" w:type="dxa"/>
        <w:tblLayout w:type="fixed"/>
        <w:tblLook w:val="04A0" w:firstRow="1" w:lastRow="0" w:firstColumn="1" w:lastColumn="0" w:noHBand="0" w:noVBand="1"/>
      </w:tblPr>
      <w:tblGrid>
        <w:gridCol w:w="3119"/>
        <w:gridCol w:w="1417"/>
        <w:gridCol w:w="1134"/>
        <w:gridCol w:w="993"/>
        <w:gridCol w:w="1134"/>
        <w:gridCol w:w="1224"/>
      </w:tblGrid>
      <w:tr w:rsidR="0051794F" w:rsidRPr="00E019CD" w:rsidTr="0051794F">
        <w:tc>
          <w:tcPr>
            <w:tcW w:w="3119" w:type="dxa"/>
            <w:tcBorders>
              <w:top w:val="nil"/>
              <w:left w:val="nil"/>
            </w:tcBorders>
          </w:tcPr>
          <w:p w:rsidR="0051794F" w:rsidRDefault="0051794F" w:rsidP="00A83391">
            <w:pPr>
              <w:spacing w:line="360" w:lineRule="auto"/>
              <w:rPr>
                <w:rFonts w:asciiTheme="majorBidi" w:hAnsiTheme="majorBidi" w:cstheme="majorBidi"/>
              </w:rPr>
            </w:pPr>
          </w:p>
          <w:p w:rsidR="0051794F" w:rsidRPr="00E019CD" w:rsidRDefault="0051794F" w:rsidP="00A83391">
            <w:pPr>
              <w:spacing w:line="360" w:lineRule="auto"/>
              <w:rPr>
                <w:rFonts w:asciiTheme="majorBidi" w:hAnsiTheme="majorBidi" w:cstheme="majorBidi"/>
              </w:rPr>
            </w:pPr>
          </w:p>
        </w:tc>
        <w:tc>
          <w:tcPr>
            <w:tcW w:w="1417"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lang w:val="en-US"/>
              </w:rPr>
              <w:t>P</w:t>
            </w:r>
            <w:r w:rsidRPr="00E019CD">
              <w:rPr>
                <w:rFonts w:asciiTheme="majorBidi" w:hAnsiTheme="majorBidi" w:cstheme="majorBidi"/>
              </w:rPr>
              <w:t>as du tout d'accord</w:t>
            </w:r>
          </w:p>
        </w:tc>
        <w:tc>
          <w:tcPr>
            <w:tcW w:w="1134" w:type="dxa"/>
          </w:tcPr>
          <w:p w:rsidR="0051794F" w:rsidRPr="00E019CD" w:rsidRDefault="0051794F" w:rsidP="00A83391">
            <w:pPr>
              <w:spacing w:line="360" w:lineRule="auto"/>
              <w:rPr>
                <w:rFonts w:asciiTheme="majorBidi" w:hAnsiTheme="majorBidi" w:cstheme="majorBidi"/>
              </w:rPr>
            </w:pPr>
            <w:proofErr w:type="spellStart"/>
            <w:r w:rsidRPr="00E019CD">
              <w:rPr>
                <w:rFonts w:asciiTheme="majorBidi" w:hAnsiTheme="majorBidi" w:cstheme="majorBidi"/>
                <w:lang w:val="en-US"/>
              </w:rPr>
              <w:t>Peu</w:t>
            </w:r>
            <w:proofErr w:type="spellEnd"/>
            <w:r w:rsidRPr="00E019CD">
              <w:rPr>
                <w:rFonts w:asciiTheme="majorBidi" w:hAnsiTheme="majorBidi" w:cstheme="majorBidi"/>
                <w:lang w:val="en-US"/>
              </w:rPr>
              <w:t xml:space="preserve"> </w:t>
            </w:r>
            <w:r w:rsidRPr="00E019CD">
              <w:rPr>
                <w:rFonts w:asciiTheme="majorBidi" w:hAnsiTheme="majorBidi" w:cstheme="majorBidi"/>
              </w:rPr>
              <w:t>d'accord</w:t>
            </w:r>
          </w:p>
        </w:tc>
        <w:tc>
          <w:tcPr>
            <w:tcW w:w="993"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Neutre</w:t>
            </w:r>
            <w:proofErr w:type="spellEnd"/>
          </w:p>
        </w:tc>
        <w:tc>
          <w:tcPr>
            <w:tcW w:w="1134"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D’accord</w:t>
            </w:r>
            <w:proofErr w:type="spellEnd"/>
            <w:r w:rsidRPr="00E019CD">
              <w:rPr>
                <w:rFonts w:asciiTheme="majorBidi" w:hAnsiTheme="majorBidi" w:cstheme="majorBidi"/>
                <w:lang w:val="en-US"/>
              </w:rPr>
              <w:t xml:space="preserve"> </w:t>
            </w:r>
          </w:p>
        </w:tc>
        <w:tc>
          <w:tcPr>
            <w:tcW w:w="1224"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rPr>
              <w:t>tout à fait d'accord</w:t>
            </w:r>
          </w:p>
        </w:tc>
      </w:tr>
      <w:tr w:rsidR="0051794F" w:rsidRPr="00E019CD" w:rsidTr="0051794F">
        <w:tc>
          <w:tcPr>
            <w:tcW w:w="3119" w:type="dxa"/>
          </w:tcPr>
          <w:p w:rsidR="0051794F" w:rsidRPr="0051794F" w:rsidRDefault="0051794F" w:rsidP="0051794F">
            <w:pPr>
              <w:pStyle w:val="NormalWeb"/>
              <w:spacing w:before="0" w:beforeAutospacing="0" w:after="0" w:afterAutospacing="0" w:line="360" w:lineRule="auto"/>
              <w:rPr>
                <w:rFonts w:asciiTheme="majorBidi" w:hAnsiTheme="majorBidi" w:cstheme="majorBidi"/>
                <w:color w:val="202124"/>
              </w:rPr>
            </w:pPr>
            <w:r w:rsidRPr="00740E6B">
              <w:rPr>
                <w:rFonts w:asciiTheme="majorBidi" w:hAnsiTheme="majorBidi" w:cstheme="majorBidi"/>
                <w:color w:val="202124"/>
              </w:rPr>
              <w:t>Les offres d'emploi sont </w:t>
            </w:r>
            <w:r w:rsidRPr="00740E6B">
              <w:rPr>
                <w:rStyle w:val="lev"/>
                <w:rFonts w:asciiTheme="majorBidi" w:hAnsiTheme="majorBidi" w:cstheme="majorBidi"/>
                <w:b w:val="0"/>
                <w:bCs w:val="0"/>
                <w:color w:val="202124"/>
              </w:rPr>
              <w:t>principalement publiées en ligne</w:t>
            </w:r>
            <w:r w:rsidRPr="00740E6B">
              <w:rPr>
                <w:rFonts w:asciiTheme="majorBidi" w:hAnsiTheme="majorBidi" w:cstheme="majorBidi"/>
                <w:color w:val="202124"/>
              </w:rPr>
              <w:t>.</w:t>
            </w:r>
          </w:p>
        </w:tc>
        <w:tc>
          <w:tcPr>
            <w:tcW w:w="1417"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3"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224"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119"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Les candidatures sont fréquemment reçues via des plateformes numériques.</w:t>
            </w:r>
          </w:p>
        </w:tc>
        <w:tc>
          <w:tcPr>
            <w:tcW w:w="1417"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3"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224"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119"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Les entretiens en visioconférence sont souvent privilégiés.</w:t>
            </w:r>
          </w:p>
        </w:tc>
        <w:tc>
          <w:tcPr>
            <w:tcW w:w="1417"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3"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224"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119"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Les réseaux sociaux professionnels sont largement utilisés pour le sourcing.</w:t>
            </w:r>
          </w:p>
        </w:tc>
        <w:tc>
          <w:tcPr>
            <w:tcW w:w="1417"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3"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224"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119"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lastRenderedPageBreak/>
              <w:t>Le processus de recrutement est globalement piloté numériquement.</w:t>
            </w:r>
          </w:p>
        </w:tc>
        <w:tc>
          <w:tcPr>
            <w:tcW w:w="1417"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3"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224"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119"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L’ERP est régulièrement utilisé pour faciliter le processus de recrutement.</w:t>
            </w:r>
          </w:p>
        </w:tc>
        <w:tc>
          <w:tcPr>
            <w:tcW w:w="1417"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3"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224"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119"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Des outils digitaux permettent de comparer efficacement les candidatures.</w:t>
            </w:r>
          </w:p>
        </w:tc>
        <w:tc>
          <w:tcPr>
            <w:tcW w:w="1417"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3"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224"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119"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 recrutement digital permet un meilleur ciblage des profils.</w:t>
            </w:r>
          </w:p>
        </w:tc>
        <w:tc>
          <w:tcPr>
            <w:tcW w:w="1417"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3"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224" w:type="dxa"/>
          </w:tcPr>
          <w:p w:rsidR="0051794F" w:rsidRPr="00E019CD" w:rsidRDefault="0051794F" w:rsidP="00A83391">
            <w:pPr>
              <w:spacing w:line="360" w:lineRule="auto"/>
              <w:rPr>
                <w:rFonts w:asciiTheme="majorBidi" w:hAnsiTheme="majorBidi" w:cstheme="majorBidi"/>
              </w:rPr>
            </w:pPr>
          </w:p>
        </w:tc>
      </w:tr>
    </w:tbl>
    <w:p w:rsidR="0051794F" w:rsidRPr="00740E6B" w:rsidRDefault="0051794F" w:rsidP="0051794F">
      <w:pPr>
        <w:spacing w:before="240" w:line="360" w:lineRule="auto"/>
        <w:rPr>
          <w:rFonts w:asciiTheme="majorBidi" w:hAnsiTheme="majorBidi" w:cstheme="majorBidi"/>
          <w:b/>
          <w:bCs/>
        </w:rPr>
      </w:pPr>
      <w:r w:rsidRPr="00740E6B">
        <w:rPr>
          <w:rFonts w:asciiTheme="majorBidi" w:hAnsiTheme="majorBidi" w:cstheme="majorBidi"/>
          <w:b/>
          <w:bCs/>
        </w:rPr>
        <w:t>Formation digitalisée</w:t>
      </w:r>
    </w:p>
    <w:p w:rsidR="0051794F" w:rsidRPr="00E019CD" w:rsidRDefault="0051794F" w:rsidP="0051794F">
      <w:pPr>
        <w:pStyle w:val="p1"/>
        <w:spacing w:line="360" w:lineRule="auto"/>
        <w:rPr>
          <w:rFonts w:asciiTheme="majorBidi" w:hAnsiTheme="majorBidi" w:cstheme="majorBidi"/>
          <w:sz w:val="24"/>
          <w:szCs w:val="24"/>
        </w:rPr>
      </w:pPr>
      <w:r w:rsidRPr="008A5941">
        <w:rPr>
          <w:rFonts w:asciiTheme="majorBidi" w:hAnsiTheme="majorBidi" w:cstheme="majorBidi"/>
          <w:b/>
          <w:bCs/>
          <w:sz w:val="24"/>
          <w:szCs w:val="24"/>
          <w:lang w:val="fr-FR"/>
        </w:rPr>
        <w:t>Q17:</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Sur une échelle de 1 à 5, dans quelle mesure êtes-vous d'accord avec les déclarations</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suivantes ? (soit 1 : pas du tout d'accord et 5 : tout à fait d'accord)</w:t>
      </w:r>
    </w:p>
    <w:tbl>
      <w:tblPr>
        <w:tblStyle w:val="Grilledutableau"/>
        <w:tblW w:w="0" w:type="auto"/>
        <w:tblLook w:val="04A0" w:firstRow="1" w:lastRow="0" w:firstColumn="1" w:lastColumn="0" w:noHBand="0" w:noVBand="1"/>
      </w:tblPr>
      <w:tblGrid>
        <w:gridCol w:w="3047"/>
        <w:gridCol w:w="1284"/>
        <w:gridCol w:w="1019"/>
        <w:gridCol w:w="1137"/>
        <w:gridCol w:w="1274"/>
        <w:gridCol w:w="1254"/>
      </w:tblGrid>
      <w:tr w:rsidR="0051794F" w:rsidRPr="00E019CD" w:rsidTr="0051794F">
        <w:tc>
          <w:tcPr>
            <w:tcW w:w="3212" w:type="dxa"/>
            <w:tcBorders>
              <w:top w:val="nil"/>
              <w:left w:val="nil"/>
            </w:tcBorders>
          </w:tcPr>
          <w:p w:rsidR="0051794F" w:rsidRDefault="0051794F" w:rsidP="00A83391">
            <w:pPr>
              <w:spacing w:line="360" w:lineRule="auto"/>
              <w:rPr>
                <w:rFonts w:asciiTheme="majorBidi" w:hAnsiTheme="majorBidi" w:cstheme="majorBidi"/>
              </w:rPr>
            </w:pPr>
          </w:p>
          <w:p w:rsidR="0051794F" w:rsidRPr="00E019CD" w:rsidRDefault="0051794F" w:rsidP="00A83391">
            <w:pPr>
              <w:spacing w:line="360" w:lineRule="auto"/>
              <w:rPr>
                <w:rFonts w:asciiTheme="majorBidi" w:hAnsiTheme="majorBidi" w:cstheme="majorBidi"/>
              </w:rPr>
            </w:pPr>
          </w:p>
        </w:tc>
        <w:tc>
          <w:tcPr>
            <w:tcW w:w="1324"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lang w:val="en-US"/>
              </w:rPr>
              <w:t>P</w:t>
            </w:r>
            <w:r w:rsidRPr="00E019CD">
              <w:rPr>
                <w:rFonts w:asciiTheme="majorBidi" w:hAnsiTheme="majorBidi" w:cstheme="majorBidi"/>
              </w:rPr>
              <w:t>as du tout d'accord</w:t>
            </w:r>
          </w:p>
        </w:tc>
        <w:tc>
          <w:tcPr>
            <w:tcW w:w="714" w:type="dxa"/>
          </w:tcPr>
          <w:p w:rsidR="0051794F" w:rsidRPr="00E019CD" w:rsidRDefault="0051794F" w:rsidP="00A83391">
            <w:pPr>
              <w:spacing w:line="360" w:lineRule="auto"/>
              <w:rPr>
                <w:rFonts w:asciiTheme="majorBidi" w:hAnsiTheme="majorBidi" w:cstheme="majorBidi"/>
              </w:rPr>
            </w:pPr>
            <w:proofErr w:type="spellStart"/>
            <w:r w:rsidRPr="00E019CD">
              <w:rPr>
                <w:rFonts w:asciiTheme="majorBidi" w:hAnsiTheme="majorBidi" w:cstheme="majorBidi"/>
                <w:lang w:val="en-US"/>
              </w:rPr>
              <w:t>Peu</w:t>
            </w:r>
            <w:proofErr w:type="spellEnd"/>
            <w:r w:rsidRPr="00E019CD">
              <w:rPr>
                <w:rFonts w:asciiTheme="majorBidi" w:hAnsiTheme="majorBidi" w:cstheme="majorBidi"/>
                <w:lang w:val="en-US"/>
              </w:rPr>
              <w:t xml:space="preserve"> </w:t>
            </w:r>
            <w:r w:rsidRPr="00E019CD">
              <w:rPr>
                <w:rFonts w:asciiTheme="majorBidi" w:hAnsiTheme="majorBidi" w:cstheme="majorBidi"/>
              </w:rPr>
              <w:t>d'accord</w:t>
            </w:r>
          </w:p>
        </w:tc>
        <w:tc>
          <w:tcPr>
            <w:tcW w:w="1177"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Neutre</w:t>
            </w:r>
            <w:proofErr w:type="spellEnd"/>
          </w:p>
        </w:tc>
        <w:tc>
          <w:tcPr>
            <w:tcW w:w="1299"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D’accord</w:t>
            </w:r>
            <w:proofErr w:type="spellEnd"/>
            <w:r w:rsidRPr="00E019CD">
              <w:rPr>
                <w:rFonts w:asciiTheme="majorBidi" w:hAnsiTheme="majorBidi" w:cstheme="majorBidi"/>
                <w:lang w:val="en-US"/>
              </w:rPr>
              <w:t xml:space="preserve"> </w:t>
            </w:r>
          </w:p>
        </w:tc>
        <w:tc>
          <w:tcPr>
            <w:tcW w:w="1289"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rPr>
              <w:t>tout à fait d'accord</w:t>
            </w:r>
          </w:p>
        </w:tc>
      </w:tr>
      <w:tr w:rsidR="0051794F" w:rsidRPr="00E019CD" w:rsidTr="0051794F">
        <w:tc>
          <w:tcPr>
            <w:tcW w:w="3212" w:type="dxa"/>
          </w:tcPr>
          <w:p w:rsidR="0051794F" w:rsidRPr="008A5941" w:rsidRDefault="0051794F" w:rsidP="00A83391">
            <w:pPr>
              <w:spacing w:line="360" w:lineRule="auto"/>
              <w:rPr>
                <w:rFonts w:asciiTheme="majorBidi" w:hAnsiTheme="majorBidi" w:cstheme="majorBidi"/>
                <w:lang w:val="fr-FR"/>
              </w:rPr>
            </w:pPr>
            <w:r w:rsidRPr="00740E6B">
              <w:rPr>
                <w:rFonts w:asciiTheme="majorBidi" w:hAnsiTheme="majorBidi" w:cstheme="majorBidi"/>
              </w:rPr>
              <w:t>Les formations sont principalement dispensées en ligne</w:t>
            </w:r>
            <w:r w:rsidRPr="008A5941">
              <w:rPr>
                <w:rFonts w:asciiTheme="majorBidi" w:hAnsiTheme="majorBidi" w:cstheme="majorBidi"/>
                <w:lang w:val="fr-FR"/>
              </w:rPr>
              <w:t>.</w:t>
            </w:r>
          </w:p>
        </w:tc>
        <w:tc>
          <w:tcPr>
            <w:tcW w:w="1324" w:type="dxa"/>
          </w:tcPr>
          <w:p w:rsidR="0051794F" w:rsidRPr="00E019CD" w:rsidRDefault="0051794F" w:rsidP="00A83391">
            <w:pPr>
              <w:spacing w:line="360" w:lineRule="auto"/>
              <w:rPr>
                <w:rFonts w:asciiTheme="majorBidi" w:hAnsiTheme="majorBidi" w:cstheme="majorBidi"/>
              </w:rPr>
            </w:pPr>
          </w:p>
        </w:tc>
        <w:tc>
          <w:tcPr>
            <w:tcW w:w="714" w:type="dxa"/>
          </w:tcPr>
          <w:p w:rsidR="0051794F" w:rsidRPr="00E019CD" w:rsidRDefault="0051794F" w:rsidP="00A83391">
            <w:pPr>
              <w:spacing w:line="360" w:lineRule="auto"/>
              <w:rPr>
                <w:rFonts w:asciiTheme="majorBidi" w:hAnsiTheme="majorBidi" w:cstheme="majorBidi"/>
              </w:rPr>
            </w:pPr>
          </w:p>
        </w:tc>
        <w:tc>
          <w:tcPr>
            <w:tcW w:w="1177" w:type="dxa"/>
          </w:tcPr>
          <w:p w:rsidR="0051794F" w:rsidRPr="00E019CD" w:rsidRDefault="0051794F" w:rsidP="00A83391">
            <w:pPr>
              <w:spacing w:line="360" w:lineRule="auto"/>
              <w:rPr>
                <w:rFonts w:asciiTheme="majorBidi" w:hAnsiTheme="majorBidi" w:cstheme="majorBidi"/>
              </w:rPr>
            </w:pPr>
          </w:p>
        </w:tc>
        <w:tc>
          <w:tcPr>
            <w:tcW w:w="1299" w:type="dxa"/>
          </w:tcPr>
          <w:p w:rsidR="0051794F" w:rsidRPr="00E019CD" w:rsidRDefault="0051794F" w:rsidP="00A83391">
            <w:pPr>
              <w:spacing w:line="360" w:lineRule="auto"/>
              <w:rPr>
                <w:rFonts w:asciiTheme="majorBidi" w:hAnsiTheme="majorBidi" w:cstheme="majorBidi"/>
              </w:rPr>
            </w:pPr>
          </w:p>
        </w:tc>
        <w:tc>
          <w:tcPr>
            <w:tcW w:w="128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12"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Les outils digitaux sont régulièrement utilisés pour la formation continue.</w:t>
            </w:r>
          </w:p>
        </w:tc>
        <w:tc>
          <w:tcPr>
            <w:tcW w:w="1324" w:type="dxa"/>
          </w:tcPr>
          <w:p w:rsidR="0051794F" w:rsidRPr="00E019CD" w:rsidRDefault="0051794F" w:rsidP="00A83391">
            <w:pPr>
              <w:spacing w:line="360" w:lineRule="auto"/>
              <w:rPr>
                <w:rFonts w:asciiTheme="majorBidi" w:hAnsiTheme="majorBidi" w:cstheme="majorBidi"/>
              </w:rPr>
            </w:pPr>
          </w:p>
        </w:tc>
        <w:tc>
          <w:tcPr>
            <w:tcW w:w="714" w:type="dxa"/>
          </w:tcPr>
          <w:p w:rsidR="0051794F" w:rsidRPr="00E019CD" w:rsidRDefault="0051794F" w:rsidP="00A83391">
            <w:pPr>
              <w:spacing w:line="360" w:lineRule="auto"/>
              <w:rPr>
                <w:rFonts w:asciiTheme="majorBidi" w:hAnsiTheme="majorBidi" w:cstheme="majorBidi"/>
              </w:rPr>
            </w:pPr>
          </w:p>
        </w:tc>
        <w:tc>
          <w:tcPr>
            <w:tcW w:w="1177" w:type="dxa"/>
          </w:tcPr>
          <w:p w:rsidR="0051794F" w:rsidRPr="00E019CD" w:rsidRDefault="0051794F" w:rsidP="00A83391">
            <w:pPr>
              <w:spacing w:line="360" w:lineRule="auto"/>
              <w:rPr>
                <w:rFonts w:asciiTheme="majorBidi" w:hAnsiTheme="majorBidi" w:cstheme="majorBidi"/>
              </w:rPr>
            </w:pPr>
          </w:p>
        </w:tc>
        <w:tc>
          <w:tcPr>
            <w:tcW w:w="1299" w:type="dxa"/>
          </w:tcPr>
          <w:p w:rsidR="0051794F" w:rsidRPr="00E019CD" w:rsidRDefault="0051794F" w:rsidP="00A83391">
            <w:pPr>
              <w:spacing w:line="360" w:lineRule="auto"/>
              <w:rPr>
                <w:rFonts w:asciiTheme="majorBidi" w:hAnsiTheme="majorBidi" w:cstheme="majorBidi"/>
              </w:rPr>
            </w:pPr>
          </w:p>
        </w:tc>
        <w:tc>
          <w:tcPr>
            <w:tcW w:w="128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12"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 suivi des acquis se fait systématiquement via des outils numériques.</w:t>
            </w:r>
          </w:p>
        </w:tc>
        <w:tc>
          <w:tcPr>
            <w:tcW w:w="1324" w:type="dxa"/>
          </w:tcPr>
          <w:p w:rsidR="0051794F" w:rsidRPr="00E019CD" w:rsidRDefault="0051794F" w:rsidP="00A83391">
            <w:pPr>
              <w:spacing w:line="360" w:lineRule="auto"/>
              <w:rPr>
                <w:rFonts w:asciiTheme="majorBidi" w:hAnsiTheme="majorBidi" w:cstheme="majorBidi"/>
              </w:rPr>
            </w:pPr>
          </w:p>
        </w:tc>
        <w:tc>
          <w:tcPr>
            <w:tcW w:w="714" w:type="dxa"/>
          </w:tcPr>
          <w:p w:rsidR="0051794F" w:rsidRPr="00E019CD" w:rsidRDefault="0051794F" w:rsidP="00A83391">
            <w:pPr>
              <w:spacing w:line="360" w:lineRule="auto"/>
              <w:rPr>
                <w:rFonts w:asciiTheme="majorBidi" w:hAnsiTheme="majorBidi" w:cstheme="majorBidi"/>
              </w:rPr>
            </w:pPr>
          </w:p>
        </w:tc>
        <w:tc>
          <w:tcPr>
            <w:tcW w:w="1177" w:type="dxa"/>
          </w:tcPr>
          <w:p w:rsidR="0051794F" w:rsidRPr="00E019CD" w:rsidRDefault="0051794F" w:rsidP="00A83391">
            <w:pPr>
              <w:spacing w:line="360" w:lineRule="auto"/>
              <w:rPr>
                <w:rFonts w:asciiTheme="majorBidi" w:hAnsiTheme="majorBidi" w:cstheme="majorBidi"/>
              </w:rPr>
            </w:pPr>
          </w:p>
        </w:tc>
        <w:tc>
          <w:tcPr>
            <w:tcW w:w="1299" w:type="dxa"/>
          </w:tcPr>
          <w:p w:rsidR="0051794F" w:rsidRPr="00E019CD" w:rsidRDefault="0051794F" w:rsidP="00A83391">
            <w:pPr>
              <w:spacing w:line="360" w:lineRule="auto"/>
              <w:rPr>
                <w:rFonts w:asciiTheme="majorBidi" w:hAnsiTheme="majorBidi" w:cstheme="majorBidi"/>
              </w:rPr>
            </w:pPr>
          </w:p>
        </w:tc>
        <w:tc>
          <w:tcPr>
            <w:tcW w:w="128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12"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L’ERP est un outil efficace pour planifier et gérer la formation dans l’entreprise.</w:t>
            </w:r>
          </w:p>
        </w:tc>
        <w:tc>
          <w:tcPr>
            <w:tcW w:w="1324" w:type="dxa"/>
          </w:tcPr>
          <w:p w:rsidR="0051794F" w:rsidRPr="00E019CD" w:rsidRDefault="0051794F" w:rsidP="00A83391">
            <w:pPr>
              <w:spacing w:line="360" w:lineRule="auto"/>
              <w:rPr>
                <w:rFonts w:asciiTheme="majorBidi" w:hAnsiTheme="majorBidi" w:cstheme="majorBidi"/>
              </w:rPr>
            </w:pPr>
          </w:p>
        </w:tc>
        <w:tc>
          <w:tcPr>
            <w:tcW w:w="714" w:type="dxa"/>
          </w:tcPr>
          <w:p w:rsidR="0051794F" w:rsidRPr="00E019CD" w:rsidRDefault="0051794F" w:rsidP="00A83391">
            <w:pPr>
              <w:spacing w:line="360" w:lineRule="auto"/>
              <w:rPr>
                <w:rFonts w:asciiTheme="majorBidi" w:hAnsiTheme="majorBidi" w:cstheme="majorBidi"/>
              </w:rPr>
            </w:pPr>
          </w:p>
        </w:tc>
        <w:tc>
          <w:tcPr>
            <w:tcW w:w="1177" w:type="dxa"/>
          </w:tcPr>
          <w:p w:rsidR="0051794F" w:rsidRPr="00E019CD" w:rsidRDefault="0051794F" w:rsidP="00A83391">
            <w:pPr>
              <w:spacing w:line="360" w:lineRule="auto"/>
              <w:rPr>
                <w:rFonts w:asciiTheme="majorBidi" w:hAnsiTheme="majorBidi" w:cstheme="majorBidi"/>
              </w:rPr>
            </w:pPr>
          </w:p>
        </w:tc>
        <w:tc>
          <w:tcPr>
            <w:tcW w:w="1299" w:type="dxa"/>
          </w:tcPr>
          <w:p w:rsidR="0051794F" w:rsidRPr="00E019CD" w:rsidRDefault="0051794F" w:rsidP="00A83391">
            <w:pPr>
              <w:spacing w:line="360" w:lineRule="auto"/>
              <w:rPr>
                <w:rFonts w:asciiTheme="majorBidi" w:hAnsiTheme="majorBidi" w:cstheme="majorBidi"/>
              </w:rPr>
            </w:pPr>
          </w:p>
        </w:tc>
        <w:tc>
          <w:tcPr>
            <w:tcW w:w="128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12"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Les parcours de formation sont adaptés numériquement aux besoins individuels.</w:t>
            </w:r>
          </w:p>
        </w:tc>
        <w:tc>
          <w:tcPr>
            <w:tcW w:w="1324" w:type="dxa"/>
          </w:tcPr>
          <w:p w:rsidR="0051794F" w:rsidRPr="00E019CD" w:rsidRDefault="0051794F" w:rsidP="00A83391">
            <w:pPr>
              <w:spacing w:line="360" w:lineRule="auto"/>
              <w:rPr>
                <w:rFonts w:asciiTheme="majorBidi" w:hAnsiTheme="majorBidi" w:cstheme="majorBidi"/>
              </w:rPr>
            </w:pPr>
          </w:p>
        </w:tc>
        <w:tc>
          <w:tcPr>
            <w:tcW w:w="714" w:type="dxa"/>
          </w:tcPr>
          <w:p w:rsidR="0051794F" w:rsidRPr="00E019CD" w:rsidRDefault="0051794F" w:rsidP="00A83391">
            <w:pPr>
              <w:spacing w:line="360" w:lineRule="auto"/>
              <w:rPr>
                <w:rFonts w:asciiTheme="majorBidi" w:hAnsiTheme="majorBidi" w:cstheme="majorBidi"/>
              </w:rPr>
            </w:pPr>
          </w:p>
        </w:tc>
        <w:tc>
          <w:tcPr>
            <w:tcW w:w="1177" w:type="dxa"/>
          </w:tcPr>
          <w:p w:rsidR="0051794F" w:rsidRPr="00E019CD" w:rsidRDefault="0051794F" w:rsidP="00A83391">
            <w:pPr>
              <w:spacing w:line="360" w:lineRule="auto"/>
              <w:rPr>
                <w:rFonts w:asciiTheme="majorBidi" w:hAnsiTheme="majorBidi" w:cstheme="majorBidi"/>
              </w:rPr>
            </w:pPr>
          </w:p>
        </w:tc>
        <w:tc>
          <w:tcPr>
            <w:tcW w:w="1299" w:type="dxa"/>
          </w:tcPr>
          <w:p w:rsidR="0051794F" w:rsidRPr="00E019CD" w:rsidRDefault="0051794F" w:rsidP="00A83391">
            <w:pPr>
              <w:spacing w:line="360" w:lineRule="auto"/>
              <w:rPr>
                <w:rFonts w:asciiTheme="majorBidi" w:hAnsiTheme="majorBidi" w:cstheme="majorBidi"/>
              </w:rPr>
            </w:pPr>
          </w:p>
        </w:tc>
        <w:tc>
          <w:tcPr>
            <w:tcW w:w="128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12"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lastRenderedPageBreak/>
              <w:t>La formation digitale est aussi efficace que la formation en présentiel.</w:t>
            </w:r>
          </w:p>
        </w:tc>
        <w:tc>
          <w:tcPr>
            <w:tcW w:w="1324" w:type="dxa"/>
          </w:tcPr>
          <w:p w:rsidR="0051794F" w:rsidRPr="00E019CD" w:rsidRDefault="0051794F" w:rsidP="00A83391">
            <w:pPr>
              <w:spacing w:line="360" w:lineRule="auto"/>
              <w:rPr>
                <w:rFonts w:asciiTheme="majorBidi" w:hAnsiTheme="majorBidi" w:cstheme="majorBidi"/>
              </w:rPr>
            </w:pPr>
          </w:p>
        </w:tc>
        <w:tc>
          <w:tcPr>
            <w:tcW w:w="714" w:type="dxa"/>
          </w:tcPr>
          <w:p w:rsidR="0051794F" w:rsidRPr="00E019CD" w:rsidRDefault="0051794F" w:rsidP="00A83391">
            <w:pPr>
              <w:spacing w:line="360" w:lineRule="auto"/>
              <w:rPr>
                <w:rFonts w:asciiTheme="majorBidi" w:hAnsiTheme="majorBidi" w:cstheme="majorBidi"/>
              </w:rPr>
            </w:pPr>
          </w:p>
        </w:tc>
        <w:tc>
          <w:tcPr>
            <w:tcW w:w="1177" w:type="dxa"/>
          </w:tcPr>
          <w:p w:rsidR="0051794F" w:rsidRPr="00E019CD" w:rsidRDefault="0051794F" w:rsidP="00A83391">
            <w:pPr>
              <w:spacing w:line="360" w:lineRule="auto"/>
              <w:rPr>
                <w:rFonts w:asciiTheme="majorBidi" w:hAnsiTheme="majorBidi" w:cstheme="majorBidi"/>
              </w:rPr>
            </w:pPr>
          </w:p>
        </w:tc>
        <w:tc>
          <w:tcPr>
            <w:tcW w:w="1299" w:type="dxa"/>
          </w:tcPr>
          <w:p w:rsidR="0051794F" w:rsidRPr="00E019CD" w:rsidRDefault="0051794F" w:rsidP="00A83391">
            <w:pPr>
              <w:spacing w:line="360" w:lineRule="auto"/>
              <w:rPr>
                <w:rFonts w:asciiTheme="majorBidi" w:hAnsiTheme="majorBidi" w:cstheme="majorBidi"/>
              </w:rPr>
            </w:pPr>
          </w:p>
        </w:tc>
        <w:tc>
          <w:tcPr>
            <w:tcW w:w="1289"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3212" w:type="dxa"/>
          </w:tcPr>
          <w:p w:rsidR="0051794F" w:rsidRPr="00E019CD" w:rsidRDefault="0051794F" w:rsidP="00A83391">
            <w:pPr>
              <w:spacing w:line="360" w:lineRule="auto"/>
              <w:rPr>
                <w:rFonts w:asciiTheme="majorBidi" w:hAnsiTheme="majorBidi" w:cstheme="majorBidi"/>
              </w:rPr>
            </w:pPr>
            <w:r w:rsidRPr="00740E6B">
              <w:rPr>
                <w:rFonts w:asciiTheme="majorBidi" w:hAnsiTheme="majorBidi" w:cstheme="majorBidi"/>
              </w:rPr>
              <w:t>Les contenus de formation sont mis à jour régulièrement.</w:t>
            </w:r>
          </w:p>
        </w:tc>
        <w:tc>
          <w:tcPr>
            <w:tcW w:w="1324" w:type="dxa"/>
          </w:tcPr>
          <w:p w:rsidR="0051794F" w:rsidRPr="00E019CD" w:rsidRDefault="0051794F" w:rsidP="00A83391">
            <w:pPr>
              <w:spacing w:line="360" w:lineRule="auto"/>
              <w:rPr>
                <w:rFonts w:asciiTheme="majorBidi" w:hAnsiTheme="majorBidi" w:cstheme="majorBidi"/>
              </w:rPr>
            </w:pPr>
          </w:p>
        </w:tc>
        <w:tc>
          <w:tcPr>
            <w:tcW w:w="714" w:type="dxa"/>
          </w:tcPr>
          <w:p w:rsidR="0051794F" w:rsidRPr="00E019CD" w:rsidRDefault="0051794F" w:rsidP="00A83391">
            <w:pPr>
              <w:spacing w:line="360" w:lineRule="auto"/>
              <w:rPr>
                <w:rFonts w:asciiTheme="majorBidi" w:hAnsiTheme="majorBidi" w:cstheme="majorBidi"/>
              </w:rPr>
            </w:pPr>
          </w:p>
        </w:tc>
        <w:tc>
          <w:tcPr>
            <w:tcW w:w="1177" w:type="dxa"/>
          </w:tcPr>
          <w:p w:rsidR="0051794F" w:rsidRPr="00E019CD" w:rsidRDefault="0051794F" w:rsidP="00A83391">
            <w:pPr>
              <w:spacing w:line="360" w:lineRule="auto"/>
              <w:rPr>
                <w:rFonts w:asciiTheme="majorBidi" w:hAnsiTheme="majorBidi" w:cstheme="majorBidi"/>
              </w:rPr>
            </w:pPr>
          </w:p>
        </w:tc>
        <w:tc>
          <w:tcPr>
            <w:tcW w:w="1299" w:type="dxa"/>
          </w:tcPr>
          <w:p w:rsidR="0051794F" w:rsidRPr="00E019CD" w:rsidRDefault="0051794F" w:rsidP="00A83391">
            <w:pPr>
              <w:spacing w:line="360" w:lineRule="auto"/>
              <w:rPr>
                <w:rFonts w:asciiTheme="majorBidi" w:hAnsiTheme="majorBidi" w:cstheme="majorBidi"/>
              </w:rPr>
            </w:pPr>
          </w:p>
        </w:tc>
        <w:tc>
          <w:tcPr>
            <w:tcW w:w="1289" w:type="dxa"/>
          </w:tcPr>
          <w:p w:rsidR="0051794F" w:rsidRPr="00E019CD" w:rsidRDefault="0051794F" w:rsidP="00A83391">
            <w:pPr>
              <w:spacing w:line="360" w:lineRule="auto"/>
              <w:rPr>
                <w:rFonts w:asciiTheme="majorBidi" w:hAnsiTheme="majorBidi" w:cstheme="majorBidi"/>
              </w:rPr>
            </w:pPr>
          </w:p>
        </w:tc>
      </w:tr>
    </w:tbl>
    <w:p w:rsidR="0051794F" w:rsidRPr="00740E6B" w:rsidRDefault="0051794F" w:rsidP="0051794F">
      <w:pPr>
        <w:spacing w:before="240" w:line="360" w:lineRule="auto"/>
        <w:rPr>
          <w:rFonts w:asciiTheme="majorBidi" w:hAnsiTheme="majorBidi" w:cstheme="majorBidi"/>
          <w:b/>
          <w:bCs/>
        </w:rPr>
      </w:pPr>
      <w:r w:rsidRPr="00740E6B">
        <w:rPr>
          <w:rFonts w:asciiTheme="majorBidi" w:hAnsiTheme="majorBidi" w:cstheme="majorBidi"/>
          <w:b/>
          <w:bCs/>
        </w:rPr>
        <w:t>Performance de la fonction RH</w:t>
      </w:r>
    </w:p>
    <w:p w:rsidR="0051794F" w:rsidRPr="00E019CD" w:rsidRDefault="0051794F" w:rsidP="0051794F">
      <w:pPr>
        <w:pStyle w:val="p1"/>
        <w:spacing w:line="360" w:lineRule="auto"/>
        <w:rPr>
          <w:rFonts w:asciiTheme="majorBidi" w:hAnsiTheme="majorBidi" w:cstheme="majorBidi"/>
          <w:sz w:val="24"/>
          <w:szCs w:val="24"/>
        </w:rPr>
      </w:pPr>
      <w:r w:rsidRPr="008A5941">
        <w:rPr>
          <w:rFonts w:asciiTheme="majorBidi" w:hAnsiTheme="majorBidi" w:cstheme="majorBidi"/>
          <w:b/>
          <w:bCs/>
          <w:sz w:val="24"/>
          <w:szCs w:val="24"/>
          <w:lang w:val="fr-FR"/>
        </w:rPr>
        <w:t>Q18:</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Sur une échelle de 1 à 5, dans quelle mesure êtes-vous d'accord avec les déclarations</w:t>
      </w:r>
      <w:r w:rsidRPr="008A5941">
        <w:rPr>
          <w:rFonts w:asciiTheme="majorBidi" w:hAnsiTheme="majorBidi" w:cstheme="majorBidi"/>
          <w:sz w:val="24"/>
          <w:szCs w:val="24"/>
          <w:lang w:val="fr-FR"/>
        </w:rPr>
        <w:t xml:space="preserve"> </w:t>
      </w:r>
      <w:r w:rsidRPr="00E019CD">
        <w:rPr>
          <w:rFonts w:asciiTheme="majorBidi" w:hAnsiTheme="majorBidi" w:cstheme="majorBidi"/>
          <w:sz w:val="24"/>
          <w:szCs w:val="24"/>
        </w:rPr>
        <w:t>suivantes ? (soit 1 : pas du tout d'accord et 5 : tout à fait d'accord)</w:t>
      </w:r>
    </w:p>
    <w:tbl>
      <w:tblPr>
        <w:tblStyle w:val="Grilledutableau"/>
        <w:tblW w:w="8931" w:type="dxa"/>
        <w:tblLayout w:type="fixed"/>
        <w:tblLook w:val="04A0" w:firstRow="1" w:lastRow="0" w:firstColumn="1" w:lastColumn="0" w:noHBand="0" w:noVBand="1"/>
      </w:tblPr>
      <w:tblGrid>
        <w:gridCol w:w="2835"/>
        <w:gridCol w:w="1418"/>
        <w:gridCol w:w="1134"/>
        <w:gridCol w:w="992"/>
        <w:gridCol w:w="1134"/>
        <w:gridCol w:w="1418"/>
      </w:tblGrid>
      <w:tr w:rsidR="0051794F" w:rsidRPr="00E019CD" w:rsidTr="0051794F">
        <w:tc>
          <w:tcPr>
            <w:tcW w:w="2835" w:type="dxa"/>
            <w:tcBorders>
              <w:top w:val="nil"/>
              <w:left w:val="nil"/>
            </w:tcBorders>
          </w:tcPr>
          <w:p w:rsidR="0051794F" w:rsidRPr="00740E6B" w:rsidRDefault="0051794F" w:rsidP="00A83391">
            <w:pPr>
              <w:spacing w:line="360" w:lineRule="auto"/>
              <w:rPr>
                <w:rFonts w:asciiTheme="majorBidi" w:hAnsiTheme="majorBidi" w:cstheme="majorBidi"/>
              </w:rPr>
            </w:pPr>
          </w:p>
          <w:p w:rsidR="0051794F" w:rsidRPr="00740E6B" w:rsidRDefault="0051794F" w:rsidP="00A83391">
            <w:pPr>
              <w:spacing w:line="360" w:lineRule="auto"/>
              <w:rPr>
                <w:rFonts w:asciiTheme="majorBidi" w:hAnsiTheme="majorBidi" w:cstheme="majorBidi"/>
              </w:rPr>
            </w:pPr>
          </w:p>
        </w:tc>
        <w:tc>
          <w:tcPr>
            <w:tcW w:w="1418"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lang w:val="en-US"/>
              </w:rPr>
              <w:t>P</w:t>
            </w:r>
            <w:r w:rsidRPr="00E019CD">
              <w:rPr>
                <w:rFonts w:asciiTheme="majorBidi" w:hAnsiTheme="majorBidi" w:cstheme="majorBidi"/>
              </w:rPr>
              <w:t>as du tout d'accord</w:t>
            </w:r>
          </w:p>
        </w:tc>
        <w:tc>
          <w:tcPr>
            <w:tcW w:w="1134" w:type="dxa"/>
          </w:tcPr>
          <w:p w:rsidR="0051794F" w:rsidRPr="00E019CD" w:rsidRDefault="0051794F" w:rsidP="00A83391">
            <w:pPr>
              <w:spacing w:line="360" w:lineRule="auto"/>
              <w:rPr>
                <w:rFonts w:asciiTheme="majorBidi" w:hAnsiTheme="majorBidi" w:cstheme="majorBidi"/>
              </w:rPr>
            </w:pPr>
            <w:proofErr w:type="spellStart"/>
            <w:r w:rsidRPr="00E019CD">
              <w:rPr>
                <w:rFonts w:asciiTheme="majorBidi" w:hAnsiTheme="majorBidi" w:cstheme="majorBidi"/>
                <w:lang w:val="en-US"/>
              </w:rPr>
              <w:t>Peu</w:t>
            </w:r>
            <w:proofErr w:type="spellEnd"/>
            <w:r w:rsidRPr="00E019CD">
              <w:rPr>
                <w:rFonts w:asciiTheme="majorBidi" w:hAnsiTheme="majorBidi" w:cstheme="majorBidi"/>
                <w:lang w:val="en-US"/>
              </w:rPr>
              <w:t xml:space="preserve"> </w:t>
            </w:r>
            <w:r w:rsidRPr="00E019CD">
              <w:rPr>
                <w:rFonts w:asciiTheme="majorBidi" w:hAnsiTheme="majorBidi" w:cstheme="majorBidi"/>
              </w:rPr>
              <w:t>d'accord</w:t>
            </w:r>
          </w:p>
        </w:tc>
        <w:tc>
          <w:tcPr>
            <w:tcW w:w="992"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Neutre</w:t>
            </w:r>
            <w:proofErr w:type="spellEnd"/>
          </w:p>
        </w:tc>
        <w:tc>
          <w:tcPr>
            <w:tcW w:w="1134" w:type="dxa"/>
          </w:tcPr>
          <w:p w:rsidR="0051794F" w:rsidRPr="00E019CD" w:rsidRDefault="0051794F" w:rsidP="00A83391">
            <w:pPr>
              <w:spacing w:line="360" w:lineRule="auto"/>
              <w:rPr>
                <w:rFonts w:asciiTheme="majorBidi" w:hAnsiTheme="majorBidi" w:cstheme="majorBidi"/>
                <w:lang w:val="en-US"/>
              </w:rPr>
            </w:pPr>
            <w:proofErr w:type="spellStart"/>
            <w:r w:rsidRPr="00E019CD">
              <w:rPr>
                <w:rFonts w:asciiTheme="majorBidi" w:hAnsiTheme="majorBidi" w:cstheme="majorBidi"/>
                <w:lang w:val="en-US"/>
              </w:rPr>
              <w:t>D’accord</w:t>
            </w:r>
            <w:proofErr w:type="spellEnd"/>
            <w:r w:rsidRPr="00E019CD">
              <w:rPr>
                <w:rFonts w:asciiTheme="majorBidi" w:hAnsiTheme="majorBidi" w:cstheme="majorBidi"/>
                <w:lang w:val="en-US"/>
              </w:rPr>
              <w:t xml:space="preserve"> </w:t>
            </w:r>
          </w:p>
        </w:tc>
        <w:tc>
          <w:tcPr>
            <w:tcW w:w="1418" w:type="dxa"/>
          </w:tcPr>
          <w:p w:rsidR="0051794F" w:rsidRPr="00E019CD" w:rsidRDefault="0051794F" w:rsidP="00A83391">
            <w:pPr>
              <w:spacing w:line="360" w:lineRule="auto"/>
              <w:rPr>
                <w:rFonts w:asciiTheme="majorBidi" w:hAnsiTheme="majorBidi" w:cstheme="majorBidi"/>
              </w:rPr>
            </w:pPr>
            <w:r w:rsidRPr="00E019CD">
              <w:rPr>
                <w:rFonts w:asciiTheme="majorBidi" w:hAnsiTheme="majorBidi" w:cstheme="majorBidi"/>
              </w:rPr>
              <w:t>tout à fait d'accord</w:t>
            </w:r>
          </w:p>
        </w:tc>
      </w:tr>
      <w:tr w:rsidR="0051794F" w:rsidRPr="00E019CD" w:rsidTr="0051794F">
        <w:tc>
          <w:tcPr>
            <w:tcW w:w="2835" w:type="dxa"/>
          </w:tcPr>
          <w:p w:rsidR="0051794F" w:rsidRPr="00740E6B" w:rsidRDefault="0051794F" w:rsidP="00A83391">
            <w:pPr>
              <w:pStyle w:val="NormalWeb"/>
              <w:spacing w:before="0" w:beforeAutospacing="0" w:after="0" w:afterAutospacing="0" w:line="360" w:lineRule="auto"/>
              <w:rPr>
                <w:rFonts w:asciiTheme="majorBidi" w:hAnsiTheme="majorBidi" w:cstheme="majorBidi"/>
                <w:color w:val="202124"/>
              </w:rPr>
            </w:pPr>
            <w:r w:rsidRPr="00740E6B">
              <w:rPr>
                <w:rFonts w:asciiTheme="majorBidi" w:hAnsiTheme="majorBidi" w:cstheme="majorBidi"/>
                <w:color w:val="202124"/>
              </w:rPr>
              <w:t>La digitalisation a </w:t>
            </w:r>
            <w:r w:rsidRPr="00740E6B">
              <w:rPr>
                <w:rStyle w:val="lev"/>
                <w:rFonts w:asciiTheme="majorBidi" w:hAnsiTheme="majorBidi" w:cstheme="majorBidi"/>
                <w:b w:val="0"/>
                <w:bCs w:val="0"/>
                <w:color w:val="202124"/>
              </w:rPr>
              <w:t>significativement réduit</w:t>
            </w:r>
            <w:r w:rsidRPr="00740E6B">
              <w:rPr>
                <w:rFonts w:asciiTheme="majorBidi" w:hAnsiTheme="majorBidi" w:cstheme="majorBidi"/>
                <w:color w:val="202124"/>
              </w:rPr>
              <w:t> le temps de recrutement.</w:t>
            </w:r>
          </w:p>
        </w:tc>
        <w:tc>
          <w:tcPr>
            <w:tcW w:w="1418"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2"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41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835" w:type="dxa"/>
          </w:tcPr>
          <w:p w:rsidR="0051794F" w:rsidRPr="00740E6B" w:rsidRDefault="0051794F" w:rsidP="00A83391">
            <w:pPr>
              <w:pStyle w:val="NormalWeb"/>
              <w:spacing w:before="0" w:beforeAutospacing="0" w:after="0" w:afterAutospacing="0" w:line="360" w:lineRule="auto"/>
              <w:rPr>
                <w:rFonts w:asciiTheme="majorBidi" w:hAnsiTheme="majorBidi" w:cstheme="majorBidi"/>
                <w:color w:val="202124"/>
              </w:rPr>
            </w:pPr>
            <w:r w:rsidRPr="00740E6B">
              <w:rPr>
                <w:rFonts w:asciiTheme="majorBidi" w:hAnsiTheme="majorBidi" w:cstheme="majorBidi"/>
                <w:color w:val="202124"/>
              </w:rPr>
              <w:t>La qualité des candidatures s'est </w:t>
            </w:r>
            <w:r w:rsidRPr="00740E6B">
              <w:rPr>
                <w:rStyle w:val="lev"/>
                <w:rFonts w:asciiTheme="majorBidi" w:hAnsiTheme="majorBidi" w:cstheme="majorBidi"/>
                <w:b w:val="0"/>
                <w:bCs w:val="0"/>
                <w:color w:val="202124"/>
              </w:rPr>
              <w:t>améliorée grâce au digital</w:t>
            </w:r>
            <w:r w:rsidRPr="00740E6B">
              <w:rPr>
                <w:rFonts w:asciiTheme="majorBidi" w:hAnsiTheme="majorBidi" w:cstheme="majorBidi"/>
                <w:color w:val="202124"/>
              </w:rPr>
              <w:t>.</w:t>
            </w:r>
          </w:p>
        </w:tc>
        <w:tc>
          <w:tcPr>
            <w:tcW w:w="1418"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2"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41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835" w:type="dxa"/>
          </w:tcPr>
          <w:p w:rsidR="0051794F" w:rsidRPr="00740E6B" w:rsidRDefault="0051794F" w:rsidP="00A83391">
            <w:pPr>
              <w:spacing w:line="360" w:lineRule="auto"/>
              <w:rPr>
                <w:rFonts w:asciiTheme="majorBidi" w:hAnsiTheme="majorBidi" w:cstheme="majorBidi"/>
              </w:rPr>
            </w:pPr>
            <w:r w:rsidRPr="00740E6B">
              <w:rPr>
                <w:rFonts w:asciiTheme="majorBidi" w:hAnsiTheme="majorBidi" w:cstheme="majorBidi"/>
                <w:color w:val="202124"/>
                <w:shd w:val="clear" w:color="auto" w:fill="FFFFFF"/>
              </w:rPr>
              <w:t>La gestion de la formation est </w:t>
            </w:r>
            <w:r w:rsidRPr="00740E6B">
              <w:rPr>
                <w:rStyle w:val="lev"/>
                <w:rFonts w:asciiTheme="majorBidi" w:hAnsiTheme="majorBidi" w:cstheme="majorBidi"/>
                <w:b w:val="0"/>
                <w:bCs w:val="0"/>
                <w:color w:val="202124"/>
              </w:rPr>
              <w:t>devenue plus efficace</w:t>
            </w:r>
            <w:r w:rsidRPr="00740E6B">
              <w:rPr>
                <w:rFonts w:asciiTheme="majorBidi" w:hAnsiTheme="majorBidi" w:cstheme="majorBidi"/>
                <w:color w:val="202124"/>
                <w:shd w:val="clear" w:color="auto" w:fill="FFFFFF"/>
              </w:rPr>
              <w:t> via les outils numériques.</w:t>
            </w:r>
          </w:p>
        </w:tc>
        <w:tc>
          <w:tcPr>
            <w:tcW w:w="1418"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2"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41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835" w:type="dxa"/>
          </w:tcPr>
          <w:p w:rsidR="0051794F" w:rsidRPr="00740E6B" w:rsidRDefault="0051794F" w:rsidP="00A83391">
            <w:pPr>
              <w:pStyle w:val="NormalWeb"/>
              <w:spacing w:before="0" w:beforeAutospacing="0" w:after="0" w:afterAutospacing="0" w:line="360" w:lineRule="auto"/>
              <w:rPr>
                <w:rFonts w:asciiTheme="majorBidi" w:hAnsiTheme="majorBidi" w:cstheme="majorBidi"/>
                <w:color w:val="202124"/>
              </w:rPr>
            </w:pPr>
            <w:r w:rsidRPr="00740E6B">
              <w:rPr>
                <w:rFonts w:asciiTheme="majorBidi" w:hAnsiTheme="majorBidi" w:cstheme="majorBidi"/>
                <w:color w:val="202124"/>
              </w:rPr>
              <w:t>Les outils digitaux ont </w:t>
            </w:r>
            <w:r w:rsidRPr="00740E6B">
              <w:rPr>
                <w:rStyle w:val="lev"/>
                <w:rFonts w:asciiTheme="majorBidi" w:hAnsiTheme="majorBidi" w:cstheme="majorBidi"/>
                <w:b w:val="0"/>
                <w:bCs w:val="0"/>
                <w:color w:val="202124"/>
              </w:rPr>
              <w:t>renforcé l'engagement</w:t>
            </w:r>
            <w:r w:rsidRPr="00740E6B">
              <w:rPr>
                <w:rFonts w:asciiTheme="majorBidi" w:hAnsiTheme="majorBidi" w:cstheme="majorBidi"/>
                <w:color w:val="202124"/>
              </w:rPr>
              <w:t> des employés.</w:t>
            </w:r>
          </w:p>
        </w:tc>
        <w:tc>
          <w:tcPr>
            <w:tcW w:w="1418"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2"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41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835" w:type="dxa"/>
          </w:tcPr>
          <w:p w:rsidR="0051794F" w:rsidRPr="00740E6B" w:rsidRDefault="0051794F" w:rsidP="00A83391">
            <w:pPr>
              <w:pStyle w:val="NormalWeb"/>
              <w:spacing w:before="0" w:beforeAutospacing="0" w:after="0" w:afterAutospacing="0" w:line="360" w:lineRule="auto"/>
              <w:rPr>
                <w:rFonts w:asciiTheme="majorBidi" w:hAnsiTheme="majorBidi" w:cstheme="majorBidi"/>
                <w:color w:val="202124"/>
              </w:rPr>
            </w:pPr>
            <w:r w:rsidRPr="00740E6B">
              <w:rPr>
                <w:rFonts w:asciiTheme="majorBidi" w:hAnsiTheme="majorBidi" w:cstheme="majorBidi"/>
                <w:color w:val="202124"/>
              </w:rPr>
              <w:t>La rétention des talents a été </w:t>
            </w:r>
            <w:r w:rsidRPr="00740E6B">
              <w:rPr>
                <w:rStyle w:val="lev"/>
                <w:rFonts w:asciiTheme="majorBidi" w:hAnsiTheme="majorBidi" w:cstheme="majorBidi"/>
                <w:b w:val="0"/>
                <w:bCs w:val="0"/>
                <w:color w:val="202124"/>
              </w:rPr>
              <w:t>améliorée par la digitalisation</w:t>
            </w:r>
            <w:r w:rsidRPr="00740E6B">
              <w:rPr>
                <w:rFonts w:asciiTheme="majorBidi" w:hAnsiTheme="majorBidi" w:cstheme="majorBidi"/>
                <w:b/>
                <w:bCs/>
                <w:color w:val="202124"/>
              </w:rPr>
              <w:t>.</w:t>
            </w:r>
          </w:p>
        </w:tc>
        <w:tc>
          <w:tcPr>
            <w:tcW w:w="1418"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2"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418" w:type="dxa"/>
          </w:tcPr>
          <w:p w:rsidR="0051794F" w:rsidRPr="00E019CD" w:rsidRDefault="0051794F" w:rsidP="00A83391">
            <w:pPr>
              <w:spacing w:line="360" w:lineRule="auto"/>
              <w:rPr>
                <w:rFonts w:asciiTheme="majorBidi" w:hAnsiTheme="majorBidi" w:cstheme="majorBidi"/>
              </w:rPr>
            </w:pPr>
          </w:p>
        </w:tc>
      </w:tr>
      <w:tr w:rsidR="0051794F" w:rsidRPr="00E019CD" w:rsidTr="0051794F">
        <w:tc>
          <w:tcPr>
            <w:tcW w:w="2835" w:type="dxa"/>
          </w:tcPr>
          <w:p w:rsidR="0051794F" w:rsidRPr="00740E6B" w:rsidRDefault="0051794F" w:rsidP="00A83391">
            <w:pPr>
              <w:spacing w:line="360" w:lineRule="auto"/>
              <w:rPr>
                <w:rFonts w:asciiTheme="majorBidi" w:hAnsiTheme="majorBidi" w:cstheme="majorBidi"/>
              </w:rPr>
            </w:pPr>
            <w:r w:rsidRPr="00740E6B">
              <w:rPr>
                <w:rFonts w:asciiTheme="majorBidi" w:hAnsiTheme="majorBidi" w:cstheme="majorBidi"/>
                <w:color w:val="202124"/>
                <w:shd w:val="clear" w:color="auto" w:fill="FFFFFF"/>
              </w:rPr>
              <w:t xml:space="preserve">L'alignement entre la stratégie RH et l'entreprise </w:t>
            </w:r>
            <w:r w:rsidRPr="00740E6B">
              <w:rPr>
                <w:rFonts w:asciiTheme="majorBidi" w:hAnsiTheme="majorBidi" w:cstheme="majorBidi"/>
                <w:color w:val="202124"/>
                <w:shd w:val="clear" w:color="auto" w:fill="FFFFFF"/>
              </w:rPr>
              <w:lastRenderedPageBreak/>
              <w:t>est </w:t>
            </w:r>
            <w:r w:rsidRPr="00740E6B">
              <w:rPr>
                <w:rStyle w:val="lev"/>
                <w:rFonts w:asciiTheme="majorBidi" w:hAnsiTheme="majorBidi" w:cstheme="majorBidi"/>
                <w:b w:val="0"/>
                <w:bCs w:val="0"/>
                <w:color w:val="202124"/>
              </w:rPr>
              <w:t>plus visible</w:t>
            </w:r>
            <w:r w:rsidRPr="00740E6B">
              <w:rPr>
                <w:rFonts w:asciiTheme="majorBidi" w:hAnsiTheme="majorBidi" w:cstheme="majorBidi"/>
                <w:b/>
                <w:bCs/>
                <w:color w:val="202124"/>
                <w:shd w:val="clear" w:color="auto" w:fill="FFFFFF"/>
              </w:rPr>
              <w:t> </w:t>
            </w:r>
            <w:r w:rsidRPr="00740E6B">
              <w:rPr>
                <w:rFonts w:asciiTheme="majorBidi" w:hAnsiTheme="majorBidi" w:cstheme="majorBidi"/>
                <w:color w:val="202124"/>
                <w:shd w:val="clear" w:color="auto" w:fill="FFFFFF"/>
              </w:rPr>
              <w:t>grâce aux outils digitaux.</w:t>
            </w:r>
          </w:p>
        </w:tc>
        <w:tc>
          <w:tcPr>
            <w:tcW w:w="1418"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2"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418" w:type="dxa"/>
          </w:tcPr>
          <w:p w:rsidR="0051794F" w:rsidRPr="00E019CD" w:rsidRDefault="0051794F" w:rsidP="00A83391">
            <w:pPr>
              <w:spacing w:line="360" w:lineRule="auto"/>
              <w:rPr>
                <w:rFonts w:asciiTheme="majorBidi" w:hAnsiTheme="majorBidi" w:cstheme="majorBidi"/>
              </w:rPr>
            </w:pPr>
          </w:p>
        </w:tc>
      </w:tr>
      <w:tr w:rsidR="0051794F" w:rsidRPr="00E019CD" w:rsidTr="0051794F">
        <w:trPr>
          <w:trHeight w:val="91"/>
        </w:trPr>
        <w:tc>
          <w:tcPr>
            <w:tcW w:w="2835" w:type="dxa"/>
          </w:tcPr>
          <w:p w:rsidR="0051794F" w:rsidRPr="00740E6B" w:rsidRDefault="0051794F" w:rsidP="00A83391">
            <w:pPr>
              <w:spacing w:line="360" w:lineRule="auto"/>
              <w:rPr>
                <w:rFonts w:asciiTheme="majorBidi" w:hAnsiTheme="majorBidi" w:cstheme="majorBidi"/>
              </w:rPr>
            </w:pPr>
            <w:r w:rsidRPr="00740E6B">
              <w:rPr>
                <w:rFonts w:asciiTheme="majorBidi" w:hAnsiTheme="majorBidi" w:cstheme="majorBidi"/>
                <w:color w:val="202124"/>
                <w:shd w:val="clear" w:color="auto" w:fill="FFFFFF"/>
              </w:rPr>
              <w:t>La fonction RH est </w:t>
            </w:r>
            <w:r w:rsidRPr="00740E6B">
              <w:rPr>
                <w:rStyle w:val="lev"/>
                <w:rFonts w:asciiTheme="majorBidi" w:hAnsiTheme="majorBidi" w:cstheme="majorBidi"/>
                <w:b w:val="0"/>
                <w:bCs w:val="0"/>
                <w:color w:val="202124"/>
              </w:rPr>
              <w:t>globalement plus performante</w:t>
            </w:r>
            <w:r w:rsidRPr="00740E6B">
              <w:rPr>
                <w:rFonts w:asciiTheme="majorBidi" w:hAnsiTheme="majorBidi" w:cstheme="majorBidi"/>
                <w:color w:val="202124"/>
                <w:shd w:val="clear" w:color="auto" w:fill="FFFFFF"/>
              </w:rPr>
              <w:t> depuis l'adoption du digital.</w:t>
            </w:r>
          </w:p>
        </w:tc>
        <w:tc>
          <w:tcPr>
            <w:tcW w:w="1418"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992" w:type="dxa"/>
          </w:tcPr>
          <w:p w:rsidR="0051794F" w:rsidRPr="00E019CD" w:rsidRDefault="0051794F" w:rsidP="00A83391">
            <w:pPr>
              <w:spacing w:line="360" w:lineRule="auto"/>
              <w:rPr>
                <w:rFonts w:asciiTheme="majorBidi" w:hAnsiTheme="majorBidi" w:cstheme="majorBidi"/>
              </w:rPr>
            </w:pPr>
          </w:p>
        </w:tc>
        <w:tc>
          <w:tcPr>
            <w:tcW w:w="1134" w:type="dxa"/>
          </w:tcPr>
          <w:p w:rsidR="0051794F" w:rsidRPr="00E019CD" w:rsidRDefault="0051794F" w:rsidP="00A83391">
            <w:pPr>
              <w:spacing w:line="360" w:lineRule="auto"/>
              <w:rPr>
                <w:rFonts w:asciiTheme="majorBidi" w:hAnsiTheme="majorBidi" w:cstheme="majorBidi"/>
              </w:rPr>
            </w:pPr>
          </w:p>
        </w:tc>
        <w:tc>
          <w:tcPr>
            <w:tcW w:w="1418" w:type="dxa"/>
          </w:tcPr>
          <w:p w:rsidR="0051794F" w:rsidRPr="00E019CD" w:rsidRDefault="0051794F" w:rsidP="00A83391">
            <w:pPr>
              <w:spacing w:line="360" w:lineRule="auto"/>
              <w:rPr>
                <w:rFonts w:asciiTheme="majorBidi" w:hAnsiTheme="majorBidi" w:cstheme="majorBidi"/>
              </w:rPr>
            </w:pPr>
          </w:p>
        </w:tc>
      </w:tr>
    </w:tbl>
    <w:p w:rsidR="0051794F" w:rsidRDefault="0051794F" w:rsidP="0051794F"/>
    <w:p w:rsidR="00AE572C" w:rsidRPr="00CE4972" w:rsidRDefault="00AE572C" w:rsidP="0051794F">
      <w:pPr>
        <w:pStyle w:val="p1"/>
        <w:spacing w:before="240" w:line="360" w:lineRule="auto"/>
        <w:rPr>
          <w:color w:val="0C0C0C"/>
          <w:sz w:val="24"/>
          <w:szCs w:val="24"/>
        </w:rPr>
      </w:pPr>
      <w:r w:rsidRPr="00AE572C">
        <w:rPr>
          <w:b/>
          <w:bCs/>
          <w:sz w:val="24"/>
          <w:szCs w:val="24"/>
          <w:lang w:val="fr-FR"/>
        </w:rPr>
        <w:t>Annexe N°1</w:t>
      </w:r>
      <w:r w:rsidR="007B7318">
        <w:rPr>
          <w:b/>
          <w:bCs/>
          <w:sz w:val="24"/>
          <w:szCs w:val="24"/>
          <w:lang w:val="fr-FR"/>
        </w:rPr>
        <w:t>1</w:t>
      </w:r>
      <w:r w:rsidRPr="00AE572C">
        <w:rPr>
          <w:b/>
          <w:bCs/>
          <w:sz w:val="24"/>
          <w:szCs w:val="24"/>
          <w:lang w:val="fr-FR"/>
        </w:rPr>
        <w:t xml:space="preserve"> : </w:t>
      </w:r>
      <w:r w:rsidRPr="00CE4972">
        <w:rPr>
          <w:color w:val="0C0C0C"/>
          <w:sz w:val="24"/>
          <w:szCs w:val="24"/>
        </w:rPr>
        <w:t>Résultats du logiciel SmartPLS4</w:t>
      </w:r>
    </w:p>
    <w:p w:rsidR="00AE572C" w:rsidRPr="00BE2D83" w:rsidRDefault="00AE572C">
      <w:pPr>
        <w:pStyle w:val="Paragraphedeliste"/>
        <w:numPr>
          <w:ilvl w:val="0"/>
          <w:numId w:val="3"/>
        </w:numPr>
        <w:spacing w:line="360" w:lineRule="auto"/>
        <w:rPr>
          <w:rFonts w:ascii="Times New Roman" w:eastAsia="Times New Roman" w:hAnsi="Times New Roman" w:cs="Times New Roman"/>
          <w:color w:val="000000"/>
          <w:kern w:val="0"/>
          <w:lang w:eastAsia="fr-FR"/>
          <w14:ligatures w14:val="none"/>
        </w:rPr>
      </w:pPr>
      <w:r w:rsidRPr="00BE2D83">
        <w:rPr>
          <w:rFonts w:ascii="Times New Roman" w:eastAsia="Times New Roman" w:hAnsi="Times New Roman" w:cs="Times New Roman"/>
          <w:b/>
          <w:bCs/>
          <w:color w:val="000000"/>
          <w:kern w:val="0"/>
          <w:lang w:eastAsia="fr-FR"/>
          <w14:ligatures w14:val="none"/>
        </w:rPr>
        <w:t>Tests de fiabilité:</w:t>
      </w:r>
    </w:p>
    <w:p w:rsidR="00AE572C" w:rsidRDefault="00AE572C" w:rsidP="00BE2D83">
      <w:r>
        <w:rPr>
          <w:noProof/>
        </w:rPr>
        <w:drawing>
          <wp:inline distT="0" distB="0" distL="0" distR="0">
            <wp:extent cx="6367348" cy="1529542"/>
            <wp:effectExtent l="0" t="0" r="0" b="0"/>
            <wp:docPr id="675632844"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32844" name="Image 675632844"/>
                    <pic:cNvPicPr/>
                  </pic:nvPicPr>
                  <pic:blipFill rotWithShape="1">
                    <a:blip r:embed="rId166" cstate="print">
                      <a:extLst>
                        <a:ext uri="{28A0092B-C50C-407E-A947-70E740481C1C}">
                          <a14:useLocalDpi xmlns:a14="http://schemas.microsoft.com/office/drawing/2010/main" val="0"/>
                        </a:ext>
                      </a:extLst>
                    </a:blip>
                    <a:srcRect l="31507" t="15050" r="742" b="58909"/>
                    <a:stretch/>
                  </pic:blipFill>
                  <pic:spPr bwMode="auto">
                    <a:xfrm>
                      <a:off x="0" y="0"/>
                      <a:ext cx="6447567" cy="1548812"/>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rsidP="00BE2D83">
      <w:r>
        <w:rPr>
          <w:noProof/>
        </w:rPr>
        <w:drawing>
          <wp:inline distT="0" distB="0" distL="0" distR="0">
            <wp:extent cx="6367145" cy="1761325"/>
            <wp:effectExtent l="0" t="0" r="0" b="4445"/>
            <wp:docPr id="2061257992"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57992" name="Image 2061257992"/>
                    <pic:cNvPicPr/>
                  </pic:nvPicPr>
                  <pic:blipFill rotWithShape="1">
                    <a:blip r:embed="rId167" cstate="print">
                      <a:extLst>
                        <a:ext uri="{28A0092B-C50C-407E-A947-70E740481C1C}">
                          <a14:useLocalDpi xmlns:a14="http://schemas.microsoft.com/office/drawing/2010/main" val="0"/>
                        </a:ext>
                      </a:extLst>
                    </a:blip>
                    <a:srcRect l="31306" t="15092" r="855" b="54881"/>
                    <a:stretch/>
                  </pic:blipFill>
                  <pic:spPr bwMode="auto">
                    <a:xfrm>
                      <a:off x="0" y="0"/>
                      <a:ext cx="6437312" cy="1780735"/>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rsidP="00EF48D2">
      <w:r>
        <w:rPr>
          <w:noProof/>
        </w:rPr>
        <w:drawing>
          <wp:inline distT="0" distB="0" distL="0" distR="0">
            <wp:extent cx="3379776" cy="1857554"/>
            <wp:effectExtent l="0" t="0" r="0" b="0"/>
            <wp:docPr id="1475600969"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00969" name="Image 1475600969"/>
                    <pic:cNvPicPr/>
                  </pic:nvPicPr>
                  <pic:blipFill rotWithShape="1">
                    <a:blip r:embed="rId168" cstate="print">
                      <a:extLst>
                        <a:ext uri="{28A0092B-C50C-407E-A947-70E740481C1C}">
                          <a14:useLocalDpi xmlns:a14="http://schemas.microsoft.com/office/drawing/2010/main" val="0"/>
                        </a:ext>
                      </a:extLst>
                    </a:blip>
                    <a:srcRect l="30907" t="15894" r="39691" b="58249"/>
                    <a:stretch/>
                  </pic:blipFill>
                  <pic:spPr bwMode="auto">
                    <a:xfrm>
                      <a:off x="0" y="0"/>
                      <a:ext cx="3396166" cy="1866562"/>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p w:rsidR="005E6F44" w:rsidRDefault="005E6F44" w:rsidP="00EF48D2">
      <w:pPr>
        <w:pStyle w:val="p1"/>
        <w:spacing w:line="360" w:lineRule="auto"/>
        <w:rPr>
          <w:b/>
          <w:bCs/>
          <w:sz w:val="24"/>
          <w:szCs w:val="24"/>
        </w:rPr>
      </w:pPr>
    </w:p>
    <w:p w:rsidR="005E6F44" w:rsidRDefault="005E6F44" w:rsidP="00EF48D2">
      <w:pPr>
        <w:pStyle w:val="p1"/>
        <w:spacing w:line="360" w:lineRule="auto"/>
        <w:rPr>
          <w:b/>
          <w:bCs/>
          <w:sz w:val="24"/>
          <w:szCs w:val="24"/>
        </w:rPr>
      </w:pPr>
    </w:p>
    <w:p w:rsidR="005E6F44" w:rsidRDefault="005E6F44" w:rsidP="00EF48D2">
      <w:pPr>
        <w:pStyle w:val="p1"/>
        <w:spacing w:line="360" w:lineRule="auto"/>
        <w:rPr>
          <w:b/>
          <w:bCs/>
          <w:sz w:val="24"/>
          <w:szCs w:val="24"/>
        </w:rPr>
      </w:pPr>
    </w:p>
    <w:p w:rsidR="005E6F44" w:rsidRDefault="005E6F44" w:rsidP="00EF48D2">
      <w:pPr>
        <w:pStyle w:val="p1"/>
        <w:spacing w:line="360" w:lineRule="auto"/>
        <w:rPr>
          <w:b/>
          <w:bCs/>
          <w:sz w:val="24"/>
          <w:szCs w:val="24"/>
        </w:rPr>
      </w:pPr>
    </w:p>
    <w:p w:rsidR="00AE572C" w:rsidRPr="00AE572C" w:rsidRDefault="00CE4972" w:rsidP="00EF48D2">
      <w:pPr>
        <w:pStyle w:val="p1"/>
        <w:spacing w:line="360" w:lineRule="auto"/>
        <w:rPr>
          <w:color w:val="0C0C0C"/>
          <w:sz w:val="24"/>
          <w:szCs w:val="24"/>
          <w:lang w:val="fr-FR"/>
        </w:rPr>
      </w:pPr>
      <w:r w:rsidRPr="00CE4972">
        <w:rPr>
          <w:b/>
          <w:bCs/>
          <w:sz w:val="24"/>
          <w:szCs w:val="24"/>
        </w:rPr>
        <w:lastRenderedPageBreak/>
        <w:t>Annexe N°1</w:t>
      </w:r>
      <w:r w:rsidR="007B7318">
        <w:rPr>
          <w:b/>
          <w:bCs/>
          <w:sz w:val="24"/>
          <w:szCs w:val="24"/>
          <w:lang w:val="fr-FR"/>
        </w:rPr>
        <w:t>2</w:t>
      </w:r>
      <w:r w:rsidR="00AE572C" w:rsidRPr="00AE572C">
        <w:rPr>
          <w:b/>
          <w:bCs/>
          <w:sz w:val="24"/>
          <w:szCs w:val="24"/>
          <w:lang w:val="fr-FR"/>
        </w:rPr>
        <w:t xml:space="preserve"> : </w:t>
      </w:r>
      <w:r w:rsidR="00AE572C" w:rsidRPr="00CE4972">
        <w:rPr>
          <w:color w:val="0C0C0C"/>
          <w:sz w:val="24"/>
          <w:szCs w:val="24"/>
        </w:rPr>
        <w:t xml:space="preserve">Résultats du logiciel </w:t>
      </w:r>
      <w:r w:rsidR="00AE572C" w:rsidRPr="00CE4972">
        <w:rPr>
          <w:color w:val="0C0C0C"/>
          <w:sz w:val="24"/>
          <w:szCs w:val="24"/>
          <w:lang w:val="fr-FR"/>
        </w:rPr>
        <w:t>Anaconda (</w:t>
      </w:r>
      <w:proofErr w:type="spellStart"/>
      <w:r w:rsidR="00AE572C" w:rsidRPr="00CE4972">
        <w:rPr>
          <w:color w:val="0C0C0C"/>
          <w:sz w:val="24"/>
          <w:szCs w:val="24"/>
          <w:lang w:val="fr-FR"/>
        </w:rPr>
        <w:t>Jupyter</w:t>
      </w:r>
      <w:proofErr w:type="spellEnd"/>
      <w:r w:rsidR="00AE572C" w:rsidRPr="00CE4972">
        <w:rPr>
          <w:color w:val="0C0C0C"/>
          <w:sz w:val="24"/>
          <w:szCs w:val="24"/>
          <w:lang w:val="fr-FR"/>
        </w:rPr>
        <w:t>)</w:t>
      </w:r>
    </w:p>
    <w:p w:rsidR="00AE572C" w:rsidRPr="00EF48D2" w:rsidRDefault="00AE572C">
      <w:pPr>
        <w:pStyle w:val="Paragraphedeliste"/>
        <w:numPr>
          <w:ilvl w:val="0"/>
          <w:numId w:val="2"/>
        </w:numPr>
        <w:spacing w:line="360" w:lineRule="auto"/>
        <w:rPr>
          <w:rFonts w:asciiTheme="majorBidi" w:hAnsiTheme="majorBidi" w:cstheme="majorBidi"/>
        </w:rPr>
      </w:pPr>
      <w:r w:rsidRPr="00EF48D2">
        <w:rPr>
          <w:rFonts w:asciiTheme="majorBidi" w:hAnsiTheme="majorBidi" w:cstheme="majorBidi"/>
          <w:b/>
          <w:bCs/>
          <w:color w:val="000000"/>
          <w:lang w:val="fr-FR"/>
        </w:rPr>
        <w:t>Test T de l’axe “Automatisation”</w:t>
      </w:r>
    </w:p>
    <w:p w:rsidR="00AE572C" w:rsidRDefault="00AE572C" w:rsidP="005E6F44">
      <w:pPr>
        <w:jc w:val="center"/>
      </w:pPr>
      <w:r>
        <w:rPr>
          <w:noProof/>
        </w:rPr>
        <w:drawing>
          <wp:inline distT="0" distB="0" distL="0" distR="0">
            <wp:extent cx="6290214" cy="1170924"/>
            <wp:effectExtent l="0" t="0" r="0" b="0"/>
            <wp:docPr id="129040390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03906" name="Image 1290403906"/>
                    <pic:cNvPicPr/>
                  </pic:nvPicPr>
                  <pic:blipFill rotWithShape="1">
                    <a:blip r:embed="rId169" cstate="print">
                      <a:extLst>
                        <a:ext uri="{28A0092B-C50C-407E-A947-70E740481C1C}">
                          <a14:useLocalDpi xmlns:a14="http://schemas.microsoft.com/office/drawing/2010/main" val="0"/>
                        </a:ext>
                      </a:extLst>
                    </a:blip>
                    <a:srcRect l="14554" t="36543" r="10881" b="41248"/>
                    <a:stretch/>
                  </pic:blipFill>
                  <pic:spPr bwMode="auto">
                    <a:xfrm>
                      <a:off x="0" y="0"/>
                      <a:ext cx="6391123" cy="1189708"/>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p w:rsidR="00AE572C" w:rsidRPr="00EF48D2" w:rsidRDefault="00AE572C">
      <w:pPr>
        <w:pStyle w:val="Paragraphedeliste"/>
        <w:numPr>
          <w:ilvl w:val="0"/>
          <w:numId w:val="2"/>
        </w:numPr>
        <w:rPr>
          <w:rFonts w:asciiTheme="majorBidi" w:hAnsiTheme="majorBidi" w:cstheme="majorBidi"/>
        </w:rPr>
      </w:pPr>
      <w:r w:rsidRPr="00EF48D2">
        <w:rPr>
          <w:rFonts w:asciiTheme="majorBidi" w:hAnsiTheme="majorBidi" w:cstheme="majorBidi"/>
          <w:b/>
          <w:bCs/>
          <w:color w:val="000000"/>
          <w:lang w:val="fr-FR"/>
        </w:rPr>
        <w:t>Test T de l’axe “Numérisation”</w:t>
      </w:r>
    </w:p>
    <w:p w:rsidR="00AE572C" w:rsidRDefault="00AE572C">
      <w:r>
        <w:rPr>
          <w:noProof/>
        </w:rPr>
        <w:drawing>
          <wp:inline distT="0" distB="0" distL="0" distR="0">
            <wp:extent cx="6289675" cy="1096313"/>
            <wp:effectExtent l="0" t="0" r="0" b="0"/>
            <wp:docPr id="62071999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19997" name="Image 620719997"/>
                    <pic:cNvPicPr/>
                  </pic:nvPicPr>
                  <pic:blipFill rotWithShape="1">
                    <a:blip r:embed="rId170" cstate="print">
                      <a:extLst>
                        <a:ext uri="{28A0092B-C50C-407E-A947-70E740481C1C}">
                          <a14:useLocalDpi xmlns:a14="http://schemas.microsoft.com/office/drawing/2010/main" val="0"/>
                        </a:ext>
                      </a:extLst>
                    </a:blip>
                    <a:srcRect l="16986" t="58967" r="14308" b="21871"/>
                    <a:stretch/>
                  </pic:blipFill>
                  <pic:spPr bwMode="auto">
                    <a:xfrm>
                      <a:off x="0" y="0"/>
                      <a:ext cx="6469922" cy="1127731"/>
                    </a:xfrm>
                    <a:prstGeom prst="rect">
                      <a:avLst/>
                    </a:prstGeom>
                    <a:ln>
                      <a:noFill/>
                    </a:ln>
                    <a:extLst>
                      <a:ext uri="{53640926-AAD7-44D8-BBD7-CCE9431645EC}">
                        <a14:shadowObscured xmlns:a14="http://schemas.microsoft.com/office/drawing/2010/main"/>
                      </a:ext>
                    </a:extLst>
                  </pic:spPr>
                </pic:pic>
              </a:graphicData>
            </a:graphic>
          </wp:inline>
        </w:drawing>
      </w:r>
    </w:p>
    <w:p w:rsidR="00AE572C" w:rsidRPr="00EF48D2" w:rsidRDefault="00AE572C">
      <w:pPr>
        <w:pStyle w:val="Paragraphedeliste"/>
        <w:numPr>
          <w:ilvl w:val="0"/>
          <w:numId w:val="2"/>
        </w:numPr>
        <w:rPr>
          <w:rFonts w:asciiTheme="majorBidi" w:hAnsiTheme="majorBidi" w:cstheme="majorBidi"/>
        </w:rPr>
      </w:pPr>
      <w:r w:rsidRPr="00EF48D2">
        <w:rPr>
          <w:rFonts w:asciiTheme="majorBidi" w:hAnsiTheme="majorBidi" w:cstheme="majorBidi"/>
          <w:b/>
          <w:bCs/>
          <w:color w:val="000000"/>
          <w:lang w:val="fr-FR"/>
        </w:rPr>
        <w:t>Test T de l’axe “Accessibilité numérique”</w:t>
      </w:r>
    </w:p>
    <w:p w:rsidR="00AE572C" w:rsidRDefault="00AE572C" w:rsidP="00A61EAD">
      <w:pPr>
        <w:jc w:val="center"/>
      </w:pPr>
      <w:r>
        <w:rPr>
          <w:noProof/>
        </w:rPr>
        <w:drawing>
          <wp:inline distT="0" distB="0" distL="0" distR="0">
            <wp:extent cx="6289675" cy="1149912"/>
            <wp:effectExtent l="0" t="0" r="0" b="6350"/>
            <wp:docPr id="164944681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46816" name="Image 1649446816"/>
                    <pic:cNvPicPr/>
                  </pic:nvPicPr>
                  <pic:blipFill rotWithShape="1">
                    <a:blip r:embed="rId171" cstate="print">
                      <a:extLst>
                        <a:ext uri="{28A0092B-C50C-407E-A947-70E740481C1C}">
                          <a14:useLocalDpi xmlns:a14="http://schemas.microsoft.com/office/drawing/2010/main" val="0"/>
                        </a:ext>
                      </a:extLst>
                    </a:blip>
                    <a:srcRect l="18712" t="48667" r="14096" b="31676"/>
                    <a:stretch/>
                  </pic:blipFill>
                  <pic:spPr bwMode="auto">
                    <a:xfrm>
                      <a:off x="0" y="0"/>
                      <a:ext cx="6388353" cy="1167953"/>
                    </a:xfrm>
                    <a:prstGeom prst="rect">
                      <a:avLst/>
                    </a:prstGeom>
                    <a:ln>
                      <a:noFill/>
                    </a:ln>
                    <a:extLst>
                      <a:ext uri="{53640926-AAD7-44D8-BBD7-CCE9431645EC}">
                        <a14:shadowObscured xmlns:a14="http://schemas.microsoft.com/office/drawing/2010/main"/>
                      </a:ext>
                    </a:extLst>
                  </pic:spPr>
                </pic:pic>
              </a:graphicData>
            </a:graphic>
          </wp:inline>
        </w:drawing>
      </w:r>
    </w:p>
    <w:p w:rsidR="00AE572C" w:rsidRPr="00EF48D2" w:rsidRDefault="00AE572C">
      <w:pPr>
        <w:pStyle w:val="Paragraphedeliste"/>
        <w:numPr>
          <w:ilvl w:val="0"/>
          <w:numId w:val="2"/>
        </w:numPr>
        <w:rPr>
          <w:rFonts w:asciiTheme="majorBidi" w:hAnsiTheme="majorBidi" w:cstheme="majorBidi"/>
        </w:rPr>
      </w:pPr>
      <w:r w:rsidRPr="00EF48D2">
        <w:rPr>
          <w:rFonts w:asciiTheme="majorBidi" w:hAnsiTheme="majorBidi" w:cstheme="majorBidi"/>
          <w:b/>
          <w:bCs/>
          <w:color w:val="000000"/>
          <w:lang w:val="fr-FR"/>
        </w:rPr>
        <w:t>Test T de l’axe “Processus de recrutement digitalisé”</w:t>
      </w:r>
    </w:p>
    <w:p w:rsidR="00AE572C" w:rsidRDefault="00AE572C" w:rsidP="00185B83">
      <w:pPr>
        <w:jc w:val="center"/>
      </w:pPr>
      <w:r>
        <w:rPr>
          <w:noProof/>
        </w:rPr>
        <w:drawing>
          <wp:inline distT="0" distB="0" distL="0" distR="0" wp14:anchorId="6A27CA21" wp14:editId="13824D86">
            <wp:extent cx="6230620" cy="1078614"/>
            <wp:effectExtent l="0" t="0" r="0" b="1270"/>
            <wp:docPr id="117647683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76834" name="Image 1176476834"/>
                    <pic:cNvPicPr/>
                  </pic:nvPicPr>
                  <pic:blipFill rotWithShape="1">
                    <a:blip r:embed="rId172" cstate="print">
                      <a:extLst>
                        <a:ext uri="{28A0092B-C50C-407E-A947-70E740481C1C}">
                          <a14:useLocalDpi xmlns:a14="http://schemas.microsoft.com/office/drawing/2010/main" val="0"/>
                        </a:ext>
                      </a:extLst>
                    </a:blip>
                    <a:srcRect l="4352" t="39711" r="6972" b="35723"/>
                    <a:stretch/>
                  </pic:blipFill>
                  <pic:spPr bwMode="auto">
                    <a:xfrm>
                      <a:off x="0" y="0"/>
                      <a:ext cx="6323747" cy="1094736"/>
                    </a:xfrm>
                    <a:prstGeom prst="rect">
                      <a:avLst/>
                    </a:prstGeom>
                    <a:ln>
                      <a:noFill/>
                    </a:ln>
                    <a:extLst>
                      <a:ext uri="{53640926-AAD7-44D8-BBD7-CCE9431645EC}">
                        <a14:shadowObscured xmlns:a14="http://schemas.microsoft.com/office/drawing/2010/main"/>
                      </a:ext>
                    </a:extLst>
                  </pic:spPr>
                </pic:pic>
              </a:graphicData>
            </a:graphic>
          </wp:inline>
        </w:drawing>
      </w:r>
    </w:p>
    <w:p w:rsidR="00AE572C" w:rsidRPr="00EF48D2" w:rsidRDefault="00AE572C">
      <w:pPr>
        <w:pStyle w:val="Paragraphedeliste"/>
        <w:numPr>
          <w:ilvl w:val="0"/>
          <w:numId w:val="2"/>
        </w:numPr>
        <w:rPr>
          <w:rFonts w:asciiTheme="majorBidi" w:hAnsiTheme="majorBidi" w:cstheme="majorBidi"/>
        </w:rPr>
      </w:pPr>
      <w:r w:rsidRPr="00EF48D2">
        <w:rPr>
          <w:rFonts w:asciiTheme="majorBidi" w:hAnsiTheme="majorBidi" w:cstheme="majorBidi"/>
          <w:b/>
          <w:bCs/>
          <w:color w:val="000000"/>
          <w:lang w:val="fr-FR"/>
        </w:rPr>
        <w:t>Test T de l’axe “Processus de formation digitalisée”</w:t>
      </w:r>
    </w:p>
    <w:p w:rsidR="00AE572C" w:rsidRDefault="00AE572C" w:rsidP="00185B83">
      <w:pPr>
        <w:jc w:val="center"/>
      </w:pPr>
      <w:r>
        <w:rPr>
          <w:noProof/>
        </w:rPr>
        <w:drawing>
          <wp:inline distT="0" distB="0" distL="0" distR="0">
            <wp:extent cx="6164713" cy="1100566"/>
            <wp:effectExtent l="0" t="0" r="0" b="4445"/>
            <wp:docPr id="111059166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91669" name="Image 1110591669"/>
                    <pic:cNvPicPr/>
                  </pic:nvPicPr>
                  <pic:blipFill rotWithShape="1">
                    <a:blip r:embed="rId173" cstate="print">
                      <a:extLst>
                        <a:ext uri="{28A0092B-C50C-407E-A947-70E740481C1C}">
                          <a14:useLocalDpi xmlns:a14="http://schemas.microsoft.com/office/drawing/2010/main" val="0"/>
                        </a:ext>
                      </a:extLst>
                    </a:blip>
                    <a:srcRect l="11177" t="55793" r="12279" b="22342"/>
                    <a:stretch/>
                  </pic:blipFill>
                  <pic:spPr bwMode="auto">
                    <a:xfrm>
                      <a:off x="0" y="0"/>
                      <a:ext cx="6201546" cy="1107142"/>
                    </a:xfrm>
                    <a:prstGeom prst="rect">
                      <a:avLst/>
                    </a:prstGeom>
                    <a:ln>
                      <a:noFill/>
                    </a:ln>
                    <a:extLst>
                      <a:ext uri="{53640926-AAD7-44D8-BBD7-CCE9431645EC}">
                        <a14:shadowObscured xmlns:a14="http://schemas.microsoft.com/office/drawing/2010/main"/>
                      </a:ext>
                    </a:extLst>
                  </pic:spPr>
                </pic:pic>
              </a:graphicData>
            </a:graphic>
          </wp:inline>
        </w:drawing>
      </w:r>
    </w:p>
    <w:p w:rsidR="00AE572C" w:rsidRPr="00EF48D2" w:rsidRDefault="00AE572C">
      <w:pPr>
        <w:pStyle w:val="Paragraphedeliste"/>
        <w:numPr>
          <w:ilvl w:val="0"/>
          <w:numId w:val="2"/>
        </w:numPr>
        <w:rPr>
          <w:rFonts w:asciiTheme="majorBidi" w:hAnsiTheme="majorBidi" w:cstheme="majorBidi"/>
        </w:rPr>
      </w:pPr>
      <w:r w:rsidRPr="00EF48D2">
        <w:rPr>
          <w:rFonts w:asciiTheme="majorBidi" w:hAnsiTheme="majorBidi" w:cstheme="majorBidi"/>
          <w:b/>
          <w:bCs/>
          <w:color w:val="000000"/>
          <w:lang w:val="fr-FR"/>
        </w:rPr>
        <w:t>Test T de l’axe “Performance des RH”</w:t>
      </w:r>
    </w:p>
    <w:p w:rsidR="00AE572C" w:rsidRDefault="00AE572C" w:rsidP="00EF48D2">
      <w:r>
        <w:rPr>
          <w:noProof/>
        </w:rPr>
        <w:drawing>
          <wp:inline distT="0" distB="0" distL="0" distR="0" wp14:anchorId="75B71453" wp14:editId="0B93B0C3">
            <wp:extent cx="6164580" cy="1091713"/>
            <wp:effectExtent l="0" t="0" r="0" b="635"/>
            <wp:docPr id="168438651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86511" name="Image 1684386511"/>
                    <pic:cNvPicPr/>
                  </pic:nvPicPr>
                  <pic:blipFill rotWithShape="1">
                    <a:blip r:embed="rId174" cstate="print">
                      <a:extLst>
                        <a:ext uri="{28A0092B-C50C-407E-A947-70E740481C1C}">
                          <a14:useLocalDpi xmlns:a14="http://schemas.microsoft.com/office/drawing/2010/main" val="0"/>
                        </a:ext>
                      </a:extLst>
                    </a:blip>
                    <a:srcRect l="7043" t="37256" r="12603" b="39974"/>
                    <a:stretch/>
                  </pic:blipFill>
                  <pic:spPr bwMode="auto">
                    <a:xfrm>
                      <a:off x="0" y="0"/>
                      <a:ext cx="6189898" cy="1096197"/>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rsidP="00EF48D2"/>
    <w:p w:rsidR="00AE572C" w:rsidRDefault="00AE572C" w:rsidP="00EF48D2"/>
    <w:p w:rsidR="00AE572C" w:rsidRDefault="00AE572C" w:rsidP="00EF48D2"/>
    <w:p w:rsidR="00AE572C" w:rsidRPr="00EF48D2" w:rsidRDefault="00AE572C" w:rsidP="00EF48D2"/>
    <w:p w:rsidR="00AE572C" w:rsidRPr="005E6F44" w:rsidRDefault="00CE4972" w:rsidP="005E6F44">
      <w:pPr>
        <w:spacing w:after="240"/>
        <w:rPr>
          <w:color w:val="18191B"/>
          <w:lang w:val="fr-FR" w:eastAsia="fr-FR"/>
        </w:rPr>
      </w:pPr>
      <w:r>
        <w:rPr>
          <w:rFonts w:asciiTheme="majorBidi" w:hAnsiTheme="majorBidi" w:cstheme="majorBidi"/>
          <w:b/>
          <w:bCs/>
          <w:color w:val="000000"/>
          <w:lang w:val="fr-FR"/>
        </w:rPr>
        <w:t>Annexe N°1</w:t>
      </w:r>
      <w:r w:rsidR="007B7318">
        <w:rPr>
          <w:rFonts w:asciiTheme="majorBidi" w:hAnsiTheme="majorBidi" w:cstheme="majorBidi"/>
          <w:b/>
          <w:bCs/>
          <w:color w:val="000000"/>
          <w:lang w:val="fr-FR"/>
        </w:rPr>
        <w:t>3</w:t>
      </w:r>
      <w:r w:rsidR="00AE572C" w:rsidRPr="00446EEA">
        <w:rPr>
          <w:b/>
          <w:bCs/>
          <w:color w:val="000000"/>
          <w:lang w:eastAsia="fr-FR"/>
        </w:rPr>
        <w:t xml:space="preserve"> : </w:t>
      </w:r>
      <w:r w:rsidR="00AE572C" w:rsidRPr="00CE4972">
        <w:rPr>
          <w:color w:val="18191B"/>
          <w:lang w:eastAsia="fr-FR"/>
        </w:rPr>
        <w:t>Résultats du logiciel SPSS version 2</w:t>
      </w:r>
      <w:r w:rsidR="00AE572C" w:rsidRPr="00CE4972">
        <w:rPr>
          <w:color w:val="18191B"/>
          <w:lang w:val="fr-FR" w:eastAsia="fr-FR"/>
        </w:rPr>
        <w:t>9</w:t>
      </w:r>
    </w:p>
    <w:p w:rsidR="00AE572C" w:rsidRPr="00FE034D" w:rsidRDefault="00AE572C">
      <w:pPr>
        <w:pStyle w:val="Paragraphedeliste"/>
        <w:numPr>
          <w:ilvl w:val="0"/>
          <w:numId w:val="1"/>
        </w:numPr>
        <w:rPr>
          <w:rFonts w:asciiTheme="majorBidi" w:hAnsiTheme="majorBidi" w:cstheme="majorBidi"/>
          <w:b/>
          <w:bCs/>
          <w:lang w:val="en-US"/>
        </w:rPr>
      </w:pPr>
      <w:r w:rsidRPr="00FE034D">
        <w:rPr>
          <w:rFonts w:asciiTheme="majorBidi" w:hAnsiTheme="majorBidi" w:cstheme="majorBidi"/>
          <w:b/>
          <w:bCs/>
          <w:lang w:val="en-US"/>
        </w:rPr>
        <w:t xml:space="preserve">H1: </w:t>
      </w:r>
    </w:p>
    <w:p w:rsidR="00AE572C" w:rsidRDefault="00AE572C">
      <w:r>
        <w:rPr>
          <w:noProof/>
        </w:rPr>
        <w:drawing>
          <wp:inline distT="0" distB="0" distL="0" distR="0">
            <wp:extent cx="7140501" cy="3930641"/>
            <wp:effectExtent l="0" t="0" r="0" b="0"/>
            <wp:docPr id="1255992295"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92295" name="Image 1255992295"/>
                    <pic:cNvPicPr/>
                  </pic:nvPicPr>
                  <pic:blipFill rotWithShape="1">
                    <a:blip r:embed="rId175" cstate="print">
                      <a:extLst>
                        <a:ext uri="{28A0092B-C50C-407E-A947-70E740481C1C}">
                          <a14:useLocalDpi xmlns:a14="http://schemas.microsoft.com/office/drawing/2010/main" val="0"/>
                        </a:ext>
                      </a:extLst>
                    </a:blip>
                    <a:srcRect l="14949" t="30706" r="37152" b="13753"/>
                    <a:stretch/>
                  </pic:blipFill>
                  <pic:spPr bwMode="auto">
                    <a:xfrm>
                      <a:off x="0" y="0"/>
                      <a:ext cx="7280552" cy="4007735"/>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p w:rsidR="00AE572C" w:rsidRPr="00FE034D" w:rsidRDefault="00AE572C">
      <w:pPr>
        <w:pStyle w:val="Paragraphedeliste"/>
        <w:numPr>
          <w:ilvl w:val="0"/>
          <w:numId w:val="1"/>
        </w:numPr>
        <w:rPr>
          <w:rFonts w:asciiTheme="majorBidi" w:hAnsiTheme="majorBidi" w:cstheme="majorBidi"/>
          <w:b/>
          <w:bCs/>
          <w:lang w:val="en-US"/>
        </w:rPr>
      </w:pPr>
      <w:r w:rsidRPr="00FE034D">
        <w:rPr>
          <w:rFonts w:asciiTheme="majorBidi" w:hAnsiTheme="majorBidi" w:cstheme="majorBidi"/>
          <w:b/>
          <w:bCs/>
          <w:lang w:val="en-US"/>
        </w:rPr>
        <w:t xml:space="preserve">H1.1 : </w:t>
      </w:r>
    </w:p>
    <w:p w:rsidR="00AE572C" w:rsidRDefault="00AE572C">
      <w:r>
        <w:rPr>
          <w:noProof/>
        </w:rPr>
        <w:drawing>
          <wp:inline distT="0" distB="0" distL="0" distR="0" wp14:anchorId="335E3952" wp14:editId="40C9DF5F">
            <wp:extent cx="7018020" cy="3644721"/>
            <wp:effectExtent l="0" t="0" r="5080" b="635"/>
            <wp:docPr id="16968431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4311" name="Image 169684311"/>
                    <pic:cNvPicPr/>
                  </pic:nvPicPr>
                  <pic:blipFill rotWithShape="1">
                    <a:blip r:embed="rId176" cstate="print">
                      <a:extLst>
                        <a:ext uri="{28A0092B-C50C-407E-A947-70E740481C1C}">
                          <a14:useLocalDpi xmlns:a14="http://schemas.microsoft.com/office/drawing/2010/main" val="0"/>
                        </a:ext>
                      </a:extLst>
                    </a:blip>
                    <a:srcRect l="14663" t="29667" r="37095" b="14212"/>
                    <a:stretch/>
                  </pic:blipFill>
                  <pic:spPr bwMode="auto">
                    <a:xfrm>
                      <a:off x="0" y="0"/>
                      <a:ext cx="7121752" cy="3698593"/>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p w:rsidR="00AE572C" w:rsidRPr="00FE034D" w:rsidRDefault="00AE572C">
      <w:pPr>
        <w:pStyle w:val="Paragraphedeliste"/>
        <w:numPr>
          <w:ilvl w:val="0"/>
          <w:numId w:val="1"/>
        </w:numPr>
        <w:rPr>
          <w:rFonts w:ascii="Times New Roman" w:hAnsi="Times New Roman" w:cs="Times New Roman"/>
          <w:b/>
          <w:bCs/>
          <w:lang w:val="en-US"/>
        </w:rPr>
      </w:pPr>
      <w:r w:rsidRPr="00FE034D">
        <w:rPr>
          <w:rFonts w:ascii="Times New Roman" w:hAnsi="Times New Roman" w:cs="Times New Roman"/>
          <w:b/>
          <w:bCs/>
          <w:lang w:val="en-US"/>
        </w:rPr>
        <w:t>H1.2 :</w:t>
      </w:r>
    </w:p>
    <w:p w:rsidR="00AE572C" w:rsidRDefault="00AE572C" w:rsidP="00510564">
      <w:r>
        <w:rPr>
          <w:noProof/>
        </w:rPr>
        <w:drawing>
          <wp:inline distT="0" distB="0" distL="0" distR="0" wp14:anchorId="6E09FCA5" wp14:editId="102E282D">
            <wp:extent cx="6944340" cy="4180114"/>
            <wp:effectExtent l="0" t="0" r="3175" b="0"/>
            <wp:docPr id="1865450888"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50888" name="Image 1865450888"/>
                    <pic:cNvPicPr/>
                  </pic:nvPicPr>
                  <pic:blipFill rotWithShape="1">
                    <a:blip r:embed="rId177" cstate="print">
                      <a:extLst>
                        <a:ext uri="{28A0092B-C50C-407E-A947-70E740481C1C}">
                          <a14:useLocalDpi xmlns:a14="http://schemas.microsoft.com/office/drawing/2010/main" val="0"/>
                        </a:ext>
                      </a:extLst>
                    </a:blip>
                    <a:srcRect l="15493" t="29209" r="37412" b="14822"/>
                    <a:stretch/>
                  </pic:blipFill>
                  <pic:spPr bwMode="auto">
                    <a:xfrm>
                      <a:off x="0" y="0"/>
                      <a:ext cx="7094637" cy="4270585"/>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p w:rsidR="00AE572C" w:rsidRPr="004B3841" w:rsidRDefault="00AE572C">
      <w:pPr>
        <w:pStyle w:val="Paragraphedeliste"/>
        <w:numPr>
          <w:ilvl w:val="0"/>
          <w:numId w:val="1"/>
        </w:numPr>
        <w:rPr>
          <w:rFonts w:asciiTheme="majorBidi" w:hAnsiTheme="majorBidi" w:cstheme="majorBidi"/>
          <w:b/>
          <w:bCs/>
          <w:lang w:val="en-US"/>
        </w:rPr>
      </w:pPr>
      <w:r w:rsidRPr="00FE034D">
        <w:rPr>
          <w:rFonts w:asciiTheme="majorBidi" w:hAnsiTheme="majorBidi" w:cstheme="majorBidi"/>
          <w:b/>
          <w:bCs/>
          <w:lang w:val="en-US"/>
        </w:rPr>
        <w:t>H1.3 :</w:t>
      </w:r>
    </w:p>
    <w:p w:rsidR="00B841F4" w:rsidRPr="005E6F44" w:rsidRDefault="00AE572C" w:rsidP="005E6F44">
      <w:r>
        <w:rPr>
          <w:noProof/>
        </w:rPr>
        <w:drawing>
          <wp:inline distT="0" distB="0" distL="0" distR="0" wp14:anchorId="35D91AA2" wp14:editId="64DF886C">
            <wp:extent cx="7370312" cy="3811979"/>
            <wp:effectExtent l="0" t="0" r="0" b="0"/>
            <wp:docPr id="26730721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307215" name="Image 267307215"/>
                    <pic:cNvPicPr/>
                  </pic:nvPicPr>
                  <pic:blipFill rotWithShape="1">
                    <a:blip r:embed="rId178" cstate="print">
                      <a:extLst>
                        <a:ext uri="{28A0092B-C50C-407E-A947-70E740481C1C}">
                          <a14:useLocalDpi xmlns:a14="http://schemas.microsoft.com/office/drawing/2010/main" val="0"/>
                        </a:ext>
                      </a:extLst>
                    </a:blip>
                    <a:srcRect l="15341" t="30928" r="36551" b="13594"/>
                    <a:stretch/>
                  </pic:blipFill>
                  <pic:spPr bwMode="auto">
                    <a:xfrm>
                      <a:off x="0" y="0"/>
                      <a:ext cx="7613445" cy="3937729"/>
                    </a:xfrm>
                    <a:prstGeom prst="rect">
                      <a:avLst/>
                    </a:prstGeom>
                    <a:ln>
                      <a:noFill/>
                    </a:ln>
                    <a:extLst>
                      <a:ext uri="{53640926-AAD7-44D8-BBD7-CCE9431645EC}">
                        <a14:shadowObscured xmlns:a14="http://schemas.microsoft.com/office/drawing/2010/main"/>
                      </a:ext>
                    </a:extLst>
                  </pic:spPr>
                </pic:pic>
              </a:graphicData>
            </a:graphic>
          </wp:inline>
        </w:drawing>
      </w:r>
    </w:p>
    <w:p w:rsidR="00AE572C" w:rsidRPr="00FE034D" w:rsidRDefault="00AE572C">
      <w:pPr>
        <w:pStyle w:val="Paragraphedeliste"/>
        <w:numPr>
          <w:ilvl w:val="0"/>
          <w:numId w:val="1"/>
        </w:numPr>
        <w:rPr>
          <w:b/>
          <w:bCs/>
          <w:lang w:val="en-US"/>
        </w:rPr>
      </w:pPr>
      <w:r w:rsidRPr="00FE034D">
        <w:rPr>
          <w:b/>
          <w:bCs/>
          <w:lang w:val="en-US"/>
        </w:rPr>
        <w:lastRenderedPageBreak/>
        <w:t>H2:</w:t>
      </w:r>
    </w:p>
    <w:p w:rsidR="00AE572C" w:rsidRDefault="00AE572C">
      <w:r>
        <w:rPr>
          <w:noProof/>
        </w:rPr>
        <w:drawing>
          <wp:inline distT="0" distB="0" distL="0" distR="0">
            <wp:extent cx="7883974" cy="4251366"/>
            <wp:effectExtent l="0" t="0" r="3175" b="3175"/>
            <wp:docPr id="1735090048"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90048" name="Image 1735090048"/>
                    <pic:cNvPicPr/>
                  </pic:nvPicPr>
                  <pic:blipFill rotWithShape="1">
                    <a:blip r:embed="rId179" cstate="print">
                      <a:extLst>
                        <a:ext uri="{28A0092B-C50C-407E-A947-70E740481C1C}">
                          <a14:useLocalDpi xmlns:a14="http://schemas.microsoft.com/office/drawing/2010/main" val="0"/>
                        </a:ext>
                      </a:extLst>
                    </a:blip>
                    <a:srcRect l="15614" t="29899" r="32231" b="12960"/>
                    <a:stretch/>
                  </pic:blipFill>
                  <pic:spPr bwMode="auto">
                    <a:xfrm>
                      <a:off x="0" y="0"/>
                      <a:ext cx="7966590" cy="4295916"/>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p w:rsidR="00AE572C" w:rsidRPr="004B3841" w:rsidRDefault="00AE572C">
      <w:pPr>
        <w:pStyle w:val="Paragraphedeliste"/>
        <w:numPr>
          <w:ilvl w:val="0"/>
          <w:numId w:val="1"/>
        </w:numPr>
        <w:rPr>
          <w:rFonts w:asciiTheme="majorBidi" w:hAnsiTheme="majorBidi" w:cstheme="majorBidi"/>
          <w:b/>
          <w:bCs/>
          <w:lang w:val="en-US"/>
        </w:rPr>
      </w:pPr>
      <w:r w:rsidRPr="00FE034D">
        <w:rPr>
          <w:rFonts w:asciiTheme="majorBidi" w:hAnsiTheme="majorBidi" w:cstheme="majorBidi"/>
          <w:b/>
          <w:bCs/>
          <w:lang w:val="en-US"/>
        </w:rPr>
        <w:t>H2.1 :</w:t>
      </w:r>
    </w:p>
    <w:p w:rsidR="00AE572C" w:rsidRDefault="00AE572C" w:rsidP="003F303B">
      <w:r>
        <w:rPr>
          <w:noProof/>
        </w:rPr>
        <w:drawing>
          <wp:inline distT="0" distB="0" distL="0" distR="0">
            <wp:extent cx="8007919" cy="3990109"/>
            <wp:effectExtent l="0" t="0" r="0" b="0"/>
            <wp:docPr id="31558150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81501" name="Image 315581501"/>
                    <pic:cNvPicPr/>
                  </pic:nvPicPr>
                  <pic:blipFill rotWithShape="1">
                    <a:blip r:embed="rId180" cstate="print">
                      <a:extLst>
                        <a:ext uri="{28A0092B-C50C-407E-A947-70E740481C1C}">
                          <a14:useLocalDpi xmlns:a14="http://schemas.microsoft.com/office/drawing/2010/main" val="0"/>
                        </a:ext>
                      </a:extLst>
                    </a:blip>
                    <a:srcRect l="14727" t="30682" r="31885" b="11876"/>
                    <a:stretch/>
                  </pic:blipFill>
                  <pic:spPr bwMode="auto">
                    <a:xfrm>
                      <a:off x="0" y="0"/>
                      <a:ext cx="8208995" cy="4090299"/>
                    </a:xfrm>
                    <a:prstGeom prst="rect">
                      <a:avLst/>
                    </a:prstGeom>
                    <a:ln>
                      <a:noFill/>
                    </a:ln>
                    <a:extLst>
                      <a:ext uri="{53640926-AAD7-44D8-BBD7-CCE9431645EC}">
                        <a14:shadowObscured xmlns:a14="http://schemas.microsoft.com/office/drawing/2010/main"/>
                      </a:ext>
                    </a:extLst>
                  </pic:spPr>
                </pic:pic>
              </a:graphicData>
            </a:graphic>
          </wp:inline>
        </w:drawing>
      </w:r>
    </w:p>
    <w:p w:rsidR="00B841F4" w:rsidRDefault="00B841F4" w:rsidP="00B841F4">
      <w:pPr>
        <w:pStyle w:val="Paragraphedeliste"/>
        <w:ind w:left="360"/>
        <w:rPr>
          <w:rFonts w:asciiTheme="majorBidi" w:hAnsiTheme="majorBidi" w:cstheme="majorBidi"/>
          <w:b/>
          <w:bCs/>
          <w:lang w:val="en-US"/>
        </w:rPr>
      </w:pPr>
    </w:p>
    <w:p w:rsidR="00AE572C" w:rsidRPr="004B3841" w:rsidRDefault="00AE572C">
      <w:pPr>
        <w:pStyle w:val="Paragraphedeliste"/>
        <w:numPr>
          <w:ilvl w:val="0"/>
          <w:numId w:val="1"/>
        </w:numPr>
        <w:rPr>
          <w:rFonts w:asciiTheme="majorBidi" w:hAnsiTheme="majorBidi" w:cstheme="majorBidi"/>
          <w:b/>
          <w:bCs/>
          <w:lang w:val="en-US"/>
        </w:rPr>
      </w:pPr>
      <w:r w:rsidRPr="00FE034D">
        <w:rPr>
          <w:rFonts w:asciiTheme="majorBidi" w:hAnsiTheme="majorBidi" w:cstheme="majorBidi"/>
          <w:b/>
          <w:bCs/>
          <w:lang w:val="en-US"/>
        </w:rPr>
        <w:t>H2.2 :</w:t>
      </w:r>
    </w:p>
    <w:p w:rsidR="00AE572C" w:rsidRDefault="00AE572C">
      <w:r>
        <w:rPr>
          <w:noProof/>
        </w:rPr>
        <w:drawing>
          <wp:inline distT="0" distB="0" distL="0" distR="0">
            <wp:extent cx="8573080" cy="4119245"/>
            <wp:effectExtent l="0" t="0" r="0" b="0"/>
            <wp:docPr id="474287043"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87043" name="Image 474287043"/>
                    <pic:cNvPicPr/>
                  </pic:nvPicPr>
                  <pic:blipFill rotWithShape="1">
                    <a:blip r:embed="rId181" cstate="print">
                      <a:extLst>
                        <a:ext uri="{28A0092B-C50C-407E-A947-70E740481C1C}">
                          <a14:useLocalDpi xmlns:a14="http://schemas.microsoft.com/office/drawing/2010/main" val="0"/>
                        </a:ext>
                      </a:extLst>
                    </a:blip>
                    <a:srcRect l="15496" t="30192" r="27967" b="12849"/>
                    <a:stretch/>
                  </pic:blipFill>
                  <pic:spPr bwMode="auto">
                    <a:xfrm>
                      <a:off x="0" y="0"/>
                      <a:ext cx="8635277" cy="4149130"/>
                    </a:xfrm>
                    <a:prstGeom prst="rect">
                      <a:avLst/>
                    </a:prstGeom>
                    <a:ln>
                      <a:noFill/>
                    </a:ln>
                    <a:extLst>
                      <a:ext uri="{53640926-AAD7-44D8-BBD7-CCE9431645EC}">
                        <a14:shadowObscured xmlns:a14="http://schemas.microsoft.com/office/drawing/2010/main"/>
                      </a:ext>
                    </a:extLst>
                  </pic:spPr>
                </pic:pic>
              </a:graphicData>
            </a:graphic>
          </wp:inline>
        </w:drawing>
      </w:r>
    </w:p>
    <w:p w:rsidR="00AE572C" w:rsidRPr="00FE034D" w:rsidRDefault="00AE572C">
      <w:pPr>
        <w:rPr>
          <w:b/>
          <w:bCs/>
        </w:rPr>
      </w:pPr>
    </w:p>
    <w:p w:rsidR="00AE572C" w:rsidRPr="00FE034D" w:rsidRDefault="00AE572C">
      <w:pPr>
        <w:pStyle w:val="Paragraphedeliste"/>
        <w:numPr>
          <w:ilvl w:val="0"/>
          <w:numId w:val="1"/>
        </w:numPr>
        <w:rPr>
          <w:rFonts w:ascii="Times New Roman" w:hAnsi="Times New Roman" w:cs="Times New Roman"/>
          <w:b/>
          <w:bCs/>
          <w:lang w:val="en-US"/>
        </w:rPr>
      </w:pPr>
      <w:r w:rsidRPr="00FE034D">
        <w:rPr>
          <w:rFonts w:ascii="Times New Roman" w:hAnsi="Times New Roman" w:cs="Times New Roman"/>
          <w:b/>
          <w:bCs/>
          <w:lang w:val="en-US"/>
        </w:rPr>
        <w:t>H2.3 :</w:t>
      </w:r>
    </w:p>
    <w:p w:rsidR="00AE572C" w:rsidRDefault="00AE572C">
      <w:r>
        <w:rPr>
          <w:noProof/>
        </w:rPr>
        <w:drawing>
          <wp:inline distT="0" distB="0" distL="0" distR="0">
            <wp:extent cx="8441361" cy="3982064"/>
            <wp:effectExtent l="0" t="0" r="4445" b="6350"/>
            <wp:docPr id="1405720067"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20067" name="Image 1405720067"/>
                    <pic:cNvPicPr/>
                  </pic:nvPicPr>
                  <pic:blipFill rotWithShape="1">
                    <a:blip r:embed="rId182" cstate="print">
                      <a:extLst>
                        <a:ext uri="{28A0092B-C50C-407E-A947-70E740481C1C}">
                          <a14:useLocalDpi xmlns:a14="http://schemas.microsoft.com/office/drawing/2010/main" val="0"/>
                        </a:ext>
                      </a:extLst>
                    </a:blip>
                    <a:srcRect l="14939" t="29942" r="29092" b="13660"/>
                    <a:stretch/>
                  </pic:blipFill>
                  <pic:spPr bwMode="auto">
                    <a:xfrm>
                      <a:off x="0" y="0"/>
                      <a:ext cx="8512550" cy="4015646"/>
                    </a:xfrm>
                    <a:prstGeom prst="rect">
                      <a:avLst/>
                    </a:prstGeom>
                    <a:ln>
                      <a:noFill/>
                    </a:ln>
                    <a:extLst>
                      <a:ext uri="{53640926-AAD7-44D8-BBD7-CCE9431645EC}">
                        <a14:shadowObscured xmlns:a14="http://schemas.microsoft.com/office/drawing/2010/main"/>
                      </a:ext>
                    </a:extLst>
                  </pic:spPr>
                </pic:pic>
              </a:graphicData>
            </a:graphic>
          </wp:inline>
        </w:drawing>
      </w:r>
    </w:p>
    <w:p w:rsidR="005E6F44" w:rsidRDefault="005E6F44" w:rsidP="005E6F44">
      <w:pPr>
        <w:pStyle w:val="Paragraphedeliste"/>
        <w:ind w:left="360"/>
        <w:rPr>
          <w:rFonts w:asciiTheme="majorBidi" w:hAnsiTheme="majorBidi" w:cstheme="majorBidi"/>
          <w:b/>
          <w:bCs/>
          <w:lang w:val="en-US"/>
        </w:rPr>
      </w:pPr>
    </w:p>
    <w:p w:rsidR="00AE572C" w:rsidRPr="005E6F44" w:rsidRDefault="00AE572C" w:rsidP="005E6F44">
      <w:pPr>
        <w:pStyle w:val="Paragraphedeliste"/>
        <w:numPr>
          <w:ilvl w:val="0"/>
          <w:numId w:val="1"/>
        </w:numPr>
        <w:rPr>
          <w:rFonts w:asciiTheme="majorBidi" w:hAnsiTheme="majorBidi" w:cstheme="majorBidi"/>
          <w:b/>
          <w:bCs/>
          <w:lang w:val="en-US"/>
        </w:rPr>
      </w:pPr>
      <w:r w:rsidRPr="00727AE6">
        <w:rPr>
          <w:rFonts w:asciiTheme="majorBidi" w:hAnsiTheme="majorBidi" w:cstheme="majorBidi"/>
          <w:b/>
          <w:bCs/>
          <w:lang w:val="en-US"/>
        </w:rPr>
        <w:t>H3 :</w:t>
      </w:r>
    </w:p>
    <w:p w:rsidR="00AE572C" w:rsidRDefault="00AE572C">
      <w:r>
        <w:rPr>
          <w:noProof/>
        </w:rPr>
        <w:drawing>
          <wp:inline distT="0" distB="0" distL="0" distR="0">
            <wp:extent cx="7812448" cy="3811979"/>
            <wp:effectExtent l="0" t="0" r="0" b="0"/>
            <wp:docPr id="719925824"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25824" name="Image 719925824"/>
                    <pic:cNvPicPr/>
                  </pic:nvPicPr>
                  <pic:blipFill rotWithShape="1">
                    <a:blip r:embed="rId183" cstate="print">
                      <a:extLst>
                        <a:ext uri="{28A0092B-C50C-407E-A947-70E740481C1C}">
                          <a14:useLocalDpi xmlns:a14="http://schemas.microsoft.com/office/drawing/2010/main" val="0"/>
                        </a:ext>
                      </a:extLst>
                    </a:blip>
                    <a:srcRect l="14960" t="30871" r="32931" b="14989"/>
                    <a:stretch/>
                  </pic:blipFill>
                  <pic:spPr bwMode="auto">
                    <a:xfrm>
                      <a:off x="0" y="0"/>
                      <a:ext cx="7879630" cy="3844760"/>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p w:rsidR="00AE572C" w:rsidRPr="00AE572C" w:rsidRDefault="00AE572C">
      <w:pPr>
        <w:pStyle w:val="Paragraphedeliste"/>
        <w:numPr>
          <w:ilvl w:val="0"/>
          <w:numId w:val="1"/>
        </w:numPr>
        <w:rPr>
          <w:rFonts w:asciiTheme="majorBidi" w:hAnsiTheme="majorBidi" w:cstheme="majorBidi"/>
          <w:b/>
          <w:bCs/>
          <w:lang w:val="fr-FR"/>
        </w:rPr>
      </w:pPr>
      <w:r w:rsidRPr="00AE572C">
        <w:rPr>
          <w:rFonts w:asciiTheme="majorBidi" w:hAnsiTheme="majorBidi" w:cstheme="majorBidi"/>
          <w:b/>
          <w:bCs/>
          <w:lang w:val="fr-FR"/>
        </w:rPr>
        <w:t xml:space="preserve">La relation entre </w:t>
      </w:r>
      <w:r>
        <w:rPr>
          <w:rFonts w:asciiTheme="majorBidi" w:hAnsiTheme="majorBidi" w:cstheme="majorBidi"/>
          <w:b/>
          <w:bCs/>
          <w:color w:val="000000" w:themeColor="text1"/>
          <w:lang w:val="fr-FR"/>
        </w:rPr>
        <w:t>l</w:t>
      </w:r>
      <w:r w:rsidRPr="00EF48D2">
        <w:rPr>
          <w:rFonts w:asciiTheme="majorBidi" w:hAnsiTheme="majorBidi" w:cstheme="majorBidi"/>
          <w:b/>
          <w:bCs/>
          <w:color w:val="000000" w:themeColor="text1"/>
          <w:lang w:val="fr-FR"/>
        </w:rPr>
        <w:t>a performance des RH et le processus de recrutement digitalisé</w:t>
      </w:r>
    </w:p>
    <w:p w:rsidR="00AE572C" w:rsidRDefault="00AE572C" w:rsidP="004B3841">
      <w:r>
        <w:rPr>
          <w:noProof/>
        </w:rPr>
        <w:drawing>
          <wp:inline distT="0" distB="0" distL="0" distR="0" wp14:anchorId="6042FA67" wp14:editId="048D23A7">
            <wp:extent cx="7918135" cy="4215740"/>
            <wp:effectExtent l="0" t="0" r="0" b="1270"/>
            <wp:docPr id="1245077870"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77870" name="Image 1245077870"/>
                    <pic:cNvPicPr/>
                  </pic:nvPicPr>
                  <pic:blipFill rotWithShape="1">
                    <a:blip r:embed="rId184" cstate="print">
                      <a:extLst>
                        <a:ext uri="{28A0092B-C50C-407E-A947-70E740481C1C}">
                          <a14:useLocalDpi xmlns:a14="http://schemas.microsoft.com/office/drawing/2010/main" val="0"/>
                        </a:ext>
                      </a:extLst>
                    </a:blip>
                    <a:srcRect l="15375" t="29704" r="27859" b="13898"/>
                    <a:stretch/>
                  </pic:blipFill>
                  <pic:spPr bwMode="auto">
                    <a:xfrm>
                      <a:off x="0" y="0"/>
                      <a:ext cx="8010689" cy="4265017"/>
                    </a:xfrm>
                    <a:prstGeom prst="rect">
                      <a:avLst/>
                    </a:prstGeom>
                    <a:ln>
                      <a:noFill/>
                    </a:ln>
                    <a:extLst>
                      <a:ext uri="{53640926-AAD7-44D8-BBD7-CCE9431645EC}">
                        <a14:shadowObscured xmlns:a14="http://schemas.microsoft.com/office/drawing/2010/main"/>
                      </a:ext>
                    </a:extLst>
                  </pic:spPr>
                </pic:pic>
              </a:graphicData>
            </a:graphic>
          </wp:inline>
        </w:drawing>
      </w:r>
    </w:p>
    <w:p w:rsidR="00B841F4" w:rsidRDefault="00B841F4" w:rsidP="00B841F4">
      <w:pPr>
        <w:pStyle w:val="Paragraphedeliste"/>
        <w:ind w:left="360"/>
        <w:rPr>
          <w:rFonts w:asciiTheme="majorBidi" w:hAnsiTheme="majorBidi" w:cstheme="majorBidi"/>
          <w:b/>
          <w:bCs/>
          <w:lang w:val="fr-FR"/>
        </w:rPr>
      </w:pPr>
    </w:p>
    <w:p w:rsidR="00AE572C" w:rsidRPr="00AE572C" w:rsidRDefault="00AE572C">
      <w:pPr>
        <w:pStyle w:val="Paragraphedeliste"/>
        <w:numPr>
          <w:ilvl w:val="0"/>
          <w:numId w:val="1"/>
        </w:numPr>
        <w:rPr>
          <w:rFonts w:asciiTheme="majorBidi" w:hAnsiTheme="majorBidi" w:cstheme="majorBidi"/>
          <w:b/>
          <w:bCs/>
          <w:lang w:val="fr-FR"/>
        </w:rPr>
      </w:pPr>
      <w:r w:rsidRPr="00AE572C">
        <w:rPr>
          <w:rFonts w:asciiTheme="majorBidi" w:hAnsiTheme="majorBidi" w:cstheme="majorBidi"/>
          <w:b/>
          <w:bCs/>
          <w:lang w:val="fr-FR"/>
        </w:rPr>
        <w:t xml:space="preserve">La relation entre </w:t>
      </w:r>
      <w:r>
        <w:rPr>
          <w:rFonts w:asciiTheme="majorBidi" w:hAnsiTheme="majorBidi" w:cstheme="majorBidi"/>
          <w:b/>
          <w:bCs/>
          <w:color w:val="000000" w:themeColor="text1"/>
          <w:lang w:val="fr-FR"/>
        </w:rPr>
        <w:t>l</w:t>
      </w:r>
      <w:r w:rsidRPr="00EF48D2">
        <w:rPr>
          <w:rFonts w:asciiTheme="majorBidi" w:hAnsiTheme="majorBidi" w:cstheme="majorBidi"/>
          <w:b/>
          <w:bCs/>
          <w:color w:val="000000" w:themeColor="text1"/>
          <w:lang w:val="fr-FR"/>
        </w:rPr>
        <w:t xml:space="preserve">a performance des RH et le processus de </w:t>
      </w:r>
      <w:r>
        <w:rPr>
          <w:rFonts w:asciiTheme="majorBidi" w:hAnsiTheme="majorBidi" w:cstheme="majorBidi"/>
          <w:b/>
          <w:bCs/>
          <w:color w:val="000000" w:themeColor="text1"/>
          <w:lang w:val="fr-FR"/>
        </w:rPr>
        <w:t xml:space="preserve">formation </w:t>
      </w:r>
      <w:r w:rsidRPr="00EF48D2">
        <w:rPr>
          <w:rFonts w:asciiTheme="majorBidi" w:hAnsiTheme="majorBidi" w:cstheme="majorBidi"/>
          <w:b/>
          <w:bCs/>
          <w:color w:val="000000" w:themeColor="text1"/>
          <w:lang w:val="fr-FR"/>
        </w:rPr>
        <w:t>digitalisé</w:t>
      </w:r>
      <w:r>
        <w:rPr>
          <w:rFonts w:asciiTheme="majorBidi" w:hAnsiTheme="majorBidi" w:cstheme="majorBidi"/>
          <w:b/>
          <w:bCs/>
          <w:color w:val="000000" w:themeColor="text1"/>
          <w:lang w:val="fr-FR"/>
        </w:rPr>
        <w:t>e</w:t>
      </w:r>
    </w:p>
    <w:p w:rsidR="00AE572C" w:rsidRDefault="00AE572C">
      <w:r>
        <w:rPr>
          <w:noProof/>
        </w:rPr>
        <w:drawing>
          <wp:inline distT="0" distB="0" distL="0" distR="0">
            <wp:extent cx="9213363" cy="3847366"/>
            <wp:effectExtent l="0" t="0" r="0" b="1270"/>
            <wp:docPr id="1599875992"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75992" name="Image 1599875992"/>
                    <pic:cNvPicPr/>
                  </pic:nvPicPr>
                  <pic:blipFill rotWithShape="1">
                    <a:blip r:embed="rId185" cstate="print">
                      <a:extLst>
                        <a:ext uri="{28A0092B-C50C-407E-A947-70E740481C1C}">
                          <a14:useLocalDpi xmlns:a14="http://schemas.microsoft.com/office/drawing/2010/main" val="0"/>
                        </a:ext>
                      </a:extLst>
                    </a:blip>
                    <a:srcRect l="15205" t="28776" r="21813" b="14589"/>
                    <a:stretch/>
                  </pic:blipFill>
                  <pic:spPr bwMode="auto">
                    <a:xfrm>
                      <a:off x="0" y="0"/>
                      <a:ext cx="9357964" cy="3907749"/>
                    </a:xfrm>
                    <a:prstGeom prst="rect">
                      <a:avLst/>
                    </a:prstGeom>
                    <a:ln>
                      <a:noFill/>
                    </a:ln>
                    <a:extLst>
                      <a:ext uri="{53640926-AAD7-44D8-BBD7-CCE9431645EC}">
                        <a14:shadowObscured xmlns:a14="http://schemas.microsoft.com/office/drawing/2010/main"/>
                      </a:ext>
                    </a:extLst>
                  </pic:spPr>
                </pic:pic>
              </a:graphicData>
            </a:graphic>
          </wp:inline>
        </w:drawing>
      </w:r>
    </w:p>
    <w:p w:rsidR="00AE572C" w:rsidRDefault="00AE572C"/>
    <w:p w:rsidR="00AE572C" w:rsidRDefault="00AE572C"/>
    <w:p w:rsidR="00B42486" w:rsidRDefault="00B42486" w:rsidP="00B42486">
      <w:pPr>
        <w:spacing w:before="100" w:beforeAutospacing="1" w:after="100" w:afterAutospacing="1" w:line="360" w:lineRule="auto"/>
        <w:rPr>
          <w:rFonts w:asciiTheme="majorBidi" w:hAnsiTheme="majorBidi" w:cstheme="majorBidi"/>
          <w:color w:val="000000"/>
          <w:lang w:val="fr-FR"/>
        </w:rPr>
        <w:sectPr w:rsidR="00B42486" w:rsidSect="00D91E89">
          <w:headerReference w:type="default" r:id="rId186"/>
          <w:pgSz w:w="11900" w:h="16840"/>
          <w:pgMar w:top="1440" w:right="1440" w:bottom="1440" w:left="1440" w:header="708" w:footer="708" w:gutter="0"/>
          <w:cols w:space="708"/>
          <w:docGrid w:linePitch="360"/>
        </w:sectPr>
      </w:pPr>
    </w:p>
    <w:p w:rsidR="007A0CA8" w:rsidRDefault="007A0CA8" w:rsidP="00131B8E">
      <w:pPr>
        <w:rPr>
          <w:rStyle w:val="Lienhypertexte"/>
          <w:rFonts w:asciiTheme="minorHAnsi" w:hAnsiTheme="minorHAnsi" w:cstheme="minorHAnsi"/>
          <w:b/>
          <w:bCs/>
          <w:noProof/>
          <w:sz w:val="22"/>
          <w:szCs w:val="26"/>
        </w:rPr>
      </w:pPr>
    </w:p>
    <w:sdt>
      <w:sdtPr>
        <w:rPr>
          <w:rFonts w:ascii="Times New Roman" w:eastAsia="Times New Roman" w:hAnsi="Times New Roman" w:cs="Times New Roman"/>
          <w:b w:val="0"/>
          <w:bCs w:val="0"/>
          <w:color w:val="0563C1" w:themeColor="hyperlink"/>
          <w:sz w:val="24"/>
          <w:szCs w:val="24"/>
          <w:u w:val="single"/>
          <w:lang w:val="fr-FR" w:eastAsia="en-US"/>
        </w:rPr>
        <w:id w:val="-827748174"/>
        <w:docPartObj>
          <w:docPartGallery w:val="Table of Contents"/>
          <w:docPartUnique/>
        </w:docPartObj>
      </w:sdtPr>
      <w:sdtEndPr>
        <w:rPr>
          <w:noProof/>
          <w:color w:val="auto"/>
        </w:rPr>
      </w:sdtEndPr>
      <w:sdtContent>
        <w:p w:rsidR="00EE167F" w:rsidRPr="00C54B27" w:rsidRDefault="00EE167F" w:rsidP="00495CDE">
          <w:pPr>
            <w:pStyle w:val="En-ttedetabledesmatires"/>
            <w:spacing w:before="0" w:line="360" w:lineRule="auto"/>
            <w:jc w:val="center"/>
            <w:rPr>
              <w:rFonts w:ascii="Times New Roman" w:hAnsi="Times New Roman" w:cs="Times New Roman"/>
              <w:color w:val="000000" w:themeColor="text1"/>
              <w:sz w:val="32"/>
              <w:szCs w:val="32"/>
            </w:rPr>
          </w:pPr>
          <w:r w:rsidRPr="00C54B27">
            <w:rPr>
              <w:rFonts w:ascii="Times New Roman" w:hAnsi="Times New Roman" w:cs="Times New Roman"/>
              <w:color w:val="000000" w:themeColor="text1"/>
              <w:sz w:val="32"/>
              <w:szCs w:val="32"/>
              <w:lang w:val="fr-FR"/>
            </w:rPr>
            <w:t>Table des matières</w:t>
          </w:r>
        </w:p>
        <w:p w:rsidR="000A41CA" w:rsidRPr="00B26299" w:rsidRDefault="00EE167F" w:rsidP="00EE2288">
          <w:pPr>
            <w:pStyle w:val="TM3"/>
            <w:spacing w:after="240"/>
            <w:rPr>
              <w:rFonts w:eastAsiaTheme="minorEastAsia"/>
              <w:b/>
              <w:bCs/>
              <w:kern w:val="2"/>
              <w:lang w:val="fr-DZ" w:eastAsia="fr-FR"/>
              <w14:ligatures w14:val="standardContextual"/>
            </w:rPr>
          </w:pPr>
          <w:r w:rsidRPr="00861F90">
            <w:rPr>
              <w:noProof w:val="0"/>
            </w:rPr>
            <w:fldChar w:fldCharType="begin"/>
          </w:r>
          <w:r w:rsidRPr="00861F90">
            <w:instrText>TOC \o "1-3" \h \z \u</w:instrText>
          </w:r>
          <w:r w:rsidRPr="00861F90">
            <w:rPr>
              <w:noProof w:val="0"/>
            </w:rPr>
            <w:fldChar w:fldCharType="separate"/>
          </w:r>
          <w:hyperlink w:anchor="_Toc200755791" w:history="1">
            <w:r w:rsidR="000A41CA" w:rsidRPr="00B26299">
              <w:rPr>
                <w:rStyle w:val="Lienhypertexte"/>
                <w:b/>
                <w:bCs/>
              </w:rPr>
              <w:t>I</w:t>
            </w:r>
            <w:r w:rsidR="00882F77" w:rsidRPr="00B26299">
              <w:rPr>
                <w:rStyle w:val="Lienhypertexte"/>
                <w:b/>
                <w:bCs/>
                <w:lang w:val="en-US"/>
              </w:rPr>
              <w:t>ntroduction générale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_Toc200755791 \h </w:instrText>
            </w:r>
            <w:r w:rsidR="000A41CA" w:rsidRPr="00B26299">
              <w:rPr>
                <w:b/>
                <w:bCs/>
                <w:webHidden/>
              </w:rPr>
            </w:r>
            <w:r w:rsidR="000A41CA" w:rsidRPr="00B26299">
              <w:rPr>
                <w:b/>
                <w:bCs/>
                <w:webHidden/>
              </w:rPr>
              <w:fldChar w:fldCharType="separate"/>
            </w:r>
            <w:r w:rsidR="000A41CA" w:rsidRPr="00B26299">
              <w:rPr>
                <w:b/>
                <w:bCs/>
                <w:webHidden/>
              </w:rPr>
              <w:t>1</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5794" w:history="1">
            <w:r w:rsidR="000A41CA" w:rsidRPr="00B26299">
              <w:rPr>
                <w:rStyle w:val="Lienhypertexte"/>
                <w:b/>
                <w:bCs/>
              </w:rPr>
              <w:t>Chapitre I : La gestion des ressources humaines</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_Toc200755794 \h </w:instrText>
            </w:r>
            <w:r w:rsidR="000A41CA" w:rsidRPr="00B26299">
              <w:rPr>
                <w:b/>
                <w:bCs/>
                <w:webHidden/>
              </w:rPr>
            </w:r>
            <w:r w:rsidR="000A41CA" w:rsidRPr="00B26299">
              <w:rPr>
                <w:b/>
                <w:bCs/>
                <w:webHidden/>
              </w:rPr>
              <w:fldChar w:fldCharType="separate"/>
            </w:r>
            <w:r w:rsidR="000A41CA" w:rsidRPr="00B26299">
              <w:rPr>
                <w:b/>
                <w:bCs/>
                <w:webHidden/>
              </w:rPr>
              <w:t>11</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5795" w:history="1">
            <w:r w:rsidR="000A41CA" w:rsidRPr="00B26299">
              <w:rPr>
                <w:rStyle w:val="Lienhypertexte"/>
                <w:b/>
                <w:bCs/>
              </w:rPr>
              <w:t>Introduction du chapitre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_Toc200755795 \h </w:instrText>
            </w:r>
            <w:r w:rsidR="000A41CA" w:rsidRPr="00B26299">
              <w:rPr>
                <w:b/>
                <w:bCs/>
                <w:webHidden/>
              </w:rPr>
            </w:r>
            <w:r w:rsidR="000A41CA" w:rsidRPr="00B26299">
              <w:rPr>
                <w:b/>
                <w:bCs/>
                <w:webHidden/>
              </w:rPr>
              <w:fldChar w:fldCharType="separate"/>
            </w:r>
            <w:r w:rsidR="000A41CA" w:rsidRPr="00B26299">
              <w:rPr>
                <w:b/>
                <w:bCs/>
                <w:webHidden/>
              </w:rPr>
              <w:t>12</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5796" w:history="1">
            <w:r w:rsidR="000A41CA" w:rsidRPr="00B26299">
              <w:rPr>
                <w:rStyle w:val="Lienhypertexte"/>
                <w:b/>
                <w:bCs/>
              </w:rPr>
              <w:t>Section 1 : Généralités sur la gestion des ressources humaines</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_Toc200755796 \h </w:instrText>
            </w:r>
            <w:r w:rsidR="000A41CA" w:rsidRPr="00B26299">
              <w:rPr>
                <w:b/>
                <w:bCs/>
                <w:webHidden/>
              </w:rPr>
            </w:r>
            <w:r w:rsidR="000A41CA" w:rsidRPr="00B26299">
              <w:rPr>
                <w:b/>
                <w:bCs/>
                <w:webHidden/>
              </w:rPr>
              <w:fldChar w:fldCharType="separate"/>
            </w:r>
            <w:r w:rsidR="000A41CA" w:rsidRPr="00B26299">
              <w:rPr>
                <w:b/>
                <w:bCs/>
                <w:webHidden/>
              </w:rPr>
              <w:t>13</w:t>
            </w:r>
            <w:r w:rsidR="000A41CA" w:rsidRPr="00B26299">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797" w:history="1">
            <w:r w:rsidR="000A41CA" w:rsidRPr="009C4E4B">
              <w:rPr>
                <w:rStyle w:val="Lienhypertexte"/>
              </w:rPr>
              <w:t>1.</w:t>
            </w:r>
            <w:r w:rsidR="006178DC" w:rsidRPr="009C4E4B">
              <w:rPr>
                <w:rFonts w:eastAsiaTheme="minorEastAsia"/>
                <w:kern w:val="2"/>
                <w:lang w:val="en-US" w:eastAsia="fr-FR"/>
                <w14:ligatures w14:val="standardContextual"/>
              </w:rPr>
              <w:t xml:space="preserve"> </w:t>
            </w:r>
            <w:r w:rsidR="000A41CA" w:rsidRPr="009C4E4B">
              <w:rPr>
                <w:rStyle w:val="Lienhypertexte"/>
              </w:rPr>
              <w:t>Contexte théorique de la gestion des ressources humaines</w:t>
            </w:r>
            <w:r w:rsidR="000A41CA" w:rsidRPr="009C4E4B">
              <w:rPr>
                <w:webHidden/>
              </w:rPr>
              <w:tab/>
            </w:r>
            <w:r w:rsidR="000A41CA" w:rsidRPr="009C4E4B">
              <w:rPr>
                <w:b/>
                <w:bCs/>
                <w:webHidden/>
              </w:rPr>
              <w:fldChar w:fldCharType="begin"/>
            </w:r>
            <w:r w:rsidR="000A41CA" w:rsidRPr="009C4E4B">
              <w:rPr>
                <w:webHidden/>
              </w:rPr>
              <w:instrText xml:space="preserve"> PAGEREF _Toc200755797 \h </w:instrText>
            </w:r>
            <w:r w:rsidR="000A41CA" w:rsidRPr="009C4E4B">
              <w:rPr>
                <w:b/>
                <w:bCs/>
                <w:webHidden/>
              </w:rPr>
            </w:r>
            <w:r w:rsidR="000A41CA" w:rsidRPr="009C4E4B">
              <w:rPr>
                <w:b/>
                <w:bCs/>
                <w:webHidden/>
              </w:rPr>
              <w:fldChar w:fldCharType="separate"/>
            </w:r>
            <w:r w:rsidR="000A41CA" w:rsidRPr="009C4E4B">
              <w:rPr>
                <w:webHidden/>
              </w:rPr>
              <w:t>13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798" w:history="1">
            <w:r w:rsidR="000A41CA" w:rsidRPr="009C4E4B">
              <w:rPr>
                <w:rStyle w:val="Lienhypertexte"/>
              </w:rPr>
              <w:t>1.1.</w:t>
            </w:r>
            <w:r w:rsidR="006178DC" w:rsidRPr="009C4E4B">
              <w:rPr>
                <w:rFonts w:eastAsiaTheme="minorEastAsia"/>
                <w:kern w:val="2"/>
                <w:lang w:val="en-US" w:eastAsia="fr-FR"/>
                <w14:ligatures w14:val="standardContextual"/>
              </w:rPr>
              <w:t xml:space="preserve"> </w:t>
            </w:r>
            <w:r w:rsidR="000A41CA" w:rsidRPr="009C4E4B">
              <w:rPr>
                <w:rStyle w:val="Lienhypertexte"/>
              </w:rPr>
              <w:t>Historique et évolution de la gestion des ressources humaines (GRH)</w:t>
            </w:r>
            <w:r w:rsidR="000A41CA" w:rsidRPr="009C4E4B">
              <w:rPr>
                <w:webHidden/>
              </w:rPr>
              <w:tab/>
            </w:r>
            <w:r w:rsidR="000A41CA" w:rsidRPr="009C4E4B">
              <w:rPr>
                <w:b/>
                <w:bCs/>
                <w:webHidden/>
              </w:rPr>
              <w:fldChar w:fldCharType="begin"/>
            </w:r>
            <w:r w:rsidR="000A41CA" w:rsidRPr="009C4E4B">
              <w:rPr>
                <w:webHidden/>
              </w:rPr>
              <w:instrText xml:space="preserve"> PAGEREF _Toc200755798 \h </w:instrText>
            </w:r>
            <w:r w:rsidR="000A41CA" w:rsidRPr="009C4E4B">
              <w:rPr>
                <w:b/>
                <w:bCs/>
                <w:webHidden/>
              </w:rPr>
            </w:r>
            <w:r w:rsidR="000A41CA" w:rsidRPr="009C4E4B">
              <w:rPr>
                <w:b/>
                <w:bCs/>
                <w:webHidden/>
              </w:rPr>
              <w:fldChar w:fldCharType="separate"/>
            </w:r>
            <w:r w:rsidR="000A41CA" w:rsidRPr="009C4E4B">
              <w:rPr>
                <w:webHidden/>
              </w:rPr>
              <w:t>13</w:t>
            </w:r>
            <w:r w:rsidR="000A41CA" w:rsidRPr="009C4E4B">
              <w:rPr>
                <w:b/>
                <w:bCs/>
                <w:webHidden/>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799" w:history="1">
            <w:r w:rsidR="000A41CA" w:rsidRPr="009C4E4B">
              <w:rPr>
                <w:rStyle w:val="Lienhypertexte"/>
                <w:rFonts w:asciiTheme="majorBidi" w:hAnsiTheme="majorBidi" w:cstheme="majorBidi"/>
                <w:b w:val="0"/>
                <w:bCs w:val="0"/>
                <w:noProof/>
                <w:sz w:val="24"/>
                <w:szCs w:val="24"/>
                <w:lang w:val="fr-FR"/>
              </w:rPr>
              <w:t>1.1.1.</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Les premières formes de gestion du travail (antiquité et moyen âge)</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_Toc200755799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00" w:history="1">
            <w:r w:rsidR="000A41CA" w:rsidRPr="009C4E4B">
              <w:rPr>
                <w:rStyle w:val="Lienhypertexte"/>
                <w:rFonts w:asciiTheme="majorBidi" w:hAnsiTheme="majorBidi" w:cstheme="majorBidi"/>
                <w:b w:val="0"/>
                <w:bCs w:val="0"/>
                <w:noProof/>
                <w:sz w:val="24"/>
                <w:szCs w:val="24"/>
                <w:lang w:val="fr-FR"/>
              </w:rPr>
              <w:t>1.1.2.</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La révolution industrielle et l’apparition de la gestion du personnel</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_Toc200755800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01" w:history="1">
            <w:r w:rsidR="000A41CA" w:rsidRPr="009C4E4B">
              <w:rPr>
                <w:rStyle w:val="Lienhypertexte"/>
                <w:rFonts w:asciiTheme="majorBidi" w:hAnsiTheme="majorBidi" w:cstheme="majorBidi"/>
                <w:b w:val="0"/>
                <w:bCs w:val="0"/>
                <w:noProof/>
                <w:sz w:val="24"/>
                <w:szCs w:val="24"/>
                <w:lang w:val="fr-FR"/>
              </w:rPr>
              <w:t>1.1.3.</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L’organisation scientifique du travail et la gestion du personnel</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_Toc200755801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02" w:history="1">
            <w:r w:rsidR="000A41CA" w:rsidRPr="009C4E4B">
              <w:rPr>
                <w:rStyle w:val="Lienhypertexte"/>
                <w:rFonts w:asciiTheme="majorBidi" w:hAnsiTheme="majorBidi" w:cstheme="majorBidi"/>
                <w:b w:val="0"/>
                <w:bCs w:val="0"/>
                <w:noProof/>
                <w:sz w:val="24"/>
                <w:szCs w:val="24"/>
                <w:lang w:val="fr-FR"/>
              </w:rPr>
              <w:t>1.1.4.</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La gestion des ressources humaines après la seconde guerre mondiale</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_Toc200755802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03" w:history="1">
            <w:r w:rsidR="000A41CA" w:rsidRPr="009C4E4B">
              <w:rPr>
                <w:rStyle w:val="Lienhypertexte"/>
                <w:rFonts w:asciiTheme="majorBidi" w:hAnsiTheme="majorBidi" w:cstheme="majorBidi"/>
                <w:b w:val="0"/>
                <w:bCs w:val="0"/>
                <w:noProof/>
                <w:sz w:val="24"/>
                <w:szCs w:val="24"/>
                <w:lang w:val="fr-FR"/>
              </w:rPr>
              <w:t>1.1.5.</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La stratégie de gestion des ressources humaines et l’émergence des talents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_Toc200755803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04" w:history="1">
            <w:r w:rsidR="000A41CA" w:rsidRPr="009C4E4B">
              <w:rPr>
                <w:rStyle w:val="Lienhypertexte"/>
                <w:rFonts w:asciiTheme="majorBidi" w:hAnsiTheme="majorBidi" w:cstheme="majorBidi"/>
                <w:b w:val="0"/>
                <w:bCs w:val="0"/>
                <w:noProof/>
                <w:sz w:val="24"/>
                <w:szCs w:val="24"/>
                <w:lang w:val="fr-FR"/>
              </w:rPr>
              <w:t>1.1.6.</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L’ère contemporaine : digitalisation et nouveaux défis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_Toc200755804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05" w:history="1">
            <w:r w:rsidR="000A41CA" w:rsidRPr="009C4E4B">
              <w:rPr>
                <w:rStyle w:val="Lienhypertexte"/>
                <w:rFonts w:asciiTheme="majorBidi" w:hAnsiTheme="majorBidi" w:cstheme="majorBidi"/>
                <w:b w:val="0"/>
                <w:bCs w:val="0"/>
                <w:noProof/>
                <w:sz w:val="24"/>
                <w:szCs w:val="24"/>
                <w:lang w:val="fr-FR"/>
              </w:rPr>
              <w:t>1.2.</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Définition de la gestion des ressources humaines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_Toc200755805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06" w:history="1">
            <w:r w:rsidR="000A41CA" w:rsidRPr="009C4E4B">
              <w:rPr>
                <w:rStyle w:val="Lienhypertexte"/>
                <w:rFonts w:asciiTheme="majorBidi" w:hAnsiTheme="majorBidi" w:cstheme="majorBidi"/>
                <w:b w:val="0"/>
                <w:bCs w:val="0"/>
                <w:noProof/>
                <w:sz w:val="24"/>
                <w:szCs w:val="24"/>
                <w:lang w:val="fr-FR"/>
              </w:rPr>
              <w:t>1.3.</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L’approche historique des modèles de la fonction RH</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_Toc200755806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17</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07" w:history="1">
            <w:r w:rsidR="000A41CA" w:rsidRPr="009C4E4B">
              <w:rPr>
                <w:rStyle w:val="Lienhypertexte"/>
              </w:rPr>
              <w:t>1.3.1.</w:t>
            </w:r>
            <w:r w:rsidR="006178DC" w:rsidRPr="009C4E4B">
              <w:rPr>
                <w:rFonts w:eastAsiaTheme="minorEastAsia"/>
                <w:kern w:val="2"/>
                <w:lang w:val="en-US" w:eastAsia="fr-FR"/>
                <w14:ligatures w14:val="standardContextual"/>
              </w:rPr>
              <w:t xml:space="preserve"> </w:t>
            </w:r>
            <w:r w:rsidR="000A41CA" w:rsidRPr="009C4E4B">
              <w:rPr>
                <w:rStyle w:val="Lienhypertexte"/>
              </w:rPr>
              <w:t>L'approche anglo-saxonne</w:t>
            </w:r>
            <w:r w:rsidR="000A41CA" w:rsidRPr="009C4E4B">
              <w:rPr>
                <w:webHidden/>
              </w:rPr>
              <w:tab/>
            </w:r>
            <w:r w:rsidR="000A41CA" w:rsidRPr="009C4E4B">
              <w:rPr>
                <w:b/>
                <w:bCs/>
                <w:webHidden/>
              </w:rPr>
              <w:fldChar w:fldCharType="begin"/>
            </w:r>
            <w:r w:rsidR="000A41CA" w:rsidRPr="009C4E4B">
              <w:rPr>
                <w:webHidden/>
              </w:rPr>
              <w:instrText xml:space="preserve"> PAGEREF _Toc200755807 \h </w:instrText>
            </w:r>
            <w:r w:rsidR="000A41CA" w:rsidRPr="009C4E4B">
              <w:rPr>
                <w:b/>
                <w:bCs/>
                <w:webHidden/>
              </w:rPr>
            </w:r>
            <w:r w:rsidR="000A41CA" w:rsidRPr="009C4E4B">
              <w:rPr>
                <w:b/>
                <w:bCs/>
                <w:webHidden/>
              </w:rPr>
              <w:fldChar w:fldCharType="separate"/>
            </w:r>
            <w:r w:rsidR="000A41CA" w:rsidRPr="009C4E4B">
              <w:rPr>
                <w:webHidden/>
              </w:rPr>
              <w:t>17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08" w:history="1">
            <w:r w:rsidR="000A41CA" w:rsidRPr="009C4E4B">
              <w:rPr>
                <w:rStyle w:val="Lienhypertexte"/>
              </w:rPr>
              <w:t>1.3.2.</w:t>
            </w:r>
            <w:r w:rsidR="006178DC" w:rsidRPr="009C4E4B">
              <w:rPr>
                <w:rFonts w:eastAsiaTheme="minorEastAsia"/>
                <w:kern w:val="2"/>
                <w:lang w:val="en-US" w:eastAsia="fr-FR"/>
                <w14:ligatures w14:val="standardContextual"/>
              </w:rPr>
              <w:t xml:space="preserve"> </w:t>
            </w:r>
            <w:r w:rsidR="000A41CA" w:rsidRPr="009C4E4B">
              <w:rPr>
                <w:rStyle w:val="Lienhypertexte"/>
              </w:rPr>
              <w:t>L'approche française</w:t>
            </w:r>
            <w:r w:rsidR="000A41CA" w:rsidRPr="009C4E4B">
              <w:rPr>
                <w:webHidden/>
              </w:rPr>
              <w:tab/>
            </w:r>
            <w:r w:rsidR="000A41CA" w:rsidRPr="009C4E4B">
              <w:rPr>
                <w:b/>
                <w:bCs/>
                <w:webHidden/>
              </w:rPr>
              <w:fldChar w:fldCharType="begin"/>
            </w:r>
            <w:r w:rsidR="000A41CA" w:rsidRPr="009C4E4B">
              <w:rPr>
                <w:webHidden/>
              </w:rPr>
              <w:instrText xml:space="preserve"> PAGEREF _Toc200755808 \h </w:instrText>
            </w:r>
            <w:r w:rsidR="000A41CA" w:rsidRPr="009C4E4B">
              <w:rPr>
                <w:b/>
                <w:bCs/>
                <w:webHidden/>
              </w:rPr>
            </w:r>
            <w:r w:rsidR="000A41CA" w:rsidRPr="009C4E4B">
              <w:rPr>
                <w:b/>
                <w:bCs/>
                <w:webHidden/>
              </w:rPr>
              <w:fldChar w:fldCharType="separate"/>
            </w:r>
            <w:r w:rsidR="000A41CA" w:rsidRPr="009C4E4B">
              <w:rPr>
                <w:webHidden/>
              </w:rPr>
              <w:t>17</w:t>
            </w:r>
            <w:r w:rsidR="000A41CA" w:rsidRPr="009C4E4B">
              <w:rPr>
                <w:b/>
                <w:bCs/>
                <w:webHidden/>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09" w:history="1">
            <w:r w:rsidR="000A41CA" w:rsidRPr="009C4E4B">
              <w:rPr>
                <w:rStyle w:val="Lienhypertexte"/>
                <w:rFonts w:asciiTheme="majorBidi" w:hAnsiTheme="majorBidi" w:cstheme="majorBidi"/>
                <w:b w:val="0"/>
                <w:bCs w:val="0"/>
                <w:noProof/>
                <w:sz w:val="24"/>
                <w:szCs w:val="24"/>
                <w:lang w:val="fr-FR"/>
              </w:rPr>
              <w:t>1.4.</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Les théories des ressources humaines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_Toc200755809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18</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10" w:history="1">
            <w:r w:rsidR="000A41CA" w:rsidRPr="009C4E4B">
              <w:rPr>
                <w:rStyle w:val="Lienhypertexte"/>
              </w:rPr>
              <w:t>1.4.1.</w:t>
            </w:r>
            <w:r w:rsidR="006178DC" w:rsidRPr="009C4E4B">
              <w:rPr>
                <w:rFonts w:eastAsiaTheme="minorEastAsia"/>
                <w:kern w:val="2"/>
                <w:lang w:val="en-US" w:eastAsia="fr-FR"/>
                <w14:ligatures w14:val="standardContextual"/>
              </w:rPr>
              <w:t xml:space="preserve"> </w:t>
            </w:r>
            <w:r w:rsidR="000A41CA" w:rsidRPr="009C4E4B">
              <w:rPr>
                <w:rStyle w:val="Lienhypertexte"/>
              </w:rPr>
              <w:t>Théories fondamentales des ressources humaines</w:t>
            </w:r>
            <w:r w:rsidR="000A41CA" w:rsidRPr="009C4E4B">
              <w:rPr>
                <w:webHidden/>
              </w:rPr>
              <w:tab/>
            </w:r>
            <w:r w:rsidR="000A41CA" w:rsidRPr="009C4E4B">
              <w:rPr>
                <w:b/>
                <w:bCs/>
                <w:webHidden/>
              </w:rPr>
              <w:fldChar w:fldCharType="begin"/>
            </w:r>
            <w:r w:rsidR="000A41CA" w:rsidRPr="009C4E4B">
              <w:rPr>
                <w:webHidden/>
              </w:rPr>
              <w:instrText xml:space="preserve"> PAGEREF _Toc200755810 \h </w:instrText>
            </w:r>
            <w:r w:rsidR="000A41CA" w:rsidRPr="009C4E4B">
              <w:rPr>
                <w:b/>
                <w:bCs/>
                <w:webHidden/>
              </w:rPr>
            </w:r>
            <w:r w:rsidR="000A41CA" w:rsidRPr="009C4E4B">
              <w:rPr>
                <w:b/>
                <w:bCs/>
                <w:webHidden/>
              </w:rPr>
              <w:fldChar w:fldCharType="separate"/>
            </w:r>
            <w:r w:rsidR="000A41CA" w:rsidRPr="009C4E4B">
              <w:rPr>
                <w:webHidden/>
              </w:rPr>
              <w:t>19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11" w:history="1">
            <w:r w:rsidR="000A41CA" w:rsidRPr="009C4E4B">
              <w:rPr>
                <w:rStyle w:val="Lienhypertexte"/>
              </w:rPr>
              <w:t>1.4.2.</w:t>
            </w:r>
            <w:r w:rsidR="006178DC" w:rsidRPr="009C4E4B">
              <w:rPr>
                <w:rFonts w:eastAsiaTheme="minorEastAsia"/>
                <w:kern w:val="2"/>
                <w:lang w:val="en-US" w:eastAsia="fr-FR"/>
                <w14:ligatures w14:val="standardContextual"/>
              </w:rPr>
              <w:t xml:space="preserve"> </w:t>
            </w:r>
            <w:r w:rsidR="000A41CA" w:rsidRPr="009C4E4B">
              <w:rPr>
                <w:rStyle w:val="Lienhypertexte"/>
              </w:rPr>
              <w:t>Théories de la motivation</w:t>
            </w:r>
            <w:r w:rsidR="000A41CA" w:rsidRPr="009C4E4B">
              <w:rPr>
                <w:webHidden/>
              </w:rPr>
              <w:tab/>
            </w:r>
            <w:r w:rsidR="000A41CA" w:rsidRPr="009C4E4B">
              <w:rPr>
                <w:b/>
                <w:bCs/>
                <w:webHidden/>
              </w:rPr>
              <w:fldChar w:fldCharType="begin"/>
            </w:r>
            <w:r w:rsidR="000A41CA" w:rsidRPr="009C4E4B">
              <w:rPr>
                <w:webHidden/>
              </w:rPr>
              <w:instrText xml:space="preserve"> PAGEREF _Toc200755811 \h </w:instrText>
            </w:r>
            <w:r w:rsidR="000A41CA" w:rsidRPr="009C4E4B">
              <w:rPr>
                <w:b/>
                <w:bCs/>
                <w:webHidden/>
              </w:rPr>
            </w:r>
            <w:r w:rsidR="000A41CA" w:rsidRPr="009C4E4B">
              <w:rPr>
                <w:b/>
                <w:bCs/>
                <w:webHidden/>
              </w:rPr>
              <w:fldChar w:fldCharType="separate"/>
            </w:r>
            <w:r w:rsidR="000A41CA" w:rsidRPr="009C4E4B">
              <w:rPr>
                <w:webHidden/>
              </w:rPr>
              <w:t>20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12" w:history="1">
            <w:r w:rsidR="000A41CA" w:rsidRPr="009C4E4B">
              <w:rPr>
                <w:rStyle w:val="Lienhypertexte"/>
              </w:rPr>
              <w:t>1.4.3.</w:t>
            </w:r>
            <w:r w:rsidR="006178DC" w:rsidRPr="009C4E4B">
              <w:rPr>
                <w:rFonts w:eastAsiaTheme="minorEastAsia"/>
                <w:kern w:val="2"/>
                <w:lang w:val="en-US" w:eastAsia="fr-FR"/>
                <w14:ligatures w14:val="standardContextual"/>
              </w:rPr>
              <w:t xml:space="preserve"> </w:t>
            </w:r>
            <w:r w:rsidR="000A41CA" w:rsidRPr="009C4E4B">
              <w:rPr>
                <w:rStyle w:val="Lienhypertexte"/>
              </w:rPr>
              <w:t>Théorie du développement des ressources humaines </w:t>
            </w:r>
            <w:r w:rsidR="000A41CA" w:rsidRPr="009C4E4B">
              <w:rPr>
                <w:webHidden/>
              </w:rPr>
              <w:tab/>
            </w:r>
            <w:r w:rsidR="000A41CA" w:rsidRPr="009C4E4B">
              <w:rPr>
                <w:b/>
                <w:bCs/>
                <w:webHidden/>
              </w:rPr>
              <w:fldChar w:fldCharType="begin"/>
            </w:r>
            <w:r w:rsidR="000A41CA" w:rsidRPr="009C4E4B">
              <w:rPr>
                <w:webHidden/>
              </w:rPr>
              <w:instrText xml:space="preserve"> PAGEREF _Toc200755812 \h </w:instrText>
            </w:r>
            <w:r w:rsidR="000A41CA" w:rsidRPr="009C4E4B">
              <w:rPr>
                <w:b/>
                <w:bCs/>
                <w:webHidden/>
              </w:rPr>
            </w:r>
            <w:r w:rsidR="000A41CA" w:rsidRPr="009C4E4B">
              <w:rPr>
                <w:b/>
                <w:bCs/>
                <w:webHidden/>
              </w:rPr>
              <w:fldChar w:fldCharType="separate"/>
            </w:r>
            <w:r w:rsidR="000A41CA" w:rsidRPr="009C4E4B">
              <w:rPr>
                <w:webHidden/>
              </w:rPr>
              <w:t>22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13" w:history="1">
            <w:r w:rsidR="000A41CA" w:rsidRPr="009C4E4B">
              <w:rPr>
                <w:rStyle w:val="Lienhypertexte"/>
              </w:rPr>
              <w:t>1.4.4.</w:t>
            </w:r>
            <w:r w:rsidR="006178DC" w:rsidRPr="009C4E4B">
              <w:rPr>
                <w:rFonts w:eastAsiaTheme="minorEastAsia"/>
                <w:kern w:val="2"/>
                <w:lang w:val="en-US" w:eastAsia="fr-FR"/>
                <w14:ligatures w14:val="standardContextual"/>
              </w:rPr>
              <w:t xml:space="preserve"> </w:t>
            </w:r>
            <w:r w:rsidR="000A41CA" w:rsidRPr="009C4E4B">
              <w:rPr>
                <w:rStyle w:val="Lienhypertexte"/>
              </w:rPr>
              <w:t>Théories économiques basées sur les ressources</w:t>
            </w:r>
            <w:r w:rsidR="000A41CA" w:rsidRPr="009C4E4B">
              <w:rPr>
                <w:webHidden/>
              </w:rPr>
              <w:tab/>
            </w:r>
            <w:r w:rsidR="000A41CA" w:rsidRPr="009C4E4B">
              <w:rPr>
                <w:b/>
                <w:bCs/>
                <w:webHidden/>
              </w:rPr>
              <w:fldChar w:fldCharType="begin"/>
            </w:r>
            <w:r w:rsidR="000A41CA" w:rsidRPr="009C4E4B">
              <w:rPr>
                <w:webHidden/>
              </w:rPr>
              <w:instrText xml:space="preserve"> PAGEREF _Toc200755813 \h </w:instrText>
            </w:r>
            <w:r w:rsidR="000A41CA" w:rsidRPr="009C4E4B">
              <w:rPr>
                <w:b/>
                <w:bCs/>
                <w:webHidden/>
              </w:rPr>
            </w:r>
            <w:r w:rsidR="000A41CA" w:rsidRPr="009C4E4B">
              <w:rPr>
                <w:b/>
                <w:bCs/>
                <w:webHidden/>
              </w:rPr>
              <w:fldChar w:fldCharType="separate"/>
            </w:r>
            <w:r w:rsidR="000A41CA" w:rsidRPr="009C4E4B">
              <w:rPr>
                <w:webHidden/>
              </w:rPr>
              <w:t>22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14" w:history="1">
            <w:r w:rsidR="000A41CA" w:rsidRPr="009C4E4B">
              <w:rPr>
                <w:rStyle w:val="Lienhypertexte"/>
              </w:rPr>
              <w:t>1.4.5.</w:t>
            </w:r>
            <w:r w:rsidR="006178DC" w:rsidRPr="009C4E4B">
              <w:rPr>
                <w:rFonts w:eastAsiaTheme="minorEastAsia"/>
                <w:kern w:val="2"/>
                <w:lang w:val="en-US" w:eastAsia="fr-FR"/>
                <w14:ligatures w14:val="standardContextual"/>
              </w:rPr>
              <w:t xml:space="preserve"> </w:t>
            </w:r>
            <w:r w:rsidR="000A41CA" w:rsidRPr="009C4E4B">
              <w:rPr>
                <w:rStyle w:val="Lienhypertexte"/>
              </w:rPr>
              <w:t>Théories organisationnelles et systémiques </w:t>
            </w:r>
            <w:r w:rsidR="000A41CA" w:rsidRPr="009C4E4B">
              <w:rPr>
                <w:webHidden/>
              </w:rPr>
              <w:tab/>
            </w:r>
            <w:r w:rsidR="000A41CA" w:rsidRPr="009C4E4B">
              <w:rPr>
                <w:b/>
                <w:bCs/>
                <w:webHidden/>
              </w:rPr>
              <w:fldChar w:fldCharType="begin"/>
            </w:r>
            <w:r w:rsidR="000A41CA" w:rsidRPr="009C4E4B">
              <w:rPr>
                <w:webHidden/>
              </w:rPr>
              <w:instrText xml:space="preserve"> PAGEREF _Toc200755814 \h </w:instrText>
            </w:r>
            <w:r w:rsidR="000A41CA" w:rsidRPr="009C4E4B">
              <w:rPr>
                <w:b/>
                <w:bCs/>
                <w:webHidden/>
              </w:rPr>
            </w:r>
            <w:r w:rsidR="000A41CA" w:rsidRPr="009C4E4B">
              <w:rPr>
                <w:b/>
                <w:bCs/>
                <w:webHidden/>
              </w:rPr>
              <w:fldChar w:fldCharType="separate"/>
            </w:r>
            <w:r w:rsidR="000A41CA" w:rsidRPr="009C4E4B">
              <w:rPr>
                <w:webHidden/>
              </w:rPr>
              <w:t>23</w:t>
            </w:r>
            <w:r w:rsidR="000A41CA" w:rsidRPr="009C4E4B">
              <w:rPr>
                <w:b/>
                <w:bCs/>
                <w:webHidden/>
              </w:rPr>
              <w:fldChar w:fldCharType="end"/>
            </w:r>
          </w:hyperlink>
        </w:p>
        <w:p w:rsidR="000A41CA" w:rsidRPr="009C4E4B" w:rsidRDefault="00000000" w:rsidP="00861F90">
          <w:pPr>
            <w:pStyle w:val="TM1"/>
            <w:tabs>
              <w:tab w:val="left" w:pos="480"/>
              <w:tab w:val="right" w:leader="dot" w:pos="9010"/>
            </w:tabs>
            <w:spacing w:before="0" w:line="360" w:lineRule="auto"/>
            <w:rPr>
              <w:rFonts w:asciiTheme="majorBidi" w:eastAsiaTheme="minorEastAsia" w:hAnsiTheme="majorBidi" w:cstheme="majorBidi"/>
              <w:b w:val="0"/>
              <w:bCs w:val="0"/>
              <w:i w:val="0"/>
              <w:iCs w:val="0"/>
              <w:noProof/>
              <w:kern w:val="2"/>
              <w:szCs w:val="24"/>
              <w:lang w:eastAsia="fr-FR"/>
              <w14:ligatures w14:val="standardContextual"/>
            </w:rPr>
          </w:pPr>
          <w:hyperlink w:anchor="_Toc200755815" w:history="1">
            <w:r w:rsidR="000A41CA" w:rsidRPr="009C4E4B">
              <w:rPr>
                <w:rStyle w:val="Lienhypertexte"/>
                <w:rFonts w:asciiTheme="majorBidi" w:hAnsiTheme="majorBidi" w:cstheme="majorBidi"/>
                <w:b w:val="0"/>
                <w:bCs w:val="0"/>
                <w:i w:val="0"/>
                <w:iCs w:val="0"/>
                <w:noProof/>
                <w:szCs w:val="24"/>
                <w:lang w:val="fr-FR"/>
              </w:rPr>
              <w:t>2.</w:t>
            </w:r>
            <w:r w:rsidR="006178DC" w:rsidRPr="009C4E4B">
              <w:rPr>
                <w:rFonts w:asciiTheme="majorBidi" w:eastAsiaTheme="minorEastAsia" w:hAnsiTheme="majorBidi" w:cstheme="majorBidi"/>
                <w:b w:val="0"/>
                <w:bCs w:val="0"/>
                <w:i w:val="0"/>
                <w:iCs w:val="0"/>
                <w:noProof/>
                <w:kern w:val="2"/>
                <w:szCs w:val="24"/>
                <w:lang w:val="en-US" w:eastAsia="fr-FR"/>
                <w14:ligatures w14:val="standardContextual"/>
              </w:rPr>
              <w:t xml:space="preserve"> </w:t>
            </w:r>
            <w:r w:rsidR="000A41CA" w:rsidRPr="009C4E4B">
              <w:rPr>
                <w:rStyle w:val="Lienhypertexte"/>
                <w:rFonts w:asciiTheme="majorBidi" w:hAnsiTheme="majorBidi" w:cstheme="majorBidi"/>
                <w:b w:val="0"/>
                <w:bCs w:val="0"/>
                <w:i w:val="0"/>
                <w:iCs w:val="0"/>
                <w:noProof/>
                <w:szCs w:val="24"/>
                <w:lang w:val="fr-FR"/>
              </w:rPr>
              <w:t>La gestion des ressources humaines au sein de l’entreprise </w:t>
            </w:r>
            <w:r w:rsidR="000A41CA" w:rsidRPr="009C4E4B">
              <w:rPr>
                <w:rFonts w:asciiTheme="majorBidi" w:hAnsiTheme="majorBidi" w:cstheme="majorBidi"/>
                <w:b w:val="0"/>
                <w:bCs w:val="0"/>
                <w:i w:val="0"/>
                <w:iCs w:val="0"/>
                <w:noProof/>
                <w:webHidden/>
                <w:szCs w:val="24"/>
              </w:rPr>
              <w:tab/>
            </w:r>
            <w:r w:rsidR="000A41CA" w:rsidRPr="009C4E4B">
              <w:rPr>
                <w:rFonts w:asciiTheme="majorBidi" w:hAnsiTheme="majorBidi" w:cstheme="majorBidi"/>
                <w:b w:val="0"/>
                <w:bCs w:val="0"/>
                <w:i w:val="0"/>
                <w:iCs w:val="0"/>
                <w:noProof/>
                <w:webHidden/>
                <w:szCs w:val="24"/>
              </w:rPr>
              <w:fldChar w:fldCharType="begin"/>
            </w:r>
            <w:r w:rsidR="000A41CA" w:rsidRPr="009C4E4B">
              <w:rPr>
                <w:rFonts w:asciiTheme="majorBidi" w:hAnsiTheme="majorBidi" w:cstheme="majorBidi"/>
                <w:b w:val="0"/>
                <w:bCs w:val="0"/>
                <w:i w:val="0"/>
                <w:iCs w:val="0"/>
                <w:noProof/>
                <w:webHidden/>
                <w:szCs w:val="24"/>
              </w:rPr>
              <w:instrText xml:space="preserve"> PAGEREF _Toc200755815 \h </w:instrText>
            </w:r>
            <w:r w:rsidR="000A41CA" w:rsidRPr="009C4E4B">
              <w:rPr>
                <w:rFonts w:asciiTheme="majorBidi" w:hAnsiTheme="majorBidi" w:cstheme="majorBidi"/>
                <w:b w:val="0"/>
                <w:bCs w:val="0"/>
                <w:i w:val="0"/>
                <w:iCs w:val="0"/>
                <w:noProof/>
                <w:webHidden/>
                <w:szCs w:val="24"/>
              </w:rPr>
            </w:r>
            <w:r w:rsidR="000A41CA" w:rsidRPr="009C4E4B">
              <w:rPr>
                <w:rFonts w:asciiTheme="majorBidi" w:hAnsiTheme="majorBidi" w:cstheme="majorBidi"/>
                <w:b w:val="0"/>
                <w:bCs w:val="0"/>
                <w:i w:val="0"/>
                <w:iCs w:val="0"/>
                <w:noProof/>
                <w:webHidden/>
                <w:szCs w:val="24"/>
              </w:rPr>
              <w:fldChar w:fldCharType="separate"/>
            </w:r>
            <w:r w:rsidR="000A41CA" w:rsidRPr="009C4E4B">
              <w:rPr>
                <w:rFonts w:asciiTheme="majorBidi" w:hAnsiTheme="majorBidi" w:cstheme="majorBidi"/>
                <w:b w:val="0"/>
                <w:bCs w:val="0"/>
                <w:i w:val="0"/>
                <w:iCs w:val="0"/>
                <w:noProof/>
                <w:webHidden/>
                <w:szCs w:val="24"/>
              </w:rPr>
              <w:t>23</w:t>
            </w:r>
            <w:r w:rsidR="000A41CA" w:rsidRPr="009C4E4B">
              <w:rPr>
                <w:rFonts w:asciiTheme="majorBidi" w:hAnsiTheme="majorBidi" w:cstheme="majorBidi"/>
                <w:b w:val="0"/>
                <w:bCs w:val="0"/>
                <w:i w:val="0"/>
                <w:iCs w:val="0"/>
                <w:noProof/>
                <w:webHidden/>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16" w:history="1">
            <w:r w:rsidR="000A41CA" w:rsidRPr="009C4E4B">
              <w:rPr>
                <w:rStyle w:val="Lienhypertexte"/>
                <w:rFonts w:asciiTheme="majorBidi" w:hAnsiTheme="majorBidi" w:cstheme="majorBidi"/>
                <w:b w:val="0"/>
                <w:bCs w:val="0"/>
                <w:noProof/>
                <w:sz w:val="24"/>
                <w:szCs w:val="24"/>
                <w:lang w:val="fr-FR"/>
              </w:rPr>
              <w:t>2.1.</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Les missions de la GRH </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_Toc200755816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24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17" w:history="1">
            <w:r w:rsidR="000A41CA" w:rsidRPr="009C4E4B">
              <w:rPr>
                <w:rStyle w:val="Lienhypertexte"/>
              </w:rPr>
              <w:t>2.1.1.</w:t>
            </w:r>
            <w:r w:rsidR="006178DC" w:rsidRPr="009C4E4B">
              <w:rPr>
                <w:rFonts w:eastAsiaTheme="minorEastAsia"/>
                <w:kern w:val="2"/>
                <w:lang w:val="en-US" w:eastAsia="fr-FR"/>
                <w14:ligatures w14:val="standardContextual"/>
              </w:rPr>
              <w:t xml:space="preserve"> </w:t>
            </w:r>
            <w:r w:rsidR="000A41CA" w:rsidRPr="009C4E4B">
              <w:rPr>
                <w:rStyle w:val="Lienhypertexte"/>
                <w:rFonts w:eastAsiaTheme="majorEastAsia"/>
              </w:rPr>
              <w:t>L’optimisation de la gestion administrative</w:t>
            </w:r>
            <w:r w:rsidR="000A41CA" w:rsidRPr="009C4E4B">
              <w:rPr>
                <w:webHidden/>
              </w:rPr>
              <w:tab/>
            </w:r>
            <w:r w:rsidR="000A41CA" w:rsidRPr="009C4E4B">
              <w:rPr>
                <w:b/>
                <w:bCs/>
                <w:webHidden/>
              </w:rPr>
              <w:fldChar w:fldCharType="begin"/>
            </w:r>
            <w:r w:rsidR="000A41CA" w:rsidRPr="009C4E4B">
              <w:rPr>
                <w:webHidden/>
              </w:rPr>
              <w:instrText xml:space="preserve"> PAGEREF _Toc200755817 \h </w:instrText>
            </w:r>
            <w:r w:rsidR="000A41CA" w:rsidRPr="009C4E4B">
              <w:rPr>
                <w:b/>
                <w:bCs/>
                <w:webHidden/>
              </w:rPr>
            </w:r>
            <w:r w:rsidR="000A41CA" w:rsidRPr="009C4E4B">
              <w:rPr>
                <w:b/>
                <w:bCs/>
                <w:webHidden/>
              </w:rPr>
              <w:fldChar w:fldCharType="separate"/>
            </w:r>
            <w:r w:rsidR="000A41CA" w:rsidRPr="009C4E4B">
              <w:rPr>
                <w:webHidden/>
              </w:rPr>
              <w:t>24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18" w:history="1">
            <w:r w:rsidR="000A41CA" w:rsidRPr="009C4E4B">
              <w:rPr>
                <w:rStyle w:val="Lienhypertexte"/>
              </w:rPr>
              <w:t>2.1.2.</w:t>
            </w:r>
            <w:r w:rsidR="006178DC" w:rsidRPr="009C4E4B">
              <w:rPr>
                <w:rFonts w:eastAsiaTheme="minorEastAsia"/>
                <w:kern w:val="2"/>
                <w:lang w:val="en-US" w:eastAsia="fr-FR"/>
                <w14:ligatures w14:val="standardContextual"/>
              </w:rPr>
              <w:t xml:space="preserve"> </w:t>
            </w:r>
            <w:r w:rsidR="000A41CA" w:rsidRPr="009C4E4B">
              <w:rPr>
                <w:rStyle w:val="Lienhypertexte"/>
                <w:rFonts w:eastAsiaTheme="majorEastAsia"/>
              </w:rPr>
              <w:t>La motivation et engagement du personnel</w:t>
            </w:r>
            <w:r w:rsidR="000A41CA" w:rsidRPr="009C4E4B">
              <w:rPr>
                <w:webHidden/>
              </w:rPr>
              <w:tab/>
            </w:r>
            <w:r w:rsidR="000A41CA" w:rsidRPr="009C4E4B">
              <w:rPr>
                <w:b/>
                <w:bCs/>
                <w:webHidden/>
              </w:rPr>
              <w:fldChar w:fldCharType="begin"/>
            </w:r>
            <w:r w:rsidR="000A41CA" w:rsidRPr="009C4E4B">
              <w:rPr>
                <w:webHidden/>
              </w:rPr>
              <w:instrText xml:space="preserve"> PAGEREF _Toc200755818 \h </w:instrText>
            </w:r>
            <w:r w:rsidR="000A41CA" w:rsidRPr="009C4E4B">
              <w:rPr>
                <w:b/>
                <w:bCs/>
                <w:webHidden/>
              </w:rPr>
            </w:r>
            <w:r w:rsidR="000A41CA" w:rsidRPr="009C4E4B">
              <w:rPr>
                <w:b/>
                <w:bCs/>
                <w:webHidden/>
              </w:rPr>
              <w:fldChar w:fldCharType="separate"/>
            </w:r>
            <w:r w:rsidR="000A41CA" w:rsidRPr="009C4E4B">
              <w:rPr>
                <w:webHidden/>
              </w:rPr>
              <w:t>24</w:t>
            </w:r>
            <w:r w:rsidR="000A41CA" w:rsidRPr="009C4E4B">
              <w:rPr>
                <w:b/>
                <w:bCs/>
                <w:webHidden/>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19" w:history="1">
            <w:r w:rsidR="000A41CA" w:rsidRPr="009C4E4B">
              <w:rPr>
                <w:rStyle w:val="Lienhypertexte"/>
                <w:rFonts w:asciiTheme="majorBidi" w:hAnsiTheme="majorBidi" w:cstheme="majorBidi"/>
                <w:b w:val="0"/>
                <w:bCs w:val="0"/>
                <w:noProof/>
                <w:sz w:val="24"/>
                <w:szCs w:val="24"/>
                <w:lang w:val="fr-FR"/>
              </w:rPr>
              <w:t>2.1.3.</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L’accompagnement de la transformation organisationnelle</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_Toc200755819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24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20" w:history="1">
            <w:r w:rsidR="000A41CA" w:rsidRPr="009C4E4B">
              <w:rPr>
                <w:rStyle w:val="Lienhypertexte"/>
              </w:rPr>
              <w:t>2.1.4.</w:t>
            </w:r>
            <w:r w:rsidR="006178DC" w:rsidRPr="009C4E4B">
              <w:rPr>
                <w:rFonts w:eastAsiaTheme="minorEastAsia"/>
                <w:kern w:val="2"/>
                <w:lang w:val="en-US" w:eastAsia="fr-FR"/>
                <w14:ligatures w14:val="standardContextual"/>
              </w:rPr>
              <w:t xml:space="preserve"> </w:t>
            </w:r>
            <w:r w:rsidR="000A41CA" w:rsidRPr="009C4E4B">
              <w:rPr>
                <w:rStyle w:val="Lienhypertexte"/>
                <w:rFonts w:eastAsiaTheme="majorEastAsia"/>
              </w:rPr>
              <w:t>L’alignement de la gestion des talents sur la stratégie globale</w:t>
            </w:r>
            <w:r w:rsidR="000A41CA" w:rsidRPr="009C4E4B">
              <w:rPr>
                <w:webHidden/>
              </w:rPr>
              <w:tab/>
            </w:r>
            <w:r w:rsidR="000A41CA" w:rsidRPr="009C4E4B">
              <w:rPr>
                <w:b/>
                <w:bCs/>
                <w:webHidden/>
              </w:rPr>
              <w:fldChar w:fldCharType="begin"/>
            </w:r>
            <w:r w:rsidR="000A41CA" w:rsidRPr="009C4E4B">
              <w:rPr>
                <w:webHidden/>
              </w:rPr>
              <w:instrText xml:space="preserve"> PAGEREF _Toc200755820 \h </w:instrText>
            </w:r>
            <w:r w:rsidR="000A41CA" w:rsidRPr="009C4E4B">
              <w:rPr>
                <w:b/>
                <w:bCs/>
                <w:webHidden/>
              </w:rPr>
            </w:r>
            <w:r w:rsidR="000A41CA" w:rsidRPr="009C4E4B">
              <w:rPr>
                <w:b/>
                <w:bCs/>
                <w:webHidden/>
              </w:rPr>
              <w:fldChar w:fldCharType="separate"/>
            </w:r>
            <w:r w:rsidR="000A41CA" w:rsidRPr="009C4E4B">
              <w:rPr>
                <w:webHidden/>
              </w:rPr>
              <w:t>24</w:t>
            </w:r>
            <w:r w:rsidR="000A41CA" w:rsidRPr="009C4E4B">
              <w:rPr>
                <w:b/>
                <w:bCs/>
                <w:webHidden/>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21" w:history="1">
            <w:r w:rsidR="000A41CA" w:rsidRPr="009C4E4B">
              <w:rPr>
                <w:rStyle w:val="Lienhypertexte"/>
                <w:rFonts w:asciiTheme="majorBidi" w:hAnsiTheme="majorBidi" w:cstheme="majorBidi"/>
                <w:b w:val="0"/>
                <w:bCs w:val="0"/>
                <w:noProof/>
                <w:sz w:val="24"/>
                <w:szCs w:val="24"/>
                <w:lang w:val="fr-FR"/>
              </w:rPr>
              <w:t>2.2.</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 xml:space="preserve">Les objectifs de la GRH </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_Toc200755821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25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22" w:history="1">
            <w:r w:rsidR="000A41CA" w:rsidRPr="009C4E4B">
              <w:rPr>
                <w:rStyle w:val="Lienhypertexte"/>
                <w:rFonts w:asciiTheme="majorBidi" w:hAnsiTheme="majorBidi" w:cstheme="majorBidi"/>
                <w:b w:val="0"/>
                <w:bCs w:val="0"/>
                <w:noProof/>
                <w:sz w:val="24"/>
                <w:szCs w:val="24"/>
                <w:lang w:val="fr-FR"/>
              </w:rPr>
              <w:t>2.3.</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L'impact de la GRH sur la performance des entreprises </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_Toc200755822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26</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23" w:history="1">
            <w:r w:rsidR="000A41CA" w:rsidRPr="009C4E4B">
              <w:rPr>
                <w:rStyle w:val="Lienhypertexte"/>
                <w:rFonts w:asciiTheme="majorBidi" w:hAnsiTheme="majorBidi" w:cstheme="majorBidi"/>
                <w:b w:val="0"/>
                <w:bCs w:val="0"/>
                <w:noProof/>
                <w:sz w:val="24"/>
                <w:szCs w:val="24"/>
                <w:lang w:val="fr-FR"/>
              </w:rPr>
              <w:t>2.4.</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La GRH comme levier stratégique (GSRH)</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_Toc200755823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27</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24" w:history="1">
            <w:r w:rsidR="000A41CA" w:rsidRPr="009C4E4B">
              <w:rPr>
                <w:rStyle w:val="Lienhypertexte"/>
                <w:rFonts w:asciiTheme="majorBidi" w:hAnsiTheme="majorBidi" w:cstheme="majorBidi"/>
                <w:b w:val="0"/>
                <w:bCs w:val="0"/>
                <w:noProof/>
                <w:sz w:val="24"/>
                <w:szCs w:val="24"/>
                <w:lang w:val="fr-FR"/>
              </w:rPr>
              <w:t>2.5.</w:t>
            </w:r>
            <w:r w:rsidR="006178DC"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Les enjeux actuels de la GRH dans un contexte globalisé</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_Toc200755824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29</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25" w:history="1">
            <w:r w:rsidR="000A41CA" w:rsidRPr="009C4E4B">
              <w:rPr>
                <w:rStyle w:val="Lienhypertexte"/>
              </w:rPr>
              <w:t>2.5.1.</w:t>
            </w:r>
            <w:r w:rsidR="006178DC" w:rsidRPr="009C4E4B">
              <w:rPr>
                <w:rFonts w:eastAsiaTheme="minorEastAsia"/>
                <w:kern w:val="2"/>
                <w:lang w:val="en-US" w:eastAsia="fr-FR"/>
                <w14:ligatures w14:val="standardContextual"/>
              </w:rPr>
              <w:t xml:space="preserve"> </w:t>
            </w:r>
            <w:r w:rsidR="000A41CA" w:rsidRPr="009C4E4B">
              <w:rPr>
                <w:rStyle w:val="Lienhypertexte"/>
              </w:rPr>
              <w:t>Adaptation à la mondialisation</w:t>
            </w:r>
            <w:r w:rsidR="000A41CA" w:rsidRPr="009C4E4B">
              <w:rPr>
                <w:webHidden/>
              </w:rPr>
              <w:tab/>
            </w:r>
            <w:r w:rsidR="000A41CA" w:rsidRPr="009C4E4B">
              <w:rPr>
                <w:b/>
                <w:bCs/>
                <w:webHidden/>
              </w:rPr>
              <w:fldChar w:fldCharType="begin"/>
            </w:r>
            <w:r w:rsidR="000A41CA" w:rsidRPr="009C4E4B">
              <w:rPr>
                <w:webHidden/>
              </w:rPr>
              <w:instrText xml:space="preserve"> PAGEREF _Toc200755825 \h </w:instrText>
            </w:r>
            <w:r w:rsidR="000A41CA" w:rsidRPr="009C4E4B">
              <w:rPr>
                <w:b/>
                <w:bCs/>
                <w:webHidden/>
              </w:rPr>
            </w:r>
            <w:r w:rsidR="000A41CA" w:rsidRPr="009C4E4B">
              <w:rPr>
                <w:b/>
                <w:bCs/>
                <w:webHidden/>
              </w:rPr>
              <w:fldChar w:fldCharType="separate"/>
            </w:r>
            <w:r w:rsidR="000A41CA" w:rsidRPr="009C4E4B">
              <w:rPr>
                <w:webHidden/>
              </w:rPr>
              <w:t>29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26" w:history="1">
            <w:r w:rsidR="000A41CA" w:rsidRPr="009C4E4B">
              <w:rPr>
                <w:rStyle w:val="Lienhypertexte"/>
              </w:rPr>
              <w:t>2.5.2.</w:t>
            </w:r>
            <w:r w:rsidR="006178DC" w:rsidRPr="009C4E4B">
              <w:rPr>
                <w:rFonts w:eastAsiaTheme="minorEastAsia"/>
                <w:kern w:val="2"/>
                <w:lang w:val="en-US" w:eastAsia="fr-FR"/>
                <w14:ligatures w14:val="standardContextual"/>
              </w:rPr>
              <w:t xml:space="preserve"> </w:t>
            </w:r>
            <w:r w:rsidR="000A41CA" w:rsidRPr="009C4E4B">
              <w:rPr>
                <w:rStyle w:val="Lienhypertexte"/>
              </w:rPr>
              <w:t>Gestion de la diversité</w:t>
            </w:r>
            <w:r w:rsidR="000A41CA" w:rsidRPr="009C4E4B">
              <w:rPr>
                <w:webHidden/>
              </w:rPr>
              <w:tab/>
            </w:r>
            <w:r w:rsidR="000A41CA" w:rsidRPr="009C4E4B">
              <w:rPr>
                <w:b/>
                <w:bCs/>
                <w:webHidden/>
              </w:rPr>
              <w:fldChar w:fldCharType="begin"/>
            </w:r>
            <w:r w:rsidR="000A41CA" w:rsidRPr="009C4E4B">
              <w:rPr>
                <w:webHidden/>
              </w:rPr>
              <w:instrText xml:space="preserve"> PAGEREF _Toc200755826 \h </w:instrText>
            </w:r>
            <w:r w:rsidR="000A41CA" w:rsidRPr="009C4E4B">
              <w:rPr>
                <w:b/>
                <w:bCs/>
                <w:webHidden/>
              </w:rPr>
            </w:r>
            <w:r w:rsidR="000A41CA" w:rsidRPr="009C4E4B">
              <w:rPr>
                <w:b/>
                <w:bCs/>
                <w:webHidden/>
              </w:rPr>
              <w:fldChar w:fldCharType="separate"/>
            </w:r>
            <w:r w:rsidR="000A41CA" w:rsidRPr="009C4E4B">
              <w:rPr>
                <w:webHidden/>
              </w:rPr>
              <w:t>30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27" w:history="1">
            <w:r w:rsidR="000A41CA" w:rsidRPr="009C4E4B">
              <w:rPr>
                <w:rStyle w:val="Lienhypertexte"/>
              </w:rPr>
              <w:t>2.5.3.</w:t>
            </w:r>
            <w:r w:rsidR="006178DC" w:rsidRPr="009C4E4B">
              <w:rPr>
                <w:rFonts w:eastAsiaTheme="minorEastAsia"/>
                <w:kern w:val="2"/>
                <w:lang w:val="en-US" w:eastAsia="fr-FR"/>
                <w14:ligatures w14:val="standardContextual"/>
              </w:rPr>
              <w:t xml:space="preserve"> </w:t>
            </w:r>
            <w:r w:rsidR="000A41CA" w:rsidRPr="009C4E4B">
              <w:rPr>
                <w:rStyle w:val="Lienhypertexte"/>
              </w:rPr>
              <w:t>Technologie et digitalisation</w:t>
            </w:r>
            <w:r w:rsidR="000A41CA" w:rsidRPr="009C4E4B">
              <w:rPr>
                <w:webHidden/>
              </w:rPr>
              <w:tab/>
            </w:r>
            <w:r w:rsidR="000A41CA" w:rsidRPr="009C4E4B">
              <w:rPr>
                <w:b/>
                <w:bCs/>
                <w:webHidden/>
              </w:rPr>
              <w:fldChar w:fldCharType="begin"/>
            </w:r>
            <w:r w:rsidR="000A41CA" w:rsidRPr="009C4E4B">
              <w:rPr>
                <w:webHidden/>
              </w:rPr>
              <w:instrText xml:space="preserve"> PAGEREF _Toc200755827 \h </w:instrText>
            </w:r>
            <w:r w:rsidR="000A41CA" w:rsidRPr="009C4E4B">
              <w:rPr>
                <w:b/>
                <w:bCs/>
                <w:webHidden/>
              </w:rPr>
            </w:r>
            <w:r w:rsidR="000A41CA" w:rsidRPr="009C4E4B">
              <w:rPr>
                <w:b/>
                <w:bCs/>
                <w:webHidden/>
              </w:rPr>
              <w:fldChar w:fldCharType="separate"/>
            </w:r>
            <w:r w:rsidR="000A41CA" w:rsidRPr="009C4E4B">
              <w:rPr>
                <w:webHidden/>
              </w:rPr>
              <w:t>30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28" w:history="1">
            <w:r w:rsidR="000A41CA" w:rsidRPr="009C4E4B">
              <w:rPr>
                <w:rStyle w:val="Lienhypertexte"/>
              </w:rPr>
              <w:t>2.5.4.</w:t>
            </w:r>
            <w:r w:rsidR="006178DC" w:rsidRPr="009C4E4B">
              <w:rPr>
                <w:rFonts w:eastAsiaTheme="minorEastAsia"/>
                <w:kern w:val="2"/>
                <w:lang w:val="en-US" w:eastAsia="fr-FR"/>
                <w14:ligatures w14:val="standardContextual"/>
              </w:rPr>
              <w:t xml:space="preserve"> </w:t>
            </w:r>
            <w:r w:rsidR="000A41CA" w:rsidRPr="009C4E4B">
              <w:rPr>
                <w:rStyle w:val="Lienhypertexte"/>
              </w:rPr>
              <w:t>Développement des compétences</w:t>
            </w:r>
            <w:r w:rsidR="000A41CA" w:rsidRPr="009C4E4B">
              <w:rPr>
                <w:webHidden/>
              </w:rPr>
              <w:tab/>
            </w:r>
            <w:r w:rsidR="000A41CA" w:rsidRPr="009C4E4B">
              <w:rPr>
                <w:b/>
                <w:bCs/>
                <w:webHidden/>
              </w:rPr>
              <w:fldChar w:fldCharType="begin"/>
            </w:r>
            <w:r w:rsidR="000A41CA" w:rsidRPr="009C4E4B">
              <w:rPr>
                <w:webHidden/>
              </w:rPr>
              <w:instrText xml:space="preserve"> PAGEREF _Toc200755828 \h </w:instrText>
            </w:r>
            <w:r w:rsidR="000A41CA" w:rsidRPr="009C4E4B">
              <w:rPr>
                <w:b/>
                <w:bCs/>
                <w:webHidden/>
              </w:rPr>
            </w:r>
            <w:r w:rsidR="000A41CA" w:rsidRPr="009C4E4B">
              <w:rPr>
                <w:b/>
                <w:bCs/>
                <w:webHidden/>
              </w:rPr>
              <w:fldChar w:fldCharType="separate"/>
            </w:r>
            <w:r w:rsidR="000A41CA" w:rsidRPr="009C4E4B">
              <w:rPr>
                <w:webHidden/>
              </w:rPr>
              <w:t>30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29" w:history="1">
            <w:r w:rsidR="000A41CA" w:rsidRPr="009C4E4B">
              <w:rPr>
                <w:rStyle w:val="Lienhypertexte"/>
              </w:rPr>
              <w:t>2.5.5.</w:t>
            </w:r>
            <w:r w:rsidR="006178DC" w:rsidRPr="009C4E4B">
              <w:rPr>
                <w:rFonts w:eastAsiaTheme="minorEastAsia"/>
                <w:kern w:val="2"/>
                <w:lang w:val="en-US" w:eastAsia="fr-FR"/>
                <w14:ligatures w14:val="standardContextual"/>
              </w:rPr>
              <w:t xml:space="preserve"> </w:t>
            </w:r>
            <w:r w:rsidR="000A41CA" w:rsidRPr="009C4E4B">
              <w:rPr>
                <w:rStyle w:val="Lienhypertexte"/>
              </w:rPr>
              <w:t>Gestion de la performance et de la motivation</w:t>
            </w:r>
            <w:r w:rsidR="000A41CA" w:rsidRPr="009C4E4B">
              <w:rPr>
                <w:webHidden/>
              </w:rPr>
              <w:tab/>
            </w:r>
            <w:r w:rsidR="000A41CA" w:rsidRPr="009C4E4B">
              <w:rPr>
                <w:b/>
                <w:bCs/>
                <w:webHidden/>
              </w:rPr>
              <w:fldChar w:fldCharType="begin"/>
            </w:r>
            <w:r w:rsidR="000A41CA" w:rsidRPr="009C4E4B">
              <w:rPr>
                <w:webHidden/>
              </w:rPr>
              <w:instrText xml:space="preserve"> PAGEREF _Toc200755829 \h </w:instrText>
            </w:r>
            <w:r w:rsidR="000A41CA" w:rsidRPr="009C4E4B">
              <w:rPr>
                <w:b/>
                <w:bCs/>
                <w:webHidden/>
              </w:rPr>
            </w:r>
            <w:r w:rsidR="000A41CA" w:rsidRPr="009C4E4B">
              <w:rPr>
                <w:b/>
                <w:bCs/>
                <w:webHidden/>
              </w:rPr>
              <w:fldChar w:fldCharType="separate"/>
            </w:r>
            <w:r w:rsidR="000A41CA" w:rsidRPr="009C4E4B">
              <w:rPr>
                <w:webHidden/>
              </w:rPr>
              <w:t>31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30" w:history="1">
            <w:r w:rsidR="000A41CA" w:rsidRPr="009C4E4B">
              <w:rPr>
                <w:rStyle w:val="Lienhypertexte"/>
              </w:rPr>
              <w:t>2.5.6.</w:t>
            </w:r>
            <w:r w:rsidR="006178DC" w:rsidRPr="009C4E4B">
              <w:rPr>
                <w:rFonts w:eastAsiaTheme="minorEastAsia"/>
                <w:kern w:val="2"/>
                <w:lang w:val="en-US" w:eastAsia="fr-FR"/>
                <w14:ligatures w14:val="standardContextual"/>
              </w:rPr>
              <w:t xml:space="preserve"> </w:t>
            </w:r>
            <w:r w:rsidR="000A41CA" w:rsidRPr="009C4E4B">
              <w:rPr>
                <w:rStyle w:val="Lienhypertexte"/>
              </w:rPr>
              <w:t>Conformité législative et éthique</w:t>
            </w:r>
            <w:r w:rsidR="000A41CA" w:rsidRPr="009C4E4B">
              <w:rPr>
                <w:webHidden/>
              </w:rPr>
              <w:tab/>
            </w:r>
            <w:r w:rsidR="000A41CA" w:rsidRPr="009C4E4B">
              <w:rPr>
                <w:b/>
                <w:bCs/>
                <w:webHidden/>
              </w:rPr>
              <w:fldChar w:fldCharType="begin"/>
            </w:r>
            <w:r w:rsidR="000A41CA" w:rsidRPr="009C4E4B">
              <w:rPr>
                <w:webHidden/>
              </w:rPr>
              <w:instrText xml:space="preserve"> PAGEREF _Toc200755830 \h </w:instrText>
            </w:r>
            <w:r w:rsidR="000A41CA" w:rsidRPr="009C4E4B">
              <w:rPr>
                <w:b/>
                <w:bCs/>
                <w:webHidden/>
              </w:rPr>
            </w:r>
            <w:r w:rsidR="000A41CA" w:rsidRPr="009C4E4B">
              <w:rPr>
                <w:b/>
                <w:bCs/>
                <w:webHidden/>
              </w:rPr>
              <w:fldChar w:fldCharType="separate"/>
            </w:r>
            <w:r w:rsidR="000A41CA" w:rsidRPr="009C4E4B">
              <w:rPr>
                <w:webHidden/>
              </w:rPr>
              <w:t>31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31" w:history="1">
            <w:r w:rsidR="000A41CA" w:rsidRPr="009C4E4B">
              <w:rPr>
                <w:rStyle w:val="Lienhypertexte"/>
              </w:rPr>
              <w:t>2.6.</w:t>
            </w:r>
            <w:r w:rsidR="006178DC" w:rsidRPr="009C4E4B">
              <w:rPr>
                <w:rFonts w:eastAsiaTheme="minorEastAsia"/>
                <w:kern w:val="2"/>
                <w:lang w:val="en-US" w:eastAsia="fr-FR"/>
                <w14:ligatures w14:val="standardContextual"/>
              </w:rPr>
              <w:t xml:space="preserve"> </w:t>
            </w:r>
            <w:r w:rsidR="000A41CA" w:rsidRPr="009C4E4B">
              <w:rPr>
                <w:rStyle w:val="Lienhypertexte"/>
              </w:rPr>
              <w:t>L’éthique et la responsabilité sociale dans la gestion des ressources humaines (GRH)</w:t>
            </w:r>
            <w:r w:rsidR="000A41CA" w:rsidRPr="009C4E4B">
              <w:rPr>
                <w:webHidden/>
              </w:rPr>
              <w:tab/>
            </w:r>
            <w:r w:rsidR="000A41CA" w:rsidRPr="009C4E4B">
              <w:rPr>
                <w:b/>
                <w:bCs/>
                <w:webHidden/>
              </w:rPr>
              <w:fldChar w:fldCharType="begin"/>
            </w:r>
            <w:r w:rsidR="000A41CA" w:rsidRPr="009C4E4B">
              <w:rPr>
                <w:webHidden/>
              </w:rPr>
              <w:instrText xml:space="preserve"> PAGEREF _Toc200755831 \h </w:instrText>
            </w:r>
            <w:r w:rsidR="000A41CA" w:rsidRPr="009C4E4B">
              <w:rPr>
                <w:b/>
                <w:bCs/>
                <w:webHidden/>
              </w:rPr>
            </w:r>
            <w:r w:rsidR="000A41CA" w:rsidRPr="009C4E4B">
              <w:rPr>
                <w:b/>
                <w:bCs/>
                <w:webHidden/>
              </w:rPr>
              <w:fldChar w:fldCharType="separate"/>
            </w:r>
            <w:r w:rsidR="000A41CA" w:rsidRPr="009C4E4B">
              <w:rPr>
                <w:webHidden/>
              </w:rPr>
              <w:t>31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32" w:history="1">
            <w:r w:rsidR="000A41CA" w:rsidRPr="009C4E4B">
              <w:rPr>
                <w:rStyle w:val="Lienhypertexte"/>
              </w:rPr>
              <w:t>2.6.1.</w:t>
            </w:r>
            <w:r w:rsidR="006178DC" w:rsidRPr="009C4E4B">
              <w:rPr>
                <w:rFonts w:eastAsiaTheme="minorEastAsia"/>
                <w:kern w:val="2"/>
                <w:lang w:val="en-US" w:eastAsia="fr-FR"/>
                <w14:ligatures w14:val="standardContextual"/>
              </w:rPr>
              <w:t xml:space="preserve"> </w:t>
            </w:r>
            <w:r w:rsidR="000A41CA" w:rsidRPr="009C4E4B">
              <w:rPr>
                <w:rStyle w:val="Lienhypertexte"/>
              </w:rPr>
              <w:t>L'éthique dans la gestion des ressources humaines : un impératif pour des organisations responsables</w:t>
            </w:r>
            <w:r w:rsidR="00861F90" w:rsidRPr="009C4E4B">
              <w:rPr>
                <w:webHidden/>
                <w:lang w:val="en-US"/>
              </w:rPr>
              <w:t>………………………………………………………………………………….</w:t>
            </w:r>
            <w:r w:rsidR="000A41CA" w:rsidRPr="009C4E4B">
              <w:rPr>
                <w:b/>
                <w:bCs/>
                <w:webHidden/>
              </w:rPr>
              <w:fldChar w:fldCharType="begin"/>
            </w:r>
            <w:r w:rsidR="000A41CA" w:rsidRPr="009C4E4B">
              <w:rPr>
                <w:webHidden/>
              </w:rPr>
              <w:instrText xml:space="preserve"> PAGEREF _Toc200755832 \h </w:instrText>
            </w:r>
            <w:r w:rsidR="000A41CA" w:rsidRPr="009C4E4B">
              <w:rPr>
                <w:b/>
                <w:bCs/>
                <w:webHidden/>
              </w:rPr>
            </w:r>
            <w:r w:rsidR="000A41CA" w:rsidRPr="009C4E4B">
              <w:rPr>
                <w:b/>
                <w:bCs/>
                <w:webHidden/>
              </w:rPr>
              <w:fldChar w:fldCharType="separate"/>
            </w:r>
            <w:r w:rsidR="000A41CA" w:rsidRPr="009C4E4B">
              <w:rPr>
                <w:webHidden/>
              </w:rPr>
              <w:t>32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33" w:history="1">
            <w:r w:rsidR="000A41CA" w:rsidRPr="009C4E4B">
              <w:rPr>
                <w:rStyle w:val="Lienhypertexte"/>
              </w:rPr>
              <w:t>2.6.2.</w:t>
            </w:r>
            <w:r w:rsidR="006178DC" w:rsidRPr="009C4E4B">
              <w:rPr>
                <w:rFonts w:eastAsiaTheme="minorEastAsia"/>
                <w:kern w:val="2"/>
                <w:lang w:val="en-US" w:eastAsia="fr-FR"/>
                <w14:ligatures w14:val="standardContextual"/>
              </w:rPr>
              <w:t xml:space="preserve"> </w:t>
            </w:r>
            <w:r w:rsidR="000A41CA" w:rsidRPr="009C4E4B">
              <w:rPr>
                <w:rStyle w:val="Lienhypertexte"/>
                <w:rFonts w:eastAsiaTheme="majorEastAsia"/>
              </w:rPr>
              <w:t>La responsabilité sociale en GRH : un levier pour une gestion des ressources humaines durable et</w:t>
            </w:r>
            <w:r w:rsidR="00861F90" w:rsidRPr="009C4E4B">
              <w:rPr>
                <w:rStyle w:val="Lienhypertexte"/>
                <w:rFonts w:eastAsiaTheme="majorEastAsia"/>
              </w:rPr>
              <w:t xml:space="preserve"> </w:t>
            </w:r>
            <w:r w:rsidR="000A41CA" w:rsidRPr="009C4E4B">
              <w:rPr>
                <w:rStyle w:val="Lienhypertexte"/>
                <w:rFonts w:eastAsiaTheme="majorEastAsia"/>
              </w:rPr>
              <w:t>éthiq</w:t>
            </w:r>
            <w:r w:rsidR="00882F77" w:rsidRPr="009C4E4B">
              <w:rPr>
                <w:rStyle w:val="Lienhypertexte"/>
                <w:rFonts w:eastAsiaTheme="majorEastAsia"/>
              </w:rPr>
              <w:t>ue</w:t>
            </w:r>
            <w:r w:rsidR="00861F90" w:rsidRPr="009C4E4B">
              <w:rPr>
                <w:rStyle w:val="Lienhypertexte"/>
                <w:rFonts w:eastAsiaTheme="majorEastAsia"/>
              </w:rPr>
              <w:t xml:space="preserve"> </w:t>
            </w:r>
            <w:r w:rsidR="00882F77" w:rsidRPr="009C4E4B">
              <w:rPr>
                <w:rStyle w:val="Lienhypertexte"/>
                <w:rFonts w:eastAsiaTheme="majorEastAsia"/>
              </w:rPr>
              <w:t>……</w:t>
            </w:r>
            <w:r w:rsidR="00861F90" w:rsidRPr="009C4E4B">
              <w:rPr>
                <w:rStyle w:val="Lienhypertexte"/>
                <w:rFonts w:eastAsiaTheme="majorEastAsia"/>
              </w:rPr>
              <w:t>………………………………………………………………………</w:t>
            </w:r>
            <w:r w:rsidR="000A41CA" w:rsidRPr="009C4E4B">
              <w:rPr>
                <w:b/>
                <w:bCs/>
                <w:webHidden/>
              </w:rPr>
              <w:fldChar w:fldCharType="begin"/>
            </w:r>
            <w:r w:rsidR="000A41CA" w:rsidRPr="009C4E4B">
              <w:rPr>
                <w:webHidden/>
              </w:rPr>
              <w:instrText xml:space="preserve"> PAGEREF _Toc200755833 \h </w:instrText>
            </w:r>
            <w:r w:rsidR="000A41CA" w:rsidRPr="009C4E4B">
              <w:rPr>
                <w:b/>
                <w:bCs/>
                <w:webHidden/>
              </w:rPr>
            </w:r>
            <w:r w:rsidR="000A41CA" w:rsidRPr="009C4E4B">
              <w:rPr>
                <w:b/>
                <w:bCs/>
                <w:webHidden/>
              </w:rPr>
              <w:fldChar w:fldCharType="separate"/>
            </w:r>
            <w:r w:rsidR="000A41CA" w:rsidRPr="009C4E4B">
              <w:rPr>
                <w:webHidden/>
              </w:rPr>
              <w:t>32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34" w:history="1">
            <w:r w:rsidR="000A41CA" w:rsidRPr="009C4E4B">
              <w:rPr>
                <w:rStyle w:val="Lienhypertexte"/>
              </w:rPr>
              <w:t>2.6.3.</w:t>
            </w:r>
            <w:r w:rsidR="00882F77" w:rsidRPr="009C4E4B">
              <w:rPr>
                <w:rFonts w:eastAsiaTheme="minorEastAsia"/>
                <w:kern w:val="2"/>
                <w:lang w:val="en-US" w:eastAsia="fr-FR"/>
                <w14:ligatures w14:val="standardContextual"/>
              </w:rPr>
              <w:t xml:space="preserve"> </w:t>
            </w:r>
            <w:r w:rsidR="000A41CA" w:rsidRPr="009C4E4B">
              <w:rPr>
                <w:rStyle w:val="Lienhypertexte"/>
              </w:rPr>
              <w:t>L’interdépendance entre l’éthique et la responsabilité sociale en gestion des ressources humaines</w:t>
            </w:r>
            <w:r w:rsidR="00861F90" w:rsidRPr="009C4E4B">
              <w:rPr>
                <w:webHidden/>
                <w:lang w:val="en-US"/>
              </w:rPr>
              <w:t>……………………………………………………………………………………..</w:t>
            </w:r>
            <w:r w:rsidR="000A41CA" w:rsidRPr="009C4E4B">
              <w:rPr>
                <w:b/>
                <w:bCs/>
                <w:webHidden/>
              </w:rPr>
              <w:fldChar w:fldCharType="begin"/>
            </w:r>
            <w:r w:rsidR="000A41CA" w:rsidRPr="009C4E4B">
              <w:rPr>
                <w:webHidden/>
              </w:rPr>
              <w:instrText xml:space="preserve"> PAGEREF _Toc200755834 \h </w:instrText>
            </w:r>
            <w:r w:rsidR="000A41CA" w:rsidRPr="009C4E4B">
              <w:rPr>
                <w:b/>
                <w:bCs/>
                <w:webHidden/>
              </w:rPr>
            </w:r>
            <w:r w:rsidR="000A41CA" w:rsidRPr="009C4E4B">
              <w:rPr>
                <w:b/>
                <w:bCs/>
                <w:webHidden/>
              </w:rPr>
              <w:fldChar w:fldCharType="separate"/>
            </w:r>
            <w:r w:rsidR="000A41CA" w:rsidRPr="009C4E4B">
              <w:rPr>
                <w:webHidden/>
              </w:rPr>
              <w:t>33</w:t>
            </w:r>
            <w:r w:rsidR="000A41CA" w:rsidRPr="009C4E4B">
              <w:rPr>
                <w:b/>
                <w:bCs/>
                <w:webHidden/>
              </w:rPr>
              <w:fldChar w:fldCharType="end"/>
            </w:r>
          </w:hyperlink>
        </w:p>
        <w:p w:rsidR="000A41CA" w:rsidRPr="00257B48" w:rsidRDefault="00000000" w:rsidP="00B26299">
          <w:pPr>
            <w:pStyle w:val="TM3"/>
            <w:rPr>
              <w:rFonts w:eastAsiaTheme="minorEastAsia"/>
              <w:kern w:val="2"/>
              <w:lang w:val="fr-DZ" w:eastAsia="fr-FR"/>
              <w14:ligatures w14:val="standardContextual"/>
            </w:rPr>
          </w:pPr>
          <w:hyperlink w:anchor="_Toc200755835" w:history="1">
            <w:r w:rsidR="000A41CA" w:rsidRPr="00257B48">
              <w:rPr>
                <w:rStyle w:val="Lienhypertexte"/>
                <w:b/>
                <w:bCs/>
              </w:rPr>
              <w:t>Section 2 : Les fonctions et enjeux stratégiques de la GRH</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_Toc200755835 \h </w:instrText>
            </w:r>
            <w:r w:rsidR="000A41CA" w:rsidRPr="00B26299">
              <w:rPr>
                <w:b/>
                <w:bCs/>
                <w:webHidden/>
              </w:rPr>
            </w:r>
            <w:r w:rsidR="000A41CA" w:rsidRPr="00B26299">
              <w:rPr>
                <w:b/>
                <w:bCs/>
                <w:webHidden/>
              </w:rPr>
              <w:fldChar w:fldCharType="separate"/>
            </w:r>
            <w:r w:rsidR="000A41CA" w:rsidRPr="00B26299">
              <w:rPr>
                <w:b/>
                <w:bCs/>
                <w:webHidden/>
              </w:rPr>
              <w:t>35</w:t>
            </w:r>
            <w:r w:rsidR="000A41CA" w:rsidRPr="00B26299">
              <w:rPr>
                <w:b/>
                <w:bCs/>
                <w:webHidden/>
              </w:rPr>
              <w:fldChar w:fldCharType="end"/>
            </w:r>
          </w:hyperlink>
        </w:p>
        <w:p w:rsidR="000A41CA" w:rsidRPr="009C4E4B" w:rsidRDefault="00000000" w:rsidP="00861F90">
          <w:pPr>
            <w:pStyle w:val="TM1"/>
            <w:tabs>
              <w:tab w:val="left" w:pos="480"/>
              <w:tab w:val="right" w:leader="dot" w:pos="9010"/>
            </w:tabs>
            <w:spacing w:before="0" w:line="360" w:lineRule="auto"/>
            <w:rPr>
              <w:rFonts w:asciiTheme="majorBidi" w:eastAsiaTheme="minorEastAsia" w:hAnsiTheme="majorBidi" w:cstheme="majorBidi"/>
              <w:b w:val="0"/>
              <w:bCs w:val="0"/>
              <w:i w:val="0"/>
              <w:iCs w:val="0"/>
              <w:noProof/>
              <w:kern w:val="2"/>
              <w:szCs w:val="24"/>
              <w:lang w:eastAsia="fr-FR"/>
              <w14:ligatures w14:val="standardContextual"/>
            </w:rPr>
          </w:pPr>
          <w:hyperlink w:anchor="_Toc200755836" w:history="1">
            <w:r w:rsidR="000A41CA" w:rsidRPr="009C4E4B">
              <w:rPr>
                <w:rStyle w:val="Lienhypertexte"/>
                <w:rFonts w:asciiTheme="majorBidi" w:hAnsiTheme="majorBidi" w:cstheme="majorBidi"/>
                <w:b w:val="0"/>
                <w:bCs w:val="0"/>
                <w:i w:val="0"/>
                <w:iCs w:val="0"/>
                <w:noProof/>
                <w:szCs w:val="24"/>
              </w:rPr>
              <w:t>1.</w:t>
            </w:r>
            <w:r w:rsidR="00C54B27" w:rsidRPr="009C4E4B">
              <w:rPr>
                <w:rFonts w:asciiTheme="majorBidi" w:eastAsiaTheme="minorEastAsia" w:hAnsiTheme="majorBidi" w:cstheme="majorBidi"/>
                <w:b w:val="0"/>
                <w:bCs w:val="0"/>
                <w:i w:val="0"/>
                <w:iCs w:val="0"/>
                <w:noProof/>
                <w:kern w:val="2"/>
                <w:szCs w:val="24"/>
                <w:lang w:val="en-US" w:eastAsia="fr-FR"/>
                <w14:ligatures w14:val="standardContextual"/>
              </w:rPr>
              <w:t xml:space="preserve"> </w:t>
            </w:r>
            <w:r w:rsidR="000A41CA" w:rsidRPr="009C4E4B">
              <w:rPr>
                <w:rStyle w:val="Lienhypertexte"/>
                <w:rFonts w:asciiTheme="majorBidi" w:hAnsiTheme="majorBidi" w:cstheme="majorBidi"/>
                <w:b w:val="0"/>
                <w:bCs w:val="0"/>
                <w:i w:val="0"/>
                <w:iCs w:val="0"/>
                <w:noProof/>
                <w:szCs w:val="24"/>
              </w:rPr>
              <w:t>Les fonctions de la GRH</w:t>
            </w:r>
            <w:r w:rsidR="000A41CA" w:rsidRPr="009C4E4B">
              <w:rPr>
                <w:rFonts w:asciiTheme="majorBidi" w:hAnsiTheme="majorBidi" w:cstheme="majorBidi"/>
                <w:b w:val="0"/>
                <w:bCs w:val="0"/>
                <w:i w:val="0"/>
                <w:iCs w:val="0"/>
                <w:noProof/>
                <w:webHidden/>
                <w:szCs w:val="24"/>
              </w:rPr>
              <w:tab/>
            </w:r>
            <w:r w:rsidR="000A41CA" w:rsidRPr="009C4E4B">
              <w:rPr>
                <w:rFonts w:asciiTheme="majorBidi" w:hAnsiTheme="majorBidi" w:cstheme="majorBidi"/>
                <w:b w:val="0"/>
                <w:bCs w:val="0"/>
                <w:i w:val="0"/>
                <w:iCs w:val="0"/>
                <w:noProof/>
                <w:webHidden/>
                <w:szCs w:val="24"/>
              </w:rPr>
              <w:fldChar w:fldCharType="begin"/>
            </w:r>
            <w:r w:rsidR="000A41CA" w:rsidRPr="009C4E4B">
              <w:rPr>
                <w:rFonts w:asciiTheme="majorBidi" w:hAnsiTheme="majorBidi" w:cstheme="majorBidi"/>
                <w:b w:val="0"/>
                <w:bCs w:val="0"/>
                <w:i w:val="0"/>
                <w:iCs w:val="0"/>
                <w:noProof/>
                <w:webHidden/>
                <w:szCs w:val="24"/>
              </w:rPr>
              <w:instrText xml:space="preserve"> PAGEREF _Toc200755836 \h </w:instrText>
            </w:r>
            <w:r w:rsidR="000A41CA" w:rsidRPr="009C4E4B">
              <w:rPr>
                <w:rFonts w:asciiTheme="majorBidi" w:hAnsiTheme="majorBidi" w:cstheme="majorBidi"/>
                <w:b w:val="0"/>
                <w:bCs w:val="0"/>
                <w:i w:val="0"/>
                <w:iCs w:val="0"/>
                <w:noProof/>
                <w:webHidden/>
                <w:szCs w:val="24"/>
              </w:rPr>
            </w:r>
            <w:r w:rsidR="000A41CA" w:rsidRPr="009C4E4B">
              <w:rPr>
                <w:rFonts w:asciiTheme="majorBidi" w:hAnsiTheme="majorBidi" w:cstheme="majorBidi"/>
                <w:b w:val="0"/>
                <w:bCs w:val="0"/>
                <w:i w:val="0"/>
                <w:iCs w:val="0"/>
                <w:noProof/>
                <w:webHidden/>
                <w:szCs w:val="24"/>
              </w:rPr>
              <w:fldChar w:fldCharType="separate"/>
            </w:r>
            <w:r w:rsidR="000A41CA" w:rsidRPr="009C4E4B">
              <w:rPr>
                <w:rFonts w:asciiTheme="majorBidi" w:hAnsiTheme="majorBidi" w:cstheme="majorBidi"/>
                <w:b w:val="0"/>
                <w:bCs w:val="0"/>
                <w:i w:val="0"/>
                <w:iCs w:val="0"/>
                <w:noProof/>
                <w:webHidden/>
                <w:szCs w:val="24"/>
              </w:rPr>
              <w:t>35</w:t>
            </w:r>
            <w:r w:rsidR="000A41CA" w:rsidRPr="009C4E4B">
              <w:rPr>
                <w:rFonts w:asciiTheme="majorBidi" w:hAnsiTheme="majorBidi" w:cstheme="majorBidi"/>
                <w:b w:val="0"/>
                <w:bCs w:val="0"/>
                <w:i w:val="0"/>
                <w:iCs w:val="0"/>
                <w:noProof/>
                <w:webHidden/>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37" w:history="1">
            <w:r w:rsidR="000A41CA" w:rsidRPr="009C4E4B">
              <w:rPr>
                <w:rStyle w:val="Lienhypertexte"/>
                <w:rFonts w:asciiTheme="majorBidi" w:hAnsiTheme="majorBidi" w:cstheme="majorBidi"/>
                <w:b w:val="0"/>
                <w:bCs w:val="0"/>
                <w:noProof/>
                <w:sz w:val="24"/>
                <w:szCs w:val="24"/>
                <w:lang w:val="fr-FR"/>
              </w:rPr>
              <w:t>1.1.</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Le recrutement</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_Toc200755837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35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38" w:history="1">
            <w:r w:rsidR="000A41CA" w:rsidRPr="009C4E4B">
              <w:rPr>
                <w:rStyle w:val="Lienhypertexte"/>
              </w:rPr>
              <w:t>1.2.</w:t>
            </w:r>
            <w:r w:rsidR="00882F77" w:rsidRPr="009C4E4B">
              <w:rPr>
                <w:rFonts w:eastAsiaTheme="minorEastAsia"/>
                <w:kern w:val="2"/>
                <w:lang w:val="en-US" w:eastAsia="fr-FR"/>
                <w14:ligatures w14:val="standardContextual"/>
              </w:rPr>
              <w:t xml:space="preserve"> </w:t>
            </w:r>
            <w:r w:rsidR="000A41CA" w:rsidRPr="009C4E4B">
              <w:rPr>
                <w:rStyle w:val="Lienhypertexte"/>
              </w:rPr>
              <w:t>La formation</w:t>
            </w:r>
            <w:r w:rsidR="000A41CA" w:rsidRPr="009C4E4B">
              <w:rPr>
                <w:webHidden/>
              </w:rPr>
              <w:tab/>
            </w:r>
            <w:r w:rsidR="000A41CA" w:rsidRPr="009C4E4B">
              <w:rPr>
                <w:b/>
                <w:bCs/>
                <w:webHidden/>
              </w:rPr>
              <w:fldChar w:fldCharType="begin"/>
            </w:r>
            <w:r w:rsidR="000A41CA" w:rsidRPr="009C4E4B">
              <w:rPr>
                <w:webHidden/>
              </w:rPr>
              <w:instrText xml:space="preserve"> PAGEREF _Toc200755838 \h </w:instrText>
            </w:r>
            <w:r w:rsidR="000A41CA" w:rsidRPr="009C4E4B">
              <w:rPr>
                <w:b/>
                <w:bCs/>
                <w:webHidden/>
              </w:rPr>
            </w:r>
            <w:r w:rsidR="000A41CA" w:rsidRPr="009C4E4B">
              <w:rPr>
                <w:b/>
                <w:bCs/>
                <w:webHidden/>
              </w:rPr>
              <w:fldChar w:fldCharType="separate"/>
            </w:r>
            <w:r w:rsidR="000A41CA" w:rsidRPr="009C4E4B">
              <w:rPr>
                <w:webHidden/>
              </w:rPr>
              <w:t>36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39" w:history="1">
            <w:r w:rsidR="000A41CA" w:rsidRPr="009C4E4B">
              <w:rPr>
                <w:rStyle w:val="Lienhypertexte"/>
              </w:rPr>
              <w:t>1.3.</w:t>
            </w:r>
            <w:r w:rsidR="00882F77" w:rsidRPr="009C4E4B">
              <w:rPr>
                <w:rFonts w:eastAsiaTheme="minorEastAsia"/>
                <w:kern w:val="2"/>
                <w:lang w:val="en-US" w:eastAsia="fr-FR"/>
                <w14:ligatures w14:val="standardContextual"/>
              </w:rPr>
              <w:t xml:space="preserve"> </w:t>
            </w:r>
            <w:r w:rsidR="000A41CA" w:rsidRPr="009C4E4B">
              <w:rPr>
                <w:rStyle w:val="Lienhypertexte"/>
              </w:rPr>
              <w:t>La gestion prévisionnelle des emplois et des compétences (GPEC)</w:t>
            </w:r>
            <w:r w:rsidR="000A41CA" w:rsidRPr="009C4E4B">
              <w:rPr>
                <w:webHidden/>
              </w:rPr>
              <w:tab/>
            </w:r>
            <w:r w:rsidR="000A41CA" w:rsidRPr="009C4E4B">
              <w:rPr>
                <w:b/>
                <w:bCs/>
                <w:webHidden/>
              </w:rPr>
              <w:fldChar w:fldCharType="begin"/>
            </w:r>
            <w:r w:rsidR="000A41CA" w:rsidRPr="009C4E4B">
              <w:rPr>
                <w:webHidden/>
              </w:rPr>
              <w:instrText xml:space="preserve"> PAGEREF _Toc200755839 \h </w:instrText>
            </w:r>
            <w:r w:rsidR="000A41CA" w:rsidRPr="009C4E4B">
              <w:rPr>
                <w:b/>
                <w:bCs/>
                <w:webHidden/>
              </w:rPr>
            </w:r>
            <w:r w:rsidR="000A41CA" w:rsidRPr="009C4E4B">
              <w:rPr>
                <w:b/>
                <w:bCs/>
                <w:webHidden/>
              </w:rPr>
              <w:fldChar w:fldCharType="separate"/>
            </w:r>
            <w:r w:rsidR="000A41CA" w:rsidRPr="009C4E4B">
              <w:rPr>
                <w:webHidden/>
              </w:rPr>
              <w:t>36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0" w:history="1">
            <w:r w:rsidR="000A41CA" w:rsidRPr="009C4E4B">
              <w:rPr>
                <w:rStyle w:val="Lienhypertexte"/>
              </w:rPr>
              <w:t>1.3.1.</w:t>
            </w:r>
            <w:r w:rsidR="00882F77" w:rsidRPr="009C4E4B">
              <w:rPr>
                <w:rFonts w:eastAsiaTheme="minorEastAsia"/>
                <w:kern w:val="2"/>
                <w:lang w:val="en-US" w:eastAsia="fr-FR"/>
                <w14:ligatures w14:val="standardContextual"/>
              </w:rPr>
              <w:t xml:space="preserve"> </w:t>
            </w:r>
            <w:r w:rsidR="000A41CA" w:rsidRPr="009C4E4B">
              <w:rPr>
                <w:rStyle w:val="Lienhypertexte"/>
              </w:rPr>
              <w:t>Les objectifs de la GPEC</w:t>
            </w:r>
            <w:r w:rsidR="000A41CA" w:rsidRPr="009C4E4B">
              <w:rPr>
                <w:webHidden/>
              </w:rPr>
              <w:tab/>
            </w:r>
            <w:r w:rsidR="000A41CA" w:rsidRPr="009C4E4B">
              <w:rPr>
                <w:b/>
                <w:bCs/>
                <w:webHidden/>
              </w:rPr>
              <w:fldChar w:fldCharType="begin"/>
            </w:r>
            <w:r w:rsidR="000A41CA" w:rsidRPr="009C4E4B">
              <w:rPr>
                <w:webHidden/>
              </w:rPr>
              <w:instrText xml:space="preserve"> PAGEREF _Toc200755840 \h </w:instrText>
            </w:r>
            <w:r w:rsidR="000A41CA" w:rsidRPr="009C4E4B">
              <w:rPr>
                <w:b/>
                <w:bCs/>
                <w:webHidden/>
              </w:rPr>
            </w:r>
            <w:r w:rsidR="000A41CA" w:rsidRPr="009C4E4B">
              <w:rPr>
                <w:b/>
                <w:bCs/>
                <w:webHidden/>
              </w:rPr>
              <w:fldChar w:fldCharType="separate"/>
            </w:r>
            <w:r w:rsidR="000A41CA" w:rsidRPr="009C4E4B">
              <w:rPr>
                <w:webHidden/>
              </w:rPr>
              <w:t>36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1" w:history="1">
            <w:r w:rsidR="000A41CA" w:rsidRPr="009C4E4B">
              <w:rPr>
                <w:rStyle w:val="Lienhypertexte"/>
              </w:rPr>
              <w:t>1.3.2.</w:t>
            </w:r>
            <w:r w:rsidR="00882F77" w:rsidRPr="009C4E4B">
              <w:rPr>
                <w:rFonts w:eastAsiaTheme="minorEastAsia"/>
                <w:kern w:val="2"/>
                <w:lang w:val="en-US" w:eastAsia="fr-FR"/>
                <w14:ligatures w14:val="standardContextual"/>
              </w:rPr>
              <w:t xml:space="preserve"> </w:t>
            </w:r>
            <w:r w:rsidR="000A41CA" w:rsidRPr="009C4E4B">
              <w:rPr>
                <w:rStyle w:val="Lienhypertexte"/>
              </w:rPr>
              <w:t>Les tâches de la GPEC</w:t>
            </w:r>
            <w:r w:rsidR="000A41CA" w:rsidRPr="009C4E4B">
              <w:rPr>
                <w:webHidden/>
              </w:rPr>
              <w:tab/>
            </w:r>
            <w:r w:rsidR="000A41CA" w:rsidRPr="009C4E4B">
              <w:rPr>
                <w:b/>
                <w:bCs/>
                <w:webHidden/>
              </w:rPr>
              <w:fldChar w:fldCharType="begin"/>
            </w:r>
            <w:r w:rsidR="000A41CA" w:rsidRPr="009C4E4B">
              <w:rPr>
                <w:webHidden/>
              </w:rPr>
              <w:instrText xml:space="preserve"> PAGEREF _Toc200755841 \h </w:instrText>
            </w:r>
            <w:r w:rsidR="000A41CA" w:rsidRPr="009C4E4B">
              <w:rPr>
                <w:b/>
                <w:bCs/>
                <w:webHidden/>
              </w:rPr>
            </w:r>
            <w:r w:rsidR="000A41CA" w:rsidRPr="009C4E4B">
              <w:rPr>
                <w:b/>
                <w:bCs/>
                <w:webHidden/>
              </w:rPr>
              <w:fldChar w:fldCharType="separate"/>
            </w:r>
            <w:r w:rsidR="000A41CA" w:rsidRPr="009C4E4B">
              <w:rPr>
                <w:webHidden/>
              </w:rPr>
              <w:t>37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2" w:history="1">
            <w:r w:rsidR="000A41CA" w:rsidRPr="009C4E4B">
              <w:rPr>
                <w:rStyle w:val="Lienhypertexte"/>
              </w:rPr>
              <w:t>1.3.3.</w:t>
            </w:r>
            <w:r w:rsidR="00882F77" w:rsidRPr="009C4E4B">
              <w:rPr>
                <w:rFonts w:eastAsiaTheme="minorEastAsia"/>
                <w:kern w:val="2"/>
                <w:lang w:val="en-US" w:eastAsia="fr-FR"/>
                <w14:ligatures w14:val="standardContextual"/>
              </w:rPr>
              <w:t xml:space="preserve"> </w:t>
            </w:r>
            <w:r w:rsidR="000A41CA" w:rsidRPr="009C4E4B">
              <w:rPr>
                <w:rStyle w:val="Lienhypertexte"/>
              </w:rPr>
              <w:t>Méthodes et outils de la GPEC</w:t>
            </w:r>
            <w:r w:rsidR="000A41CA" w:rsidRPr="009C4E4B">
              <w:rPr>
                <w:webHidden/>
              </w:rPr>
              <w:tab/>
            </w:r>
            <w:r w:rsidR="000A41CA" w:rsidRPr="009C4E4B">
              <w:rPr>
                <w:b/>
                <w:bCs/>
                <w:webHidden/>
              </w:rPr>
              <w:fldChar w:fldCharType="begin"/>
            </w:r>
            <w:r w:rsidR="000A41CA" w:rsidRPr="009C4E4B">
              <w:rPr>
                <w:webHidden/>
              </w:rPr>
              <w:instrText xml:space="preserve"> PAGEREF _Toc200755842 \h </w:instrText>
            </w:r>
            <w:r w:rsidR="000A41CA" w:rsidRPr="009C4E4B">
              <w:rPr>
                <w:b/>
                <w:bCs/>
                <w:webHidden/>
              </w:rPr>
            </w:r>
            <w:r w:rsidR="000A41CA" w:rsidRPr="009C4E4B">
              <w:rPr>
                <w:b/>
                <w:bCs/>
                <w:webHidden/>
              </w:rPr>
              <w:fldChar w:fldCharType="separate"/>
            </w:r>
            <w:r w:rsidR="000A41CA" w:rsidRPr="009C4E4B">
              <w:rPr>
                <w:webHidden/>
              </w:rPr>
              <w:t>37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3" w:history="1">
            <w:r w:rsidR="000A41CA" w:rsidRPr="009C4E4B">
              <w:rPr>
                <w:rStyle w:val="Lienhypertexte"/>
              </w:rPr>
              <w:t>1.3.3.1.</w:t>
            </w:r>
            <w:r w:rsidR="00882F77" w:rsidRPr="009C4E4B">
              <w:rPr>
                <w:rFonts w:eastAsiaTheme="minorEastAsia"/>
                <w:kern w:val="2"/>
                <w:lang w:val="en-US" w:eastAsia="fr-FR"/>
                <w14:ligatures w14:val="standardContextual"/>
              </w:rPr>
              <w:t xml:space="preserve"> </w:t>
            </w:r>
            <w:r w:rsidR="000A41CA" w:rsidRPr="009C4E4B">
              <w:rPr>
                <w:rStyle w:val="Lienhypertexte"/>
              </w:rPr>
              <w:t>Méthodes de la GPEC</w:t>
            </w:r>
            <w:r w:rsidR="000A41CA" w:rsidRPr="009C4E4B">
              <w:rPr>
                <w:webHidden/>
              </w:rPr>
              <w:tab/>
            </w:r>
            <w:r w:rsidR="000A41CA" w:rsidRPr="009C4E4B">
              <w:rPr>
                <w:b/>
                <w:bCs/>
                <w:webHidden/>
              </w:rPr>
              <w:fldChar w:fldCharType="begin"/>
            </w:r>
            <w:r w:rsidR="000A41CA" w:rsidRPr="009C4E4B">
              <w:rPr>
                <w:webHidden/>
              </w:rPr>
              <w:instrText xml:space="preserve"> PAGEREF _Toc200755843 \h </w:instrText>
            </w:r>
            <w:r w:rsidR="000A41CA" w:rsidRPr="009C4E4B">
              <w:rPr>
                <w:b/>
                <w:bCs/>
                <w:webHidden/>
              </w:rPr>
            </w:r>
            <w:r w:rsidR="000A41CA" w:rsidRPr="009C4E4B">
              <w:rPr>
                <w:b/>
                <w:bCs/>
                <w:webHidden/>
              </w:rPr>
              <w:fldChar w:fldCharType="separate"/>
            </w:r>
            <w:r w:rsidR="000A41CA" w:rsidRPr="009C4E4B">
              <w:rPr>
                <w:webHidden/>
              </w:rPr>
              <w:t>37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4" w:history="1">
            <w:r w:rsidR="000A41CA" w:rsidRPr="009C4E4B">
              <w:rPr>
                <w:rStyle w:val="Lienhypertexte"/>
              </w:rPr>
              <w:t>1.3.3.2.</w:t>
            </w:r>
            <w:r w:rsidR="00882F77" w:rsidRPr="009C4E4B">
              <w:rPr>
                <w:rFonts w:eastAsiaTheme="minorEastAsia"/>
                <w:kern w:val="2"/>
                <w:lang w:val="en-US" w:eastAsia="fr-FR"/>
                <w14:ligatures w14:val="standardContextual"/>
              </w:rPr>
              <w:t xml:space="preserve"> </w:t>
            </w:r>
            <w:r w:rsidR="000A41CA" w:rsidRPr="009C4E4B">
              <w:rPr>
                <w:rStyle w:val="Lienhypertexte"/>
              </w:rPr>
              <w:t>Outils de la GPEC</w:t>
            </w:r>
            <w:r w:rsidR="000A41CA" w:rsidRPr="009C4E4B">
              <w:rPr>
                <w:webHidden/>
              </w:rPr>
              <w:tab/>
            </w:r>
            <w:r w:rsidR="000A41CA" w:rsidRPr="009C4E4B">
              <w:rPr>
                <w:b/>
                <w:bCs/>
                <w:webHidden/>
              </w:rPr>
              <w:fldChar w:fldCharType="begin"/>
            </w:r>
            <w:r w:rsidR="000A41CA" w:rsidRPr="009C4E4B">
              <w:rPr>
                <w:webHidden/>
              </w:rPr>
              <w:instrText xml:space="preserve"> PAGEREF _Toc200755844 \h </w:instrText>
            </w:r>
            <w:r w:rsidR="000A41CA" w:rsidRPr="009C4E4B">
              <w:rPr>
                <w:b/>
                <w:bCs/>
                <w:webHidden/>
              </w:rPr>
            </w:r>
            <w:r w:rsidR="000A41CA" w:rsidRPr="009C4E4B">
              <w:rPr>
                <w:b/>
                <w:bCs/>
                <w:webHidden/>
              </w:rPr>
              <w:fldChar w:fldCharType="separate"/>
            </w:r>
            <w:r w:rsidR="000A41CA" w:rsidRPr="009C4E4B">
              <w:rPr>
                <w:webHidden/>
              </w:rPr>
              <w:t>38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5" w:history="1">
            <w:r w:rsidR="000A41CA" w:rsidRPr="009C4E4B">
              <w:rPr>
                <w:rStyle w:val="Lienhypertexte"/>
              </w:rPr>
              <w:t>1.4.</w:t>
            </w:r>
            <w:r w:rsidR="00882F77" w:rsidRPr="009C4E4B">
              <w:rPr>
                <w:rFonts w:eastAsiaTheme="minorEastAsia"/>
                <w:kern w:val="2"/>
                <w:lang w:val="en-US" w:eastAsia="fr-FR"/>
                <w14:ligatures w14:val="standardContextual"/>
              </w:rPr>
              <w:t xml:space="preserve"> </w:t>
            </w:r>
            <w:r w:rsidR="000A41CA" w:rsidRPr="009C4E4B">
              <w:rPr>
                <w:rStyle w:val="Lienhypertexte"/>
              </w:rPr>
              <w:t>La rémunération</w:t>
            </w:r>
            <w:r w:rsidR="000A41CA" w:rsidRPr="009C4E4B">
              <w:rPr>
                <w:webHidden/>
              </w:rPr>
              <w:tab/>
            </w:r>
            <w:r w:rsidR="000A41CA" w:rsidRPr="009C4E4B">
              <w:rPr>
                <w:b/>
                <w:bCs/>
                <w:webHidden/>
              </w:rPr>
              <w:fldChar w:fldCharType="begin"/>
            </w:r>
            <w:r w:rsidR="000A41CA" w:rsidRPr="009C4E4B">
              <w:rPr>
                <w:webHidden/>
              </w:rPr>
              <w:instrText xml:space="preserve"> PAGEREF _Toc200755845 \h </w:instrText>
            </w:r>
            <w:r w:rsidR="000A41CA" w:rsidRPr="009C4E4B">
              <w:rPr>
                <w:b/>
                <w:bCs/>
                <w:webHidden/>
              </w:rPr>
            </w:r>
            <w:r w:rsidR="000A41CA" w:rsidRPr="009C4E4B">
              <w:rPr>
                <w:b/>
                <w:bCs/>
                <w:webHidden/>
              </w:rPr>
              <w:fldChar w:fldCharType="separate"/>
            </w:r>
            <w:r w:rsidR="000A41CA" w:rsidRPr="009C4E4B">
              <w:rPr>
                <w:webHidden/>
              </w:rPr>
              <w:t>39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6" w:history="1">
            <w:r w:rsidR="000A41CA" w:rsidRPr="009C4E4B">
              <w:rPr>
                <w:rStyle w:val="Lienhypertexte"/>
              </w:rPr>
              <w:t>1.4.1.</w:t>
            </w:r>
            <w:r w:rsidR="00882F77" w:rsidRPr="009C4E4B">
              <w:rPr>
                <w:rFonts w:eastAsiaTheme="minorEastAsia"/>
                <w:kern w:val="2"/>
                <w:lang w:val="en-US" w:eastAsia="fr-FR"/>
                <w14:ligatures w14:val="standardContextual"/>
              </w:rPr>
              <w:t xml:space="preserve"> </w:t>
            </w:r>
            <w:r w:rsidR="000A41CA" w:rsidRPr="009C4E4B">
              <w:rPr>
                <w:rStyle w:val="Lienhypertexte"/>
              </w:rPr>
              <w:t>Les composantes de la rémunération</w:t>
            </w:r>
            <w:r w:rsidR="000A41CA" w:rsidRPr="009C4E4B">
              <w:rPr>
                <w:webHidden/>
              </w:rPr>
              <w:tab/>
            </w:r>
            <w:r w:rsidR="000A41CA" w:rsidRPr="009C4E4B">
              <w:rPr>
                <w:b/>
                <w:bCs/>
                <w:webHidden/>
              </w:rPr>
              <w:fldChar w:fldCharType="begin"/>
            </w:r>
            <w:r w:rsidR="000A41CA" w:rsidRPr="009C4E4B">
              <w:rPr>
                <w:webHidden/>
              </w:rPr>
              <w:instrText xml:space="preserve"> PAGEREF _Toc200755846 \h </w:instrText>
            </w:r>
            <w:r w:rsidR="000A41CA" w:rsidRPr="009C4E4B">
              <w:rPr>
                <w:b/>
                <w:bCs/>
                <w:webHidden/>
              </w:rPr>
            </w:r>
            <w:r w:rsidR="000A41CA" w:rsidRPr="009C4E4B">
              <w:rPr>
                <w:b/>
                <w:bCs/>
                <w:webHidden/>
              </w:rPr>
              <w:fldChar w:fldCharType="separate"/>
            </w:r>
            <w:r w:rsidR="000A41CA" w:rsidRPr="009C4E4B">
              <w:rPr>
                <w:webHidden/>
              </w:rPr>
              <w:t>40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7" w:history="1">
            <w:r w:rsidR="000A41CA" w:rsidRPr="009C4E4B">
              <w:rPr>
                <w:rStyle w:val="Lienhypertexte"/>
              </w:rPr>
              <w:t>1.4.1.1.</w:t>
            </w:r>
            <w:r w:rsidR="00882F77" w:rsidRPr="009C4E4B">
              <w:rPr>
                <w:rFonts w:eastAsiaTheme="minorEastAsia"/>
                <w:kern w:val="2"/>
                <w:lang w:val="en-US" w:eastAsia="fr-FR"/>
                <w14:ligatures w14:val="standardContextual"/>
              </w:rPr>
              <w:t xml:space="preserve"> </w:t>
            </w:r>
            <w:r w:rsidR="000A41CA" w:rsidRPr="009C4E4B">
              <w:rPr>
                <w:rStyle w:val="Lienhypertexte"/>
              </w:rPr>
              <w:t>Le salaire de base</w:t>
            </w:r>
            <w:r w:rsidR="000A41CA" w:rsidRPr="009C4E4B">
              <w:rPr>
                <w:webHidden/>
              </w:rPr>
              <w:tab/>
            </w:r>
            <w:r w:rsidR="000A41CA" w:rsidRPr="009C4E4B">
              <w:rPr>
                <w:b/>
                <w:bCs/>
                <w:webHidden/>
              </w:rPr>
              <w:fldChar w:fldCharType="begin"/>
            </w:r>
            <w:r w:rsidR="000A41CA" w:rsidRPr="009C4E4B">
              <w:rPr>
                <w:webHidden/>
              </w:rPr>
              <w:instrText xml:space="preserve"> PAGEREF _Toc200755847 \h </w:instrText>
            </w:r>
            <w:r w:rsidR="000A41CA" w:rsidRPr="009C4E4B">
              <w:rPr>
                <w:b/>
                <w:bCs/>
                <w:webHidden/>
              </w:rPr>
            </w:r>
            <w:r w:rsidR="000A41CA" w:rsidRPr="009C4E4B">
              <w:rPr>
                <w:b/>
                <w:bCs/>
                <w:webHidden/>
              </w:rPr>
              <w:fldChar w:fldCharType="separate"/>
            </w:r>
            <w:r w:rsidR="000A41CA" w:rsidRPr="009C4E4B">
              <w:rPr>
                <w:webHidden/>
              </w:rPr>
              <w:t>40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48" w:history="1">
            <w:r w:rsidR="000A41CA" w:rsidRPr="009C4E4B">
              <w:rPr>
                <w:rStyle w:val="Lienhypertexte"/>
              </w:rPr>
              <w:t>1.4.1.2.</w:t>
            </w:r>
            <w:r w:rsidR="00882F77" w:rsidRPr="009C4E4B">
              <w:rPr>
                <w:rFonts w:eastAsiaTheme="minorEastAsia"/>
                <w:kern w:val="2"/>
                <w:lang w:val="en-US" w:eastAsia="fr-FR"/>
                <w14:ligatures w14:val="standardContextual"/>
              </w:rPr>
              <w:t xml:space="preserve"> </w:t>
            </w:r>
            <w:r w:rsidR="000A41CA" w:rsidRPr="009C4E4B">
              <w:rPr>
                <w:rStyle w:val="Lienhypertexte"/>
              </w:rPr>
              <w:t>Les avantages sociaux</w:t>
            </w:r>
            <w:r w:rsidR="000A41CA" w:rsidRPr="009C4E4B">
              <w:rPr>
                <w:webHidden/>
              </w:rPr>
              <w:tab/>
            </w:r>
            <w:r w:rsidR="000A41CA" w:rsidRPr="009C4E4B">
              <w:rPr>
                <w:b/>
                <w:bCs/>
                <w:webHidden/>
              </w:rPr>
              <w:fldChar w:fldCharType="begin"/>
            </w:r>
            <w:r w:rsidR="000A41CA" w:rsidRPr="009C4E4B">
              <w:rPr>
                <w:webHidden/>
              </w:rPr>
              <w:instrText xml:space="preserve"> PAGEREF _Toc200755848 \h </w:instrText>
            </w:r>
            <w:r w:rsidR="000A41CA" w:rsidRPr="009C4E4B">
              <w:rPr>
                <w:b/>
                <w:bCs/>
                <w:webHidden/>
              </w:rPr>
            </w:r>
            <w:r w:rsidR="000A41CA" w:rsidRPr="009C4E4B">
              <w:rPr>
                <w:b/>
                <w:bCs/>
                <w:webHidden/>
              </w:rPr>
              <w:fldChar w:fldCharType="separate"/>
            </w:r>
            <w:r w:rsidR="000A41CA" w:rsidRPr="009C4E4B">
              <w:rPr>
                <w:webHidden/>
              </w:rPr>
              <w:t>40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53" w:history="1">
            <w:r w:rsidR="000A41CA" w:rsidRPr="009C4E4B">
              <w:rPr>
                <w:rStyle w:val="Lienhypertexte"/>
              </w:rPr>
              <w:t>1.4.2.</w:t>
            </w:r>
            <w:r w:rsidR="00882F77" w:rsidRPr="009C4E4B">
              <w:rPr>
                <w:rFonts w:eastAsiaTheme="minorEastAsia"/>
                <w:kern w:val="2"/>
                <w:lang w:val="en-US" w:eastAsia="fr-FR"/>
                <w14:ligatures w14:val="standardContextual"/>
              </w:rPr>
              <w:t xml:space="preserve"> </w:t>
            </w:r>
            <w:r w:rsidR="000A41CA" w:rsidRPr="009C4E4B">
              <w:rPr>
                <w:rStyle w:val="Lienhypertexte"/>
              </w:rPr>
              <w:t>L’importance de la rémunération</w:t>
            </w:r>
            <w:r w:rsidR="000A41CA" w:rsidRPr="009C4E4B">
              <w:rPr>
                <w:webHidden/>
              </w:rPr>
              <w:tab/>
            </w:r>
            <w:r w:rsidR="000A41CA" w:rsidRPr="009C4E4B">
              <w:rPr>
                <w:b/>
                <w:bCs/>
                <w:webHidden/>
              </w:rPr>
              <w:fldChar w:fldCharType="begin"/>
            </w:r>
            <w:r w:rsidR="000A41CA" w:rsidRPr="009C4E4B">
              <w:rPr>
                <w:webHidden/>
              </w:rPr>
              <w:instrText xml:space="preserve"> PAGEREF _Toc200755853 \h </w:instrText>
            </w:r>
            <w:r w:rsidR="000A41CA" w:rsidRPr="009C4E4B">
              <w:rPr>
                <w:b/>
                <w:bCs/>
                <w:webHidden/>
              </w:rPr>
            </w:r>
            <w:r w:rsidR="000A41CA" w:rsidRPr="009C4E4B">
              <w:rPr>
                <w:b/>
                <w:bCs/>
                <w:webHidden/>
              </w:rPr>
              <w:fldChar w:fldCharType="separate"/>
            </w:r>
            <w:r w:rsidR="000A41CA" w:rsidRPr="009C4E4B">
              <w:rPr>
                <w:webHidden/>
              </w:rPr>
              <w:t>43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54" w:history="1">
            <w:r w:rsidR="000A41CA" w:rsidRPr="009C4E4B">
              <w:rPr>
                <w:rStyle w:val="Lienhypertexte"/>
              </w:rPr>
              <w:t>1.5.</w:t>
            </w:r>
            <w:r w:rsidR="00882F77" w:rsidRPr="009C4E4B">
              <w:rPr>
                <w:rFonts w:eastAsiaTheme="minorEastAsia"/>
                <w:kern w:val="2"/>
                <w:lang w:val="en-US" w:eastAsia="fr-FR"/>
                <w14:ligatures w14:val="standardContextual"/>
              </w:rPr>
              <w:t xml:space="preserve"> </w:t>
            </w:r>
            <w:r w:rsidR="000A41CA" w:rsidRPr="009C4E4B">
              <w:rPr>
                <w:rStyle w:val="Lienhypertexte"/>
              </w:rPr>
              <w:t>La gestion des carrières</w:t>
            </w:r>
            <w:r w:rsidR="000A41CA" w:rsidRPr="009C4E4B">
              <w:rPr>
                <w:webHidden/>
              </w:rPr>
              <w:tab/>
            </w:r>
            <w:r w:rsidR="000A41CA" w:rsidRPr="009C4E4B">
              <w:rPr>
                <w:b/>
                <w:bCs/>
                <w:webHidden/>
              </w:rPr>
              <w:fldChar w:fldCharType="begin"/>
            </w:r>
            <w:r w:rsidR="000A41CA" w:rsidRPr="009C4E4B">
              <w:rPr>
                <w:webHidden/>
              </w:rPr>
              <w:instrText xml:space="preserve"> PAGEREF _Toc200755854 \h </w:instrText>
            </w:r>
            <w:r w:rsidR="000A41CA" w:rsidRPr="009C4E4B">
              <w:rPr>
                <w:b/>
                <w:bCs/>
                <w:webHidden/>
              </w:rPr>
            </w:r>
            <w:r w:rsidR="000A41CA" w:rsidRPr="009C4E4B">
              <w:rPr>
                <w:b/>
                <w:bCs/>
                <w:webHidden/>
              </w:rPr>
              <w:fldChar w:fldCharType="separate"/>
            </w:r>
            <w:r w:rsidR="000A41CA" w:rsidRPr="009C4E4B">
              <w:rPr>
                <w:webHidden/>
              </w:rPr>
              <w:t>44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55" w:history="1">
            <w:r w:rsidR="000A41CA" w:rsidRPr="009C4E4B">
              <w:rPr>
                <w:rStyle w:val="Lienhypertexte"/>
              </w:rPr>
              <w:t>1.5.1.</w:t>
            </w:r>
            <w:r w:rsidR="00882F77" w:rsidRPr="009C4E4B">
              <w:rPr>
                <w:rFonts w:eastAsiaTheme="minorEastAsia"/>
                <w:kern w:val="2"/>
                <w:lang w:val="en-US" w:eastAsia="fr-FR"/>
                <w14:ligatures w14:val="standardContextual"/>
              </w:rPr>
              <w:t xml:space="preserve"> </w:t>
            </w:r>
            <w:r w:rsidR="000A41CA" w:rsidRPr="009C4E4B">
              <w:rPr>
                <w:rStyle w:val="Lienhypertexte"/>
              </w:rPr>
              <w:t>Outils de la gestion des carrières</w:t>
            </w:r>
            <w:r w:rsidR="000A41CA" w:rsidRPr="009C4E4B">
              <w:rPr>
                <w:webHidden/>
              </w:rPr>
              <w:tab/>
            </w:r>
            <w:r w:rsidR="000A41CA" w:rsidRPr="009C4E4B">
              <w:rPr>
                <w:b/>
                <w:bCs/>
                <w:webHidden/>
              </w:rPr>
              <w:fldChar w:fldCharType="begin"/>
            </w:r>
            <w:r w:rsidR="000A41CA" w:rsidRPr="009C4E4B">
              <w:rPr>
                <w:webHidden/>
              </w:rPr>
              <w:instrText xml:space="preserve"> PAGEREF _Toc200755855 \h </w:instrText>
            </w:r>
            <w:r w:rsidR="000A41CA" w:rsidRPr="009C4E4B">
              <w:rPr>
                <w:b/>
                <w:bCs/>
                <w:webHidden/>
              </w:rPr>
            </w:r>
            <w:r w:rsidR="000A41CA" w:rsidRPr="009C4E4B">
              <w:rPr>
                <w:b/>
                <w:bCs/>
                <w:webHidden/>
              </w:rPr>
              <w:fldChar w:fldCharType="separate"/>
            </w:r>
            <w:r w:rsidR="000A41CA" w:rsidRPr="009C4E4B">
              <w:rPr>
                <w:webHidden/>
              </w:rPr>
              <w:t>44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56" w:history="1">
            <w:r w:rsidR="000A41CA" w:rsidRPr="009C4E4B">
              <w:rPr>
                <w:rStyle w:val="Lienhypertexte"/>
              </w:rPr>
              <w:t>1.5.2.</w:t>
            </w:r>
            <w:r w:rsidR="00882F77" w:rsidRPr="009C4E4B">
              <w:rPr>
                <w:rFonts w:eastAsiaTheme="minorEastAsia"/>
                <w:kern w:val="2"/>
                <w:lang w:val="en-US" w:eastAsia="fr-FR"/>
                <w14:ligatures w14:val="standardContextual"/>
              </w:rPr>
              <w:t xml:space="preserve"> </w:t>
            </w:r>
            <w:r w:rsidR="000A41CA" w:rsidRPr="009C4E4B">
              <w:rPr>
                <w:rStyle w:val="Lienhypertexte"/>
              </w:rPr>
              <w:t>Les étapes de la gestion des carrières</w:t>
            </w:r>
            <w:r w:rsidR="000A41CA" w:rsidRPr="009C4E4B">
              <w:rPr>
                <w:webHidden/>
              </w:rPr>
              <w:tab/>
            </w:r>
            <w:r w:rsidR="000A41CA" w:rsidRPr="009C4E4B">
              <w:rPr>
                <w:b/>
                <w:bCs/>
                <w:webHidden/>
              </w:rPr>
              <w:fldChar w:fldCharType="begin"/>
            </w:r>
            <w:r w:rsidR="000A41CA" w:rsidRPr="009C4E4B">
              <w:rPr>
                <w:webHidden/>
              </w:rPr>
              <w:instrText xml:space="preserve"> PAGEREF _Toc200755856 \h </w:instrText>
            </w:r>
            <w:r w:rsidR="000A41CA" w:rsidRPr="009C4E4B">
              <w:rPr>
                <w:b/>
                <w:bCs/>
                <w:webHidden/>
              </w:rPr>
            </w:r>
            <w:r w:rsidR="000A41CA" w:rsidRPr="009C4E4B">
              <w:rPr>
                <w:b/>
                <w:bCs/>
                <w:webHidden/>
              </w:rPr>
              <w:fldChar w:fldCharType="separate"/>
            </w:r>
            <w:r w:rsidR="000A41CA" w:rsidRPr="009C4E4B">
              <w:rPr>
                <w:webHidden/>
              </w:rPr>
              <w:t>46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65" w:history="1">
            <w:r w:rsidR="000A41CA" w:rsidRPr="009C4E4B">
              <w:rPr>
                <w:rStyle w:val="Lienhypertexte"/>
              </w:rPr>
              <w:t>1.5.3.</w:t>
            </w:r>
            <w:r w:rsidR="00882F77" w:rsidRPr="009C4E4B">
              <w:rPr>
                <w:rFonts w:eastAsiaTheme="minorEastAsia"/>
                <w:kern w:val="2"/>
                <w:lang w:val="en-US" w:eastAsia="fr-FR"/>
                <w14:ligatures w14:val="standardContextual"/>
              </w:rPr>
              <w:t xml:space="preserve"> </w:t>
            </w:r>
            <w:r w:rsidR="000A41CA" w:rsidRPr="009C4E4B">
              <w:rPr>
                <w:rStyle w:val="Lienhypertexte"/>
              </w:rPr>
              <w:t>L’importance de la gestion des carrières</w:t>
            </w:r>
            <w:r w:rsidR="000A41CA" w:rsidRPr="009C4E4B">
              <w:rPr>
                <w:webHidden/>
              </w:rPr>
              <w:tab/>
            </w:r>
            <w:r w:rsidR="000A41CA" w:rsidRPr="009C4E4B">
              <w:rPr>
                <w:b/>
                <w:bCs/>
                <w:webHidden/>
              </w:rPr>
              <w:fldChar w:fldCharType="begin"/>
            </w:r>
            <w:r w:rsidR="000A41CA" w:rsidRPr="009C4E4B">
              <w:rPr>
                <w:webHidden/>
              </w:rPr>
              <w:instrText xml:space="preserve"> PAGEREF _Toc200755865 \h </w:instrText>
            </w:r>
            <w:r w:rsidR="000A41CA" w:rsidRPr="009C4E4B">
              <w:rPr>
                <w:b/>
                <w:bCs/>
                <w:webHidden/>
              </w:rPr>
            </w:r>
            <w:r w:rsidR="000A41CA" w:rsidRPr="009C4E4B">
              <w:rPr>
                <w:b/>
                <w:bCs/>
                <w:webHidden/>
              </w:rPr>
              <w:fldChar w:fldCharType="separate"/>
            </w:r>
            <w:r w:rsidR="000A41CA" w:rsidRPr="009C4E4B">
              <w:rPr>
                <w:webHidden/>
              </w:rPr>
              <w:t>48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66" w:history="1">
            <w:r w:rsidR="000A41CA" w:rsidRPr="009C4E4B">
              <w:rPr>
                <w:rStyle w:val="Lienhypertexte"/>
              </w:rPr>
              <w:t>1.6.</w:t>
            </w:r>
            <w:r w:rsidR="00882F77" w:rsidRPr="009C4E4B">
              <w:rPr>
                <w:rFonts w:eastAsiaTheme="minorEastAsia"/>
                <w:kern w:val="2"/>
                <w:lang w:val="en-US" w:eastAsia="fr-FR"/>
                <w14:ligatures w14:val="standardContextual"/>
              </w:rPr>
              <w:t xml:space="preserve"> </w:t>
            </w:r>
            <w:r w:rsidR="000A41CA" w:rsidRPr="009C4E4B">
              <w:rPr>
                <w:rStyle w:val="Lienhypertexte"/>
              </w:rPr>
              <w:t>La gestion des relations sociales en entreprise</w:t>
            </w:r>
            <w:r w:rsidR="000A41CA" w:rsidRPr="009C4E4B">
              <w:rPr>
                <w:webHidden/>
              </w:rPr>
              <w:tab/>
            </w:r>
            <w:r w:rsidR="000A41CA" w:rsidRPr="009C4E4B">
              <w:rPr>
                <w:b/>
                <w:bCs/>
                <w:webHidden/>
              </w:rPr>
              <w:fldChar w:fldCharType="begin"/>
            </w:r>
            <w:r w:rsidR="000A41CA" w:rsidRPr="009C4E4B">
              <w:rPr>
                <w:webHidden/>
              </w:rPr>
              <w:instrText xml:space="preserve"> PAGEREF _Toc200755866 \h </w:instrText>
            </w:r>
            <w:r w:rsidR="000A41CA" w:rsidRPr="009C4E4B">
              <w:rPr>
                <w:b/>
                <w:bCs/>
                <w:webHidden/>
              </w:rPr>
            </w:r>
            <w:r w:rsidR="000A41CA" w:rsidRPr="009C4E4B">
              <w:rPr>
                <w:b/>
                <w:bCs/>
                <w:webHidden/>
              </w:rPr>
              <w:fldChar w:fldCharType="separate"/>
            </w:r>
            <w:r w:rsidR="000A41CA" w:rsidRPr="009C4E4B">
              <w:rPr>
                <w:webHidden/>
              </w:rPr>
              <w:t>48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67" w:history="1">
            <w:r w:rsidR="000A41CA" w:rsidRPr="009C4E4B">
              <w:rPr>
                <w:rStyle w:val="Lienhypertexte"/>
              </w:rPr>
              <w:t>1.6.1.</w:t>
            </w:r>
            <w:r w:rsidR="00882F77" w:rsidRPr="009C4E4B">
              <w:rPr>
                <w:rFonts w:eastAsiaTheme="minorEastAsia"/>
                <w:kern w:val="2"/>
                <w:lang w:val="en-US" w:eastAsia="fr-FR"/>
                <w14:ligatures w14:val="standardContextual"/>
              </w:rPr>
              <w:t xml:space="preserve"> </w:t>
            </w:r>
            <w:r w:rsidR="000A41CA" w:rsidRPr="009C4E4B">
              <w:rPr>
                <w:rStyle w:val="Lienhypertexte"/>
              </w:rPr>
              <w:t>L’importance de la gestion des relations sociales</w:t>
            </w:r>
            <w:r w:rsidR="000A41CA" w:rsidRPr="009C4E4B">
              <w:rPr>
                <w:webHidden/>
              </w:rPr>
              <w:tab/>
            </w:r>
            <w:r w:rsidR="000A41CA" w:rsidRPr="009C4E4B">
              <w:rPr>
                <w:b/>
                <w:bCs/>
                <w:webHidden/>
              </w:rPr>
              <w:fldChar w:fldCharType="begin"/>
            </w:r>
            <w:r w:rsidR="000A41CA" w:rsidRPr="009C4E4B">
              <w:rPr>
                <w:webHidden/>
              </w:rPr>
              <w:instrText xml:space="preserve"> PAGEREF _Toc200755867 \h </w:instrText>
            </w:r>
            <w:r w:rsidR="000A41CA" w:rsidRPr="009C4E4B">
              <w:rPr>
                <w:b/>
                <w:bCs/>
                <w:webHidden/>
              </w:rPr>
            </w:r>
            <w:r w:rsidR="000A41CA" w:rsidRPr="009C4E4B">
              <w:rPr>
                <w:b/>
                <w:bCs/>
                <w:webHidden/>
              </w:rPr>
              <w:fldChar w:fldCharType="separate"/>
            </w:r>
            <w:r w:rsidR="000A41CA" w:rsidRPr="009C4E4B">
              <w:rPr>
                <w:webHidden/>
              </w:rPr>
              <w:t>49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68" w:history="1">
            <w:r w:rsidR="000A41CA" w:rsidRPr="009C4E4B">
              <w:rPr>
                <w:rStyle w:val="Lienhypertexte"/>
              </w:rPr>
              <w:t>1.6.2.</w:t>
            </w:r>
            <w:r w:rsidR="00882F77" w:rsidRPr="009C4E4B">
              <w:rPr>
                <w:rFonts w:eastAsiaTheme="minorEastAsia"/>
                <w:kern w:val="2"/>
                <w:lang w:val="en-US" w:eastAsia="fr-FR"/>
                <w14:ligatures w14:val="standardContextual"/>
              </w:rPr>
              <w:t xml:space="preserve"> </w:t>
            </w:r>
            <w:r w:rsidR="000A41CA" w:rsidRPr="009C4E4B">
              <w:rPr>
                <w:rStyle w:val="Lienhypertexte"/>
              </w:rPr>
              <w:t>Stratégies pour une gestion efficace des relations sociales</w:t>
            </w:r>
            <w:r w:rsidR="000A41CA" w:rsidRPr="009C4E4B">
              <w:rPr>
                <w:webHidden/>
              </w:rPr>
              <w:tab/>
            </w:r>
            <w:r w:rsidR="000A41CA" w:rsidRPr="009C4E4B">
              <w:rPr>
                <w:b/>
                <w:bCs/>
                <w:webHidden/>
              </w:rPr>
              <w:fldChar w:fldCharType="begin"/>
            </w:r>
            <w:r w:rsidR="000A41CA" w:rsidRPr="009C4E4B">
              <w:rPr>
                <w:webHidden/>
              </w:rPr>
              <w:instrText xml:space="preserve"> PAGEREF _Toc200755868 \h </w:instrText>
            </w:r>
            <w:r w:rsidR="000A41CA" w:rsidRPr="009C4E4B">
              <w:rPr>
                <w:b/>
                <w:bCs/>
                <w:webHidden/>
              </w:rPr>
            </w:r>
            <w:r w:rsidR="000A41CA" w:rsidRPr="009C4E4B">
              <w:rPr>
                <w:b/>
                <w:bCs/>
                <w:webHidden/>
              </w:rPr>
              <w:fldChar w:fldCharType="separate"/>
            </w:r>
            <w:r w:rsidR="000A41CA" w:rsidRPr="009C4E4B">
              <w:rPr>
                <w:webHidden/>
              </w:rPr>
              <w:t>50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69" w:history="1">
            <w:r w:rsidR="000A41CA" w:rsidRPr="009C4E4B">
              <w:rPr>
                <w:rStyle w:val="Lienhypertexte"/>
              </w:rPr>
              <w:t>2.</w:t>
            </w:r>
            <w:r w:rsidR="00882F77" w:rsidRPr="009C4E4B">
              <w:rPr>
                <w:rFonts w:eastAsiaTheme="minorEastAsia"/>
                <w:kern w:val="2"/>
                <w:lang w:val="en-US" w:eastAsia="fr-FR"/>
                <w14:ligatures w14:val="standardContextual"/>
              </w:rPr>
              <w:t xml:space="preserve"> </w:t>
            </w:r>
            <w:r w:rsidR="000A41CA" w:rsidRPr="009C4E4B">
              <w:rPr>
                <w:rStyle w:val="Lienhypertexte"/>
              </w:rPr>
              <w:t>Les enjeux actuels de la GRH</w:t>
            </w:r>
            <w:r w:rsidR="000A41CA" w:rsidRPr="009C4E4B">
              <w:rPr>
                <w:webHidden/>
              </w:rPr>
              <w:tab/>
            </w:r>
            <w:r w:rsidR="000A41CA" w:rsidRPr="009C4E4B">
              <w:rPr>
                <w:b/>
                <w:bCs/>
                <w:webHidden/>
              </w:rPr>
              <w:fldChar w:fldCharType="begin"/>
            </w:r>
            <w:r w:rsidR="000A41CA" w:rsidRPr="009C4E4B">
              <w:rPr>
                <w:webHidden/>
              </w:rPr>
              <w:instrText xml:space="preserve"> PAGEREF _Toc200755869 \h </w:instrText>
            </w:r>
            <w:r w:rsidR="000A41CA" w:rsidRPr="009C4E4B">
              <w:rPr>
                <w:b/>
                <w:bCs/>
                <w:webHidden/>
              </w:rPr>
            </w:r>
            <w:r w:rsidR="000A41CA" w:rsidRPr="009C4E4B">
              <w:rPr>
                <w:b/>
                <w:bCs/>
                <w:webHidden/>
              </w:rPr>
              <w:fldChar w:fldCharType="separate"/>
            </w:r>
            <w:r w:rsidR="000A41CA" w:rsidRPr="009C4E4B">
              <w:rPr>
                <w:webHidden/>
              </w:rPr>
              <w:t>50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70" w:history="1">
            <w:r w:rsidR="000A41CA" w:rsidRPr="009C4E4B">
              <w:rPr>
                <w:rStyle w:val="Lienhypertexte"/>
              </w:rPr>
              <w:t>2.1.</w:t>
            </w:r>
            <w:r w:rsidR="00882F77" w:rsidRPr="009C4E4B">
              <w:rPr>
                <w:rFonts w:eastAsiaTheme="minorEastAsia"/>
                <w:kern w:val="2"/>
                <w:lang w:val="en-US" w:eastAsia="fr-FR"/>
                <w14:ligatures w14:val="standardContextual"/>
              </w:rPr>
              <w:t xml:space="preserve"> </w:t>
            </w:r>
            <w:r w:rsidR="000A41CA" w:rsidRPr="009C4E4B">
              <w:rPr>
                <w:rStyle w:val="Lienhypertexte"/>
              </w:rPr>
              <w:t>L’évolution du rôle des RH face aux nouvelles attentes des employés</w:t>
            </w:r>
            <w:r w:rsidR="000A41CA" w:rsidRPr="009C4E4B">
              <w:rPr>
                <w:webHidden/>
              </w:rPr>
              <w:tab/>
            </w:r>
            <w:r w:rsidR="000A41CA" w:rsidRPr="009C4E4B">
              <w:rPr>
                <w:b/>
                <w:bCs/>
                <w:webHidden/>
              </w:rPr>
              <w:fldChar w:fldCharType="begin"/>
            </w:r>
            <w:r w:rsidR="000A41CA" w:rsidRPr="009C4E4B">
              <w:rPr>
                <w:webHidden/>
              </w:rPr>
              <w:instrText xml:space="preserve"> PAGEREF _Toc200755870 \h </w:instrText>
            </w:r>
            <w:r w:rsidR="000A41CA" w:rsidRPr="009C4E4B">
              <w:rPr>
                <w:b/>
                <w:bCs/>
                <w:webHidden/>
              </w:rPr>
            </w:r>
            <w:r w:rsidR="000A41CA" w:rsidRPr="009C4E4B">
              <w:rPr>
                <w:b/>
                <w:bCs/>
                <w:webHidden/>
              </w:rPr>
              <w:fldChar w:fldCharType="separate"/>
            </w:r>
            <w:r w:rsidR="000A41CA" w:rsidRPr="009C4E4B">
              <w:rPr>
                <w:webHidden/>
              </w:rPr>
              <w:t>51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71" w:history="1">
            <w:r w:rsidR="000A41CA" w:rsidRPr="009C4E4B">
              <w:rPr>
                <w:rStyle w:val="Lienhypertexte"/>
              </w:rPr>
              <w:t>2.2.</w:t>
            </w:r>
            <w:r w:rsidR="00882F77" w:rsidRPr="009C4E4B">
              <w:rPr>
                <w:rFonts w:eastAsiaTheme="minorEastAsia"/>
                <w:kern w:val="2"/>
                <w:lang w:val="en-US" w:eastAsia="fr-FR"/>
                <w14:ligatures w14:val="standardContextual"/>
              </w:rPr>
              <w:t xml:space="preserve"> </w:t>
            </w:r>
            <w:r w:rsidR="000A41CA" w:rsidRPr="009C4E4B">
              <w:rPr>
                <w:rStyle w:val="Lienhypertexte"/>
              </w:rPr>
              <w:t>L’équilibre entre performance et bien-être au travail</w:t>
            </w:r>
            <w:r w:rsidR="000A41CA" w:rsidRPr="009C4E4B">
              <w:rPr>
                <w:webHidden/>
              </w:rPr>
              <w:tab/>
            </w:r>
            <w:r w:rsidR="000A41CA" w:rsidRPr="009C4E4B">
              <w:rPr>
                <w:b/>
                <w:bCs/>
                <w:webHidden/>
              </w:rPr>
              <w:fldChar w:fldCharType="begin"/>
            </w:r>
            <w:r w:rsidR="000A41CA" w:rsidRPr="009C4E4B">
              <w:rPr>
                <w:webHidden/>
              </w:rPr>
              <w:instrText xml:space="preserve"> PAGEREF _Toc200755871 \h </w:instrText>
            </w:r>
            <w:r w:rsidR="000A41CA" w:rsidRPr="009C4E4B">
              <w:rPr>
                <w:b/>
                <w:bCs/>
                <w:webHidden/>
              </w:rPr>
            </w:r>
            <w:r w:rsidR="000A41CA" w:rsidRPr="009C4E4B">
              <w:rPr>
                <w:b/>
                <w:bCs/>
                <w:webHidden/>
              </w:rPr>
              <w:fldChar w:fldCharType="separate"/>
            </w:r>
            <w:r w:rsidR="000A41CA" w:rsidRPr="009C4E4B">
              <w:rPr>
                <w:webHidden/>
              </w:rPr>
              <w:t>52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72" w:history="1">
            <w:r w:rsidR="000A41CA" w:rsidRPr="009C4E4B">
              <w:rPr>
                <w:rStyle w:val="Lienhypertexte"/>
              </w:rPr>
              <w:t>3.</w:t>
            </w:r>
            <w:r w:rsidR="00882F77" w:rsidRPr="009C4E4B">
              <w:rPr>
                <w:rFonts w:eastAsiaTheme="minorEastAsia"/>
                <w:kern w:val="2"/>
                <w:lang w:val="en-US" w:eastAsia="fr-FR"/>
                <w14:ligatures w14:val="standardContextual"/>
              </w:rPr>
              <w:t xml:space="preserve"> </w:t>
            </w:r>
            <w:r w:rsidR="000A41CA" w:rsidRPr="009C4E4B">
              <w:rPr>
                <w:rStyle w:val="Lienhypertexte"/>
              </w:rPr>
              <w:t>Les nouveaux défis de la GRH</w:t>
            </w:r>
            <w:r w:rsidR="000A41CA" w:rsidRPr="009C4E4B">
              <w:rPr>
                <w:webHidden/>
              </w:rPr>
              <w:tab/>
            </w:r>
            <w:r w:rsidR="000A41CA" w:rsidRPr="009C4E4B">
              <w:rPr>
                <w:b/>
                <w:bCs/>
                <w:webHidden/>
              </w:rPr>
              <w:fldChar w:fldCharType="begin"/>
            </w:r>
            <w:r w:rsidR="000A41CA" w:rsidRPr="009C4E4B">
              <w:rPr>
                <w:webHidden/>
              </w:rPr>
              <w:instrText xml:space="preserve"> PAGEREF _Toc200755872 \h </w:instrText>
            </w:r>
            <w:r w:rsidR="000A41CA" w:rsidRPr="009C4E4B">
              <w:rPr>
                <w:b/>
                <w:bCs/>
                <w:webHidden/>
              </w:rPr>
            </w:r>
            <w:r w:rsidR="000A41CA" w:rsidRPr="009C4E4B">
              <w:rPr>
                <w:b/>
                <w:bCs/>
                <w:webHidden/>
              </w:rPr>
              <w:fldChar w:fldCharType="separate"/>
            </w:r>
            <w:r w:rsidR="000A41CA" w:rsidRPr="009C4E4B">
              <w:rPr>
                <w:webHidden/>
              </w:rPr>
              <w:t>53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73" w:history="1">
            <w:r w:rsidR="000A41CA" w:rsidRPr="009C4E4B">
              <w:rPr>
                <w:rStyle w:val="Lienhypertexte"/>
              </w:rPr>
              <w:t>3.1.</w:t>
            </w:r>
            <w:r w:rsidR="00882F77" w:rsidRPr="009C4E4B">
              <w:rPr>
                <w:rFonts w:eastAsiaTheme="minorEastAsia"/>
                <w:kern w:val="2"/>
                <w:lang w:val="en-US" w:eastAsia="fr-FR"/>
                <w14:ligatures w14:val="standardContextual"/>
              </w:rPr>
              <w:t xml:space="preserve"> </w:t>
            </w:r>
            <w:r w:rsidR="000A41CA" w:rsidRPr="009C4E4B">
              <w:rPr>
                <w:rStyle w:val="Lienhypertexte"/>
              </w:rPr>
              <w:t>La pénurie de talents et la guerre des compétences</w:t>
            </w:r>
            <w:r w:rsidR="000A41CA" w:rsidRPr="009C4E4B">
              <w:rPr>
                <w:webHidden/>
              </w:rPr>
              <w:tab/>
            </w:r>
            <w:r w:rsidR="000A41CA" w:rsidRPr="009C4E4B">
              <w:rPr>
                <w:b/>
                <w:bCs/>
                <w:webHidden/>
              </w:rPr>
              <w:fldChar w:fldCharType="begin"/>
            </w:r>
            <w:r w:rsidR="000A41CA" w:rsidRPr="009C4E4B">
              <w:rPr>
                <w:webHidden/>
              </w:rPr>
              <w:instrText xml:space="preserve"> PAGEREF _Toc200755873 \h </w:instrText>
            </w:r>
            <w:r w:rsidR="000A41CA" w:rsidRPr="009C4E4B">
              <w:rPr>
                <w:b/>
                <w:bCs/>
                <w:webHidden/>
              </w:rPr>
            </w:r>
            <w:r w:rsidR="000A41CA" w:rsidRPr="009C4E4B">
              <w:rPr>
                <w:b/>
                <w:bCs/>
                <w:webHidden/>
              </w:rPr>
              <w:fldChar w:fldCharType="separate"/>
            </w:r>
            <w:r w:rsidR="000A41CA" w:rsidRPr="009C4E4B">
              <w:rPr>
                <w:webHidden/>
              </w:rPr>
              <w:t>53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74" w:history="1">
            <w:r w:rsidR="000A41CA" w:rsidRPr="009C4E4B">
              <w:rPr>
                <w:rStyle w:val="Lienhypertexte"/>
              </w:rPr>
              <w:t>3.2.</w:t>
            </w:r>
            <w:r w:rsidR="00882F77" w:rsidRPr="009C4E4B">
              <w:rPr>
                <w:rFonts w:eastAsiaTheme="minorEastAsia"/>
                <w:kern w:val="2"/>
                <w:lang w:val="en-US" w:eastAsia="fr-FR"/>
                <w14:ligatures w14:val="standardContextual"/>
              </w:rPr>
              <w:t xml:space="preserve"> </w:t>
            </w:r>
            <w:r w:rsidR="000A41CA" w:rsidRPr="009C4E4B">
              <w:rPr>
                <w:rStyle w:val="Lienhypertexte"/>
              </w:rPr>
              <w:t>La quête de sens et les attentes des nouvelles générations</w:t>
            </w:r>
            <w:r w:rsidR="000A41CA" w:rsidRPr="009C4E4B">
              <w:rPr>
                <w:webHidden/>
              </w:rPr>
              <w:tab/>
            </w:r>
            <w:r w:rsidR="000A41CA" w:rsidRPr="009C4E4B">
              <w:rPr>
                <w:b/>
                <w:bCs/>
                <w:webHidden/>
              </w:rPr>
              <w:fldChar w:fldCharType="begin"/>
            </w:r>
            <w:r w:rsidR="000A41CA" w:rsidRPr="009C4E4B">
              <w:rPr>
                <w:webHidden/>
              </w:rPr>
              <w:instrText xml:space="preserve"> PAGEREF _Toc200755874 \h </w:instrText>
            </w:r>
            <w:r w:rsidR="000A41CA" w:rsidRPr="009C4E4B">
              <w:rPr>
                <w:b/>
                <w:bCs/>
                <w:webHidden/>
              </w:rPr>
            </w:r>
            <w:r w:rsidR="000A41CA" w:rsidRPr="009C4E4B">
              <w:rPr>
                <w:b/>
                <w:bCs/>
                <w:webHidden/>
              </w:rPr>
              <w:fldChar w:fldCharType="separate"/>
            </w:r>
            <w:r w:rsidR="000A41CA" w:rsidRPr="009C4E4B">
              <w:rPr>
                <w:webHidden/>
              </w:rPr>
              <w:t>54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75" w:history="1">
            <w:r w:rsidR="000A41CA" w:rsidRPr="009C4E4B">
              <w:rPr>
                <w:rStyle w:val="Lienhypertexte"/>
              </w:rPr>
              <w:t>3.3.</w:t>
            </w:r>
            <w:r w:rsidR="00882F77" w:rsidRPr="009C4E4B">
              <w:rPr>
                <w:rFonts w:eastAsiaTheme="minorEastAsia"/>
                <w:kern w:val="2"/>
                <w:lang w:val="en-US" w:eastAsia="fr-FR"/>
                <w14:ligatures w14:val="standardContextual"/>
              </w:rPr>
              <w:t xml:space="preserve"> </w:t>
            </w:r>
            <w:r w:rsidR="000A41CA" w:rsidRPr="009C4E4B">
              <w:rPr>
                <w:rStyle w:val="Lienhypertexte"/>
              </w:rPr>
              <w:t>L’adaptation aux évolutions réglementaires et sociétales</w:t>
            </w:r>
            <w:r w:rsidR="000A41CA" w:rsidRPr="009C4E4B">
              <w:rPr>
                <w:webHidden/>
              </w:rPr>
              <w:tab/>
            </w:r>
            <w:r w:rsidR="000A41CA" w:rsidRPr="009C4E4B">
              <w:rPr>
                <w:b/>
                <w:bCs/>
                <w:webHidden/>
              </w:rPr>
              <w:fldChar w:fldCharType="begin"/>
            </w:r>
            <w:r w:rsidR="000A41CA" w:rsidRPr="009C4E4B">
              <w:rPr>
                <w:webHidden/>
              </w:rPr>
              <w:instrText xml:space="preserve"> PAGEREF _Toc200755875 \h </w:instrText>
            </w:r>
            <w:r w:rsidR="000A41CA" w:rsidRPr="009C4E4B">
              <w:rPr>
                <w:b/>
                <w:bCs/>
                <w:webHidden/>
              </w:rPr>
            </w:r>
            <w:r w:rsidR="000A41CA" w:rsidRPr="009C4E4B">
              <w:rPr>
                <w:b/>
                <w:bCs/>
                <w:webHidden/>
              </w:rPr>
              <w:fldChar w:fldCharType="separate"/>
            </w:r>
            <w:r w:rsidR="000A41CA" w:rsidRPr="009C4E4B">
              <w:rPr>
                <w:webHidden/>
              </w:rPr>
              <w:t>54</w:t>
            </w:r>
            <w:r w:rsidR="000A41CA" w:rsidRPr="009C4E4B">
              <w:rPr>
                <w:b/>
                <w:bCs/>
                <w:webHidden/>
              </w:rPr>
              <w:fldChar w:fldCharType="end"/>
            </w:r>
          </w:hyperlink>
        </w:p>
        <w:p w:rsidR="000A41CA" w:rsidRPr="00B26299" w:rsidRDefault="00000000" w:rsidP="00B26299">
          <w:pPr>
            <w:pStyle w:val="TM3"/>
            <w:rPr>
              <w:rFonts w:eastAsiaTheme="minorEastAsia"/>
              <w:kern w:val="2"/>
              <w:lang w:val="fr-DZ" w:eastAsia="fr-FR"/>
              <w14:ligatures w14:val="standardContextual"/>
            </w:rPr>
          </w:pPr>
          <w:hyperlink w:anchor="_Toc200755877" w:history="1">
            <w:r w:rsidR="000A41CA" w:rsidRPr="00B26299">
              <w:rPr>
                <w:rStyle w:val="Lienhypertexte"/>
                <w:b/>
                <w:bCs/>
              </w:rPr>
              <w:t>Section 3 : Le recrutement et la formation : piliers de la GRH</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_Toc200755877 \h </w:instrText>
            </w:r>
            <w:r w:rsidR="000A41CA" w:rsidRPr="00B26299">
              <w:rPr>
                <w:b/>
                <w:bCs/>
                <w:webHidden/>
              </w:rPr>
            </w:r>
            <w:r w:rsidR="000A41CA" w:rsidRPr="00B26299">
              <w:rPr>
                <w:b/>
                <w:bCs/>
                <w:webHidden/>
              </w:rPr>
              <w:fldChar w:fldCharType="separate"/>
            </w:r>
            <w:r w:rsidR="000A41CA" w:rsidRPr="00B26299">
              <w:rPr>
                <w:b/>
                <w:bCs/>
                <w:webHidden/>
              </w:rPr>
              <w:t>55</w:t>
            </w:r>
            <w:r w:rsidR="000A41CA" w:rsidRPr="00B26299">
              <w:rPr>
                <w:b/>
                <w:bCs/>
                <w:webHidden/>
              </w:rPr>
              <w:fldChar w:fldCharType="end"/>
            </w:r>
          </w:hyperlink>
        </w:p>
        <w:p w:rsidR="000A41CA" w:rsidRPr="009C4E4B" w:rsidRDefault="00000000" w:rsidP="00861F90">
          <w:pPr>
            <w:pStyle w:val="TM2"/>
            <w:tabs>
              <w:tab w:val="left" w:pos="72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78" w:history="1">
            <w:r w:rsidR="000A41CA" w:rsidRPr="009C4E4B">
              <w:rPr>
                <w:rStyle w:val="Lienhypertexte"/>
                <w:rFonts w:asciiTheme="majorBidi" w:hAnsiTheme="majorBidi" w:cstheme="majorBidi"/>
                <w:b w:val="0"/>
                <w:bCs w:val="0"/>
                <w:noProof/>
                <w:sz w:val="24"/>
                <w:szCs w:val="24"/>
                <w:lang w:val="fr-FR"/>
              </w:rPr>
              <w:t>1.</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Le recrutement : méthodes traditionnelles et limites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_Toc200755878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55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880" w:history="1">
            <w:r w:rsidR="000A41CA" w:rsidRPr="009C4E4B">
              <w:rPr>
                <w:rStyle w:val="Lienhypertexte"/>
                <w:rFonts w:asciiTheme="majorBidi" w:hAnsiTheme="majorBidi" w:cstheme="majorBidi"/>
                <w:b w:val="0"/>
                <w:bCs w:val="0"/>
                <w:noProof/>
                <w:sz w:val="24"/>
                <w:szCs w:val="24"/>
                <w:lang w:val="fr-FR"/>
              </w:rPr>
              <w:t>1.1.</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Concepts généraux sur le recrutement</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_Toc200755880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55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81" w:history="1">
            <w:r w:rsidR="000A41CA" w:rsidRPr="009C4E4B">
              <w:rPr>
                <w:rStyle w:val="Lienhypertexte"/>
              </w:rPr>
              <w:t>1.2.</w:t>
            </w:r>
            <w:r w:rsidR="00882F77" w:rsidRPr="009C4E4B">
              <w:rPr>
                <w:rFonts w:eastAsiaTheme="minorEastAsia"/>
                <w:kern w:val="2"/>
                <w:lang w:val="en-US" w:eastAsia="fr-FR"/>
                <w14:ligatures w14:val="standardContextual"/>
              </w:rPr>
              <w:t xml:space="preserve"> </w:t>
            </w:r>
            <w:r w:rsidR="000A41CA" w:rsidRPr="009C4E4B">
              <w:rPr>
                <w:rStyle w:val="Lienhypertexte"/>
              </w:rPr>
              <w:t>Objectif du recrutement</w:t>
            </w:r>
            <w:r w:rsidR="000A41CA" w:rsidRPr="009C4E4B">
              <w:rPr>
                <w:webHidden/>
              </w:rPr>
              <w:tab/>
            </w:r>
            <w:r w:rsidR="000A41CA" w:rsidRPr="009C4E4B">
              <w:rPr>
                <w:b/>
                <w:bCs/>
                <w:webHidden/>
              </w:rPr>
              <w:fldChar w:fldCharType="begin"/>
            </w:r>
            <w:r w:rsidR="000A41CA" w:rsidRPr="009C4E4B">
              <w:rPr>
                <w:webHidden/>
              </w:rPr>
              <w:instrText xml:space="preserve"> PAGEREF _Toc200755881 \h </w:instrText>
            </w:r>
            <w:r w:rsidR="000A41CA" w:rsidRPr="009C4E4B">
              <w:rPr>
                <w:b/>
                <w:bCs/>
                <w:webHidden/>
              </w:rPr>
            </w:r>
            <w:r w:rsidR="000A41CA" w:rsidRPr="009C4E4B">
              <w:rPr>
                <w:b/>
                <w:bCs/>
                <w:webHidden/>
              </w:rPr>
              <w:fldChar w:fldCharType="separate"/>
            </w:r>
            <w:r w:rsidR="000A41CA" w:rsidRPr="009C4E4B">
              <w:rPr>
                <w:webHidden/>
              </w:rPr>
              <w:t>56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82" w:history="1">
            <w:r w:rsidR="000A41CA" w:rsidRPr="009C4E4B">
              <w:rPr>
                <w:rStyle w:val="Lienhypertexte"/>
              </w:rPr>
              <w:t>1.3.</w:t>
            </w:r>
            <w:r w:rsidR="00882F77" w:rsidRPr="009C4E4B">
              <w:rPr>
                <w:rFonts w:eastAsiaTheme="minorEastAsia"/>
                <w:kern w:val="2"/>
                <w:lang w:val="en-US" w:eastAsia="fr-FR"/>
                <w14:ligatures w14:val="standardContextual"/>
              </w:rPr>
              <w:t xml:space="preserve"> </w:t>
            </w:r>
            <w:r w:rsidR="000A41CA" w:rsidRPr="009C4E4B">
              <w:rPr>
                <w:rStyle w:val="Lienhypertexte"/>
              </w:rPr>
              <w:t>Les types de recrutement</w:t>
            </w:r>
            <w:r w:rsidR="000A41CA" w:rsidRPr="009C4E4B">
              <w:rPr>
                <w:webHidden/>
              </w:rPr>
              <w:tab/>
            </w:r>
            <w:r w:rsidR="000A41CA" w:rsidRPr="009C4E4B">
              <w:rPr>
                <w:b/>
                <w:bCs/>
                <w:webHidden/>
              </w:rPr>
              <w:fldChar w:fldCharType="begin"/>
            </w:r>
            <w:r w:rsidR="000A41CA" w:rsidRPr="009C4E4B">
              <w:rPr>
                <w:webHidden/>
              </w:rPr>
              <w:instrText xml:space="preserve"> PAGEREF _Toc200755882 \h </w:instrText>
            </w:r>
            <w:r w:rsidR="000A41CA" w:rsidRPr="009C4E4B">
              <w:rPr>
                <w:b/>
                <w:bCs/>
                <w:webHidden/>
              </w:rPr>
            </w:r>
            <w:r w:rsidR="000A41CA" w:rsidRPr="009C4E4B">
              <w:rPr>
                <w:b/>
                <w:bCs/>
                <w:webHidden/>
              </w:rPr>
              <w:fldChar w:fldCharType="separate"/>
            </w:r>
            <w:r w:rsidR="000A41CA" w:rsidRPr="009C4E4B">
              <w:rPr>
                <w:webHidden/>
              </w:rPr>
              <w:t>56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83" w:history="1">
            <w:r w:rsidR="000A41CA" w:rsidRPr="009C4E4B">
              <w:rPr>
                <w:rStyle w:val="Lienhypertexte"/>
              </w:rPr>
              <w:t>1.3.1.</w:t>
            </w:r>
            <w:r w:rsidR="00882F77" w:rsidRPr="009C4E4B">
              <w:rPr>
                <w:rFonts w:eastAsiaTheme="minorEastAsia"/>
                <w:kern w:val="2"/>
                <w:lang w:val="en-US" w:eastAsia="fr-FR"/>
                <w14:ligatures w14:val="standardContextual"/>
              </w:rPr>
              <w:t xml:space="preserve"> </w:t>
            </w:r>
            <w:r w:rsidR="000A41CA" w:rsidRPr="009C4E4B">
              <w:rPr>
                <w:rStyle w:val="Lienhypertexte"/>
              </w:rPr>
              <w:t>Le recrutement interne</w:t>
            </w:r>
            <w:r w:rsidR="000A41CA" w:rsidRPr="009C4E4B">
              <w:rPr>
                <w:webHidden/>
              </w:rPr>
              <w:tab/>
            </w:r>
            <w:r w:rsidR="000A41CA" w:rsidRPr="009C4E4B">
              <w:rPr>
                <w:b/>
                <w:bCs/>
                <w:webHidden/>
              </w:rPr>
              <w:fldChar w:fldCharType="begin"/>
            </w:r>
            <w:r w:rsidR="000A41CA" w:rsidRPr="009C4E4B">
              <w:rPr>
                <w:webHidden/>
              </w:rPr>
              <w:instrText xml:space="preserve"> PAGEREF _Toc200755883 \h </w:instrText>
            </w:r>
            <w:r w:rsidR="000A41CA" w:rsidRPr="009C4E4B">
              <w:rPr>
                <w:b/>
                <w:bCs/>
                <w:webHidden/>
              </w:rPr>
            </w:r>
            <w:r w:rsidR="000A41CA" w:rsidRPr="009C4E4B">
              <w:rPr>
                <w:b/>
                <w:bCs/>
                <w:webHidden/>
              </w:rPr>
              <w:fldChar w:fldCharType="separate"/>
            </w:r>
            <w:r w:rsidR="000A41CA" w:rsidRPr="009C4E4B">
              <w:rPr>
                <w:webHidden/>
              </w:rPr>
              <w:t>56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84" w:history="1">
            <w:r w:rsidR="000A41CA" w:rsidRPr="009C4E4B">
              <w:rPr>
                <w:rStyle w:val="Lienhypertexte"/>
              </w:rPr>
              <w:t>1.3.1.1.</w:t>
            </w:r>
            <w:r w:rsidR="00882F77" w:rsidRPr="009C4E4B">
              <w:rPr>
                <w:rFonts w:eastAsiaTheme="minorEastAsia"/>
                <w:kern w:val="2"/>
                <w:lang w:val="en-US" w:eastAsia="fr-FR"/>
                <w14:ligatures w14:val="standardContextual"/>
              </w:rPr>
              <w:t xml:space="preserve"> </w:t>
            </w:r>
            <w:r w:rsidR="000A41CA" w:rsidRPr="009C4E4B">
              <w:rPr>
                <w:rStyle w:val="Lienhypertexte"/>
              </w:rPr>
              <w:t>Les formes de recrutement interne</w:t>
            </w:r>
            <w:r w:rsidR="000A41CA" w:rsidRPr="009C4E4B">
              <w:rPr>
                <w:webHidden/>
              </w:rPr>
              <w:tab/>
            </w:r>
            <w:r w:rsidR="000A41CA" w:rsidRPr="009C4E4B">
              <w:rPr>
                <w:b/>
                <w:bCs/>
                <w:webHidden/>
              </w:rPr>
              <w:fldChar w:fldCharType="begin"/>
            </w:r>
            <w:r w:rsidR="000A41CA" w:rsidRPr="009C4E4B">
              <w:rPr>
                <w:webHidden/>
              </w:rPr>
              <w:instrText xml:space="preserve"> PAGEREF _Toc200755884 \h </w:instrText>
            </w:r>
            <w:r w:rsidR="000A41CA" w:rsidRPr="009C4E4B">
              <w:rPr>
                <w:b/>
                <w:bCs/>
                <w:webHidden/>
              </w:rPr>
            </w:r>
            <w:r w:rsidR="000A41CA" w:rsidRPr="009C4E4B">
              <w:rPr>
                <w:b/>
                <w:bCs/>
                <w:webHidden/>
              </w:rPr>
              <w:fldChar w:fldCharType="separate"/>
            </w:r>
            <w:r w:rsidR="000A41CA" w:rsidRPr="009C4E4B">
              <w:rPr>
                <w:webHidden/>
              </w:rPr>
              <w:t>56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85" w:history="1">
            <w:r w:rsidR="000A41CA" w:rsidRPr="009C4E4B">
              <w:rPr>
                <w:rStyle w:val="Lienhypertexte"/>
              </w:rPr>
              <w:t>1.3.1.2.</w:t>
            </w:r>
            <w:r w:rsidR="00882F77" w:rsidRPr="009C4E4B">
              <w:rPr>
                <w:rFonts w:eastAsiaTheme="minorEastAsia"/>
                <w:kern w:val="2"/>
                <w:lang w:val="en-US" w:eastAsia="fr-FR"/>
                <w14:ligatures w14:val="standardContextual"/>
              </w:rPr>
              <w:t xml:space="preserve"> </w:t>
            </w:r>
            <w:r w:rsidR="000A41CA" w:rsidRPr="009C4E4B">
              <w:rPr>
                <w:rStyle w:val="Lienhypertexte"/>
              </w:rPr>
              <w:t>Les outils et moyens du recrutement interne</w:t>
            </w:r>
            <w:r w:rsidR="000A41CA" w:rsidRPr="009C4E4B">
              <w:rPr>
                <w:webHidden/>
              </w:rPr>
              <w:tab/>
            </w:r>
            <w:r w:rsidR="000A41CA" w:rsidRPr="009C4E4B">
              <w:rPr>
                <w:b/>
                <w:bCs/>
                <w:webHidden/>
              </w:rPr>
              <w:fldChar w:fldCharType="begin"/>
            </w:r>
            <w:r w:rsidR="000A41CA" w:rsidRPr="009C4E4B">
              <w:rPr>
                <w:webHidden/>
              </w:rPr>
              <w:instrText xml:space="preserve"> PAGEREF _Toc200755885 \h </w:instrText>
            </w:r>
            <w:r w:rsidR="000A41CA" w:rsidRPr="009C4E4B">
              <w:rPr>
                <w:b/>
                <w:bCs/>
                <w:webHidden/>
              </w:rPr>
            </w:r>
            <w:r w:rsidR="000A41CA" w:rsidRPr="009C4E4B">
              <w:rPr>
                <w:b/>
                <w:bCs/>
                <w:webHidden/>
              </w:rPr>
              <w:fldChar w:fldCharType="separate"/>
            </w:r>
            <w:r w:rsidR="000A41CA" w:rsidRPr="009C4E4B">
              <w:rPr>
                <w:webHidden/>
              </w:rPr>
              <w:t>57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86" w:history="1">
            <w:r w:rsidR="000A41CA" w:rsidRPr="009C4E4B">
              <w:rPr>
                <w:rStyle w:val="Lienhypertexte"/>
              </w:rPr>
              <w:t>1.3.1.3.</w:t>
            </w:r>
            <w:r w:rsidR="00882F77" w:rsidRPr="009C4E4B">
              <w:rPr>
                <w:rFonts w:eastAsiaTheme="minorEastAsia"/>
                <w:kern w:val="2"/>
                <w:lang w:val="en-US" w:eastAsia="fr-FR"/>
                <w14:ligatures w14:val="standardContextual"/>
              </w:rPr>
              <w:t xml:space="preserve"> </w:t>
            </w:r>
            <w:r w:rsidR="000A41CA" w:rsidRPr="009C4E4B">
              <w:rPr>
                <w:rStyle w:val="Lienhypertexte"/>
              </w:rPr>
              <w:t xml:space="preserve">Les avantages et les inconvénients du recrutement interne </w:t>
            </w:r>
            <w:r w:rsidR="000A41CA" w:rsidRPr="009C4E4B">
              <w:rPr>
                <w:webHidden/>
              </w:rPr>
              <w:tab/>
            </w:r>
            <w:r w:rsidR="000A41CA" w:rsidRPr="009C4E4B">
              <w:rPr>
                <w:b/>
                <w:bCs/>
                <w:webHidden/>
              </w:rPr>
              <w:fldChar w:fldCharType="begin"/>
            </w:r>
            <w:r w:rsidR="000A41CA" w:rsidRPr="009C4E4B">
              <w:rPr>
                <w:webHidden/>
              </w:rPr>
              <w:instrText xml:space="preserve"> PAGEREF _Toc200755886 \h </w:instrText>
            </w:r>
            <w:r w:rsidR="000A41CA" w:rsidRPr="009C4E4B">
              <w:rPr>
                <w:b/>
                <w:bCs/>
                <w:webHidden/>
              </w:rPr>
            </w:r>
            <w:r w:rsidR="000A41CA" w:rsidRPr="009C4E4B">
              <w:rPr>
                <w:b/>
                <w:bCs/>
                <w:webHidden/>
              </w:rPr>
              <w:fldChar w:fldCharType="separate"/>
            </w:r>
            <w:r w:rsidR="000A41CA" w:rsidRPr="009C4E4B">
              <w:rPr>
                <w:webHidden/>
              </w:rPr>
              <w:t>57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88" w:history="1">
            <w:r w:rsidR="000A41CA" w:rsidRPr="009C4E4B">
              <w:rPr>
                <w:rStyle w:val="Lienhypertexte"/>
              </w:rPr>
              <w:t>1.3.2.</w:t>
            </w:r>
            <w:r w:rsidR="00882F77" w:rsidRPr="009C4E4B">
              <w:rPr>
                <w:rFonts w:eastAsiaTheme="minorEastAsia"/>
                <w:kern w:val="2"/>
                <w:lang w:val="en-US" w:eastAsia="fr-FR"/>
                <w14:ligatures w14:val="standardContextual"/>
              </w:rPr>
              <w:t xml:space="preserve"> </w:t>
            </w:r>
            <w:r w:rsidR="000A41CA" w:rsidRPr="009C4E4B">
              <w:rPr>
                <w:rStyle w:val="Lienhypertexte"/>
              </w:rPr>
              <w:t>Le recrutement externe</w:t>
            </w:r>
            <w:r w:rsidR="000A41CA" w:rsidRPr="009C4E4B">
              <w:rPr>
                <w:webHidden/>
              </w:rPr>
              <w:tab/>
            </w:r>
            <w:r w:rsidR="000A41CA" w:rsidRPr="009C4E4B">
              <w:rPr>
                <w:b/>
                <w:bCs/>
                <w:webHidden/>
              </w:rPr>
              <w:fldChar w:fldCharType="begin"/>
            </w:r>
            <w:r w:rsidR="000A41CA" w:rsidRPr="009C4E4B">
              <w:rPr>
                <w:webHidden/>
              </w:rPr>
              <w:instrText xml:space="preserve"> PAGEREF _Toc200755888 \h </w:instrText>
            </w:r>
            <w:r w:rsidR="000A41CA" w:rsidRPr="009C4E4B">
              <w:rPr>
                <w:b/>
                <w:bCs/>
                <w:webHidden/>
              </w:rPr>
            </w:r>
            <w:r w:rsidR="000A41CA" w:rsidRPr="009C4E4B">
              <w:rPr>
                <w:b/>
                <w:bCs/>
                <w:webHidden/>
              </w:rPr>
              <w:fldChar w:fldCharType="separate"/>
            </w:r>
            <w:r w:rsidR="000A41CA" w:rsidRPr="009C4E4B">
              <w:rPr>
                <w:webHidden/>
              </w:rPr>
              <w:t>58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89" w:history="1">
            <w:r w:rsidR="000A41CA" w:rsidRPr="009C4E4B">
              <w:rPr>
                <w:rStyle w:val="Lienhypertexte"/>
              </w:rPr>
              <w:t>1.3.2.1.</w:t>
            </w:r>
            <w:r w:rsidR="00882F77" w:rsidRPr="009C4E4B">
              <w:rPr>
                <w:rFonts w:eastAsiaTheme="minorEastAsia"/>
                <w:kern w:val="2"/>
                <w:lang w:val="en-US" w:eastAsia="fr-FR"/>
                <w14:ligatures w14:val="standardContextual"/>
              </w:rPr>
              <w:t xml:space="preserve"> </w:t>
            </w:r>
            <w:r w:rsidR="000A41CA" w:rsidRPr="009C4E4B">
              <w:rPr>
                <w:rStyle w:val="Lienhypertexte"/>
              </w:rPr>
              <w:t>Méthodes de recrutement externe</w:t>
            </w:r>
            <w:r w:rsidR="000A41CA" w:rsidRPr="009C4E4B">
              <w:rPr>
                <w:webHidden/>
              </w:rPr>
              <w:tab/>
            </w:r>
            <w:r w:rsidR="000A41CA" w:rsidRPr="009C4E4B">
              <w:rPr>
                <w:b/>
                <w:bCs/>
                <w:webHidden/>
              </w:rPr>
              <w:fldChar w:fldCharType="begin"/>
            </w:r>
            <w:r w:rsidR="000A41CA" w:rsidRPr="009C4E4B">
              <w:rPr>
                <w:webHidden/>
              </w:rPr>
              <w:instrText xml:space="preserve"> PAGEREF _Toc200755889 \h </w:instrText>
            </w:r>
            <w:r w:rsidR="000A41CA" w:rsidRPr="009C4E4B">
              <w:rPr>
                <w:b/>
                <w:bCs/>
                <w:webHidden/>
              </w:rPr>
            </w:r>
            <w:r w:rsidR="000A41CA" w:rsidRPr="009C4E4B">
              <w:rPr>
                <w:b/>
                <w:bCs/>
                <w:webHidden/>
              </w:rPr>
              <w:fldChar w:fldCharType="separate"/>
            </w:r>
            <w:r w:rsidR="000A41CA" w:rsidRPr="009C4E4B">
              <w:rPr>
                <w:webHidden/>
              </w:rPr>
              <w:t>59</w:t>
            </w:r>
            <w:r w:rsidR="000A41CA" w:rsidRPr="009C4E4B">
              <w:rPr>
                <w:b/>
                <w:bCs/>
                <w:webHidden/>
              </w:rPr>
              <w:fldChar w:fldCharType="end"/>
            </w:r>
          </w:hyperlink>
        </w:p>
        <w:p w:rsidR="000A41CA" w:rsidRPr="009C4E4B" w:rsidRDefault="00000000" w:rsidP="00B26299">
          <w:pPr>
            <w:pStyle w:val="TM3"/>
            <w:rPr>
              <w:rFonts w:eastAsiaTheme="minorEastAsia"/>
              <w:b/>
              <w:bCs/>
              <w:kern w:val="2"/>
              <w:lang w:val="en-US" w:eastAsia="fr-FR"/>
              <w14:ligatures w14:val="standardContextual"/>
            </w:rPr>
          </w:pPr>
          <w:hyperlink w:anchor="_Toc200755890" w:history="1">
            <w:r w:rsidR="000A41CA" w:rsidRPr="009C4E4B">
              <w:rPr>
                <w:rStyle w:val="Lienhypertexte"/>
              </w:rPr>
              <w:t>1.3.2.2.</w:t>
            </w:r>
            <w:r w:rsidR="00882F77" w:rsidRPr="009C4E4B">
              <w:rPr>
                <w:rFonts w:eastAsiaTheme="minorEastAsia"/>
                <w:kern w:val="2"/>
                <w:lang w:val="en-US" w:eastAsia="fr-FR"/>
                <w14:ligatures w14:val="standardContextual"/>
              </w:rPr>
              <w:t xml:space="preserve"> </w:t>
            </w:r>
            <w:r w:rsidR="000A41CA" w:rsidRPr="009C4E4B">
              <w:rPr>
                <w:rStyle w:val="Lienhypertexte"/>
              </w:rPr>
              <w:t>Les avantages et les inconvénients du recrutement externe</w:t>
            </w:r>
            <w:r w:rsidR="000A41CA" w:rsidRPr="009C4E4B">
              <w:rPr>
                <w:webHidden/>
              </w:rPr>
              <w:tab/>
            </w:r>
            <w:r w:rsidR="000A41CA" w:rsidRPr="009C4E4B">
              <w:rPr>
                <w:b/>
                <w:bCs/>
                <w:webHidden/>
              </w:rPr>
              <w:fldChar w:fldCharType="begin"/>
            </w:r>
            <w:r w:rsidR="000A41CA" w:rsidRPr="009C4E4B">
              <w:rPr>
                <w:webHidden/>
              </w:rPr>
              <w:instrText xml:space="preserve"> PAGEREF _Toc200755890 \h </w:instrText>
            </w:r>
            <w:r w:rsidR="000A41CA" w:rsidRPr="009C4E4B">
              <w:rPr>
                <w:b/>
                <w:bCs/>
                <w:webHidden/>
              </w:rPr>
            </w:r>
            <w:r w:rsidR="000A41CA" w:rsidRPr="009C4E4B">
              <w:rPr>
                <w:b/>
                <w:bCs/>
                <w:webHidden/>
              </w:rPr>
              <w:fldChar w:fldCharType="separate"/>
            </w:r>
            <w:r w:rsidR="000A41CA" w:rsidRPr="009C4E4B">
              <w:rPr>
                <w:webHidden/>
              </w:rPr>
              <w:t>60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91" w:history="1">
            <w:r w:rsidR="000A41CA" w:rsidRPr="009C4E4B">
              <w:rPr>
                <w:rStyle w:val="Lienhypertexte"/>
              </w:rPr>
              <w:t>1.4.</w:t>
            </w:r>
            <w:r w:rsidR="00882F77" w:rsidRPr="009C4E4B">
              <w:rPr>
                <w:rFonts w:eastAsiaTheme="minorEastAsia"/>
                <w:kern w:val="2"/>
                <w:lang w:val="en-US" w:eastAsia="fr-FR"/>
                <w14:ligatures w14:val="standardContextual"/>
              </w:rPr>
              <w:t xml:space="preserve"> </w:t>
            </w:r>
            <w:r w:rsidR="000A41CA" w:rsidRPr="009C4E4B">
              <w:rPr>
                <w:rStyle w:val="Lienhypertexte"/>
              </w:rPr>
              <w:t>Le processus de recrutement</w:t>
            </w:r>
            <w:r w:rsidR="000A41CA" w:rsidRPr="009C4E4B">
              <w:rPr>
                <w:webHidden/>
              </w:rPr>
              <w:tab/>
            </w:r>
            <w:r w:rsidR="000A41CA" w:rsidRPr="009C4E4B">
              <w:rPr>
                <w:b/>
                <w:bCs/>
                <w:webHidden/>
              </w:rPr>
              <w:fldChar w:fldCharType="begin"/>
            </w:r>
            <w:r w:rsidR="000A41CA" w:rsidRPr="009C4E4B">
              <w:rPr>
                <w:webHidden/>
              </w:rPr>
              <w:instrText xml:space="preserve"> PAGEREF _Toc200755891 \h </w:instrText>
            </w:r>
            <w:r w:rsidR="000A41CA" w:rsidRPr="009C4E4B">
              <w:rPr>
                <w:b/>
                <w:bCs/>
                <w:webHidden/>
              </w:rPr>
            </w:r>
            <w:r w:rsidR="000A41CA" w:rsidRPr="009C4E4B">
              <w:rPr>
                <w:b/>
                <w:bCs/>
                <w:webHidden/>
              </w:rPr>
              <w:fldChar w:fldCharType="separate"/>
            </w:r>
            <w:r w:rsidR="000A41CA" w:rsidRPr="009C4E4B">
              <w:rPr>
                <w:webHidden/>
              </w:rPr>
              <w:t>60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92" w:history="1">
            <w:r w:rsidR="000A41CA" w:rsidRPr="009C4E4B">
              <w:rPr>
                <w:rStyle w:val="Lienhypertexte"/>
              </w:rPr>
              <w:t>1.4.1.Définition du besoin</w:t>
            </w:r>
            <w:r w:rsidR="000A41CA" w:rsidRPr="009C4E4B">
              <w:rPr>
                <w:webHidden/>
              </w:rPr>
              <w:tab/>
            </w:r>
            <w:r w:rsidR="000A41CA" w:rsidRPr="009C4E4B">
              <w:rPr>
                <w:b/>
                <w:bCs/>
                <w:webHidden/>
              </w:rPr>
              <w:fldChar w:fldCharType="begin"/>
            </w:r>
            <w:r w:rsidR="000A41CA" w:rsidRPr="009C4E4B">
              <w:rPr>
                <w:webHidden/>
              </w:rPr>
              <w:instrText xml:space="preserve"> PAGEREF _Toc200755892 \h </w:instrText>
            </w:r>
            <w:r w:rsidR="000A41CA" w:rsidRPr="009C4E4B">
              <w:rPr>
                <w:b/>
                <w:bCs/>
                <w:webHidden/>
              </w:rPr>
            </w:r>
            <w:r w:rsidR="000A41CA" w:rsidRPr="009C4E4B">
              <w:rPr>
                <w:b/>
                <w:bCs/>
                <w:webHidden/>
              </w:rPr>
              <w:fldChar w:fldCharType="separate"/>
            </w:r>
            <w:r w:rsidR="000A41CA" w:rsidRPr="009C4E4B">
              <w:rPr>
                <w:webHidden/>
              </w:rPr>
              <w:t>61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93" w:history="1">
            <w:r w:rsidR="000A41CA" w:rsidRPr="009C4E4B">
              <w:rPr>
                <w:rStyle w:val="Lienhypertexte"/>
              </w:rPr>
              <w:t>1.4.2.</w:t>
            </w:r>
            <w:r w:rsidR="00882F77" w:rsidRPr="009C4E4B">
              <w:rPr>
                <w:rFonts w:eastAsiaTheme="minorEastAsia"/>
                <w:kern w:val="2"/>
                <w:lang w:val="en-US" w:eastAsia="fr-FR"/>
                <w14:ligatures w14:val="standardContextual"/>
              </w:rPr>
              <w:t xml:space="preserve"> </w:t>
            </w:r>
            <w:r w:rsidR="000A41CA" w:rsidRPr="009C4E4B">
              <w:rPr>
                <w:rStyle w:val="Lienhypertexte"/>
              </w:rPr>
              <w:t>Recherche des candidats</w:t>
            </w:r>
            <w:r w:rsidR="000A41CA" w:rsidRPr="009C4E4B">
              <w:rPr>
                <w:webHidden/>
              </w:rPr>
              <w:tab/>
            </w:r>
            <w:r w:rsidR="000A41CA" w:rsidRPr="009C4E4B">
              <w:rPr>
                <w:b/>
                <w:bCs/>
                <w:webHidden/>
              </w:rPr>
              <w:fldChar w:fldCharType="begin"/>
            </w:r>
            <w:r w:rsidR="000A41CA" w:rsidRPr="009C4E4B">
              <w:rPr>
                <w:webHidden/>
              </w:rPr>
              <w:instrText xml:space="preserve"> PAGEREF _Toc200755893 \h </w:instrText>
            </w:r>
            <w:r w:rsidR="000A41CA" w:rsidRPr="009C4E4B">
              <w:rPr>
                <w:b/>
                <w:bCs/>
                <w:webHidden/>
              </w:rPr>
            </w:r>
            <w:r w:rsidR="000A41CA" w:rsidRPr="009C4E4B">
              <w:rPr>
                <w:b/>
                <w:bCs/>
                <w:webHidden/>
              </w:rPr>
              <w:fldChar w:fldCharType="separate"/>
            </w:r>
            <w:r w:rsidR="000A41CA" w:rsidRPr="009C4E4B">
              <w:rPr>
                <w:webHidden/>
              </w:rPr>
              <w:t>62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94" w:history="1">
            <w:r w:rsidR="000A41CA" w:rsidRPr="009C4E4B">
              <w:rPr>
                <w:rStyle w:val="Lienhypertexte"/>
              </w:rPr>
              <w:t>1.4.3.</w:t>
            </w:r>
            <w:r w:rsidR="00882F77" w:rsidRPr="009C4E4B">
              <w:rPr>
                <w:rFonts w:eastAsiaTheme="minorEastAsia"/>
                <w:kern w:val="2"/>
                <w:lang w:val="en-US" w:eastAsia="fr-FR"/>
                <w14:ligatures w14:val="standardContextual"/>
              </w:rPr>
              <w:t xml:space="preserve"> </w:t>
            </w:r>
            <w:r w:rsidR="000A41CA" w:rsidRPr="009C4E4B">
              <w:rPr>
                <w:rStyle w:val="Lienhypertexte"/>
              </w:rPr>
              <w:t>La présélection des candidatures</w:t>
            </w:r>
            <w:r w:rsidR="000A41CA" w:rsidRPr="009C4E4B">
              <w:rPr>
                <w:webHidden/>
              </w:rPr>
              <w:tab/>
            </w:r>
            <w:r w:rsidR="000A41CA" w:rsidRPr="009C4E4B">
              <w:rPr>
                <w:b/>
                <w:bCs/>
                <w:webHidden/>
              </w:rPr>
              <w:fldChar w:fldCharType="begin"/>
            </w:r>
            <w:r w:rsidR="000A41CA" w:rsidRPr="009C4E4B">
              <w:rPr>
                <w:webHidden/>
              </w:rPr>
              <w:instrText xml:space="preserve"> PAGEREF _Toc200755894 \h </w:instrText>
            </w:r>
            <w:r w:rsidR="000A41CA" w:rsidRPr="009C4E4B">
              <w:rPr>
                <w:b/>
                <w:bCs/>
                <w:webHidden/>
              </w:rPr>
            </w:r>
            <w:r w:rsidR="000A41CA" w:rsidRPr="009C4E4B">
              <w:rPr>
                <w:b/>
                <w:bCs/>
                <w:webHidden/>
              </w:rPr>
              <w:fldChar w:fldCharType="separate"/>
            </w:r>
            <w:r w:rsidR="000A41CA" w:rsidRPr="009C4E4B">
              <w:rPr>
                <w:webHidden/>
              </w:rPr>
              <w:t>63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95" w:history="1">
            <w:r w:rsidR="000A41CA" w:rsidRPr="009C4E4B">
              <w:rPr>
                <w:rStyle w:val="Lienhypertexte"/>
              </w:rPr>
              <w:t>1.4.4.</w:t>
            </w:r>
            <w:r w:rsidR="00882F77" w:rsidRPr="009C4E4B">
              <w:rPr>
                <w:rFonts w:eastAsiaTheme="minorEastAsia"/>
                <w:kern w:val="2"/>
                <w:lang w:val="en-US" w:eastAsia="fr-FR"/>
                <w14:ligatures w14:val="standardContextual"/>
              </w:rPr>
              <w:t xml:space="preserve"> </w:t>
            </w:r>
            <w:r w:rsidR="000A41CA" w:rsidRPr="009C4E4B">
              <w:rPr>
                <w:rStyle w:val="Lienhypertexte"/>
              </w:rPr>
              <w:t>Les entretiens de recrutement</w:t>
            </w:r>
            <w:r w:rsidR="000A41CA" w:rsidRPr="009C4E4B">
              <w:rPr>
                <w:webHidden/>
              </w:rPr>
              <w:tab/>
            </w:r>
            <w:r w:rsidR="000A41CA" w:rsidRPr="009C4E4B">
              <w:rPr>
                <w:b/>
                <w:bCs/>
                <w:webHidden/>
              </w:rPr>
              <w:fldChar w:fldCharType="begin"/>
            </w:r>
            <w:r w:rsidR="000A41CA" w:rsidRPr="009C4E4B">
              <w:rPr>
                <w:webHidden/>
              </w:rPr>
              <w:instrText xml:space="preserve"> PAGEREF _Toc200755895 \h </w:instrText>
            </w:r>
            <w:r w:rsidR="000A41CA" w:rsidRPr="009C4E4B">
              <w:rPr>
                <w:b/>
                <w:bCs/>
                <w:webHidden/>
              </w:rPr>
            </w:r>
            <w:r w:rsidR="000A41CA" w:rsidRPr="009C4E4B">
              <w:rPr>
                <w:b/>
                <w:bCs/>
                <w:webHidden/>
              </w:rPr>
              <w:fldChar w:fldCharType="separate"/>
            </w:r>
            <w:r w:rsidR="000A41CA" w:rsidRPr="009C4E4B">
              <w:rPr>
                <w:webHidden/>
              </w:rPr>
              <w:t>63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98" w:history="1">
            <w:r w:rsidR="000A41CA" w:rsidRPr="009C4E4B">
              <w:rPr>
                <w:rStyle w:val="Lienhypertexte"/>
              </w:rPr>
              <w:t>1.4.5.</w:t>
            </w:r>
            <w:r w:rsidR="00882F77" w:rsidRPr="009C4E4B">
              <w:rPr>
                <w:rFonts w:eastAsiaTheme="minorEastAsia"/>
                <w:kern w:val="2"/>
                <w:lang w:val="en-US" w:eastAsia="fr-FR"/>
                <w14:ligatures w14:val="standardContextual"/>
              </w:rPr>
              <w:t xml:space="preserve"> </w:t>
            </w:r>
            <w:r w:rsidR="000A41CA" w:rsidRPr="009C4E4B">
              <w:rPr>
                <w:rStyle w:val="Lienhypertexte"/>
              </w:rPr>
              <w:t>La décision d’embauche</w:t>
            </w:r>
            <w:r w:rsidR="000A41CA" w:rsidRPr="009C4E4B">
              <w:rPr>
                <w:webHidden/>
              </w:rPr>
              <w:tab/>
            </w:r>
            <w:r w:rsidR="000A41CA" w:rsidRPr="009C4E4B">
              <w:rPr>
                <w:b/>
                <w:bCs/>
                <w:webHidden/>
              </w:rPr>
              <w:fldChar w:fldCharType="begin"/>
            </w:r>
            <w:r w:rsidR="000A41CA" w:rsidRPr="009C4E4B">
              <w:rPr>
                <w:webHidden/>
              </w:rPr>
              <w:instrText xml:space="preserve"> PAGEREF _Toc200755898 \h </w:instrText>
            </w:r>
            <w:r w:rsidR="000A41CA" w:rsidRPr="009C4E4B">
              <w:rPr>
                <w:b/>
                <w:bCs/>
                <w:webHidden/>
              </w:rPr>
            </w:r>
            <w:r w:rsidR="000A41CA" w:rsidRPr="009C4E4B">
              <w:rPr>
                <w:b/>
                <w:bCs/>
                <w:webHidden/>
              </w:rPr>
              <w:fldChar w:fldCharType="separate"/>
            </w:r>
            <w:r w:rsidR="000A41CA" w:rsidRPr="009C4E4B">
              <w:rPr>
                <w:webHidden/>
              </w:rPr>
              <w:t>64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899" w:history="1">
            <w:r w:rsidR="000A41CA" w:rsidRPr="009C4E4B">
              <w:rPr>
                <w:rStyle w:val="Lienhypertexte"/>
              </w:rPr>
              <w:t>1.4.6.</w:t>
            </w:r>
            <w:r w:rsidR="00882F77" w:rsidRPr="009C4E4B">
              <w:rPr>
                <w:rFonts w:eastAsiaTheme="minorEastAsia"/>
                <w:kern w:val="2"/>
                <w:lang w:val="en-US" w:eastAsia="fr-FR"/>
                <w14:ligatures w14:val="standardContextual"/>
              </w:rPr>
              <w:t xml:space="preserve"> </w:t>
            </w:r>
            <w:r w:rsidR="000A41CA" w:rsidRPr="009C4E4B">
              <w:rPr>
                <w:rStyle w:val="Lienhypertexte"/>
              </w:rPr>
              <w:t>La période d’essai</w:t>
            </w:r>
            <w:r w:rsidR="000A41CA" w:rsidRPr="009C4E4B">
              <w:rPr>
                <w:webHidden/>
              </w:rPr>
              <w:tab/>
            </w:r>
            <w:r w:rsidR="000A41CA" w:rsidRPr="009C4E4B">
              <w:rPr>
                <w:b/>
                <w:bCs/>
                <w:webHidden/>
              </w:rPr>
              <w:fldChar w:fldCharType="begin"/>
            </w:r>
            <w:r w:rsidR="000A41CA" w:rsidRPr="009C4E4B">
              <w:rPr>
                <w:webHidden/>
              </w:rPr>
              <w:instrText xml:space="preserve"> PAGEREF _Toc200755899 \h </w:instrText>
            </w:r>
            <w:r w:rsidR="000A41CA" w:rsidRPr="009C4E4B">
              <w:rPr>
                <w:b/>
                <w:bCs/>
                <w:webHidden/>
              </w:rPr>
            </w:r>
            <w:r w:rsidR="000A41CA" w:rsidRPr="009C4E4B">
              <w:rPr>
                <w:b/>
                <w:bCs/>
                <w:webHidden/>
              </w:rPr>
              <w:fldChar w:fldCharType="separate"/>
            </w:r>
            <w:r w:rsidR="000A41CA" w:rsidRPr="009C4E4B">
              <w:rPr>
                <w:webHidden/>
              </w:rPr>
              <w:t>64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01" w:history="1">
            <w:r w:rsidR="000A41CA" w:rsidRPr="009C4E4B">
              <w:rPr>
                <w:rStyle w:val="Lienhypertexte"/>
              </w:rPr>
              <w:t>1.4.7.</w:t>
            </w:r>
            <w:r w:rsidR="00882F77" w:rsidRPr="009C4E4B">
              <w:rPr>
                <w:rFonts w:eastAsiaTheme="minorEastAsia"/>
                <w:kern w:val="2"/>
                <w:lang w:val="en-US" w:eastAsia="fr-FR"/>
                <w14:ligatures w14:val="standardContextual"/>
              </w:rPr>
              <w:t xml:space="preserve"> </w:t>
            </w:r>
            <w:r w:rsidR="000A41CA" w:rsidRPr="009C4E4B">
              <w:rPr>
                <w:rStyle w:val="Lienhypertexte"/>
              </w:rPr>
              <w:t>L’embauche définitive</w:t>
            </w:r>
            <w:r w:rsidR="000A41CA" w:rsidRPr="009C4E4B">
              <w:rPr>
                <w:webHidden/>
              </w:rPr>
              <w:tab/>
            </w:r>
            <w:r w:rsidR="000A41CA" w:rsidRPr="009C4E4B">
              <w:rPr>
                <w:b/>
                <w:bCs/>
                <w:webHidden/>
              </w:rPr>
              <w:fldChar w:fldCharType="begin"/>
            </w:r>
            <w:r w:rsidR="000A41CA" w:rsidRPr="009C4E4B">
              <w:rPr>
                <w:webHidden/>
              </w:rPr>
              <w:instrText xml:space="preserve"> PAGEREF _Toc200755901 \h </w:instrText>
            </w:r>
            <w:r w:rsidR="000A41CA" w:rsidRPr="009C4E4B">
              <w:rPr>
                <w:b/>
                <w:bCs/>
                <w:webHidden/>
              </w:rPr>
            </w:r>
            <w:r w:rsidR="000A41CA" w:rsidRPr="009C4E4B">
              <w:rPr>
                <w:b/>
                <w:bCs/>
                <w:webHidden/>
              </w:rPr>
              <w:fldChar w:fldCharType="separate"/>
            </w:r>
            <w:r w:rsidR="000A41CA" w:rsidRPr="009C4E4B">
              <w:rPr>
                <w:webHidden/>
              </w:rPr>
              <w:t>65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03" w:history="1">
            <w:r w:rsidR="000A41CA" w:rsidRPr="009C4E4B">
              <w:rPr>
                <w:rStyle w:val="Lienhypertexte"/>
              </w:rPr>
              <w:t>1.5.</w:t>
            </w:r>
            <w:r w:rsidR="00882F77" w:rsidRPr="009C4E4B">
              <w:rPr>
                <w:rFonts w:eastAsiaTheme="minorEastAsia"/>
                <w:kern w:val="2"/>
                <w:lang w:val="en-US" w:eastAsia="fr-FR"/>
                <w14:ligatures w14:val="standardContextual"/>
              </w:rPr>
              <w:t xml:space="preserve"> </w:t>
            </w:r>
            <w:r w:rsidR="000A41CA" w:rsidRPr="009C4E4B">
              <w:rPr>
                <w:rStyle w:val="Lienhypertexte"/>
              </w:rPr>
              <w:t>Les limites de recrutement</w:t>
            </w:r>
            <w:r w:rsidR="000A41CA" w:rsidRPr="009C4E4B">
              <w:rPr>
                <w:webHidden/>
              </w:rPr>
              <w:tab/>
            </w:r>
            <w:r w:rsidR="000A41CA" w:rsidRPr="009C4E4B">
              <w:rPr>
                <w:b/>
                <w:bCs/>
                <w:webHidden/>
              </w:rPr>
              <w:fldChar w:fldCharType="begin"/>
            </w:r>
            <w:r w:rsidR="000A41CA" w:rsidRPr="009C4E4B">
              <w:rPr>
                <w:webHidden/>
              </w:rPr>
              <w:instrText xml:space="preserve"> PAGEREF _Toc200755903 \h </w:instrText>
            </w:r>
            <w:r w:rsidR="000A41CA" w:rsidRPr="009C4E4B">
              <w:rPr>
                <w:b/>
                <w:bCs/>
                <w:webHidden/>
              </w:rPr>
            </w:r>
            <w:r w:rsidR="000A41CA" w:rsidRPr="009C4E4B">
              <w:rPr>
                <w:b/>
                <w:bCs/>
                <w:webHidden/>
              </w:rPr>
              <w:fldChar w:fldCharType="separate"/>
            </w:r>
            <w:r w:rsidR="000A41CA" w:rsidRPr="009C4E4B">
              <w:rPr>
                <w:webHidden/>
              </w:rPr>
              <w:t>66</w:t>
            </w:r>
            <w:r w:rsidR="000A41CA" w:rsidRPr="009C4E4B">
              <w:rPr>
                <w:b/>
                <w:bCs/>
                <w:webHidden/>
              </w:rPr>
              <w:fldChar w:fldCharType="end"/>
            </w:r>
          </w:hyperlink>
        </w:p>
        <w:p w:rsidR="000A41CA" w:rsidRPr="009C4E4B" w:rsidRDefault="00000000" w:rsidP="00861F90">
          <w:pPr>
            <w:pStyle w:val="TM2"/>
            <w:tabs>
              <w:tab w:val="left" w:pos="72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04" w:history="1">
            <w:r w:rsidR="000A41CA" w:rsidRPr="009C4E4B">
              <w:rPr>
                <w:rStyle w:val="Lienhypertexte"/>
                <w:rFonts w:asciiTheme="majorBidi" w:hAnsiTheme="majorBidi" w:cstheme="majorBidi"/>
                <w:b w:val="0"/>
                <w:bCs w:val="0"/>
                <w:noProof/>
                <w:sz w:val="24"/>
                <w:szCs w:val="24"/>
                <w:lang w:val="fr-FR"/>
              </w:rPr>
              <w:t>2.</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La formation : pratiques traditionnelles et défis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_Toc200755904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68</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06" w:history="1">
            <w:r w:rsidR="000A41CA" w:rsidRPr="009C4E4B">
              <w:rPr>
                <w:rStyle w:val="Lienhypertexte"/>
                <w:rFonts w:asciiTheme="majorBidi" w:hAnsiTheme="majorBidi" w:cstheme="majorBidi"/>
                <w:b w:val="0"/>
                <w:bCs w:val="0"/>
                <w:noProof/>
                <w:sz w:val="24"/>
                <w:szCs w:val="24"/>
                <w:lang w:val="fr-FR"/>
              </w:rPr>
              <w:t>2.1.</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Définition de la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_Toc200755906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68</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07" w:history="1">
            <w:r w:rsidR="000A41CA" w:rsidRPr="009C4E4B">
              <w:rPr>
                <w:rStyle w:val="Lienhypertexte"/>
                <w:rFonts w:asciiTheme="majorBidi" w:hAnsiTheme="majorBidi" w:cstheme="majorBidi"/>
                <w:b w:val="0"/>
                <w:bCs w:val="0"/>
                <w:noProof/>
                <w:sz w:val="24"/>
                <w:szCs w:val="24"/>
                <w:lang w:val="fr-FR"/>
              </w:rPr>
              <w:t>2.2.</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Rôle de la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_Toc200755907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68</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08" w:history="1">
            <w:r w:rsidR="000A41CA" w:rsidRPr="009C4E4B">
              <w:rPr>
                <w:rStyle w:val="Lienhypertexte"/>
                <w:rFonts w:asciiTheme="majorBidi" w:hAnsiTheme="majorBidi" w:cstheme="majorBidi"/>
                <w:b w:val="0"/>
                <w:bCs w:val="0"/>
                <w:noProof/>
                <w:sz w:val="24"/>
                <w:szCs w:val="24"/>
                <w:lang w:val="fr-FR"/>
              </w:rPr>
              <w:t>2.3.</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Objectifs de la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_Toc200755908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70</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09" w:history="1">
            <w:r w:rsidR="000A41CA" w:rsidRPr="009C4E4B">
              <w:rPr>
                <w:rStyle w:val="Lienhypertexte"/>
                <w:rFonts w:asciiTheme="majorBidi" w:hAnsiTheme="majorBidi" w:cstheme="majorBidi"/>
                <w:b w:val="0"/>
                <w:bCs w:val="0"/>
                <w:noProof/>
                <w:sz w:val="24"/>
                <w:szCs w:val="24"/>
                <w:lang w:val="fr-FR"/>
              </w:rPr>
              <w:t>2.4.</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Types et méthodes de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_Toc200755909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71</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24" w:history="1">
            <w:r w:rsidR="000A41CA" w:rsidRPr="009C4E4B">
              <w:rPr>
                <w:rStyle w:val="Lienhypertexte"/>
                <w:rFonts w:asciiTheme="majorBidi" w:hAnsiTheme="majorBidi" w:cstheme="majorBidi"/>
                <w:b w:val="0"/>
                <w:bCs w:val="0"/>
                <w:noProof/>
                <w:sz w:val="24"/>
                <w:szCs w:val="24"/>
                <w:lang w:val="fr-FR"/>
              </w:rPr>
              <w:t>2.5.</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Processus de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_Toc200755924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26" w:history="1">
            <w:r w:rsidR="000A41CA" w:rsidRPr="009C4E4B">
              <w:rPr>
                <w:rStyle w:val="Lienhypertexte"/>
                <w:rFonts w:asciiTheme="majorBidi" w:hAnsiTheme="majorBidi" w:cstheme="majorBidi"/>
                <w:b w:val="0"/>
                <w:bCs w:val="0"/>
                <w:noProof/>
                <w:sz w:val="24"/>
                <w:szCs w:val="24"/>
                <w:lang w:val="fr-FR"/>
              </w:rPr>
              <w:t>2.5.1.</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Identification et analyse des besoins en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_Toc200755926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27" w:history="1">
            <w:r w:rsidR="000A41CA" w:rsidRPr="009C4E4B">
              <w:rPr>
                <w:rStyle w:val="Lienhypertexte"/>
                <w:rFonts w:asciiTheme="majorBidi" w:hAnsiTheme="majorBidi" w:cstheme="majorBidi"/>
                <w:b w:val="0"/>
                <w:bCs w:val="0"/>
                <w:noProof/>
                <w:sz w:val="24"/>
                <w:szCs w:val="24"/>
                <w:lang w:val="fr-FR"/>
              </w:rPr>
              <w:t>2.5.2.</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Élaboration et validation du plan de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_Toc200755927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74</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28" w:history="1">
            <w:r w:rsidR="000A41CA" w:rsidRPr="009C4E4B">
              <w:rPr>
                <w:rStyle w:val="Lienhypertexte"/>
                <w:rFonts w:asciiTheme="majorBidi" w:hAnsiTheme="majorBidi" w:cstheme="majorBidi"/>
                <w:b w:val="0"/>
                <w:bCs w:val="0"/>
                <w:noProof/>
                <w:sz w:val="24"/>
                <w:szCs w:val="24"/>
                <w:lang w:val="fr-FR"/>
              </w:rPr>
              <w:t>2.5.3.</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Mise en œuvre du programme de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_Toc200755928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29" w:history="1">
            <w:r w:rsidR="000A41CA" w:rsidRPr="009C4E4B">
              <w:rPr>
                <w:rStyle w:val="Lienhypertexte"/>
                <w:rFonts w:asciiTheme="majorBidi" w:hAnsiTheme="majorBidi" w:cstheme="majorBidi"/>
                <w:b w:val="0"/>
                <w:bCs w:val="0"/>
                <w:noProof/>
                <w:sz w:val="24"/>
                <w:szCs w:val="24"/>
                <w:lang w:val="fr-FR"/>
              </w:rPr>
              <w:t>2.5.4.</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Suivi de la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_Toc200755929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30" w:history="1">
            <w:r w:rsidR="000A41CA" w:rsidRPr="009C4E4B">
              <w:rPr>
                <w:rStyle w:val="Lienhypertexte"/>
                <w:rFonts w:asciiTheme="majorBidi" w:hAnsiTheme="majorBidi" w:cstheme="majorBidi"/>
                <w:b w:val="0"/>
                <w:bCs w:val="0"/>
                <w:noProof/>
                <w:sz w:val="24"/>
                <w:szCs w:val="24"/>
                <w:lang w:val="fr-FR"/>
              </w:rPr>
              <w:t>2.5.5.</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Évaluation de la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_Toc200755930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75</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96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32" w:history="1">
            <w:r w:rsidR="000A41CA" w:rsidRPr="009C4E4B">
              <w:rPr>
                <w:rStyle w:val="Lienhypertexte"/>
                <w:rFonts w:asciiTheme="majorBidi" w:hAnsiTheme="majorBidi" w:cstheme="majorBidi"/>
                <w:b w:val="0"/>
                <w:bCs w:val="0"/>
                <w:noProof/>
                <w:sz w:val="24"/>
                <w:szCs w:val="24"/>
                <w:lang w:val="fr-FR"/>
              </w:rPr>
              <w:t>2.6.</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Défis de la formation</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_Toc200755932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76</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34" w:history="1">
            <w:r w:rsidR="000A41CA" w:rsidRPr="009C4E4B">
              <w:rPr>
                <w:rStyle w:val="Lienhypertexte"/>
                <w:rFonts w:asciiTheme="majorBidi" w:hAnsiTheme="majorBidi" w:cstheme="majorBidi"/>
                <w:b w:val="0"/>
                <w:bCs w:val="0"/>
                <w:noProof/>
                <w:sz w:val="24"/>
                <w:szCs w:val="24"/>
                <w:lang w:val="fr-FR"/>
              </w:rPr>
              <w:t>2.6.1.</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Contraintes budgétaires et optimisation des coûts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_Toc200755934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76</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36" w:history="1">
            <w:r w:rsidR="000A41CA" w:rsidRPr="009C4E4B">
              <w:rPr>
                <w:rStyle w:val="Lienhypertexte"/>
                <w:rFonts w:asciiTheme="majorBidi" w:hAnsiTheme="majorBidi" w:cstheme="majorBidi"/>
                <w:b w:val="0"/>
                <w:bCs w:val="0"/>
                <w:noProof/>
                <w:sz w:val="24"/>
                <w:szCs w:val="24"/>
                <w:lang w:val="fr-FR"/>
              </w:rPr>
              <w:t>2.6.2.</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Difficulté d’identification des besoins réels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_Toc200755936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77</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38" w:history="1">
            <w:r w:rsidR="000A41CA" w:rsidRPr="009C4E4B">
              <w:rPr>
                <w:rStyle w:val="Lienhypertexte"/>
                <w:rFonts w:asciiTheme="majorBidi" w:hAnsiTheme="majorBidi" w:cstheme="majorBidi"/>
                <w:b w:val="0"/>
                <w:bCs w:val="0"/>
                <w:noProof/>
                <w:sz w:val="24"/>
                <w:szCs w:val="24"/>
                <w:lang w:val="fr-FR"/>
              </w:rPr>
              <w:t>2.6.3.</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Manque de motivation et résistance au changement</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_Toc200755938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77</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40" w:history="1">
            <w:r w:rsidR="000A41CA" w:rsidRPr="009C4E4B">
              <w:rPr>
                <w:rStyle w:val="Lienhypertexte"/>
                <w:rFonts w:asciiTheme="majorBidi" w:hAnsiTheme="majorBidi" w:cstheme="majorBidi"/>
                <w:b w:val="0"/>
                <w:bCs w:val="0"/>
                <w:noProof/>
                <w:sz w:val="24"/>
                <w:szCs w:val="24"/>
                <w:lang w:val="fr-FR"/>
              </w:rPr>
              <w:t>2.6.4.</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Contraintes organisationnelles et manque de flexibilité</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_Toc200755940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77</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41" w:history="1">
            <w:r w:rsidR="000A41CA" w:rsidRPr="009C4E4B">
              <w:rPr>
                <w:rStyle w:val="Lienhypertexte"/>
                <w:rFonts w:asciiTheme="majorBidi" w:hAnsiTheme="majorBidi" w:cstheme="majorBidi"/>
                <w:b w:val="0"/>
                <w:bCs w:val="0"/>
                <w:noProof/>
                <w:sz w:val="24"/>
                <w:szCs w:val="24"/>
                <w:lang w:val="fr-FR"/>
              </w:rPr>
              <w:t>2.6.5.</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Évaluation de l’impact et retour sur investissement</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_Toc200755941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77</w:t>
            </w:r>
            <w:r w:rsidR="000A41CA" w:rsidRPr="009C4E4B">
              <w:rPr>
                <w:rFonts w:asciiTheme="majorBidi" w:hAnsiTheme="majorBidi" w:cstheme="majorBidi"/>
                <w:b w:val="0"/>
                <w:bCs w:val="0"/>
                <w:noProof/>
                <w:webHidden/>
                <w:sz w:val="24"/>
                <w:szCs w:val="24"/>
              </w:rPr>
              <w:fldChar w:fldCharType="end"/>
            </w:r>
          </w:hyperlink>
        </w:p>
        <w:p w:rsidR="000A41CA" w:rsidRPr="009C4E4B" w:rsidRDefault="00000000" w:rsidP="00861F90">
          <w:pPr>
            <w:pStyle w:val="TM2"/>
            <w:tabs>
              <w:tab w:val="left" w:pos="1200"/>
              <w:tab w:val="right" w:leader="dot" w:pos="9010"/>
            </w:tabs>
            <w:spacing w:before="0" w:line="360" w:lineRule="auto"/>
            <w:ind w:left="0"/>
            <w:rPr>
              <w:rFonts w:asciiTheme="majorBidi" w:eastAsiaTheme="minorEastAsia" w:hAnsiTheme="majorBidi" w:cstheme="majorBidi"/>
              <w:b w:val="0"/>
              <w:bCs w:val="0"/>
              <w:noProof/>
              <w:kern w:val="2"/>
              <w:sz w:val="24"/>
              <w:szCs w:val="24"/>
              <w:lang w:eastAsia="fr-FR"/>
              <w14:ligatures w14:val="standardContextual"/>
            </w:rPr>
          </w:pPr>
          <w:hyperlink w:anchor="_Toc200755943" w:history="1">
            <w:r w:rsidR="000A41CA" w:rsidRPr="009C4E4B">
              <w:rPr>
                <w:rStyle w:val="Lienhypertexte"/>
                <w:rFonts w:asciiTheme="majorBidi" w:hAnsiTheme="majorBidi" w:cstheme="majorBidi"/>
                <w:b w:val="0"/>
                <w:bCs w:val="0"/>
                <w:noProof/>
                <w:sz w:val="24"/>
                <w:szCs w:val="24"/>
                <w:lang w:val="fr-FR"/>
              </w:rPr>
              <w:t>2.6.6.</w:t>
            </w:r>
            <w:r w:rsidR="00882F77" w:rsidRPr="009C4E4B">
              <w:rPr>
                <w:rFonts w:asciiTheme="majorBidi" w:eastAsiaTheme="minorEastAsia" w:hAnsiTheme="majorBidi" w:cstheme="majorBidi"/>
                <w:b w:val="0"/>
                <w:bCs w:val="0"/>
                <w:noProof/>
                <w:kern w:val="2"/>
                <w:sz w:val="24"/>
                <w:szCs w:val="24"/>
                <w:lang w:val="en-US" w:eastAsia="fr-FR"/>
                <w14:ligatures w14:val="standardContextual"/>
              </w:rPr>
              <w:t xml:space="preserve"> </w:t>
            </w:r>
            <w:r w:rsidR="000A41CA" w:rsidRPr="009C4E4B">
              <w:rPr>
                <w:rStyle w:val="Lienhypertexte"/>
                <w:rFonts w:asciiTheme="majorBidi" w:hAnsiTheme="majorBidi" w:cstheme="majorBidi"/>
                <w:b w:val="0"/>
                <w:bCs w:val="0"/>
                <w:noProof/>
                <w:sz w:val="24"/>
                <w:szCs w:val="24"/>
                <w:lang w:val="fr-FR"/>
              </w:rPr>
              <w:t>Adaptation aux évolutions technologiques et aux nouvelles attentes</w:t>
            </w:r>
            <w:r w:rsidR="000A41CA" w:rsidRPr="009C4E4B">
              <w:rPr>
                <w:rFonts w:asciiTheme="majorBidi" w:hAnsiTheme="majorBidi" w:cstheme="majorBidi"/>
                <w:b w:val="0"/>
                <w:bCs w:val="0"/>
                <w:noProof/>
                <w:webHidden/>
                <w:sz w:val="24"/>
                <w:szCs w:val="24"/>
              </w:rPr>
              <w:tab/>
            </w:r>
            <w:r w:rsidR="000A41CA" w:rsidRPr="009C4E4B">
              <w:rPr>
                <w:rFonts w:asciiTheme="majorBidi" w:hAnsiTheme="majorBidi" w:cstheme="majorBidi"/>
                <w:b w:val="0"/>
                <w:bCs w:val="0"/>
                <w:noProof/>
                <w:webHidden/>
                <w:sz w:val="24"/>
                <w:szCs w:val="24"/>
              </w:rPr>
              <w:fldChar w:fldCharType="begin"/>
            </w:r>
            <w:r w:rsidR="000A41CA" w:rsidRPr="009C4E4B">
              <w:rPr>
                <w:rFonts w:asciiTheme="majorBidi" w:hAnsiTheme="majorBidi" w:cstheme="majorBidi"/>
                <w:b w:val="0"/>
                <w:bCs w:val="0"/>
                <w:noProof/>
                <w:webHidden/>
                <w:sz w:val="24"/>
                <w:szCs w:val="24"/>
              </w:rPr>
              <w:instrText xml:space="preserve"> PAGEREF _Toc200755943 \h </w:instrText>
            </w:r>
            <w:r w:rsidR="000A41CA" w:rsidRPr="009C4E4B">
              <w:rPr>
                <w:rFonts w:asciiTheme="majorBidi" w:hAnsiTheme="majorBidi" w:cstheme="majorBidi"/>
                <w:b w:val="0"/>
                <w:bCs w:val="0"/>
                <w:noProof/>
                <w:webHidden/>
                <w:sz w:val="24"/>
                <w:szCs w:val="24"/>
              </w:rPr>
            </w:r>
            <w:r w:rsidR="000A41CA" w:rsidRPr="009C4E4B">
              <w:rPr>
                <w:rFonts w:asciiTheme="majorBidi" w:hAnsiTheme="majorBidi" w:cstheme="majorBidi"/>
                <w:b w:val="0"/>
                <w:bCs w:val="0"/>
                <w:noProof/>
                <w:webHidden/>
                <w:sz w:val="24"/>
                <w:szCs w:val="24"/>
              </w:rPr>
              <w:fldChar w:fldCharType="separate"/>
            </w:r>
            <w:r w:rsidR="000A41CA" w:rsidRPr="009C4E4B">
              <w:rPr>
                <w:rFonts w:asciiTheme="majorBidi" w:hAnsiTheme="majorBidi" w:cstheme="majorBidi"/>
                <w:b w:val="0"/>
                <w:bCs w:val="0"/>
                <w:noProof/>
                <w:webHidden/>
                <w:sz w:val="24"/>
                <w:szCs w:val="24"/>
              </w:rPr>
              <w:t>77</w:t>
            </w:r>
            <w:r w:rsidR="000A41CA" w:rsidRPr="009C4E4B">
              <w:rPr>
                <w:rFonts w:asciiTheme="majorBidi" w:hAnsiTheme="majorBidi" w:cstheme="majorBidi"/>
                <w:b w:val="0"/>
                <w:bCs w:val="0"/>
                <w:noProof/>
                <w:webHidden/>
                <w:sz w:val="24"/>
                <w:szCs w:val="24"/>
              </w:rPr>
              <w:fldChar w:fldCharType="end"/>
            </w:r>
          </w:hyperlink>
        </w:p>
        <w:p w:rsidR="000A41CA" w:rsidRPr="00B26299" w:rsidRDefault="00000000" w:rsidP="00EE2288">
          <w:pPr>
            <w:pStyle w:val="TM3"/>
            <w:spacing w:after="240"/>
            <w:rPr>
              <w:rFonts w:eastAsiaTheme="minorEastAsia"/>
              <w:b/>
              <w:bCs/>
              <w:kern w:val="2"/>
              <w:lang w:val="fr-DZ" w:eastAsia="fr-FR"/>
              <w14:ligatures w14:val="standardContextual"/>
            </w:rPr>
          </w:pPr>
          <w:hyperlink w:anchor="_Toc200755944" w:history="1">
            <w:r w:rsidR="000A41CA" w:rsidRPr="00B26299">
              <w:rPr>
                <w:rStyle w:val="Lienhypertexte"/>
                <w:b/>
                <w:bCs/>
              </w:rPr>
              <w:t>Conclusion du chapitre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_Toc200755944 \h </w:instrText>
            </w:r>
            <w:r w:rsidR="000A41CA" w:rsidRPr="00B26299">
              <w:rPr>
                <w:b/>
                <w:bCs/>
                <w:webHidden/>
              </w:rPr>
            </w:r>
            <w:r w:rsidR="000A41CA" w:rsidRPr="00B26299">
              <w:rPr>
                <w:b/>
                <w:bCs/>
                <w:webHidden/>
              </w:rPr>
              <w:fldChar w:fldCharType="separate"/>
            </w:r>
            <w:r w:rsidR="000A41CA" w:rsidRPr="00B26299">
              <w:rPr>
                <w:b/>
                <w:bCs/>
                <w:webHidden/>
              </w:rPr>
              <w:t>79</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5945" w:history="1">
            <w:r w:rsidR="000A41CA" w:rsidRPr="00B26299">
              <w:rPr>
                <w:rStyle w:val="Lienhypertexte"/>
                <w:b/>
                <w:bCs/>
              </w:rPr>
              <w:t>Chapitre II :</w:t>
            </w:r>
            <w:r w:rsidR="00882F77" w:rsidRPr="00B26299">
              <w:rPr>
                <w:rStyle w:val="Lienhypertexte"/>
                <w:b/>
                <w:bCs/>
                <w:lang w:val="en-US"/>
              </w:rPr>
              <w:t xml:space="preserve"> La digitalisation des ressources humaines</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_Toc200755945 \h </w:instrText>
            </w:r>
            <w:r w:rsidR="000A41CA" w:rsidRPr="00B26299">
              <w:rPr>
                <w:b/>
                <w:bCs/>
                <w:webHidden/>
              </w:rPr>
            </w:r>
            <w:r w:rsidR="000A41CA" w:rsidRPr="00B26299">
              <w:rPr>
                <w:b/>
                <w:bCs/>
                <w:webHidden/>
              </w:rPr>
              <w:fldChar w:fldCharType="separate"/>
            </w:r>
            <w:r w:rsidR="000A41CA" w:rsidRPr="00B26299">
              <w:rPr>
                <w:b/>
                <w:bCs/>
                <w:webHidden/>
              </w:rPr>
              <w:t>80</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5947" w:history="1">
            <w:r w:rsidR="000A41CA" w:rsidRPr="00B26299">
              <w:rPr>
                <w:rStyle w:val="Lienhypertexte"/>
                <w:b/>
                <w:bCs/>
              </w:rPr>
              <w:t>Introduction du chapitre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_Toc200755947 \h </w:instrText>
            </w:r>
            <w:r w:rsidR="000A41CA" w:rsidRPr="00B26299">
              <w:rPr>
                <w:b/>
                <w:bCs/>
                <w:webHidden/>
              </w:rPr>
            </w:r>
            <w:r w:rsidR="000A41CA" w:rsidRPr="00B26299">
              <w:rPr>
                <w:b/>
                <w:bCs/>
                <w:webHidden/>
              </w:rPr>
              <w:fldChar w:fldCharType="separate"/>
            </w:r>
            <w:r w:rsidR="000A41CA" w:rsidRPr="00B26299">
              <w:rPr>
                <w:b/>
                <w:bCs/>
                <w:webHidden/>
              </w:rPr>
              <w:t>81</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5948" w:history="1">
            <w:r w:rsidR="000A41CA" w:rsidRPr="00B26299">
              <w:rPr>
                <w:rStyle w:val="Lienhypertexte"/>
                <w:b/>
                <w:bCs/>
              </w:rPr>
              <w:t>Section 1 : Généralité sur la digitalisation</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_Toc200755948 \h </w:instrText>
            </w:r>
            <w:r w:rsidR="000A41CA" w:rsidRPr="00B26299">
              <w:rPr>
                <w:b/>
                <w:bCs/>
                <w:webHidden/>
              </w:rPr>
            </w:r>
            <w:r w:rsidR="000A41CA" w:rsidRPr="00B26299">
              <w:rPr>
                <w:b/>
                <w:bCs/>
                <w:webHidden/>
              </w:rPr>
              <w:fldChar w:fldCharType="separate"/>
            </w:r>
            <w:r w:rsidR="000A41CA" w:rsidRPr="00B26299">
              <w:rPr>
                <w:b/>
                <w:bCs/>
                <w:webHidden/>
              </w:rPr>
              <w:t>82</w:t>
            </w:r>
            <w:r w:rsidR="000A41CA" w:rsidRPr="00B26299">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49" w:history="1">
            <w:r w:rsidR="000A41CA" w:rsidRPr="009C4E4B">
              <w:rPr>
                <w:rStyle w:val="Lienhypertexte"/>
              </w:rPr>
              <w:t>1.</w:t>
            </w:r>
            <w:r w:rsidR="00882F77" w:rsidRPr="009C4E4B">
              <w:rPr>
                <w:rFonts w:eastAsiaTheme="minorEastAsia"/>
                <w:kern w:val="2"/>
                <w:lang w:val="en-US" w:eastAsia="fr-FR"/>
                <w14:ligatures w14:val="standardContextual"/>
              </w:rPr>
              <w:t xml:space="preserve"> </w:t>
            </w:r>
            <w:r w:rsidR="000A41CA" w:rsidRPr="009C4E4B">
              <w:rPr>
                <w:rStyle w:val="Lienhypertexte"/>
              </w:rPr>
              <w:t>Contexte théorique de la digitalisation</w:t>
            </w:r>
            <w:r w:rsidR="000A41CA" w:rsidRPr="009C4E4B">
              <w:rPr>
                <w:webHidden/>
              </w:rPr>
              <w:tab/>
            </w:r>
            <w:r w:rsidR="000A41CA" w:rsidRPr="009C4E4B">
              <w:rPr>
                <w:b/>
                <w:bCs/>
                <w:webHidden/>
              </w:rPr>
              <w:fldChar w:fldCharType="begin"/>
            </w:r>
            <w:r w:rsidR="000A41CA" w:rsidRPr="009C4E4B">
              <w:rPr>
                <w:webHidden/>
              </w:rPr>
              <w:instrText xml:space="preserve"> PAGEREF _Toc200755949 \h </w:instrText>
            </w:r>
            <w:r w:rsidR="000A41CA" w:rsidRPr="009C4E4B">
              <w:rPr>
                <w:b/>
                <w:bCs/>
                <w:webHidden/>
              </w:rPr>
            </w:r>
            <w:r w:rsidR="000A41CA" w:rsidRPr="009C4E4B">
              <w:rPr>
                <w:b/>
                <w:bCs/>
                <w:webHidden/>
              </w:rPr>
              <w:fldChar w:fldCharType="separate"/>
            </w:r>
            <w:r w:rsidR="000A41CA" w:rsidRPr="009C4E4B">
              <w:rPr>
                <w:webHidden/>
              </w:rPr>
              <w:t>82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0" w:history="1">
            <w:r w:rsidR="000A41CA" w:rsidRPr="009C4E4B">
              <w:rPr>
                <w:rStyle w:val="Lienhypertexte"/>
              </w:rPr>
              <w:t>1.1.</w:t>
            </w:r>
            <w:r w:rsidR="00882F77" w:rsidRPr="009C4E4B">
              <w:rPr>
                <w:rFonts w:eastAsiaTheme="minorEastAsia"/>
                <w:kern w:val="2"/>
                <w:lang w:val="en-US" w:eastAsia="fr-FR"/>
                <w14:ligatures w14:val="standardContextual"/>
              </w:rPr>
              <w:t xml:space="preserve"> </w:t>
            </w:r>
            <w:r w:rsidR="000A41CA" w:rsidRPr="009C4E4B">
              <w:rPr>
                <w:rStyle w:val="Lienhypertexte"/>
              </w:rPr>
              <w:t>Définition de la digitalisation</w:t>
            </w:r>
            <w:r w:rsidR="000A41CA" w:rsidRPr="009C4E4B">
              <w:rPr>
                <w:webHidden/>
              </w:rPr>
              <w:tab/>
            </w:r>
            <w:r w:rsidR="000A41CA" w:rsidRPr="009C4E4B">
              <w:rPr>
                <w:b/>
                <w:bCs/>
                <w:webHidden/>
              </w:rPr>
              <w:fldChar w:fldCharType="begin"/>
            </w:r>
            <w:r w:rsidR="000A41CA" w:rsidRPr="009C4E4B">
              <w:rPr>
                <w:webHidden/>
              </w:rPr>
              <w:instrText xml:space="preserve"> PAGEREF _Toc200755950 \h </w:instrText>
            </w:r>
            <w:r w:rsidR="000A41CA" w:rsidRPr="009C4E4B">
              <w:rPr>
                <w:b/>
                <w:bCs/>
                <w:webHidden/>
              </w:rPr>
            </w:r>
            <w:r w:rsidR="000A41CA" w:rsidRPr="009C4E4B">
              <w:rPr>
                <w:b/>
                <w:bCs/>
                <w:webHidden/>
              </w:rPr>
              <w:fldChar w:fldCharType="separate"/>
            </w:r>
            <w:r w:rsidR="000A41CA" w:rsidRPr="009C4E4B">
              <w:rPr>
                <w:webHidden/>
              </w:rPr>
              <w:t>82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1" w:history="1">
            <w:r w:rsidR="000A41CA" w:rsidRPr="009C4E4B">
              <w:rPr>
                <w:rStyle w:val="Lienhypertexte"/>
              </w:rPr>
              <w:t>1.2.</w:t>
            </w:r>
            <w:r w:rsidR="00882F77" w:rsidRPr="009C4E4B">
              <w:rPr>
                <w:rFonts w:eastAsiaTheme="minorEastAsia"/>
                <w:kern w:val="2"/>
                <w:lang w:val="en-US" w:eastAsia="fr-FR"/>
                <w14:ligatures w14:val="standardContextual"/>
              </w:rPr>
              <w:t xml:space="preserve"> </w:t>
            </w:r>
            <w:r w:rsidR="000A41CA" w:rsidRPr="009C4E4B">
              <w:rPr>
                <w:rStyle w:val="Lienhypertexte"/>
              </w:rPr>
              <w:t>Historique de la digitalisation</w:t>
            </w:r>
            <w:r w:rsidR="000A41CA" w:rsidRPr="009C4E4B">
              <w:rPr>
                <w:webHidden/>
              </w:rPr>
              <w:tab/>
            </w:r>
            <w:r w:rsidR="000A41CA" w:rsidRPr="009C4E4B">
              <w:rPr>
                <w:b/>
                <w:bCs/>
                <w:webHidden/>
              </w:rPr>
              <w:fldChar w:fldCharType="begin"/>
            </w:r>
            <w:r w:rsidR="000A41CA" w:rsidRPr="009C4E4B">
              <w:rPr>
                <w:webHidden/>
              </w:rPr>
              <w:instrText xml:space="preserve"> PAGEREF _Toc200755951 \h </w:instrText>
            </w:r>
            <w:r w:rsidR="000A41CA" w:rsidRPr="009C4E4B">
              <w:rPr>
                <w:b/>
                <w:bCs/>
                <w:webHidden/>
              </w:rPr>
            </w:r>
            <w:r w:rsidR="000A41CA" w:rsidRPr="009C4E4B">
              <w:rPr>
                <w:b/>
                <w:bCs/>
                <w:webHidden/>
              </w:rPr>
              <w:fldChar w:fldCharType="separate"/>
            </w:r>
            <w:r w:rsidR="000A41CA" w:rsidRPr="009C4E4B">
              <w:rPr>
                <w:webHidden/>
              </w:rPr>
              <w:t>83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2" w:history="1">
            <w:r w:rsidR="000A41CA" w:rsidRPr="009C4E4B">
              <w:rPr>
                <w:rStyle w:val="Lienhypertexte"/>
              </w:rPr>
              <w:t>1.2.1.</w:t>
            </w:r>
            <w:r w:rsidR="00882F77" w:rsidRPr="009C4E4B">
              <w:rPr>
                <w:rFonts w:eastAsiaTheme="minorEastAsia"/>
                <w:kern w:val="2"/>
                <w:lang w:val="en-US" w:eastAsia="fr-FR"/>
                <w14:ligatures w14:val="standardContextual"/>
              </w:rPr>
              <w:t xml:space="preserve"> </w:t>
            </w:r>
            <w:r w:rsidR="000A41CA" w:rsidRPr="009C4E4B">
              <w:rPr>
                <w:rStyle w:val="Lienhypertexte"/>
              </w:rPr>
              <w:t>L’émergence de l’informatique et les premiers ordinateurs</w:t>
            </w:r>
            <w:r w:rsidR="000A41CA" w:rsidRPr="009C4E4B">
              <w:rPr>
                <w:webHidden/>
              </w:rPr>
              <w:tab/>
            </w:r>
            <w:r w:rsidR="000A41CA" w:rsidRPr="009C4E4B">
              <w:rPr>
                <w:b/>
                <w:bCs/>
                <w:webHidden/>
              </w:rPr>
              <w:fldChar w:fldCharType="begin"/>
            </w:r>
            <w:r w:rsidR="000A41CA" w:rsidRPr="009C4E4B">
              <w:rPr>
                <w:webHidden/>
              </w:rPr>
              <w:instrText xml:space="preserve"> PAGEREF _Toc200755952 \h </w:instrText>
            </w:r>
            <w:r w:rsidR="000A41CA" w:rsidRPr="009C4E4B">
              <w:rPr>
                <w:b/>
                <w:bCs/>
                <w:webHidden/>
              </w:rPr>
            </w:r>
            <w:r w:rsidR="000A41CA" w:rsidRPr="009C4E4B">
              <w:rPr>
                <w:b/>
                <w:bCs/>
                <w:webHidden/>
              </w:rPr>
              <w:fldChar w:fldCharType="separate"/>
            </w:r>
            <w:r w:rsidR="000A41CA" w:rsidRPr="009C4E4B">
              <w:rPr>
                <w:webHidden/>
              </w:rPr>
              <w:t>83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3" w:history="1">
            <w:r w:rsidR="000A41CA" w:rsidRPr="009C4E4B">
              <w:rPr>
                <w:rStyle w:val="Lienhypertexte"/>
              </w:rPr>
              <w:t>1.2.2.</w:t>
            </w:r>
            <w:r w:rsidR="00882F77" w:rsidRPr="009C4E4B">
              <w:rPr>
                <w:rFonts w:eastAsiaTheme="minorEastAsia"/>
                <w:kern w:val="2"/>
                <w:lang w:val="en-US" w:eastAsia="fr-FR"/>
                <w14:ligatures w14:val="standardContextual"/>
              </w:rPr>
              <w:t xml:space="preserve"> </w:t>
            </w:r>
            <w:r w:rsidR="000A41CA" w:rsidRPr="009C4E4B">
              <w:rPr>
                <w:rStyle w:val="Lienhypertexte"/>
              </w:rPr>
              <w:t>L’arrivée de l’informatique personnelle</w:t>
            </w:r>
            <w:r w:rsidR="000A41CA" w:rsidRPr="009C4E4B">
              <w:rPr>
                <w:webHidden/>
              </w:rPr>
              <w:tab/>
            </w:r>
            <w:r w:rsidR="000A41CA" w:rsidRPr="009C4E4B">
              <w:rPr>
                <w:b/>
                <w:bCs/>
                <w:webHidden/>
              </w:rPr>
              <w:fldChar w:fldCharType="begin"/>
            </w:r>
            <w:r w:rsidR="000A41CA" w:rsidRPr="009C4E4B">
              <w:rPr>
                <w:webHidden/>
              </w:rPr>
              <w:instrText xml:space="preserve"> PAGEREF _Toc200755953 \h </w:instrText>
            </w:r>
            <w:r w:rsidR="000A41CA" w:rsidRPr="009C4E4B">
              <w:rPr>
                <w:b/>
                <w:bCs/>
                <w:webHidden/>
              </w:rPr>
            </w:r>
            <w:r w:rsidR="000A41CA" w:rsidRPr="009C4E4B">
              <w:rPr>
                <w:b/>
                <w:bCs/>
                <w:webHidden/>
              </w:rPr>
              <w:fldChar w:fldCharType="separate"/>
            </w:r>
            <w:r w:rsidR="000A41CA" w:rsidRPr="009C4E4B">
              <w:rPr>
                <w:webHidden/>
              </w:rPr>
              <w:t>84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4" w:history="1">
            <w:r w:rsidR="000A41CA" w:rsidRPr="009C4E4B">
              <w:rPr>
                <w:rStyle w:val="Lienhypertexte"/>
              </w:rPr>
              <w:t>1.2.3.</w:t>
            </w:r>
            <w:r w:rsidR="00882F77" w:rsidRPr="009C4E4B">
              <w:rPr>
                <w:rFonts w:eastAsiaTheme="minorEastAsia"/>
                <w:kern w:val="2"/>
                <w:lang w:val="en-US" w:eastAsia="fr-FR"/>
                <w14:ligatures w14:val="standardContextual"/>
              </w:rPr>
              <w:t xml:space="preserve"> </w:t>
            </w:r>
            <w:r w:rsidR="000A41CA" w:rsidRPr="009C4E4B">
              <w:rPr>
                <w:rStyle w:val="Lienhypertexte"/>
              </w:rPr>
              <w:t>L’expansion d’internet et la mondialisation des échanges</w:t>
            </w:r>
            <w:r w:rsidR="000A41CA" w:rsidRPr="009C4E4B">
              <w:rPr>
                <w:webHidden/>
              </w:rPr>
              <w:tab/>
            </w:r>
            <w:r w:rsidR="000A41CA" w:rsidRPr="009C4E4B">
              <w:rPr>
                <w:b/>
                <w:bCs/>
                <w:webHidden/>
              </w:rPr>
              <w:fldChar w:fldCharType="begin"/>
            </w:r>
            <w:r w:rsidR="000A41CA" w:rsidRPr="009C4E4B">
              <w:rPr>
                <w:webHidden/>
              </w:rPr>
              <w:instrText xml:space="preserve"> PAGEREF _Toc200755954 \h </w:instrText>
            </w:r>
            <w:r w:rsidR="000A41CA" w:rsidRPr="009C4E4B">
              <w:rPr>
                <w:b/>
                <w:bCs/>
                <w:webHidden/>
              </w:rPr>
            </w:r>
            <w:r w:rsidR="000A41CA" w:rsidRPr="009C4E4B">
              <w:rPr>
                <w:b/>
                <w:bCs/>
                <w:webHidden/>
              </w:rPr>
              <w:fldChar w:fldCharType="separate"/>
            </w:r>
            <w:r w:rsidR="000A41CA" w:rsidRPr="009C4E4B">
              <w:rPr>
                <w:webHidden/>
              </w:rPr>
              <w:t>84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5" w:history="1">
            <w:r w:rsidR="000A41CA" w:rsidRPr="009C4E4B">
              <w:rPr>
                <w:rStyle w:val="Lienhypertexte"/>
              </w:rPr>
              <w:t>1.2.4.</w:t>
            </w:r>
            <w:r w:rsidR="00882F77" w:rsidRPr="009C4E4B">
              <w:rPr>
                <w:rFonts w:eastAsiaTheme="minorEastAsia"/>
                <w:kern w:val="2"/>
                <w:lang w:val="en-US" w:eastAsia="fr-FR"/>
                <w14:ligatures w14:val="standardContextual"/>
              </w:rPr>
              <w:t xml:space="preserve"> </w:t>
            </w:r>
            <w:r w:rsidR="000A41CA" w:rsidRPr="009C4E4B">
              <w:rPr>
                <w:rStyle w:val="Lienhypertexte"/>
              </w:rPr>
              <w:t>Le développement du cloud computing et des technologies mobiles</w:t>
            </w:r>
            <w:r w:rsidR="000A41CA" w:rsidRPr="009C4E4B">
              <w:rPr>
                <w:webHidden/>
              </w:rPr>
              <w:tab/>
            </w:r>
            <w:r w:rsidR="000A41CA" w:rsidRPr="009C4E4B">
              <w:rPr>
                <w:b/>
                <w:bCs/>
                <w:webHidden/>
              </w:rPr>
              <w:fldChar w:fldCharType="begin"/>
            </w:r>
            <w:r w:rsidR="000A41CA" w:rsidRPr="009C4E4B">
              <w:rPr>
                <w:webHidden/>
              </w:rPr>
              <w:instrText xml:space="preserve"> PAGEREF _Toc200755955 \h </w:instrText>
            </w:r>
            <w:r w:rsidR="000A41CA" w:rsidRPr="009C4E4B">
              <w:rPr>
                <w:b/>
                <w:bCs/>
                <w:webHidden/>
              </w:rPr>
            </w:r>
            <w:r w:rsidR="000A41CA" w:rsidRPr="009C4E4B">
              <w:rPr>
                <w:b/>
                <w:bCs/>
                <w:webHidden/>
              </w:rPr>
              <w:fldChar w:fldCharType="separate"/>
            </w:r>
            <w:r w:rsidR="000A41CA" w:rsidRPr="009C4E4B">
              <w:rPr>
                <w:webHidden/>
              </w:rPr>
              <w:t>84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6" w:history="1">
            <w:r w:rsidR="000A41CA" w:rsidRPr="009C4E4B">
              <w:rPr>
                <w:rStyle w:val="Lienhypertexte"/>
              </w:rPr>
              <w:t>1.2.5.</w:t>
            </w:r>
            <w:r w:rsidR="00882F77" w:rsidRPr="009C4E4B">
              <w:rPr>
                <w:rFonts w:eastAsiaTheme="minorEastAsia"/>
                <w:kern w:val="2"/>
                <w:lang w:val="en-US" w:eastAsia="fr-FR"/>
                <w14:ligatures w14:val="standardContextual"/>
              </w:rPr>
              <w:t xml:space="preserve"> </w:t>
            </w:r>
            <w:r w:rsidR="000A41CA" w:rsidRPr="009C4E4B">
              <w:rPr>
                <w:rStyle w:val="Lienhypertexte"/>
              </w:rPr>
              <w:t>L’influence grandissante des réseaux sociaux</w:t>
            </w:r>
            <w:r w:rsidR="000A41CA" w:rsidRPr="009C4E4B">
              <w:rPr>
                <w:webHidden/>
              </w:rPr>
              <w:tab/>
            </w:r>
            <w:r w:rsidR="000A41CA" w:rsidRPr="009C4E4B">
              <w:rPr>
                <w:b/>
                <w:bCs/>
                <w:webHidden/>
              </w:rPr>
              <w:fldChar w:fldCharType="begin"/>
            </w:r>
            <w:r w:rsidR="000A41CA" w:rsidRPr="009C4E4B">
              <w:rPr>
                <w:webHidden/>
              </w:rPr>
              <w:instrText xml:space="preserve"> PAGEREF _Toc200755956 \h </w:instrText>
            </w:r>
            <w:r w:rsidR="000A41CA" w:rsidRPr="009C4E4B">
              <w:rPr>
                <w:b/>
                <w:bCs/>
                <w:webHidden/>
              </w:rPr>
            </w:r>
            <w:r w:rsidR="000A41CA" w:rsidRPr="009C4E4B">
              <w:rPr>
                <w:b/>
                <w:bCs/>
                <w:webHidden/>
              </w:rPr>
              <w:fldChar w:fldCharType="separate"/>
            </w:r>
            <w:r w:rsidR="000A41CA" w:rsidRPr="009C4E4B">
              <w:rPr>
                <w:webHidden/>
              </w:rPr>
              <w:t>84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7" w:history="1">
            <w:r w:rsidR="000A41CA" w:rsidRPr="009C4E4B">
              <w:rPr>
                <w:rStyle w:val="Lienhypertexte"/>
              </w:rPr>
              <w:t>1.2.6.</w:t>
            </w:r>
            <w:r w:rsidR="00882F77" w:rsidRPr="009C4E4B">
              <w:rPr>
                <w:rFonts w:eastAsiaTheme="minorEastAsia"/>
                <w:kern w:val="2"/>
                <w:lang w:val="en-US" w:eastAsia="fr-FR"/>
                <w14:ligatures w14:val="standardContextual"/>
              </w:rPr>
              <w:t xml:space="preserve"> </w:t>
            </w:r>
            <w:r w:rsidR="000A41CA" w:rsidRPr="009C4E4B">
              <w:rPr>
                <w:rStyle w:val="Lienhypertexte"/>
              </w:rPr>
              <w:t>L’impact de l’intelligence artificielle et de l’automatisation</w:t>
            </w:r>
            <w:r w:rsidR="000A41CA" w:rsidRPr="009C4E4B">
              <w:rPr>
                <w:webHidden/>
              </w:rPr>
              <w:tab/>
            </w:r>
            <w:r w:rsidR="000A41CA" w:rsidRPr="009C4E4B">
              <w:rPr>
                <w:b/>
                <w:bCs/>
                <w:webHidden/>
              </w:rPr>
              <w:fldChar w:fldCharType="begin"/>
            </w:r>
            <w:r w:rsidR="000A41CA" w:rsidRPr="009C4E4B">
              <w:rPr>
                <w:webHidden/>
              </w:rPr>
              <w:instrText xml:space="preserve"> PAGEREF _Toc200755957 \h </w:instrText>
            </w:r>
            <w:r w:rsidR="000A41CA" w:rsidRPr="009C4E4B">
              <w:rPr>
                <w:b/>
                <w:bCs/>
                <w:webHidden/>
              </w:rPr>
            </w:r>
            <w:r w:rsidR="000A41CA" w:rsidRPr="009C4E4B">
              <w:rPr>
                <w:b/>
                <w:bCs/>
                <w:webHidden/>
              </w:rPr>
              <w:fldChar w:fldCharType="separate"/>
            </w:r>
            <w:r w:rsidR="000A41CA" w:rsidRPr="009C4E4B">
              <w:rPr>
                <w:webHidden/>
              </w:rPr>
              <w:t>85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8" w:history="1">
            <w:r w:rsidR="000A41CA" w:rsidRPr="009C4E4B">
              <w:rPr>
                <w:rStyle w:val="Lienhypertexte"/>
              </w:rPr>
              <w:t>1.2.7.</w:t>
            </w:r>
            <w:r w:rsidR="00882F77" w:rsidRPr="009C4E4B">
              <w:rPr>
                <w:rFonts w:eastAsiaTheme="minorEastAsia"/>
                <w:kern w:val="2"/>
                <w:lang w:val="en-US" w:eastAsia="fr-FR"/>
                <w14:ligatures w14:val="standardContextual"/>
              </w:rPr>
              <w:t xml:space="preserve"> </w:t>
            </w:r>
            <w:r w:rsidR="000A41CA" w:rsidRPr="009C4E4B">
              <w:rPr>
                <w:rStyle w:val="Lienhypertexte"/>
              </w:rPr>
              <w:t>L’ère de l’hyperconnectivité et de la transformation numérique accélérée</w:t>
            </w:r>
            <w:r w:rsidR="000A41CA" w:rsidRPr="009C4E4B">
              <w:rPr>
                <w:webHidden/>
              </w:rPr>
              <w:tab/>
            </w:r>
            <w:r w:rsidR="000A41CA" w:rsidRPr="009C4E4B">
              <w:rPr>
                <w:b/>
                <w:bCs/>
                <w:webHidden/>
              </w:rPr>
              <w:fldChar w:fldCharType="begin"/>
            </w:r>
            <w:r w:rsidR="000A41CA" w:rsidRPr="009C4E4B">
              <w:rPr>
                <w:webHidden/>
              </w:rPr>
              <w:instrText xml:space="preserve"> PAGEREF _Toc200755958 \h </w:instrText>
            </w:r>
            <w:r w:rsidR="000A41CA" w:rsidRPr="009C4E4B">
              <w:rPr>
                <w:b/>
                <w:bCs/>
                <w:webHidden/>
              </w:rPr>
            </w:r>
            <w:r w:rsidR="000A41CA" w:rsidRPr="009C4E4B">
              <w:rPr>
                <w:b/>
                <w:bCs/>
                <w:webHidden/>
              </w:rPr>
              <w:fldChar w:fldCharType="separate"/>
            </w:r>
            <w:r w:rsidR="000A41CA" w:rsidRPr="009C4E4B">
              <w:rPr>
                <w:webHidden/>
              </w:rPr>
              <w:t>85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59" w:history="1">
            <w:r w:rsidR="000A41CA" w:rsidRPr="009C4E4B">
              <w:rPr>
                <w:rStyle w:val="Lienhypertexte"/>
              </w:rPr>
              <w:t>1.2.8.</w:t>
            </w:r>
            <w:r w:rsidR="00882F77" w:rsidRPr="009C4E4B">
              <w:rPr>
                <w:rFonts w:eastAsiaTheme="minorEastAsia"/>
                <w:kern w:val="2"/>
                <w:lang w:val="en-US" w:eastAsia="fr-FR"/>
                <w14:ligatures w14:val="standardContextual"/>
              </w:rPr>
              <w:t xml:space="preserve"> </w:t>
            </w:r>
            <w:r w:rsidR="000A41CA" w:rsidRPr="009C4E4B">
              <w:rPr>
                <w:rStyle w:val="Lienhypertexte"/>
              </w:rPr>
              <w:t>L’innovation numérique en 2024 : intelligence artificielle générative et réalité mixte</w:t>
            </w:r>
            <w:r w:rsidR="000A41CA" w:rsidRPr="009C4E4B">
              <w:rPr>
                <w:webHidden/>
              </w:rPr>
              <w:tab/>
            </w:r>
            <w:r w:rsidR="000A41CA" w:rsidRPr="009C4E4B">
              <w:rPr>
                <w:b/>
                <w:bCs/>
                <w:webHidden/>
              </w:rPr>
              <w:fldChar w:fldCharType="begin"/>
            </w:r>
            <w:r w:rsidR="000A41CA" w:rsidRPr="009C4E4B">
              <w:rPr>
                <w:webHidden/>
              </w:rPr>
              <w:instrText xml:space="preserve"> PAGEREF _Toc200755959 \h </w:instrText>
            </w:r>
            <w:r w:rsidR="000A41CA" w:rsidRPr="009C4E4B">
              <w:rPr>
                <w:b/>
                <w:bCs/>
                <w:webHidden/>
              </w:rPr>
            </w:r>
            <w:r w:rsidR="000A41CA" w:rsidRPr="009C4E4B">
              <w:rPr>
                <w:b/>
                <w:bCs/>
                <w:webHidden/>
              </w:rPr>
              <w:fldChar w:fldCharType="separate"/>
            </w:r>
            <w:r w:rsidR="000A41CA" w:rsidRPr="009C4E4B">
              <w:rPr>
                <w:webHidden/>
              </w:rPr>
              <w:t>85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60" w:history="1">
            <w:r w:rsidR="000A41CA" w:rsidRPr="009C4E4B">
              <w:rPr>
                <w:rStyle w:val="Lienhypertexte"/>
              </w:rPr>
              <w:t>1.3.</w:t>
            </w:r>
            <w:r w:rsidR="00882F77" w:rsidRPr="009C4E4B">
              <w:rPr>
                <w:rFonts w:eastAsiaTheme="minorEastAsia"/>
                <w:kern w:val="2"/>
                <w:lang w:val="en-US" w:eastAsia="fr-FR"/>
                <w14:ligatures w14:val="standardContextual"/>
              </w:rPr>
              <w:t xml:space="preserve"> </w:t>
            </w:r>
            <w:r w:rsidR="000A41CA" w:rsidRPr="009C4E4B">
              <w:rPr>
                <w:rStyle w:val="Lienhypertexte"/>
              </w:rPr>
              <w:t>Les différentes formes de transformation digitale</w:t>
            </w:r>
            <w:r w:rsidR="000A41CA" w:rsidRPr="009C4E4B">
              <w:rPr>
                <w:webHidden/>
              </w:rPr>
              <w:tab/>
            </w:r>
            <w:r w:rsidR="000A41CA" w:rsidRPr="009C4E4B">
              <w:rPr>
                <w:b/>
                <w:bCs/>
                <w:webHidden/>
              </w:rPr>
              <w:fldChar w:fldCharType="begin"/>
            </w:r>
            <w:r w:rsidR="000A41CA" w:rsidRPr="009C4E4B">
              <w:rPr>
                <w:webHidden/>
              </w:rPr>
              <w:instrText xml:space="preserve"> PAGEREF _Toc200755960 \h </w:instrText>
            </w:r>
            <w:r w:rsidR="000A41CA" w:rsidRPr="009C4E4B">
              <w:rPr>
                <w:b/>
                <w:bCs/>
                <w:webHidden/>
              </w:rPr>
            </w:r>
            <w:r w:rsidR="000A41CA" w:rsidRPr="009C4E4B">
              <w:rPr>
                <w:b/>
                <w:bCs/>
                <w:webHidden/>
              </w:rPr>
              <w:fldChar w:fldCharType="separate"/>
            </w:r>
            <w:r w:rsidR="000A41CA" w:rsidRPr="009C4E4B">
              <w:rPr>
                <w:webHidden/>
              </w:rPr>
              <w:t>85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61" w:history="1">
            <w:r w:rsidR="000A41CA" w:rsidRPr="009C4E4B">
              <w:rPr>
                <w:rStyle w:val="Lienhypertexte"/>
              </w:rPr>
              <w:t>1.3.1.</w:t>
            </w:r>
            <w:r w:rsidR="00882F77" w:rsidRPr="009C4E4B">
              <w:rPr>
                <w:rFonts w:eastAsiaTheme="minorEastAsia"/>
                <w:kern w:val="2"/>
                <w:lang w:val="en-US" w:eastAsia="fr-FR"/>
                <w14:ligatures w14:val="standardContextual"/>
              </w:rPr>
              <w:t xml:space="preserve"> </w:t>
            </w:r>
            <w:r w:rsidR="000A41CA" w:rsidRPr="009C4E4B">
              <w:rPr>
                <w:rStyle w:val="Lienhypertexte"/>
              </w:rPr>
              <w:t>Optimisation des processus internes</w:t>
            </w:r>
            <w:r w:rsidR="000A41CA" w:rsidRPr="009C4E4B">
              <w:rPr>
                <w:webHidden/>
              </w:rPr>
              <w:tab/>
            </w:r>
            <w:r w:rsidR="000A41CA" w:rsidRPr="009C4E4B">
              <w:rPr>
                <w:b/>
                <w:bCs/>
                <w:webHidden/>
              </w:rPr>
              <w:fldChar w:fldCharType="begin"/>
            </w:r>
            <w:r w:rsidR="000A41CA" w:rsidRPr="009C4E4B">
              <w:rPr>
                <w:webHidden/>
              </w:rPr>
              <w:instrText xml:space="preserve"> PAGEREF _Toc200755961 \h </w:instrText>
            </w:r>
            <w:r w:rsidR="000A41CA" w:rsidRPr="009C4E4B">
              <w:rPr>
                <w:b/>
                <w:bCs/>
                <w:webHidden/>
              </w:rPr>
            </w:r>
            <w:r w:rsidR="000A41CA" w:rsidRPr="009C4E4B">
              <w:rPr>
                <w:b/>
                <w:bCs/>
                <w:webHidden/>
              </w:rPr>
              <w:fldChar w:fldCharType="separate"/>
            </w:r>
            <w:r w:rsidR="000A41CA" w:rsidRPr="009C4E4B">
              <w:rPr>
                <w:webHidden/>
              </w:rPr>
              <w:t>85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64" w:history="1">
            <w:r w:rsidR="000A41CA" w:rsidRPr="009C4E4B">
              <w:rPr>
                <w:rStyle w:val="Lienhypertexte"/>
              </w:rPr>
              <w:t>1.3.2.</w:t>
            </w:r>
            <w:r w:rsidR="00882F77" w:rsidRPr="009C4E4B">
              <w:rPr>
                <w:rFonts w:eastAsiaTheme="minorEastAsia"/>
                <w:kern w:val="2"/>
                <w:lang w:val="en-US" w:eastAsia="fr-FR"/>
                <w14:ligatures w14:val="standardContextual"/>
              </w:rPr>
              <w:t xml:space="preserve"> </w:t>
            </w:r>
            <w:r w:rsidR="000A41CA" w:rsidRPr="009C4E4B">
              <w:rPr>
                <w:rStyle w:val="Lienhypertexte"/>
              </w:rPr>
              <w:t>Reconfiguration du modèle économique</w:t>
            </w:r>
            <w:r w:rsidR="000A41CA" w:rsidRPr="009C4E4B">
              <w:rPr>
                <w:webHidden/>
              </w:rPr>
              <w:tab/>
            </w:r>
            <w:r w:rsidR="000A41CA" w:rsidRPr="009C4E4B">
              <w:rPr>
                <w:b/>
                <w:bCs/>
                <w:webHidden/>
              </w:rPr>
              <w:fldChar w:fldCharType="begin"/>
            </w:r>
            <w:r w:rsidR="000A41CA" w:rsidRPr="009C4E4B">
              <w:rPr>
                <w:webHidden/>
              </w:rPr>
              <w:instrText xml:space="preserve"> PAGEREF _Toc200755964 \h </w:instrText>
            </w:r>
            <w:r w:rsidR="000A41CA" w:rsidRPr="009C4E4B">
              <w:rPr>
                <w:b/>
                <w:bCs/>
                <w:webHidden/>
              </w:rPr>
            </w:r>
            <w:r w:rsidR="000A41CA" w:rsidRPr="009C4E4B">
              <w:rPr>
                <w:b/>
                <w:bCs/>
                <w:webHidden/>
              </w:rPr>
              <w:fldChar w:fldCharType="separate"/>
            </w:r>
            <w:r w:rsidR="000A41CA" w:rsidRPr="009C4E4B">
              <w:rPr>
                <w:webHidden/>
              </w:rPr>
              <w:t>86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65" w:history="1">
            <w:r w:rsidR="000A41CA" w:rsidRPr="009C4E4B">
              <w:rPr>
                <w:rStyle w:val="Lienhypertexte"/>
              </w:rPr>
              <w:t>1.3.3.</w:t>
            </w:r>
            <w:r w:rsidR="00882F77" w:rsidRPr="009C4E4B">
              <w:rPr>
                <w:rFonts w:eastAsiaTheme="minorEastAsia"/>
                <w:kern w:val="2"/>
                <w:lang w:val="en-US" w:eastAsia="fr-FR"/>
                <w14:ligatures w14:val="standardContextual"/>
              </w:rPr>
              <w:t xml:space="preserve"> </w:t>
            </w:r>
            <w:r w:rsidR="000A41CA" w:rsidRPr="009C4E4B">
              <w:rPr>
                <w:rStyle w:val="Lienhypertexte"/>
              </w:rPr>
              <w:t>Diversification vers de nouveaux domaines d’activité</w:t>
            </w:r>
            <w:r w:rsidR="000A41CA" w:rsidRPr="009C4E4B">
              <w:rPr>
                <w:webHidden/>
              </w:rPr>
              <w:tab/>
            </w:r>
            <w:r w:rsidR="000A41CA" w:rsidRPr="009C4E4B">
              <w:rPr>
                <w:b/>
                <w:bCs/>
                <w:webHidden/>
              </w:rPr>
              <w:fldChar w:fldCharType="begin"/>
            </w:r>
            <w:r w:rsidR="000A41CA" w:rsidRPr="009C4E4B">
              <w:rPr>
                <w:webHidden/>
              </w:rPr>
              <w:instrText xml:space="preserve"> PAGEREF _Toc200755965 \h </w:instrText>
            </w:r>
            <w:r w:rsidR="000A41CA" w:rsidRPr="009C4E4B">
              <w:rPr>
                <w:b/>
                <w:bCs/>
                <w:webHidden/>
              </w:rPr>
            </w:r>
            <w:r w:rsidR="000A41CA" w:rsidRPr="009C4E4B">
              <w:rPr>
                <w:b/>
                <w:bCs/>
                <w:webHidden/>
              </w:rPr>
              <w:fldChar w:fldCharType="separate"/>
            </w:r>
            <w:r w:rsidR="000A41CA" w:rsidRPr="009C4E4B">
              <w:rPr>
                <w:webHidden/>
              </w:rPr>
              <w:t>86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66" w:history="1">
            <w:r w:rsidR="000A41CA" w:rsidRPr="009C4E4B">
              <w:rPr>
                <w:rStyle w:val="Lienhypertexte"/>
              </w:rPr>
              <w:t>1.3.4.</w:t>
            </w:r>
            <w:r w:rsidR="00882F77" w:rsidRPr="009C4E4B">
              <w:rPr>
                <w:rFonts w:eastAsiaTheme="minorEastAsia"/>
                <w:kern w:val="2"/>
                <w:lang w:val="en-US" w:eastAsia="fr-FR"/>
                <w14:ligatures w14:val="standardContextual"/>
              </w:rPr>
              <w:t xml:space="preserve"> </w:t>
            </w:r>
            <w:r w:rsidR="000A41CA" w:rsidRPr="009C4E4B">
              <w:rPr>
                <w:rStyle w:val="Lienhypertexte"/>
              </w:rPr>
              <w:t>Évolution culturelle et organisationnelle</w:t>
            </w:r>
            <w:r w:rsidR="000A41CA" w:rsidRPr="009C4E4B">
              <w:rPr>
                <w:webHidden/>
              </w:rPr>
              <w:tab/>
            </w:r>
            <w:r w:rsidR="000A41CA" w:rsidRPr="009C4E4B">
              <w:rPr>
                <w:b/>
                <w:bCs/>
                <w:webHidden/>
              </w:rPr>
              <w:fldChar w:fldCharType="begin"/>
            </w:r>
            <w:r w:rsidR="000A41CA" w:rsidRPr="009C4E4B">
              <w:rPr>
                <w:webHidden/>
              </w:rPr>
              <w:instrText xml:space="preserve"> PAGEREF _Toc200755966 \h </w:instrText>
            </w:r>
            <w:r w:rsidR="000A41CA" w:rsidRPr="009C4E4B">
              <w:rPr>
                <w:b/>
                <w:bCs/>
                <w:webHidden/>
              </w:rPr>
            </w:r>
            <w:r w:rsidR="000A41CA" w:rsidRPr="009C4E4B">
              <w:rPr>
                <w:b/>
                <w:bCs/>
                <w:webHidden/>
              </w:rPr>
              <w:fldChar w:fldCharType="separate"/>
            </w:r>
            <w:r w:rsidR="000A41CA" w:rsidRPr="009C4E4B">
              <w:rPr>
                <w:webHidden/>
              </w:rPr>
              <w:t>87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67" w:history="1">
            <w:r w:rsidR="000A41CA" w:rsidRPr="009C4E4B">
              <w:rPr>
                <w:rStyle w:val="Lienhypertexte"/>
              </w:rPr>
              <w:t>2.</w:t>
            </w:r>
            <w:r w:rsidR="00882F77" w:rsidRPr="009C4E4B">
              <w:rPr>
                <w:rFonts w:eastAsiaTheme="minorEastAsia"/>
                <w:kern w:val="2"/>
                <w:lang w:val="en-US" w:eastAsia="fr-FR"/>
                <w14:ligatures w14:val="standardContextual"/>
              </w:rPr>
              <w:t xml:space="preserve"> </w:t>
            </w:r>
            <w:r w:rsidR="000A41CA" w:rsidRPr="009C4E4B">
              <w:rPr>
                <w:rStyle w:val="Lienhypertexte"/>
              </w:rPr>
              <w:t>La digitalisation au sein de l’entreprise</w:t>
            </w:r>
            <w:r w:rsidR="000A41CA" w:rsidRPr="009C4E4B">
              <w:rPr>
                <w:webHidden/>
              </w:rPr>
              <w:tab/>
            </w:r>
            <w:r w:rsidR="000A41CA" w:rsidRPr="009C4E4B">
              <w:rPr>
                <w:b/>
                <w:bCs/>
                <w:webHidden/>
              </w:rPr>
              <w:fldChar w:fldCharType="begin"/>
            </w:r>
            <w:r w:rsidR="000A41CA" w:rsidRPr="009C4E4B">
              <w:rPr>
                <w:webHidden/>
              </w:rPr>
              <w:instrText xml:space="preserve"> PAGEREF _Toc200755967 \h </w:instrText>
            </w:r>
            <w:r w:rsidR="000A41CA" w:rsidRPr="009C4E4B">
              <w:rPr>
                <w:b/>
                <w:bCs/>
                <w:webHidden/>
              </w:rPr>
            </w:r>
            <w:r w:rsidR="000A41CA" w:rsidRPr="009C4E4B">
              <w:rPr>
                <w:b/>
                <w:bCs/>
                <w:webHidden/>
              </w:rPr>
              <w:fldChar w:fldCharType="separate"/>
            </w:r>
            <w:r w:rsidR="000A41CA" w:rsidRPr="009C4E4B">
              <w:rPr>
                <w:webHidden/>
              </w:rPr>
              <w:t>87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68" w:history="1">
            <w:r w:rsidR="000A41CA" w:rsidRPr="009C4E4B">
              <w:rPr>
                <w:rStyle w:val="Lienhypertexte"/>
              </w:rPr>
              <w:t>2.1.</w:t>
            </w:r>
            <w:r w:rsidR="00882F77" w:rsidRPr="009C4E4B">
              <w:rPr>
                <w:rFonts w:eastAsiaTheme="minorEastAsia"/>
                <w:kern w:val="2"/>
                <w:lang w:val="en-US" w:eastAsia="fr-FR"/>
                <w14:ligatures w14:val="standardContextual"/>
              </w:rPr>
              <w:t xml:space="preserve"> </w:t>
            </w:r>
            <w:r w:rsidR="000A41CA" w:rsidRPr="009C4E4B">
              <w:rPr>
                <w:rStyle w:val="Lienhypertexte"/>
              </w:rPr>
              <w:t>Les deux facteurs essentiels de la transition digitale d’une entreprise</w:t>
            </w:r>
            <w:r w:rsidR="000A41CA" w:rsidRPr="009C4E4B">
              <w:rPr>
                <w:webHidden/>
              </w:rPr>
              <w:tab/>
            </w:r>
            <w:r w:rsidR="000A41CA" w:rsidRPr="009C4E4B">
              <w:rPr>
                <w:b/>
                <w:bCs/>
                <w:webHidden/>
              </w:rPr>
              <w:fldChar w:fldCharType="begin"/>
            </w:r>
            <w:r w:rsidR="000A41CA" w:rsidRPr="009C4E4B">
              <w:rPr>
                <w:webHidden/>
              </w:rPr>
              <w:instrText xml:space="preserve"> PAGEREF _Toc200755968 \h </w:instrText>
            </w:r>
            <w:r w:rsidR="000A41CA" w:rsidRPr="009C4E4B">
              <w:rPr>
                <w:b/>
                <w:bCs/>
                <w:webHidden/>
              </w:rPr>
            </w:r>
            <w:r w:rsidR="000A41CA" w:rsidRPr="009C4E4B">
              <w:rPr>
                <w:b/>
                <w:bCs/>
                <w:webHidden/>
              </w:rPr>
              <w:fldChar w:fldCharType="separate"/>
            </w:r>
            <w:r w:rsidR="000A41CA" w:rsidRPr="009C4E4B">
              <w:rPr>
                <w:webHidden/>
              </w:rPr>
              <w:t>87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69" w:history="1">
            <w:r w:rsidR="000A41CA" w:rsidRPr="009C4E4B">
              <w:rPr>
                <w:rStyle w:val="Lienhypertexte"/>
              </w:rPr>
              <w:t>2.1.1.</w:t>
            </w:r>
            <w:r w:rsidR="00882F77" w:rsidRPr="009C4E4B">
              <w:rPr>
                <w:rFonts w:eastAsiaTheme="minorEastAsia"/>
                <w:kern w:val="2"/>
                <w:lang w:val="en-US" w:eastAsia="fr-FR"/>
                <w14:ligatures w14:val="standardContextual"/>
              </w:rPr>
              <w:t xml:space="preserve"> </w:t>
            </w:r>
            <w:r w:rsidR="000A41CA" w:rsidRPr="009C4E4B">
              <w:rPr>
                <w:rStyle w:val="Lienhypertexte"/>
              </w:rPr>
              <w:t>L’adoption d’une culture numérique</w:t>
            </w:r>
            <w:r w:rsidR="000A41CA" w:rsidRPr="009C4E4B">
              <w:rPr>
                <w:webHidden/>
              </w:rPr>
              <w:tab/>
            </w:r>
            <w:r w:rsidR="000A41CA" w:rsidRPr="009C4E4B">
              <w:rPr>
                <w:b/>
                <w:bCs/>
                <w:webHidden/>
              </w:rPr>
              <w:fldChar w:fldCharType="begin"/>
            </w:r>
            <w:r w:rsidR="000A41CA" w:rsidRPr="009C4E4B">
              <w:rPr>
                <w:webHidden/>
              </w:rPr>
              <w:instrText xml:space="preserve"> PAGEREF _Toc200755969 \h </w:instrText>
            </w:r>
            <w:r w:rsidR="000A41CA" w:rsidRPr="009C4E4B">
              <w:rPr>
                <w:b/>
                <w:bCs/>
                <w:webHidden/>
              </w:rPr>
            </w:r>
            <w:r w:rsidR="000A41CA" w:rsidRPr="009C4E4B">
              <w:rPr>
                <w:b/>
                <w:bCs/>
                <w:webHidden/>
              </w:rPr>
              <w:fldChar w:fldCharType="separate"/>
            </w:r>
            <w:r w:rsidR="000A41CA" w:rsidRPr="009C4E4B">
              <w:rPr>
                <w:webHidden/>
              </w:rPr>
              <w:t>88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0" w:history="1">
            <w:r w:rsidR="000A41CA" w:rsidRPr="009C4E4B">
              <w:rPr>
                <w:rStyle w:val="Lienhypertexte"/>
              </w:rPr>
              <w:t>2.1.2.</w:t>
            </w:r>
            <w:r w:rsidR="00882F77" w:rsidRPr="009C4E4B">
              <w:rPr>
                <w:rFonts w:eastAsiaTheme="minorEastAsia"/>
                <w:kern w:val="2"/>
                <w:lang w:val="en-US" w:eastAsia="fr-FR"/>
                <w14:ligatures w14:val="standardContextual"/>
              </w:rPr>
              <w:t xml:space="preserve"> </w:t>
            </w:r>
            <w:r w:rsidR="000A41CA" w:rsidRPr="009C4E4B">
              <w:rPr>
                <w:rStyle w:val="Lienhypertexte"/>
              </w:rPr>
              <w:t>L’intégration de nouvelles technologies</w:t>
            </w:r>
            <w:r w:rsidR="000A41CA" w:rsidRPr="009C4E4B">
              <w:rPr>
                <w:webHidden/>
              </w:rPr>
              <w:tab/>
            </w:r>
            <w:r w:rsidR="000A41CA" w:rsidRPr="009C4E4B">
              <w:rPr>
                <w:b/>
                <w:bCs/>
                <w:webHidden/>
              </w:rPr>
              <w:fldChar w:fldCharType="begin"/>
            </w:r>
            <w:r w:rsidR="000A41CA" w:rsidRPr="009C4E4B">
              <w:rPr>
                <w:webHidden/>
              </w:rPr>
              <w:instrText xml:space="preserve"> PAGEREF _Toc200755970 \h </w:instrText>
            </w:r>
            <w:r w:rsidR="000A41CA" w:rsidRPr="009C4E4B">
              <w:rPr>
                <w:b/>
                <w:bCs/>
                <w:webHidden/>
              </w:rPr>
            </w:r>
            <w:r w:rsidR="000A41CA" w:rsidRPr="009C4E4B">
              <w:rPr>
                <w:b/>
                <w:bCs/>
                <w:webHidden/>
              </w:rPr>
              <w:fldChar w:fldCharType="separate"/>
            </w:r>
            <w:r w:rsidR="000A41CA" w:rsidRPr="009C4E4B">
              <w:rPr>
                <w:webHidden/>
              </w:rPr>
              <w:t>88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1" w:history="1">
            <w:r w:rsidR="000A41CA" w:rsidRPr="009C4E4B">
              <w:rPr>
                <w:rStyle w:val="Lienhypertexte"/>
              </w:rPr>
              <w:t>2.2.</w:t>
            </w:r>
            <w:r w:rsidR="00882F77" w:rsidRPr="009C4E4B">
              <w:rPr>
                <w:rFonts w:eastAsiaTheme="minorEastAsia"/>
                <w:kern w:val="2"/>
                <w:lang w:val="en-US" w:eastAsia="fr-FR"/>
                <w14:ligatures w14:val="standardContextual"/>
              </w:rPr>
              <w:t xml:space="preserve"> </w:t>
            </w:r>
            <w:r w:rsidR="000A41CA" w:rsidRPr="009C4E4B">
              <w:rPr>
                <w:rStyle w:val="Lienhypertexte"/>
              </w:rPr>
              <w:t>Les principales étapes de la digitalisation</w:t>
            </w:r>
            <w:r w:rsidR="000A41CA" w:rsidRPr="009C4E4B">
              <w:rPr>
                <w:webHidden/>
              </w:rPr>
              <w:tab/>
            </w:r>
            <w:r w:rsidR="000A41CA" w:rsidRPr="009C4E4B">
              <w:rPr>
                <w:b/>
                <w:bCs/>
                <w:webHidden/>
              </w:rPr>
              <w:fldChar w:fldCharType="begin"/>
            </w:r>
            <w:r w:rsidR="000A41CA" w:rsidRPr="009C4E4B">
              <w:rPr>
                <w:webHidden/>
              </w:rPr>
              <w:instrText xml:space="preserve"> PAGEREF _Toc200755971 \h </w:instrText>
            </w:r>
            <w:r w:rsidR="000A41CA" w:rsidRPr="009C4E4B">
              <w:rPr>
                <w:b/>
                <w:bCs/>
                <w:webHidden/>
              </w:rPr>
            </w:r>
            <w:r w:rsidR="000A41CA" w:rsidRPr="009C4E4B">
              <w:rPr>
                <w:b/>
                <w:bCs/>
                <w:webHidden/>
              </w:rPr>
              <w:fldChar w:fldCharType="separate"/>
            </w:r>
            <w:r w:rsidR="000A41CA" w:rsidRPr="009C4E4B">
              <w:rPr>
                <w:webHidden/>
              </w:rPr>
              <w:t>88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2" w:history="1">
            <w:r w:rsidR="000A41CA" w:rsidRPr="009C4E4B">
              <w:rPr>
                <w:rStyle w:val="Lienhypertexte"/>
              </w:rPr>
              <w:t>2.3.</w:t>
            </w:r>
            <w:r w:rsidR="00882F77" w:rsidRPr="009C4E4B">
              <w:rPr>
                <w:rFonts w:eastAsiaTheme="minorEastAsia"/>
                <w:kern w:val="2"/>
                <w:lang w:val="en-US" w:eastAsia="fr-FR"/>
                <w14:ligatures w14:val="standardContextual"/>
              </w:rPr>
              <w:t xml:space="preserve"> </w:t>
            </w:r>
            <w:r w:rsidR="000A41CA" w:rsidRPr="009C4E4B">
              <w:rPr>
                <w:rStyle w:val="Lienhypertexte"/>
              </w:rPr>
              <w:t>Les outils essentiels de la transformation digitale</w:t>
            </w:r>
            <w:r w:rsidR="000A41CA" w:rsidRPr="009C4E4B">
              <w:rPr>
                <w:webHidden/>
              </w:rPr>
              <w:tab/>
            </w:r>
            <w:r w:rsidR="000A41CA" w:rsidRPr="009C4E4B">
              <w:rPr>
                <w:b/>
                <w:bCs/>
                <w:webHidden/>
              </w:rPr>
              <w:fldChar w:fldCharType="begin"/>
            </w:r>
            <w:r w:rsidR="000A41CA" w:rsidRPr="009C4E4B">
              <w:rPr>
                <w:webHidden/>
              </w:rPr>
              <w:instrText xml:space="preserve"> PAGEREF _Toc200755972 \h </w:instrText>
            </w:r>
            <w:r w:rsidR="000A41CA" w:rsidRPr="009C4E4B">
              <w:rPr>
                <w:b/>
                <w:bCs/>
                <w:webHidden/>
              </w:rPr>
            </w:r>
            <w:r w:rsidR="000A41CA" w:rsidRPr="009C4E4B">
              <w:rPr>
                <w:b/>
                <w:bCs/>
                <w:webHidden/>
              </w:rPr>
              <w:fldChar w:fldCharType="separate"/>
            </w:r>
            <w:r w:rsidR="000A41CA" w:rsidRPr="009C4E4B">
              <w:rPr>
                <w:webHidden/>
              </w:rPr>
              <w:t>91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3" w:history="1">
            <w:r w:rsidR="000A41CA" w:rsidRPr="009C4E4B">
              <w:rPr>
                <w:rStyle w:val="Lienhypertexte"/>
              </w:rPr>
              <w:t>2.3.1.</w:t>
            </w:r>
            <w:r w:rsidR="00882F77" w:rsidRPr="009C4E4B">
              <w:rPr>
                <w:rFonts w:eastAsiaTheme="minorEastAsia"/>
                <w:kern w:val="2"/>
                <w:lang w:val="en-US" w:eastAsia="fr-FR"/>
                <w14:ligatures w14:val="standardContextual"/>
              </w:rPr>
              <w:t xml:space="preserve"> </w:t>
            </w:r>
            <w:r w:rsidR="000A41CA" w:rsidRPr="009C4E4B">
              <w:rPr>
                <w:rStyle w:val="Lienhypertexte"/>
              </w:rPr>
              <w:t>Les serveurs : infrastructures de stockage et de gestion des données</w:t>
            </w:r>
            <w:r w:rsidR="000A41CA" w:rsidRPr="009C4E4B">
              <w:rPr>
                <w:webHidden/>
              </w:rPr>
              <w:tab/>
            </w:r>
            <w:r w:rsidR="000A41CA" w:rsidRPr="009C4E4B">
              <w:rPr>
                <w:b/>
                <w:bCs/>
                <w:webHidden/>
              </w:rPr>
              <w:fldChar w:fldCharType="begin"/>
            </w:r>
            <w:r w:rsidR="000A41CA" w:rsidRPr="009C4E4B">
              <w:rPr>
                <w:webHidden/>
              </w:rPr>
              <w:instrText xml:space="preserve"> PAGEREF _Toc200755973 \h </w:instrText>
            </w:r>
            <w:r w:rsidR="000A41CA" w:rsidRPr="009C4E4B">
              <w:rPr>
                <w:b/>
                <w:bCs/>
                <w:webHidden/>
              </w:rPr>
            </w:r>
            <w:r w:rsidR="000A41CA" w:rsidRPr="009C4E4B">
              <w:rPr>
                <w:b/>
                <w:bCs/>
                <w:webHidden/>
              </w:rPr>
              <w:fldChar w:fldCharType="separate"/>
            </w:r>
            <w:r w:rsidR="000A41CA" w:rsidRPr="009C4E4B">
              <w:rPr>
                <w:webHidden/>
              </w:rPr>
              <w:t>91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4" w:history="1">
            <w:r w:rsidR="000A41CA" w:rsidRPr="009C4E4B">
              <w:rPr>
                <w:rStyle w:val="Lienhypertexte"/>
              </w:rPr>
              <w:t>2.3.2.</w:t>
            </w:r>
            <w:r w:rsidR="00882F77" w:rsidRPr="009C4E4B">
              <w:rPr>
                <w:rFonts w:eastAsiaTheme="minorEastAsia"/>
                <w:kern w:val="2"/>
                <w:lang w:val="en-US" w:eastAsia="fr-FR"/>
                <w14:ligatures w14:val="standardContextual"/>
              </w:rPr>
              <w:t xml:space="preserve"> </w:t>
            </w:r>
            <w:r w:rsidR="000A41CA" w:rsidRPr="009C4E4B">
              <w:rPr>
                <w:rStyle w:val="Lienhypertexte"/>
              </w:rPr>
              <w:t>Les applications mobiles : un canal de communication interactif</w:t>
            </w:r>
            <w:r w:rsidR="000A41CA" w:rsidRPr="009C4E4B">
              <w:rPr>
                <w:webHidden/>
              </w:rPr>
              <w:tab/>
            </w:r>
            <w:r w:rsidR="000A41CA" w:rsidRPr="009C4E4B">
              <w:rPr>
                <w:b/>
                <w:bCs/>
                <w:webHidden/>
              </w:rPr>
              <w:fldChar w:fldCharType="begin"/>
            </w:r>
            <w:r w:rsidR="000A41CA" w:rsidRPr="009C4E4B">
              <w:rPr>
                <w:webHidden/>
              </w:rPr>
              <w:instrText xml:space="preserve"> PAGEREF _Toc200755974 \h </w:instrText>
            </w:r>
            <w:r w:rsidR="000A41CA" w:rsidRPr="009C4E4B">
              <w:rPr>
                <w:b/>
                <w:bCs/>
                <w:webHidden/>
              </w:rPr>
            </w:r>
            <w:r w:rsidR="000A41CA" w:rsidRPr="009C4E4B">
              <w:rPr>
                <w:b/>
                <w:bCs/>
                <w:webHidden/>
              </w:rPr>
              <w:fldChar w:fldCharType="separate"/>
            </w:r>
            <w:r w:rsidR="000A41CA" w:rsidRPr="009C4E4B">
              <w:rPr>
                <w:webHidden/>
              </w:rPr>
              <w:t>92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5" w:history="1">
            <w:r w:rsidR="000A41CA" w:rsidRPr="009C4E4B">
              <w:rPr>
                <w:rStyle w:val="Lienhypertexte"/>
              </w:rPr>
              <w:t>2.3.3.</w:t>
            </w:r>
            <w:r w:rsidR="00882F77" w:rsidRPr="009C4E4B">
              <w:rPr>
                <w:rFonts w:eastAsiaTheme="minorEastAsia"/>
                <w:kern w:val="2"/>
                <w:lang w:val="en-US" w:eastAsia="fr-FR"/>
                <w14:ligatures w14:val="standardContextual"/>
              </w:rPr>
              <w:t xml:space="preserve"> </w:t>
            </w:r>
            <w:r w:rsidR="000A41CA" w:rsidRPr="009C4E4B">
              <w:rPr>
                <w:rStyle w:val="Lienhypertexte"/>
              </w:rPr>
              <w:t>Newsletters et landing pages : des leviers du marketing digital</w:t>
            </w:r>
            <w:r w:rsidR="000A41CA" w:rsidRPr="009C4E4B">
              <w:rPr>
                <w:webHidden/>
              </w:rPr>
              <w:tab/>
            </w:r>
            <w:r w:rsidR="000A41CA" w:rsidRPr="009C4E4B">
              <w:rPr>
                <w:b/>
                <w:bCs/>
                <w:webHidden/>
              </w:rPr>
              <w:fldChar w:fldCharType="begin"/>
            </w:r>
            <w:r w:rsidR="000A41CA" w:rsidRPr="009C4E4B">
              <w:rPr>
                <w:webHidden/>
              </w:rPr>
              <w:instrText xml:space="preserve"> PAGEREF _Toc200755975 \h </w:instrText>
            </w:r>
            <w:r w:rsidR="000A41CA" w:rsidRPr="009C4E4B">
              <w:rPr>
                <w:b/>
                <w:bCs/>
                <w:webHidden/>
              </w:rPr>
            </w:r>
            <w:r w:rsidR="000A41CA" w:rsidRPr="009C4E4B">
              <w:rPr>
                <w:b/>
                <w:bCs/>
                <w:webHidden/>
              </w:rPr>
              <w:fldChar w:fldCharType="separate"/>
            </w:r>
            <w:r w:rsidR="000A41CA" w:rsidRPr="009C4E4B">
              <w:rPr>
                <w:webHidden/>
              </w:rPr>
              <w:t>95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6" w:history="1">
            <w:r w:rsidR="000A41CA" w:rsidRPr="009C4E4B">
              <w:rPr>
                <w:rStyle w:val="Lienhypertexte"/>
              </w:rPr>
              <w:t>2.3.4.</w:t>
            </w:r>
            <w:r w:rsidR="00882F77" w:rsidRPr="009C4E4B">
              <w:rPr>
                <w:rFonts w:eastAsiaTheme="minorEastAsia"/>
                <w:kern w:val="2"/>
                <w:lang w:val="en-US" w:eastAsia="fr-FR"/>
                <w14:ligatures w14:val="standardContextual"/>
              </w:rPr>
              <w:t xml:space="preserve"> </w:t>
            </w:r>
            <w:r w:rsidR="000A41CA" w:rsidRPr="009C4E4B">
              <w:rPr>
                <w:rStyle w:val="Lienhypertexte"/>
              </w:rPr>
              <w:t>Le marketing automation : l’automatisation des stratégies commerciales</w:t>
            </w:r>
            <w:r w:rsidR="000A41CA" w:rsidRPr="009C4E4B">
              <w:rPr>
                <w:webHidden/>
              </w:rPr>
              <w:tab/>
            </w:r>
            <w:r w:rsidR="000A41CA" w:rsidRPr="009C4E4B">
              <w:rPr>
                <w:b/>
                <w:bCs/>
                <w:webHidden/>
              </w:rPr>
              <w:fldChar w:fldCharType="begin"/>
            </w:r>
            <w:r w:rsidR="000A41CA" w:rsidRPr="009C4E4B">
              <w:rPr>
                <w:webHidden/>
              </w:rPr>
              <w:instrText xml:space="preserve"> PAGEREF _Toc200755976 \h </w:instrText>
            </w:r>
            <w:r w:rsidR="000A41CA" w:rsidRPr="009C4E4B">
              <w:rPr>
                <w:b/>
                <w:bCs/>
                <w:webHidden/>
              </w:rPr>
            </w:r>
            <w:r w:rsidR="000A41CA" w:rsidRPr="009C4E4B">
              <w:rPr>
                <w:b/>
                <w:bCs/>
                <w:webHidden/>
              </w:rPr>
              <w:fldChar w:fldCharType="separate"/>
            </w:r>
            <w:r w:rsidR="000A41CA" w:rsidRPr="009C4E4B">
              <w:rPr>
                <w:webHidden/>
              </w:rPr>
              <w:t>97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7" w:history="1">
            <w:r w:rsidR="000A41CA" w:rsidRPr="009C4E4B">
              <w:rPr>
                <w:rStyle w:val="Lienhypertexte"/>
              </w:rPr>
              <w:t>2.3.5.</w:t>
            </w:r>
            <w:r w:rsidR="00882F77" w:rsidRPr="009C4E4B">
              <w:rPr>
                <w:rFonts w:eastAsiaTheme="minorEastAsia"/>
                <w:kern w:val="2"/>
                <w:lang w:val="en-US" w:eastAsia="fr-FR"/>
                <w14:ligatures w14:val="standardContextual"/>
              </w:rPr>
              <w:t xml:space="preserve"> </w:t>
            </w:r>
            <w:r w:rsidR="000A41CA" w:rsidRPr="009C4E4B">
              <w:rPr>
                <w:rStyle w:val="Lienhypertexte"/>
              </w:rPr>
              <w:t>L’intranet et la GED : outils de communication et de gestion documentaire</w:t>
            </w:r>
            <w:r w:rsidR="000A41CA" w:rsidRPr="009C4E4B">
              <w:rPr>
                <w:webHidden/>
              </w:rPr>
              <w:tab/>
            </w:r>
            <w:r w:rsidR="000A41CA" w:rsidRPr="009C4E4B">
              <w:rPr>
                <w:b/>
                <w:bCs/>
                <w:webHidden/>
              </w:rPr>
              <w:fldChar w:fldCharType="begin"/>
            </w:r>
            <w:r w:rsidR="000A41CA" w:rsidRPr="009C4E4B">
              <w:rPr>
                <w:webHidden/>
              </w:rPr>
              <w:instrText xml:space="preserve"> PAGEREF _Toc200755977 \h </w:instrText>
            </w:r>
            <w:r w:rsidR="000A41CA" w:rsidRPr="009C4E4B">
              <w:rPr>
                <w:b/>
                <w:bCs/>
                <w:webHidden/>
              </w:rPr>
            </w:r>
            <w:r w:rsidR="000A41CA" w:rsidRPr="009C4E4B">
              <w:rPr>
                <w:b/>
                <w:bCs/>
                <w:webHidden/>
              </w:rPr>
              <w:fldChar w:fldCharType="separate"/>
            </w:r>
            <w:r w:rsidR="000A41CA" w:rsidRPr="009C4E4B">
              <w:rPr>
                <w:webHidden/>
              </w:rPr>
              <w:t>98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8" w:history="1">
            <w:r w:rsidR="000A41CA" w:rsidRPr="009C4E4B">
              <w:rPr>
                <w:rStyle w:val="Lienhypertexte"/>
              </w:rPr>
              <w:t>2.3.6.</w:t>
            </w:r>
            <w:r w:rsidR="00882F77" w:rsidRPr="009C4E4B">
              <w:rPr>
                <w:rFonts w:eastAsiaTheme="minorEastAsia"/>
                <w:kern w:val="2"/>
                <w:lang w:val="en-US" w:eastAsia="fr-FR"/>
                <w14:ligatures w14:val="standardContextual"/>
              </w:rPr>
              <w:t xml:space="preserve"> </w:t>
            </w:r>
            <w:r w:rsidR="000A41CA" w:rsidRPr="009C4E4B">
              <w:rPr>
                <w:rStyle w:val="Lienhypertexte"/>
              </w:rPr>
              <w:t>Les logiciels sur mesure : des outils adaptés aux exigences de l’entreprise</w:t>
            </w:r>
            <w:r w:rsidR="000A41CA" w:rsidRPr="009C4E4B">
              <w:rPr>
                <w:webHidden/>
              </w:rPr>
              <w:tab/>
            </w:r>
            <w:r w:rsidR="000A41CA" w:rsidRPr="009C4E4B">
              <w:rPr>
                <w:b/>
                <w:bCs/>
                <w:webHidden/>
              </w:rPr>
              <w:fldChar w:fldCharType="begin"/>
            </w:r>
            <w:r w:rsidR="000A41CA" w:rsidRPr="009C4E4B">
              <w:rPr>
                <w:webHidden/>
              </w:rPr>
              <w:instrText xml:space="preserve"> PAGEREF _Toc200755978 \h </w:instrText>
            </w:r>
            <w:r w:rsidR="000A41CA" w:rsidRPr="009C4E4B">
              <w:rPr>
                <w:b/>
                <w:bCs/>
                <w:webHidden/>
              </w:rPr>
            </w:r>
            <w:r w:rsidR="000A41CA" w:rsidRPr="009C4E4B">
              <w:rPr>
                <w:b/>
                <w:bCs/>
                <w:webHidden/>
              </w:rPr>
              <w:fldChar w:fldCharType="separate"/>
            </w:r>
            <w:r w:rsidR="000A41CA" w:rsidRPr="009C4E4B">
              <w:rPr>
                <w:webHidden/>
              </w:rPr>
              <w:t>99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79" w:history="1">
            <w:r w:rsidR="000A41CA" w:rsidRPr="009C4E4B">
              <w:rPr>
                <w:rStyle w:val="Lienhypertexte"/>
              </w:rPr>
              <w:t>2.3.7.</w:t>
            </w:r>
            <w:r w:rsidR="00882F77" w:rsidRPr="009C4E4B">
              <w:rPr>
                <w:rFonts w:eastAsiaTheme="minorEastAsia"/>
                <w:kern w:val="2"/>
                <w:lang w:val="en-US" w:eastAsia="fr-FR"/>
                <w14:ligatures w14:val="standardContextual"/>
              </w:rPr>
              <w:t xml:space="preserve"> </w:t>
            </w:r>
            <w:r w:rsidR="000A41CA" w:rsidRPr="009C4E4B">
              <w:rPr>
                <w:rStyle w:val="Lienhypertexte"/>
              </w:rPr>
              <w:t>L’intelligence artificielle : un levier d’innovation et d’automatisation</w:t>
            </w:r>
            <w:r w:rsidR="000A41CA" w:rsidRPr="009C4E4B">
              <w:rPr>
                <w:webHidden/>
              </w:rPr>
              <w:tab/>
            </w:r>
            <w:r w:rsidR="000A41CA" w:rsidRPr="009C4E4B">
              <w:rPr>
                <w:b/>
                <w:bCs/>
                <w:webHidden/>
              </w:rPr>
              <w:fldChar w:fldCharType="begin"/>
            </w:r>
            <w:r w:rsidR="000A41CA" w:rsidRPr="009C4E4B">
              <w:rPr>
                <w:webHidden/>
              </w:rPr>
              <w:instrText xml:space="preserve"> PAGEREF _Toc200755979 \h </w:instrText>
            </w:r>
            <w:r w:rsidR="000A41CA" w:rsidRPr="009C4E4B">
              <w:rPr>
                <w:b/>
                <w:bCs/>
                <w:webHidden/>
              </w:rPr>
            </w:r>
            <w:r w:rsidR="000A41CA" w:rsidRPr="009C4E4B">
              <w:rPr>
                <w:b/>
                <w:bCs/>
                <w:webHidden/>
              </w:rPr>
              <w:fldChar w:fldCharType="separate"/>
            </w:r>
            <w:r w:rsidR="000A41CA" w:rsidRPr="009C4E4B">
              <w:rPr>
                <w:webHidden/>
              </w:rPr>
              <w:t>99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80" w:history="1">
            <w:r w:rsidR="000A41CA" w:rsidRPr="009C4E4B">
              <w:rPr>
                <w:rStyle w:val="Lienhypertexte"/>
              </w:rPr>
              <w:t>2.3.8.</w:t>
            </w:r>
            <w:r w:rsidR="00882F77" w:rsidRPr="009C4E4B">
              <w:rPr>
                <w:rFonts w:eastAsiaTheme="minorEastAsia"/>
                <w:kern w:val="2"/>
                <w:lang w:val="en-US" w:eastAsia="fr-FR"/>
                <w14:ligatures w14:val="standardContextual"/>
              </w:rPr>
              <w:t xml:space="preserve"> </w:t>
            </w:r>
            <w:r w:rsidR="000A41CA" w:rsidRPr="009C4E4B">
              <w:rPr>
                <w:rStyle w:val="Lienhypertexte"/>
              </w:rPr>
              <w:t>La Business Intelligence : l’exploitation des données pour une prise de décision stratégique</w:t>
            </w:r>
            <w:r w:rsidR="000A41CA" w:rsidRPr="009C4E4B">
              <w:rPr>
                <w:webHidden/>
              </w:rPr>
              <w:tab/>
            </w:r>
            <w:r w:rsidR="000A41CA" w:rsidRPr="009C4E4B">
              <w:rPr>
                <w:b/>
                <w:bCs/>
                <w:webHidden/>
              </w:rPr>
              <w:fldChar w:fldCharType="begin"/>
            </w:r>
            <w:r w:rsidR="000A41CA" w:rsidRPr="009C4E4B">
              <w:rPr>
                <w:webHidden/>
              </w:rPr>
              <w:instrText xml:space="preserve"> PAGEREF _Toc200755980 \h </w:instrText>
            </w:r>
            <w:r w:rsidR="000A41CA" w:rsidRPr="009C4E4B">
              <w:rPr>
                <w:b/>
                <w:bCs/>
                <w:webHidden/>
              </w:rPr>
            </w:r>
            <w:r w:rsidR="000A41CA" w:rsidRPr="009C4E4B">
              <w:rPr>
                <w:b/>
                <w:bCs/>
                <w:webHidden/>
              </w:rPr>
              <w:fldChar w:fldCharType="separate"/>
            </w:r>
            <w:r w:rsidR="000A41CA" w:rsidRPr="009C4E4B">
              <w:rPr>
                <w:webHidden/>
              </w:rPr>
              <w:t>99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81" w:history="1">
            <w:r w:rsidR="000A41CA" w:rsidRPr="009C4E4B">
              <w:rPr>
                <w:rStyle w:val="Lienhypertexte"/>
              </w:rPr>
              <w:t>2.4.</w:t>
            </w:r>
            <w:r w:rsidR="00882F77" w:rsidRPr="009C4E4B">
              <w:rPr>
                <w:rFonts w:eastAsiaTheme="minorEastAsia"/>
                <w:kern w:val="2"/>
                <w:lang w:val="en-US" w:eastAsia="fr-FR"/>
                <w14:ligatures w14:val="standardContextual"/>
              </w:rPr>
              <w:t xml:space="preserve"> </w:t>
            </w:r>
            <w:r w:rsidR="000A41CA" w:rsidRPr="009C4E4B">
              <w:rPr>
                <w:rStyle w:val="Lienhypertexte"/>
              </w:rPr>
              <w:t>L'importance de la digitalisation au sein des entreprises</w:t>
            </w:r>
            <w:r w:rsidR="000A41CA" w:rsidRPr="009C4E4B">
              <w:rPr>
                <w:webHidden/>
              </w:rPr>
              <w:tab/>
            </w:r>
            <w:r w:rsidR="000A41CA" w:rsidRPr="009C4E4B">
              <w:rPr>
                <w:b/>
                <w:bCs/>
                <w:webHidden/>
              </w:rPr>
              <w:fldChar w:fldCharType="begin"/>
            </w:r>
            <w:r w:rsidR="000A41CA" w:rsidRPr="009C4E4B">
              <w:rPr>
                <w:webHidden/>
              </w:rPr>
              <w:instrText xml:space="preserve"> PAGEREF _Toc200755981 \h </w:instrText>
            </w:r>
            <w:r w:rsidR="000A41CA" w:rsidRPr="009C4E4B">
              <w:rPr>
                <w:b/>
                <w:bCs/>
                <w:webHidden/>
              </w:rPr>
            </w:r>
            <w:r w:rsidR="000A41CA" w:rsidRPr="009C4E4B">
              <w:rPr>
                <w:b/>
                <w:bCs/>
                <w:webHidden/>
              </w:rPr>
              <w:fldChar w:fldCharType="separate"/>
            </w:r>
            <w:r w:rsidR="000A41CA" w:rsidRPr="009C4E4B">
              <w:rPr>
                <w:webHidden/>
              </w:rPr>
              <w:t>100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82" w:history="1">
            <w:r w:rsidR="000A41CA" w:rsidRPr="009C4E4B">
              <w:rPr>
                <w:rStyle w:val="Lienhypertexte"/>
              </w:rPr>
              <w:t>2.5.</w:t>
            </w:r>
            <w:r w:rsidR="00882F77" w:rsidRPr="009C4E4B">
              <w:rPr>
                <w:rFonts w:eastAsiaTheme="minorEastAsia"/>
                <w:kern w:val="2"/>
                <w:lang w:val="en-US" w:eastAsia="fr-FR"/>
                <w14:ligatures w14:val="standardContextual"/>
              </w:rPr>
              <w:t xml:space="preserve"> </w:t>
            </w:r>
            <w:r w:rsidR="000A41CA" w:rsidRPr="009C4E4B">
              <w:rPr>
                <w:rStyle w:val="Lienhypertexte"/>
              </w:rPr>
              <w:t>Comment évaluer l’Intégration de la Digitalisation dans une Entreprise ?</w:t>
            </w:r>
            <w:r w:rsidR="000A41CA" w:rsidRPr="009C4E4B">
              <w:rPr>
                <w:webHidden/>
              </w:rPr>
              <w:tab/>
            </w:r>
            <w:r w:rsidR="000A41CA" w:rsidRPr="009C4E4B">
              <w:rPr>
                <w:b/>
                <w:bCs/>
                <w:webHidden/>
              </w:rPr>
              <w:fldChar w:fldCharType="begin"/>
            </w:r>
            <w:r w:rsidR="000A41CA" w:rsidRPr="009C4E4B">
              <w:rPr>
                <w:webHidden/>
              </w:rPr>
              <w:instrText xml:space="preserve"> PAGEREF _Toc200755982 \h </w:instrText>
            </w:r>
            <w:r w:rsidR="000A41CA" w:rsidRPr="009C4E4B">
              <w:rPr>
                <w:b/>
                <w:bCs/>
                <w:webHidden/>
              </w:rPr>
            </w:r>
            <w:r w:rsidR="000A41CA" w:rsidRPr="009C4E4B">
              <w:rPr>
                <w:b/>
                <w:bCs/>
                <w:webHidden/>
              </w:rPr>
              <w:fldChar w:fldCharType="separate"/>
            </w:r>
            <w:r w:rsidR="000A41CA" w:rsidRPr="009C4E4B">
              <w:rPr>
                <w:webHidden/>
              </w:rPr>
              <w:t>101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83" w:history="1">
            <w:r w:rsidR="000A41CA" w:rsidRPr="009C4E4B">
              <w:rPr>
                <w:rStyle w:val="Lienhypertexte"/>
              </w:rPr>
              <w:t>2.6.</w:t>
            </w:r>
            <w:r w:rsidR="00882F77" w:rsidRPr="009C4E4B">
              <w:rPr>
                <w:rFonts w:eastAsiaTheme="minorEastAsia"/>
                <w:kern w:val="2"/>
                <w:lang w:val="en-US" w:eastAsia="fr-FR"/>
                <w14:ligatures w14:val="standardContextual"/>
              </w:rPr>
              <w:t xml:space="preserve"> </w:t>
            </w:r>
            <w:r w:rsidR="000A41CA" w:rsidRPr="009C4E4B">
              <w:rPr>
                <w:rStyle w:val="Lienhypertexte"/>
              </w:rPr>
              <w:t>Les enjeux de la digitalisation</w:t>
            </w:r>
            <w:r w:rsidR="000A41CA" w:rsidRPr="009C4E4B">
              <w:rPr>
                <w:webHidden/>
              </w:rPr>
              <w:tab/>
            </w:r>
            <w:r w:rsidR="000A41CA" w:rsidRPr="009C4E4B">
              <w:rPr>
                <w:b/>
                <w:bCs/>
                <w:webHidden/>
              </w:rPr>
              <w:fldChar w:fldCharType="begin"/>
            </w:r>
            <w:r w:rsidR="000A41CA" w:rsidRPr="009C4E4B">
              <w:rPr>
                <w:webHidden/>
              </w:rPr>
              <w:instrText xml:space="preserve"> PAGEREF _Toc200755983 \h </w:instrText>
            </w:r>
            <w:r w:rsidR="000A41CA" w:rsidRPr="009C4E4B">
              <w:rPr>
                <w:b/>
                <w:bCs/>
                <w:webHidden/>
              </w:rPr>
            </w:r>
            <w:r w:rsidR="000A41CA" w:rsidRPr="009C4E4B">
              <w:rPr>
                <w:b/>
                <w:bCs/>
                <w:webHidden/>
              </w:rPr>
              <w:fldChar w:fldCharType="separate"/>
            </w:r>
            <w:r w:rsidR="000A41CA" w:rsidRPr="009C4E4B">
              <w:rPr>
                <w:webHidden/>
              </w:rPr>
              <w:t>102</w:t>
            </w:r>
            <w:r w:rsidR="000A41CA" w:rsidRPr="009C4E4B">
              <w:rPr>
                <w:b/>
                <w:bCs/>
                <w:webHidden/>
              </w:rPr>
              <w:fldChar w:fldCharType="end"/>
            </w:r>
          </w:hyperlink>
        </w:p>
        <w:p w:rsidR="000A41CA" w:rsidRPr="00B26299" w:rsidRDefault="00000000" w:rsidP="00B26299">
          <w:pPr>
            <w:pStyle w:val="TM3"/>
            <w:rPr>
              <w:rFonts w:eastAsiaTheme="minorEastAsia"/>
              <w:kern w:val="2"/>
              <w:lang w:val="fr-DZ" w:eastAsia="fr-FR"/>
              <w14:ligatures w14:val="standardContextual"/>
            </w:rPr>
          </w:pPr>
          <w:hyperlink w:anchor="_Toc200755984" w:history="1">
            <w:r w:rsidR="000A41CA" w:rsidRPr="00B26299">
              <w:rPr>
                <w:rStyle w:val="Lienhypertexte"/>
                <w:b/>
                <w:bCs/>
              </w:rPr>
              <w:t>Section 2 : La digitalisation de la gestion des ressources humaines</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_Toc200755984 \h </w:instrText>
            </w:r>
            <w:r w:rsidR="000A41CA" w:rsidRPr="00B26299">
              <w:rPr>
                <w:b/>
                <w:bCs/>
                <w:webHidden/>
              </w:rPr>
            </w:r>
            <w:r w:rsidR="000A41CA" w:rsidRPr="00B26299">
              <w:rPr>
                <w:b/>
                <w:bCs/>
                <w:webHidden/>
              </w:rPr>
              <w:fldChar w:fldCharType="separate"/>
            </w:r>
            <w:r w:rsidR="000A41CA" w:rsidRPr="00B26299">
              <w:rPr>
                <w:b/>
                <w:bCs/>
                <w:webHidden/>
              </w:rPr>
              <w:t>106</w:t>
            </w:r>
            <w:r w:rsidR="000A41CA" w:rsidRPr="00B26299">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85" w:history="1">
            <w:r w:rsidR="000A41CA" w:rsidRPr="009C4E4B">
              <w:rPr>
                <w:rStyle w:val="Lienhypertexte"/>
              </w:rPr>
              <w:t>1.</w:t>
            </w:r>
            <w:r w:rsidR="00882F77" w:rsidRPr="009C4E4B">
              <w:rPr>
                <w:rFonts w:eastAsiaTheme="minorEastAsia"/>
                <w:kern w:val="2"/>
                <w:lang w:val="en-US" w:eastAsia="fr-FR"/>
                <w14:ligatures w14:val="standardContextual"/>
              </w:rPr>
              <w:t xml:space="preserve"> </w:t>
            </w:r>
            <w:r w:rsidR="000A41CA" w:rsidRPr="009C4E4B">
              <w:rPr>
                <w:rStyle w:val="Lienhypertexte"/>
              </w:rPr>
              <w:t>Définition de la digitalisation de la gestion des ressources humaines</w:t>
            </w:r>
            <w:r w:rsidR="000A41CA" w:rsidRPr="009C4E4B">
              <w:rPr>
                <w:webHidden/>
              </w:rPr>
              <w:tab/>
            </w:r>
            <w:r w:rsidR="000A41CA" w:rsidRPr="009C4E4B">
              <w:rPr>
                <w:b/>
                <w:bCs/>
                <w:webHidden/>
              </w:rPr>
              <w:fldChar w:fldCharType="begin"/>
            </w:r>
            <w:r w:rsidR="000A41CA" w:rsidRPr="009C4E4B">
              <w:rPr>
                <w:webHidden/>
              </w:rPr>
              <w:instrText xml:space="preserve"> PAGEREF _Toc200755985 \h </w:instrText>
            </w:r>
            <w:r w:rsidR="000A41CA" w:rsidRPr="009C4E4B">
              <w:rPr>
                <w:b/>
                <w:bCs/>
                <w:webHidden/>
              </w:rPr>
            </w:r>
            <w:r w:rsidR="000A41CA" w:rsidRPr="009C4E4B">
              <w:rPr>
                <w:b/>
                <w:bCs/>
                <w:webHidden/>
              </w:rPr>
              <w:fldChar w:fldCharType="separate"/>
            </w:r>
            <w:r w:rsidR="000A41CA" w:rsidRPr="009C4E4B">
              <w:rPr>
                <w:webHidden/>
              </w:rPr>
              <w:t>106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86" w:history="1">
            <w:r w:rsidR="000A41CA" w:rsidRPr="009C4E4B">
              <w:rPr>
                <w:rStyle w:val="Lienhypertexte"/>
              </w:rPr>
              <w:t>2.</w:t>
            </w:r>
            <w:r w:rsidR="00882F77" w:rsidRPr="009C4E4B">
              <w:rPr>
                <w:rFonts w:eastAsiaTheme="minorEastAsia"/>
                <w:kern w:val="2"/>
                <w:lang w:val="en-US" w:eastAsia="fr-FR"/>
                <w14:ligatures w14:val="standardContextual"/>
              </w:rPr>
              <w:t xml:space="preserve"> </w:t>
            </w:r>
            <w:r w:rsidR="000A41CA" w:rsidRPr="009C4E4B">
              <w:rPr>
                <w:rStyle w:val="Lienhypertexte"/>
              </w:rPr>
              <w:t>Comparaison entre la GRH traditionnelle et la digitalisation de la GRH</w:t>
            </w:r>
            <w:r w:rsidR="000A41CA" w:rsidRPr="009C4E4B">
              <w:rPr>
                <w:webHidden/>
              </w:rPr>
              <w:tab/>
            </w:r>
            <w:r w:rsidR="000A41CA" w:rsidRPr="009C4E4B">
              <w:rPr>
                <w:b/>
                <w:bCs/>
                <w:webHidden/>
              </w:rPr>
              <w:fldChar w:fldCharType="begin"/>
            </w:r>
            <w:r w:rsidR="000A41CA" w:rsidRPr="009C4E4B">
              <w:rPr>
                <w:webHidden/>
              </w:rPr>
              <w:instrText xml:space="preserve"> PAGEREF _Toc200755986 \h </w:instrText>
            </w:r>
            <w:r w:rsidR="000A41CA" w:rsidRPr="009C4E4B">
              <w:rPr>
                <w:b/>
                <w:bCs/>
                <w:webHidden/>
              </w:rPr>
            </w:r>
            <w:r w:rsidR="000A41CA" w:rsidRPr="009C4E4B">
              <w:rPr>
                <w:b/>
                <w:bCs/>
                <w:webHidden/>
              </w:rPr>
              <w:fldChar w:fldCharType="separate"/>
            </w:r>
            <w:r w:rsidR="000A41CA" w:rsidRPr="009C4E4B">
              <w:rPr>
                <w:webHidden/>
              </w:rPr>
              <w:t>107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87" w:history="1">
            <w:r w:rsidR="000A41CA" w:rsidRPr="009C4E4B">
              <w:rPr>
                <w:rStyle w:val="Lienhypertexte"/>
              </w:rPr>
              <w:t>3.</w:t>
            </w:r>
            <w:r w:rsidR="00882F77" w:rsidRPr="009C4E4B">
              <w:rPr>
                <w:rFonts w:eastAsiaTheme="minorEastAsia"/>
                <w:kern w:val="2"/>
                <w:lang w:val="en-US" w:eastAsia="fr-FR"/>
                <w14:ligatures w14:val="standardContextual"/>
              </w:rPr>
              <w:t xml:space="preserve"> </w:t>
            </w:r>
            <w:r w:rsidR="000A41CA" w:rsidRPr="009C4E4B">
              <w:rPr>
                <w:rStyle w:val="Lienhypertexte"/>
              </w:rPr>
              <w:t>Les domaines des ressources humaines en cours de digitalisation</w:t>
            </w:r>
            <w:r w:rsidR="000A41CA" w:rsidRPr="009C4E4B">
              <w:rPr>
                <w:webHidden/>
              </w:rPr>
              <w:tab/>
            </w:r>
            <w:r w:rsidR="000A41CA" w:rsidRPr="009C4E4B">
              <w:rPr>
                <w:b/>
                <w:bCs/>
                <w:webHidden/>
              </w:rPr>
              <w:fldChar w:fldCharType="begin"/>
            </w:r>
            <w:r w:rsidR="000A41CA" w:rsidRPr="009C4E4B">
              <w:rPr>
                <w:webHidden/>
              </w:rPr>
              <w:instrText xml:space="preserve"> PAGEREF _Toc200755987 \h </w:instrText>
            </w:r>
            <w:r w:rsidR="000A41CA" w:rsidRPr="009C4E4B">
              <w:rPr>
                <w:b/>
                <w:bCs/>
                <w:webHidden/>
              </w:rPr>
            </w:r>
            <w:r w:rsidR="000A41CA" w:rsidRPr="009C4E4B">
              <w:rPr>
                <w:b/>
                <w:bCs/>
                <w:webHidden/>
              </w:rPr>
              <w:fldChar w:fldCharType="separate"/>
            </w:r>
            <w:r w:rsidR="000A41CA" w:rsidRPr="009C4E4B">
              <w:rPr>
                <w:webHidden/>
              </w:rPr>
              <w:t>108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89" w:history="1">
            <w:r w:rsidR="000A41CA" w:rsidRPr="009C4E4B">
              <w:rPr>
                <w:rStyle w:val="Lienhypertexte"/>
              </w:rPr>
              <w:t>3.1.</w:t>
            </w:r>
            <w:r w:rsidR="00882F77" w:rsidRPr="009C4E4B">
              <w:rPr>
                <w:rFonts w:eastAsiaTheme="minorEastAsia"/>
                <w:kern w:val="2"/>
                <w:lang w:val="en-US" w:eastAsia="fr-FR"/>
                <w14:ligatures w14:val="standardContextual"/>
              </w:rPr>
              <w:t xml:space="preserve"> </w:t>
            </w:r>
            <w:r w:rsidR="000A41CA" w:rsidRPr="009C4E4B">
              <w:rPr>
                <w:rStyle w:val="Lienhypertexte"/>
              </w:rPr>
              <w:t>La gestion des données : Un pilier de la digitalisation RH</w:t>
            </w:r>
            <w:r w:rsidR="000A41CA" w:rsidRPr="009C4E4B">
              <w:rPr>
                <w:webHidden/>
              </w:rPr>
              <w:tab/>
            </w:r>
            <w:r w:rsidR="000A41CA" w:rsidRPr="009C4E4B">
              <w:rPr>
                <w:b/>
                <w:bCs/>
                <w:webHidden/>
              </w:rPr>
              <w:fldChar w:fldCharType="begin"/>
            </w:r>
            <w:r w:rsidR="000A41CA" w:rsidRPr="009C4E4B">
              <w:rPr>
                <w:webHidden/>
              </w:rPr>
              <w:instrText xml:space="preserve"> PAGEREF _Toc200755989 \h </w:instrText>
            </w:r>
            <w:r w:rsidR="000A41CA" w:rsidRPr="009C4E4B">
              <w:rPr>
                <w:b/>
                <w:bCs/>
                <w:webHidden/>
              </w:rPr>
            </w:r>
            <w:r w:rsidR="000A41CA" w:rsidRPr="009C4E4B">
              <w:rPr>
                <w:b/>
                <w:bCs/>
                <w:webHidden/>
              </w:rPr>
              <w:fldChar w:fldCharType="separate"/>
            </w:r>
            <w:r w:rsidR="000A41CA" w:rsidRPr="009C4E4B">
              <w:rPr>
                <w:webHidden/>
              </w:rPr>
              <w:t>109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0" w:history="1">
            <w:r w:rsidR="000A41CA" w:rsidRPr="009C4E4B">
              <w:rPr>
                <w:rStyle w:val="Lienhypertexte"/>
              </w:rPr>
              <w:t>3.2.</w:t>
            </w:r>
            <w:r w:rsidR="00882F77" w:rsidRPr="009C4E4B">
              <w:rPr>
                <w:rFonts w:eastAsiaTheme="minorEastAsia"/>
                <w:kern w:val="2"/>
                <w:lang w:val="en-US" w:eastAsia="fr-FR"/>
                <w14:ligatures w14:val="standardContextual"/>
              </w:rPr>
              <w:t xml:space="preserve"> </w:t>
            </w:r>
            <w:r w:rsidR="000A41CA" w:rsidRPr="009C4E4B">
              <w:rPr>
                <w:rStyle w:val="Lienhypertexte"/>
              </w:rPr>
              <w:t>Le recrutement</w:t>
            </w:r>
            <w:r w:rsidR="000A41CA" w:rsidRPr="009C4E4B">
              <w:rPr>
                <w:webHidden/>
              </w:rPr>
              <w:tab/>
            </w:r>
            <w:r w:rsidR="000A41CA" w:rsidRPr="009C4E4B">
              <w:rPr>
                <w:b/>
                <w:bCs/>
                <w:webHidden/>
              </w:rPr>
              <w:fldChar w:fldCharType="begin"/>
            </w:r>
            <w:r w:rsidR="000A41CA" w:rsidRPr="009C4E4B">
              <w:rPr>
                <w:webHidden/>
              </w:rPr>
              <w:instrText xml:space="preserve"> PAGEREF _Toc200755990 \h </w:instrText>
            </w:r>
            <w:r w:rsidR="000A41CA" w:rsidRPr="009C4E4B">
              <w:rPr>
                <w:b/>
                <w:bCs/>
                <w:webHidden/>
              </w:rPr>
            </w:r>
            <w:r w:rsidR="000A41CA" w:rsidRPr="009C4E4B">
              <w:rPr>
                <w:b/>
                <w:bCs/>
                <w:webHidden/>
              </w:rPr>
              <w:fldChar w:fldCharType="separate"/>
            </w:r>
            <w:r w:rsidR="000A41CA" w:rsidRPr="009C4E4B">
              <w:rPr>
                <w:webHidden/>
              </w:rPr>
              <w:t>109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1" w:history="1">
            <w:r w:rsidR="000A41CA" w:rsidRPr="009C4E4B">
              <w:rPr>
                <w:rStyle w:val="Lienhypertexte"/>
              </w:rPr>
              <w:t>3.3.</w:t>
            </w:r>
            <w:r w:rsidR="00882F77" w:rsidRPr="009C4E4B">
              <w:rPr>
                <w:rFonts w:eastAsiaTheme="minorEastAsia"/>
                <w:kern w:val="2"/>
                <w:lang w:val="en-US" w:eastAsia="fr-FR"/>
                <w14:ligatures w14:val="standardContextual"/>
              </w:rPr>
              <w:t xml:space="preserve"> </w:t>
            </w:r>
            <w:r w:rsidR="000A41CA" w:rsidRPr="009C4E4B">
              <w:rPr>
                <w:rStyle w:val="Lienhypertexte"/>
              </w:rPr>
              <w:t>La formation</w:t>
            </w:r>
            <w:r w:rsidR="000A41CA" w:rsidRPr="009C4E4B">
              <w:rPr>
                <w:webHidden/>
              </w:rPr>
              <w:tab/>
            </w:r>
            <w:r w:rsidR="000A41CA" w:rsidRPr="009C4E4B">
              <w:rPr>
                <w:b/>
                <w:bCs/>
                <w:webHidden/>
              </w:rPr>
              <w:fldChar w:fldCharType="begin"/>
            </w:r>
            <w:r w:rsidR="000A41CA" w:rsidRPr="009C4E4B">
              <w:rPr>
                <w:webHidden/>
              </w:rPr>
              <w:instrText xml:space="preserve"> PAGEREF _Toc200755991 \h </w:instrText>
            </w:r>
            <w:r w:rsidR="000A41CA" w:rsidRPr="009C4E4B">
              <w:rPr>
                <w:b/>
                <w:bCs/>
                <w:webHidden/>
              </w:rPr>
            </w:r>
            <w:r w:rsidR="000A41CA" w:rsidRPr="009C4E4B">
              <w:rPr>
                <w:b/>
                <w:bCs/>
                <w:webHidden/>
              </w:rPr>
              <w:fldChar w:fldCharType="separate"/>
            </w:r>
            <w:r w:rsidR="000A41CA" w:rsidRPr="009C4E4B">
              <w:rPr>
                <w:webHidden/>
              </w:rPr>
              <w:t>109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2" w:history="1">
            <w:r w:rsidR="000A41CA" w:rsidRPr="009C4E4B">
              <w:rPr>
                <w:rStyle w:val="Lienhypertexte"/>
              </w:rPr>
              <w:t>4.</w:t>
            </w:r>
            <w:r w:rsidR="00882F77" w:rsidRPr="009C4E4B">
              <w:rPr>
                <w:rFonts w:eastAsiaTheme="minorEastAsia"/>
                <w:kern w:val="2"/>
                <w:lang w:val="en-US" w:eastAsia="fr-FR"/>
                <w14:ligatures w14:val="standardContextual"/>
              </w:rPr>
              <w:t xml:space="preserve"> </w:t>
            </w:r>
            <w:r w:rsidR="000A41CA" w:rsidRPr="009C4E4B">
              <w:rPr>
                <w:rStyle w:val="Lienhypertexte"/>
              </w:rPr>
              <w:t>Les outils de la digitalisation de la gestion des ressources humaines (GRH)</w:t>
            </w:r>
            <w:r w:rsidR="000A41CA" w:rsidRPr="009C4E4B">
              <w:rPr>
                <w:webHidden/>
              </w:rPr>
              <w:tab/>
            </w:r>
            <w:r w:rsidR="000A41CA" w:rsidRPr="009C4E4B">
              <w:rPr>
                <w:b/>
                <w:bCs/>
                <w:webHidden/>
              </w:rPr>
              <w:fldChar w:fldCharType="begin"/>
            </w:r>
            <w:r w:rsidR="000A41CA" w:rsidRPr="009C4E4B">
              <w:rPr>
                <w:webHidden/>
              </w:rPr>
              <w:instrText xml:space="preserve"> PAGEREF _Toc200755992 \h </w:instrText>
            </w:r>
            <w:r w:rsidR="000A41CA" w:rsidRPr="009C4E4B">
              <w:rPr>
                <w:b/>
                <w:bCs/>
                <w:webHidden/>
              </w:rPr>
            </w:r>
            <w:r w:rsidR="000A41CA" w:rsidRPr="009C4E4B">
              <w:rPr>
                <w:b/>
                <w:bCs/>
                <w:webHidden/>
              </w:rPr>
              <w:fldChar w:fldCharType="separate"/>
            </w:r>
            <w:r w:rsidR="000A41CA" w:rsidRPr="009C4E4B">
              <w:rPr>
                <w:webHidden/>
              </w:rPr>
              <w:t>109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3" w:history="1">
            <w:r w:rsidR="000A41CA" w:rsidRPr="009C4E4B">
              <w:rPr>
                <w:rStyle w:val="Lienhypertexte"/>
              </w:rPr>
              <w:t>4.1.</w:t>
            </w:r>
            <w:r w:rsidR="00882F77" w:rsidRPr="009C4E4B">
              <w:rPr>
                <w:rFonts w:eastAsiaTheme="minorEastAsia"/>
                <w:kern w:val="2"/>
                <w:lang w:val="en-US" w:eastAsia="fr-FR"/>
                <w14:ligatures w14:val="standardContextual"/>
              </w:rPr>
              <w:t xml:space="preserve"> </w:t>
            </w:r>
            <w:r w:rsidR="000A41CA" w:rsidRPr="009C4E4B">
              <w:rPr>
                <w:rStyle w:val="Lienhypertexte"/>
              </w:rPr>
              <w:t>Systèmes d’information des ressources humaines (SIRH)</w:t>
            </w:r>
            <w:r w:rsidR="000A41CA" w:rsidRPr="009C4E4B">
              <w:rPr>
                <w:webHidden/>
              </w:rPr>
              <w:tab/>
            </w:r>
            <w:r w:rsidR="000A41CA" w:rsidRPr="009C4E4B">
              <w:rPr>
                <w:b/>
                <w:bCs/>
                <w:webHidden/>
              </w:rPr>
              <w:fldChar w:fldCharType="begin"/>
            </w:r>
            <w:r w:rsidR="000A41CA" w:rsidRPr="009C4E4B">
              <w:rPr>
                <w:webHidden/>
              </w:rPr>
              <w:instrText xml:space="preserve"> PAGEREF _Toc200755993 \h </w:instrText>
            </w:r>
            <w:r w:rsidR="000A41CA" w:rsidRPr="009C4E4B">
              <w:rPr>
                <w:b/>
                <w:bCs/>
                <w:webHidden/>
              </w:rPr>
            </w:r>
            <w:r w:rsidR="000A41CA" w:rsidRPr="009C4E4B">
              <w:rPr>
                <w:b/>
                <w:bCs/>
                <w:webHidden/>
              </w:rPr>
              <w:fldChar w:fldCharType="separate"/>
            </w:r>
            <w:r w:rsidR="000A41CA" w:rsidRPr="009C4E4B">
              <w:rPr>
                <w:webHidden/>
              </w:rPr>
              <w:t>109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4" w:history="1">
            <w:r w:rsidR="000A41CA" w:rsidRPr="009C4E4B">
              <w:rPr>
                <w:rStyle w:val="Lienhypertexte"/>
              </w:rPr>
              <w:t>4.2.</w:t>
            </w:r>
            <w:r w:rsidR="00882F77" w:rsidRPr="009C4E4B">
              <w:rPr>
                <w:rFonts w:eastAsiaTheme="minorEastAsia"/>
                <w:kern w:val="2"/>
                <w:lang w:val="en-US" w:eastAsia="fr-FR"/>
                <w14:ligatures w14:val="standardContextual"/>
              </w:rPr>
              <w:t xml:space="preserve"> </w:t>
            </w:r>
            <w:r w:rsidR="000A41CA" w:rsidRPr="009C4E4B">
              <w:rPr>
                <w:rStyle w:val="Lienhypertexte"/>
              </w:rPr>
              <w:t>Plateformes de Formation Digitale et E-learning</w:t>
            </w:r>
            <w:r w:rsidR="000A41CA" w:rsidRPr="009C4E4B">
              <w:rPr>
                <w:webHidden/>
              </w:rPr>
              <w:tab/>
            </w:r>
            <w:r w:rsidR="000A41CA" w:rsidRPr="009C4E4B">
              <w:rPr>
                <w:b/>
                <w:bCs/>
                <w:webHidden/>
              </w:rPr>
              <w:fldChar w:fldCharType="begin"/>
            </w:r>
            <w:r w:rsidR="000A41CA" w:rsidRPr="009C4E4B">
              <w:rPr>
                <w:webHidden/>
              </w:rPr>
              <w:instrText xml:space="preserve"> PAGEREF _Toc200755994 \h </w:instrText>
            </w:r>
            <w:r w:rsidR="000A41CA" w:rsidRPr="009C4E4B">
              <w:rPr>
                <w:b/>
                <w:bCs/>
                <w:webHidden/>
              </w:rPr>
            </w:r>
            <w:r w:rsidR="000A41CA" w:rsidRPr="009C4E4B">
              <w:rPr>
                <w:b/>
                <w:bCs/>
                <w:webHidden/>
              </w:rPr>
              <w:fldChar w:fldCharType="separate"/>
            </w:r>
            <w:r w:rsidR="000A41CA" w:rsidRPr="009C4E4B">
              <w:rPr>
                <w:webHidden/>
              </w:rPr>
              <w:t>113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5" w:history="1">
            <w:r w:rsidR="000A41CA" w:rsidRPr="009C4E4B">
              <w:rPr>
                <w:rStyle w:val="Lienhypertexte"/>
              </w:rPr>
              <w:t>4.3.</w:t>
            </w:r>
            <w:r w:rsidR="00882F77" w:rsidRPr="009C4E4B">
              <w:rPr>
                <w:rFonts w:eastAsiaTheme="minorEastAsia"/>
                <w:kern w:val="2"/>
                <w:lang w:val="en-US" w:eastAsia="fr-FR"/>
                <w14:ligatures w14:val="standardContextual"/>
              </w:rPr>
              <w:t xml:space="preserve"> </w:t>
            </w:r>
            <w:r w:rsidR="000A41CA" w:rsidRPr="009C4E4B">
              <w:rPr>
                <w:rStyle w:val="Lienhypertexte"/>
              </w:rPr>
              <w:t>Outils de Suivi des Performances et des Compétences</w:t>
            </w:r>
            <w:r w:rsidR="000A41CA" w:rsidRPr="009C4E4B">
              <w:rPr>
                <w:webHidden/>
              </w:rPr>
              <w:tab/>
            </w:r>
            <w:r w:rsidR="000A41CA" w:rsidRPr="009C4E4B">
              <w:rPr>
                <w:b/>
                <w:bCs/>
                <w:webHidden/>
              </w:rPr>
              <w:fldChar w:fldCharType="begin"/>
            </w:r>
            <w:r w:rsidR="000A41CA" w:rsidRPr="009C4E4B">
              <w:rPr>
                <w:webHidden/>
              </w:rPr>
              <w:instrText xml:space="preserve"> PAGEREF _Toc200755995 \h </w:instrText>
            </w:r>
            <w:r w:rsidR="000A41CA" w:rsidRPr="009C4E4B">
              <w:rPr>
                <w:b/>
                <w:bCs/>
                <w:webHidden/>
              </w:rPr>
            </w:r>
            <w:r w:rsidR="000A41CA" w:rsidRPr="009C4E4B">
              <w:rPr>
                <w:b/>
                <w:bCs/>
                <w:webHidden/>
              </w:rPr>
              <w:fldChar w:fldCharType="separate"/>
            </w:r>
            <w:r w:rsidR="000A41CA" w:rsidRPr="009C4E4B">
              <w:rPr>
                <w:webHidden/>
              </w:rPr>
              <w:t>114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6" w:history="1">
            <w:r w:rsidR="000A41CA" w:rsidRPr="009C4E4B">
              <w:rPr>
                <w:rStyle w:val="Lienhypertexte"/>
              </w:rPr>
              <w:t>4.4.</w:t>
            </w:r>
            <w:r w:rsidR="00882F77" w:rsidRPr="009C4E4B">
              <w:rPr>
                <w:rFonts w:eastAsiaTheme="minorEastAsia"/>
                <w:kern w:val="2"/>
                <w:lang w:val="en-US" w:eastAsia="fr-FR"/>
                <w14:ligatures w14:val="standardContextual"/>
              </w:rPr>
              <w:t xml:space="preserve"> </w:t>
            </w:r>
            <w:r w:rsidR="000A41CA" w:rsidRPr="009C4E4B">
              <w:rPr>
                <w:rStyle w:val="Lienhypertexte"/>
              </w:rPr>
              <w:t>Outils de Communication et de Travail Collaboratif</w:t>
            </w:r>
            <w:r w:rsidR="000A41CA" w:rsidRPr="009C4E4B">
              <w:rPr>
                <w:webHidden/>
              </w:rPr>
              <w:tab/>
            </w:r>
            <w:r w:rsidR="000A41CA" w:rsidRPr="009C4E4B">
              <w:rPr>
                <w:b/>
                <w:bCs/>
                <w:webHidden/>
              </w:rPr>
              <w:fldChar w:fldCharType="begin"/>
            </w:r>
            <w:r w:rsidR="000A41CA" w:rsidRPr="009C4E4B">
              <w:rPr>
                <w:webHidden/>
              </w:rPr>
              <w:instrText xml:space="preserve"> PAGEREF _Toc200755996 \h </w:instrText>
            </w:r>
            <w:r w:rsidR="000A41CA" w:rsidRPr="009C4E4B">
              <w:rPr>
                <w:b/>
                <w:bCs/>
                <w:webHidden/>
              </w:rPr>
            </w:r>
            <w:r w:rsidR="000A41CA" w:rsidRPr="009C4E4B">
              <w:rPr>
                <w:b/>
                <w:bCs/>
                <w:webHidden/>
              </w:rPr>
              <w:fldChar w:fldCharType="separate"/>
            </w:r>
            <w:r w:rsidR="000A41CA" w:rsidRPr="009C4E4B">
              <w:rPr>
                <w:webHidden/>
              </w:rPr>
              <w:t>115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7" w:history="1">
            <w:r w:rsidR="000A41CA" w:rsidRPr="009C4E4B">
              <w:rPr>
                <w:rStyle w:val="Lienhypertexte"/>
              </w:rPr>
              <w:t>4.5.</w:t>
            </w:r>
            <w:r w:rsidR="00882F77" w:rsidRPr="009C4E4B">
              <w:rPr>
                <w:rFonts w:eastAsiaTheme="minorEastAsia"/>
                <w:kern w:val="2"/>
                <w:lang w:val="en-US" w:eastAsia="fr-FR"/>
                <w14:ligatures w14:val="standardContextual"/>
              </w:rPr>
              <w:t xml:space="preserve"> </w:t>
            </w:r>
            <w:r w:rsidR="000A41CA" w:rsidRPr="009C4E4B">
              <w:rPr>
                <w:rStyle w:val="Lienhypertexte"/>
              </w:rPr>
              <w:t>Outils de Dématérialisation et de Signature Électronique</w:t>
            </w:r>
            <w:r w:rsidR="000A41CA" w:rsidRPr="009C4E4B">
              <w:rPr>
                <w:webHidden/>
              </w:rPr>
              <w:tab/>
            </w:r>
            <w:r w:rsidR="000A41CA" w:rsidRPr="009C4E4B">
              <w:rPr>
                <w:b/>
                <w:bCs/>
                <w:webHidden/>
              </w:rPr>
              <w:fldChar w:fldCharType="begin"/>
            </w:r>
            <w:r w:rsidR="000A41CA" w:rsidRPr="009C4E4B">
              <w:rPr>
                <w:webHidden/>
              </w:rPr>
              <w:instrText xml:space="preserve"> PAGEREF _Toc200755997 \h </w:instrText>
            </w:r>
            <w:r w:rsidR="000A41CA" w:rsidRPr="009C4E4B">
              <w:rPr>
                <w:b/>
                <w:bCs/>
                <w:webHidden/>
              </w:rPr>
            </w:r>
            <w:r w:rsidR="000A41CA" w:rsidRPr="009C4E4B">
              <w:rPr>
                <w:b/>
                <w:bCs/>
                <w:webHidden/>
              </w:rPr>
              <w:fldChar w:fldCharType="separate"/>
            </w:r>
            <w:r w:rsidR="000A41CA" w:rsidRPr="009C4E4B">
              <w:rPr>
                <w:webHidden/>
              </w:rPr>
              <w:t>116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8" w:history="1">
            <w:r w:rsidR="000A41CA" w:rsidRPr="009C4E4B">
              <w:rPr>
                <w:rStyle w:val="Lienhypertexte"/>
              </w:rPr>
              <w:t>4.6.</w:t>
            </w:r>
            <w:r w:rsidR="00882F77" w:rsidRPr="009C4E4B">
              <w:rPr>
                <w:rFonts w:eastAsiaTheme="minorEastAsia"/>
                <w:kern w:val="2"/>
                <w:lang w:val="en-US" w:eastAsia="fr-FR"/>
                <w14:ligatures w14:val="standardContextual"/>
              </w:rPr>
              <w:t xml:space="preserve"> </w:t>
            </w:r>
            <w:r w:rsidR="000A41CA" w:rsidRPr="009C4E4B">
              <w:rPr>
                <w:rStyle w:val="Lienhypertexte"/>
              </w:rPr>
              <w:t>Automatisation et Intelligence Artificielle (IA) dans les RH</w:t>
            </w:r>
            <w:r w:rsidR="000A41CA" w:rsidRPr="009C4E4B">
              <w:rPr>
                <w:webHidden/>
              </w:rPr>
              <w:tab/>
            </w:r>
            <w:r w:rsidR="000A41CA" w:rsidRPr="009C4E4B">
              <w:rPr>
                <w:b/>
                <w:bCs/>
                <w:webHidden/>
              </w:rPr>
              <w:fldChar w:fldCharType="begin"/>
            </w:r>
            <w:r w:rsidR="000A41CA" w:rsidRPr="009C4E4B">
              <w:rPr>
                <w:webHidden/>
              </w:rPr>
              <w:instrText xml:space="preserve"> PAGEREF _Toc200755998 \h </w:instrText>
            </w:r>
            <w:r w:rsidR="000A41CA" w:rsidRPr="009C4E4B">
              <w:rPr>
                <w:b/>
                <w:bCs/>
                <w:webHidden/>
              </w:rPr>
            </w:r>
            <w:r w:rsidR="000A41CA" w:rsidRPr="009C4E4B">
              <w:rPr>
                <w:b/>
                <w:bCs/>
                <w:webHidden/>
              </w:rPr>
              <w:fldChar w:fldCharType="separate"/>
            </w:r>
            <w:r w:rsidR="000A41CA" w:rsidRPr="009C4E4B">
              <w:rPr>
                <w:webHidden/>
              </w:rPr>
              <w:t>117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5999" w:history="1">
            <w:r w:rsidR="000A41CA" w:rsidRPr="009C4E4B">
              <w:rPr>
                <w:rStyle w:val="Lienhypertexte"/>
              </w:rPr>
              <w:t>4.7.</w:t>
            </w:r>
            <w:r w:rsidR="00882F77" w:rsidRPr="009C4E4B">
              <w:rPr>
                <w:rFonts w:eastAsiaTheme="minorEastAsia"/>
                <w:kern w:val="2"/>
                <w:lang w:val="en-US" w:eastAsia="fr-FR"/>
                <w14:ligatures w14:val="standardContextual"/>
              </w:rPr>
              <w:t xml:space="preserve"> </w:t>
            </w:r>
            <w:r w:rsidR="000A41CA" w:rsidRPr="009C4E4B">
              <w:rPr>
                <w:rStyle w:val="Lienhypertexte"/>
              </w:rPr>
              <w:t>Les plateformes sociales internes</w:t>
            </w:r>
            <w:r w:rsidR="000A41CA" w:rsidRPr="009C4E4B">
              <w:rPr>
                <w:webHidden/>
              </w:rPr>
              <w:tab/>
            </w:r>
            <w:r w:rsidR="000A41CA" w:rsidRPr="009C4E4B">
              <w:rPr>
                <w:b/>
                <w:bCs/>
                <w:webHidden/>
              </w:rPr>
              <w:fldChar w:fldCharType="begin"/>
            </w:r>
            <w:r w:rsidR="000A41CA" w:rsidRPr="009C4E4B">
              <w:rPr>
                <w:webHidden/>
              </w:rPr>
              <w:instrText xml:space="preserve"> PAGEREF _Toc200755999 \h </w:instrText>
            </w:r>
            <w:r w:rsidR="000A41CA" w:rsidRPr="009C4E4B">
              <w:rPr>
                <w:b/>
                <w:bCs/>
                <w:webHidden/>
              </w:rPr>
            </w:r>
            <w:r w:rsidR="000A41CA" w:rsidRPr="009C4E4B">
              <w:rPr>
                <w:b/>
                <w:bCs/>
                <w:webHidden/>
              </w:rPr>
              <w:fldChar w:fldCharType="separate"/>
            </w:r>
            <w:r w:rsidR="000A41CA" w:rsidRPr="009C4E4B">
              <w:rPr>
                <w:webHidden/>
              </w:rPr>
              <w:t>118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0" w:history="1">
            <w:r w:rsidR="000A41CA" w:rsidRPr="009C4E4B">
              <w:rPr>
                <w:rStyle w:val="Lienhypertexte"/>
              </w:rPr>
              <w:t>4.8.</w:t>
            </w:r>
            <w:r w:rsidR="00882F77" w:rsidRPr="009C4E4B">
              <w:rPr>
                <w:rFonts w:eastAsiaTheme="minorEastAsia"/>
                <w:kern w:val="2"/>
                <w:lang w:val="en-US" w:eastAsia="fr-FR"/>
                <w14:ligatures w14:val="standardContextual"/>
              </w:rPr>
              <w:t xml:space="preserve"> </w:t>
            </w:r>
            <w:r w:rsidR="000A41CA" w:rsidRPr="009C4E4B">
              <w:rPr>
                <w:rStyle w:val="Lienhypertexte"/>
              </w:rPr>
              <w:t>Les outils de gamification</w:t>
            </w:r>
            <w:r w:rsidR="000A41CA" w:rsidRPr="009C4E4B">
              <w:rPr>
                <w:webHidden/>
              </w:rPr>
              <w:tab/>
            </w:r>
            <w:r w:rsidR="000A41CA" w:rsidRPr="009C4E4B">
              <w:rPr>
                <w:b/>
                <w:bCs/>
                <w:webHidden/>
              </w:rPr>
              <w:fldChar w:fldCharType="begin"/>
            </w:r>
            <w:r w:rsidR="000A41CA" w:rsidRPr="009C4E4B">
              <w:rPr>
                <w:webHidden/>
              </w:rPr>
              <w:instrText xml:space="preserve"> PAGEREF _Toc200756000 \h </w:instrText>
            </w:r>
            <w:r w:rsidR="000A41CA" w:rsidRPr="009C4E4B">
              <w:rPr>
                <w:b/>
                <w:bCs/>
                <w:webHidden/>
              </w:rPr>
            </w:r>
            <w:r w:rsidR="000A41CA" w:rsidRPr="009C4E4B">
              <w:rPr>
                <w:b/>
                <w:bCs/>
                <w:webHidden/>
              </w:rPr>
              <w:fldChar w:fldCharType="separate"/>
            </w:r>
            <w:r w:rsidR="000A41CA" w:rsidRPr="009C4E4B">
              <w:rPr>
                <w:webHidden/>
              </w:rPr>
              <w:t>120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1" w:history="1">
            <w:r w:rsidR="000A41CA" w:rsidRPr="009C4E4B">
              <w:rPr>
                <w:rStyle w:val="Lienhypertexte"/>
              </w:rPr>
              <w:t>5.</w:t>
            </w:r>
            <w:r w:rsidR="00882F77" w:rsidRPr="009C4E4B">
              <w:rPr>
                <w:rFonts w:eastAsiaTheme="minorEastAsia"/>
                <w:kern w:val="2"/>
                <w:lang w:val="en-US" w:eastAsia="fr-FR"/>
                <w14:ligatures w14:val="standardContextual"/>
              </w:rPr>
              <w:t xml:space="preserve"> </w:t>
            </w:r>
            <w:r w:rsidR="000A41CA" w:rsidRPr="009C4E4B">
              <w:rPr>
                <w:rStyle w:val="Lienhypertexte"/>
              </w:rPr>
              <w:t>Les étapes de la digitalisation de la gestion des ressources humaines</w:t>
            </w:r>
            <w:r w:rsidR="000A41CA" w:rsidRPr="009C4E4B">
              <w:rPr>
                <w:webHidden/>
              </w:rPr>
              <w:tab/>
            </w:r>
            <w:r w:rsidR="000A41CA" w:rsidRPr="009C4E4B">
              <w:rPr>
                <w:b/>
                <w:bCs/>
                <w:webHidden/>
              </w:rPr>
              <w:fldChar w:fldCharType="begin"/>
            </w:r>
            <w:r w:rsidR="000A41CA" w:rsidRPr="009C4E4B">
              <w:rPr>
                <w:webHidden/>
              </w:rPr>
              <w:instrText xml:space="preserve"> PAGEREF _Toc200756001 \h </w:instrText>
            </w:r>
            <w:r w:rsidR="000A41CA" w:rsidRPr="009C4E4B">
              <w:rPr>
                <w:b/>
                <w:bCs/>
                <w:webHidden/>
              </w:rPr>
            </w:r>
            <w:r w:rsidR="000A41CA" w:rsidRPr="009C4E4B">
              <w:rPr>
                <w:b/>
                <w:bCs/>
                <w:webHidden/>
              </w:rPr>
              <w:fldChar w:fldCharType="separate"/>
            </w:r>
            <w:r w:rsidR="000A41CA" w:rsidRPr="009C4E4B">
              <w:rPr>
                <w:webHidden/>
              </w:rPr>
              <w:t>121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2" w:history="1">
            <w:r w:rsidR="000A41CA" w:rsidRPr="009C4E4B">
              <w:rPr>
                <w:rStyle w:val="Lienhypertexte"/>
              </w:rPr>
              <w:t>5.1.</w:t>
            </w:r>
            <w:r w:rsidR="00882F77" w:rsidRPr="009C4E4B">
              <w:rPr>
                <w:rFonts w:eastAsiaTheme="minorEastAsia"/>
                <w:kern w:val="2"/>
                <w:lang w:val="en-US" w:eastAsia="fr-FR"/>
                <w14:ligatures w14:val="standardContextual"/>
              </w:rPr>
              <w:t xml:space="preserve"> </w:t>
            </w:r>
            <w:r w:rsidR="000A41CA" w:rsidRPr="009C4E4B">
              <w:rPr>
                <w:rStyle w:val="Lienhypertexte"/>
              </w:rPr>
              <w:t>Identifier les besoins</w:t>
            </w:r>
            <w:r w:rsidR="000A41CA" w:rsidRPr="009C4E4B">
              <w:rPr>
                <w:webHidden/>
              </w:rPr>
              <w:tab/>
            </w:r>
            <w:r w:rsidR="000A41CA" w:rsidRPr="009C4E4B">
              <w:rPr>
                <w:b/>
                <w:bCs/>
                <w:webHidden/>
              </w:rPr>
              <w:fldChar w:fldCharType="begin"/>
            </w:r>
            <w:r w:rsidR="000A41CA" w:rsidRPr="009C4E4B">
              <w:rPr>
                <w:webHidden/>
              </w:rPr>
              <w:instrText xml:space="preserve"> PAGEREF _Toc200756002 \h </w:instrText>
            </w:r>
            <w:r w:rsidR="000A41CA" w:rsidRPr="009C4E4B">
              <w:rPr>
                <w:b/>
                <w:bCs/>
                <w:webHidden/>
              </w:rPr>
            </w:r>
            <w:r w:rsidR="000A41CA" w:rsidRPr="009C4E4B">
              <w:rPr>
                <w:b/>
                <w:bCs/>
                <w:webHidden/>
              </w:rPr>
              <w:fldChar w:fldCharType="separate"/>
            </w:r>
            <w:r w:rsidR="000A41CA" w:rsidRPr="009C4E4B">
              <w:rPr>
                <w:webHidden/>
              </w:rPr>
              <w:t>121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3" w:history="1">
            <w:r w:rsidR="000A41CA" w:rsidRPr="009C4E4B">
              <w:rPr>
                <w:rStyle w:val="Lienhypertexte"/>
              </w:rPr>
              <w:t>5.2.</w:t>
            </w:r>
            <w:r w:rsidR="00882F77" w:rsidRPr="009C4E4B">
              <w:rPr>
                <w:rFonts w:eastAsiaTheme="minorEastAsia"/>
                <w:kern w:val="2"/>
                <w:lang w:val="en-US" w:eastAsia="fr-FR"/>
                <w14:ligatures w14:val="standardContextual"/>
              </w:rPr>
              <w:t xml:space="preserve"> </w:t>
            </w:r>
            <w:r w:rsidR="000A41CA" w:rsidRPr="009C4E4B">
              <w:rPr>
                <w:rStyle w:val="Lienhypertexte"/>
              </w:rPr>
              <w:t>Sélectionner les outils</w:t>
            </w:r>
            <w:r w:rsidR="000A41CA" w:rsidRPr="009C4E4B">
              <w:rPr>
                <w:webHidden/>
              </w:rPr>
              <w:tab/>
            </w:r>
            <w:r w:rsidR="000A41CA" w:rsidRPr="009C4E4B">
              <w:rPr>
                <w:b/>
                <w:bCs/>
                <w:webHidden/>
              </w:rPr>
              <w:fldChar w:fldCharType="begin"/>
            </w:r>
            <w:r w:rsidR="000A41CA" w:rsidRPr="009C4E4B">
              <w:rPr>
                <w:webHidden/>
              </w:rPr>
              <w:instrText xml:space="preserve"> PAGEREF _Toc200756003 \h </w:instrText>
            </w:r>
            <w:r w:rsidR="000A41CA" w:rsidRPr="009C4E4B">
              <w:rPr>
                <w:b/>
                <w:bCs/>
                <w:webHidden/>
              </w:rPr>
            </w:r>
            <w:r w:rsidR="000A41CA" w:rsidRPr="009C4E4B">
              <w:rPr>
                <w:b/>
                <w:bCs/>
                <w:webHidden/>
              </w:rPr>
              <w:fldChar w:fldCharType="separate"/>
            </w:r>
            <w:r w:rsidR="000A41CA" w:rsidRPr="009C4E4B">
              <w:rPr>
                <w:webHidden/>
              </w:rPr>
              <w:t>121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4" w:history="1">
            <w:r w:rsidR="000A41CA" w:rsidRPr="009C4E4B">
              <w:rPr>
                <w:rStyle w:val="Lienhypertexte"/>
              </w:rPr>
              <w:t>5.3.</w:t>
            </w:r>
            <w:r w:rsidR="00882F77" w:rsidRPr="009C4E4B">
              <w:rPr>
                <w:rFonts w:eastAsiaTheme="minorEastAsia"/>
                <w:kern w:val="2"/>
                <w:lang w:val="en-US" w:eastAsia="fr-FR"/>
                <w14:ligatures w14:val="standardContextual"/>
              </w:rPr>
              <w:t xml:space="preserve"> </w:t>
            </w:r>
            <w:r w:rsidR="000A41CA" w:rsidRPr="009C4E4B">
              <w:rPr>
                <w:rStyle w:val="Lienhypertexte"/>
              </w:rPr>
              <w:t>Implémenter les outils</w:t>
            </w:r>
            <w:r w:rsidR="000A41CA" w:rsidRPr="009C4E4B">
              <w:rPr>
                <w:webHidden/>
              </w:rPr>
              <w:tab/>
            </w:r>
            <w:r w:rsidR="000A41CA" w:rsidRPr="009C4E4B">
              <w:rPr>
                <w:b/>
                <w:bCs/>
                <w:webHidden/>
              </w:rPr>
              <w:fldChar w:fldCharType="begin"/>
            </w:r>
            <w:r w:rsidR="000A41CA" w:rsidRPr="009C4E4B">
              <w:rPr>
                <w:webHidden/>
              </w:rPr>
              <w:instrText xml:space="preserve"> PAGEREF _Toc200756004 \h </w:instrText>
            </w:r>
            <w:r w:rsidR="000A41CA" w:rsidRPr="009C4E4B">
              <w:rPr>
                <w:b/>
                <w:bCs/>
                <w:webHidden/>
              </w:rPr>
            </w:r>
            <w:r w:rsidR="000A41CA" w:rsidRPr="009C4E4B">
              <w:rPr>
                <w:b/>
                <w:bCs/>
                <w:webHidden/>
              </w:rPr>
              <w:fldChar w:fldCharType="separate"/>
            </w:r>
            <w:r w:rsidR="000A41CA" w:rsidRPr="009C4E4B">
              <w:rPr>
                <w:webHidden/>
              </w:rPr>
              <w:t>121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5" w:history="1">
            <w:r w:rsidR="000A41CA" w:rsidRPr="009C4E4B">
              <w:rPr>
                <w:rStyle w:val="Lienhypertexte"/>
              </w:rPr>
              <w:t>5.4.</w:t>
            </w:r>
            <w:r w:rsidR="00882F77" w:rsidRPr="009C4E4B">
              <w:rPr>
                <w:rFonts w:eastAsiaTheme="minorEastAsia"/>
                <w:kern w:val="2"/>
                <w:lang w:val="en-US" w:eastAsia="fr-FR"/>
                <w14:ligatures w14:val="standardContextual"/>
              </w:rPr>
              <w:t xml:space="preserve"> </w:t>
            </w:r>
            <w:r w:rsidR="000A41CA" w:rsidRPr="009C4E4B">
              <w:rPr>
                <w:rStyle w:val="Lienhypertexte"/>
              </w:rPr>
              <w:t>Collecter et analyser les données</w:t>
            </w:r>
            <w:r w:rsidR="000A41CA" w:rsidRPr="009C4E4B">
              <w:rPr>
                <w:webHidden/>
              </w:rPr>
              <w:tab/>
            </w:r>
            <w:r w:rsidR="000A41CA" w:rsidRPr="009C4E4B">
              <w:rPr>
                <w:b/>
                <w:bCs/>
                <w:webHidden/>
              </w:rPr>
              <w:fldChar w:fldCharType="begin"/>
            </w:r>
            <w:r w:rsidR="000A41CA" w:rsidRPr="009C4E4B">
              <w:rPr>
                <w:webHidden/>
              </w:rPr>
              <w:instrText xml:space="preserve"> PAGEREF _Toc200756005 \h </w:instrText>
            </w:r>
            <w:r w:rsidR="000A41CA" w:rsidRPr="009C4E4B">
              <w:rPr>
                <w:b/>
                <w:bCs/>
                <w:webHidden/>
              </w:rPr>
            </w:r>
            <w:r w:rsidR="000A41CA" w:rsidRPr="009C4E4B">
              <w:rPr>
                <w:b/>
                <w:bCs/>
                <w:webHidden/>
              </w:rPr>
              <w:fldChar w:fldCharType="separate"/>
            </w:r>
            <w:r w:rsidR="000A41CA" w:rsidRPr="009C4E4B">
              <w:rPr>
                <w:webHidden/>
              </w:rPr>
              <w:t>122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6" w:history="1">
            <w:r w:rsidR="000A41CA" w:rsidRPr="009C4E4B">
              <w:rPr>
                <w:rStyle w:val="Lienhypertexte"/>
              </w:rPr>
              <w:t>5.5.</w:t>
            </w:r>
            <w:r w:rsidR="00882F77" w:rsidRPr="009C4E4B">
              <w:rPr>
                <w:rFonts w:eastAsiaTheme="minorEastAsia"/>
                <w:kern w:val="2"/>
                <w:lang w:val="en-US" w:eastAsia="fr-FR"/>
                <w14:ligatures w14:val="standardContextual"/>
              </w:rPr>
              <w:t xml:space="preserve"> </w:t>
            </w:r>
            <w:r w:rsidR="000A41CA" w:rsidRPr="009C4E4B">
              <w:rPr>
                <w:rStyle w:val="Lienhypertexte"/>
              </w:rPr>
              <w:t>Améliorer en continu</w:t>
            </w:r>
            <w:r w:rsidR="000A41CA" w:rsidRPr="009C4E4B">
              <w:rPr>
                <w:webHidden/>
              </w:rPr>
              <w:tab/>
            </w:r>
            <w:r w:rsidR="000A41CA" w:rsidRPr="009C4E4B">
              <w:rPr>
                <w:b/>
                <w:bCs/>
                <w:webHidden/>
              </w:rPr>
              <w:fldChar w:fldCharType="begin"/>
            </w:r>
            <w:r w:rsidR="000A41CA" w:rsidRPr="009C4E4B">
              <w:rPr>
                <w:webHidden/>
              </w:rPr>
              <w:instrText xml:space="preserve"> PAGEREF _Toc200756006 \h </w:instrText>
            </w:r>
            <w:r w:rsidR="000A41CA" w:rsidRPr="009C4E4B">
              <w:rPr>
                <w:b/>
                <w:bCs/>
                <w:webHidden/>
              </w:rPr>
            </w:r>
            <w:r w:rsidR="000A41CA" w:rsidRPr="009C4E4B">
              <w:rPr>
                <w:b/>
                <w:bCs/>
                <w:webHidden/>
              </w:rPr>
              <w:fldChar w:fldCharType="separate"/>
            </w:r>
            <w:r w:rsidR="000A41CA" w:rsidRPr="009C4E4B">
              <w:rPr>
                <w:webHidden/>
              </w:rPr>
              <w:t>122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7" w:history="1">
            <w:r w:rsidR="000A41CA" w:rsidRPr="009C4E4B">
              <w:rPr>
                <w:rStyle w:val="Lienhypertexte"/>
              </w:rPr>
              <w:t>6.</w:t>
            </w:r>
            <w:r w:rsidR="00882F77" w:rsidRPr="009C4E4B">
              <w:rPr>
                <w:rFonts w:eastAsiaTheme="minorEastAsia"/>
                <w:kern w:val="2"/>
                <w:lang w:val="en-US" w:eastAsia="fr-FR"/>
                <w14:ligatures w14:val="standardContextual"/>
              </w:rPr>
              <w:t xml:space="preserve"> </w:t>
            </w:r>
            <w:r w:rsidR="000A41CA" w:rsidRPr="009C4E4B">
              <w:rPr>
                <w:rStyle w:val="Lienhypertexte"/>
              </w:rPr>
              <w:t>Les nouveaux métiers des ressources humaines digitales</w:t>
            </w:r>
            <w:r w:rsidR="000A41CA" w:rsidRPr="009C4E4B">
              <w:rPr>
                <w:webHidden/>
              </w:rPr>
              <w:tab/>
            </w:r>
            <w:r w:rsidR="000A41CA" w:rsidRPr="009C4E4B">
              <w:rPr>
                <w:b/>
                <w:bCs/>
                <w:webHidden/>
              </w:rPr>
              <w:fldChar w:fldCharType="begin"/>
            </w:r>
            <w:r w:rsidR="000A41CA" w:rsidRPr="009C4E4B">
              <w:rPr>
                <w:webHidden/>
              </w:rPr>
              <w:instrText xml:space="preserve"> PAGEREF _Toc200756007 \h </w:instrText>
            </w:r>
            <w:r w:rsidR="000A41CA" w:rsidRPr="009C4E4B">
              <w:rPr>
                <w:b/>
                <w:bCs/>
                <w:webHidden/>
              </w:rPr>
            </w:r>
            <w:r w:rsidR="000A41CA" w:rsidRPr="009C4E4B">
              <w:rPr>
                <w:b/>
                <w:bCs/>
                <w:webHidden/>
              </w:rPr>
              <w:fldChar w:fldCharType="separate"/>
            </w:r>
            <w:r w:rsidR="000A41CA" w:rsidRPr="009C4E4B">
              <w:rPr>
                <w:webHidden/>
              </w:rPr>
              <w:t>123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8" w:history="1">
            <w:r w:rsidR="000A41CA" w:rsidRPr="009C4E4B">
              <w:rPr>
                <w:rStyle w:val="Lienhypertexte"/>
                <w:lang w:val="en-US"/>
              </w:rPr>
              <w:t>6.1.</w:t>
            </w:r>
            <w:r w:rsidR="00882F77" w:rsidRPr="009C4E4B">
              <w:rPr>
                <w:rFonts w:eastAsiaTheme="minorEastAsia"/>
                <w:kern w:val="2"/>
                <w:lang w:val="en-US" w:eastAsia="fr-FR"/>
                <w14:ligatures w14:val="standardContextual"/>
              </w:rPr>
              <w:t xml:space="preserve"> </w:t>
            </w:r>
            <w:r w:rsidR="000A41CA" w:rsidRPr="009C4E4B">
              <w:rPr>
                <w:rStyle w:val="Lienhypertexte"/>
                <w:lang w:val="en-US"/>
              </w:rPr>
              <w:t>Le Data Privacy Officer (DPO)</w:t>
            </w:r>
            <w:r w:rsidR="000A41CA" w:rsidRPr="009C4E4B">
              <w:rPr>
                <w:webHidden/>
              </w:rPr>
              <w:tab/>
            </w:r>
            <w:r w:rsidR="000A41CA" w:rsidRPr="009C4E4B">
              <w:rPr>
                <w:b/>
                <w:bCs/>
                <w:webHidden/>
              </w:rPr>
              <w:fldChar w:fldCharType="begin"/>
            </w:r>
            <w:r w:rsidR="000A41CA" w:rsidRPr="009C4E4B">
              <w:rPr>
                <w:webHidden/>
              </w:rPr>
              <w:instrText xml:space="preserve"> PAGEREF _Toc200756008 \h </w:instrText>
            </w:r>
            <w:r w:rsidR="000A41CA" w:rsidRPr="009C4E4B">
              <w:rPr>
                <w:b/>
                <w:bCs/>
                <w:webHidden/>
              </w:rPr>
            </w:r>
            <w:r w:rsidR="000A41CA" w:rsidRPr="009C4E4B">
              <w:rPr>
                <w:b/>
                <w:bCs/>
                <w:webHidden/>
              </w:rPr>
              <w:fldChar w:fldCharType="separate"/>
            </w:r>
            <w:r w:rsidR="000A41CA" w:rsidRPr="009C4E4B">
              <w:rPr>
                <w:webHidden/>
              </w:rPr>
              <w:t>123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09" w:history="1">
            <w:r w:rsidR="000A41CA" w:rsidRPr="009C4E4B">
              <w:rPr>
                <w:rStyle w:val="Lienhypertexte"/>
              </w:rPr>
              <w:t>6.2.</w:t>
            </w:r>
            <w:r w:rsidR="00882F77" w:rsidRPr="009C4E4B">
              <w:rPr>
                <w:rFonts w:eastAsiaTheme="minorEastAsia"/>
                <w:kern w:val="2"/>
                <w:lang w:val="en-US" w:eastAsia="fr-FR"/>
                <w14:ligatures w14:val="standardContextual"/>
              </w:rPr>
              <w:t xml:space="preserve"> </w:t>
            </w:r>
            <w:r w:rsidR="000A41CA" w:rsidRPr="009C4E4B">
              <w:rPr>
                <w:rStyle w:val="Lienhypertexte"/>
              </w:rPr>
              <w:t>Le Data Analyst RH</w:t>
            </w:r>
            <w:r w:rsidR="000A41CA" w:rsidRPr="009C4E4B">
              <w:rPr>
                <w:webHidden/>
              </w:rPr>
              <w:tab/>
            </w:r>
            <w:r w:rsidR="000A41CA" w:rsidRPr="009C4E4B">
              <w:rPr>
                <w:b/>
                <w:bCs/>
                <w:webHidden/>
              </w:rPr>
              <w:fldChar w:fldCharType="begin"/>
            </w:r>
            <w:r w:rsidR="000A41CA" w:rsidRPr="009C4E4B">
              <w:rPr>
                <w:webHidden/>
              </w:rPr>
              <w:instrText xml:space="preserve"> PAGEREF _Toc200756009 \h </w:instrText>
            </w:r>
            <w:r w:rsidR="000A41CA" w:rsidRPr="009C4E4B">
              <w:rPr>
                <w:b/>
                <w:bCs/>
                <w:webHidden/>
              </w:rPr>
            </w:r>
            <w:r w:rsidR="000A41CA" w:rsidRPr="009C4E4B">
              <w:rPr>
                <w:b/>
                <w:bCs/>
                <w:webHidden/>
              </w:rPr>
              <w:fldChar w:fldCharType="separate"/>
            </w:r>
            <w:r w:rsidR="000A41CA" w:rsidRPr="009C4E4B">
              <w:rPr>
                <w:webHidden/>
              </w:rPr>
              <w:t>123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0" w:history="1">
            <w:r w:rsidR="000A41CA" w:rsidRPr="009C4E4B">
              <w:rPr>
                <w:rStyle w:val="Lienhypertexte"/>
              </w:rPr>
              <w:t>6.3.</w:t>
            </w:r>
            <w:r w:rsidR="00882F77" w:rsidRPr="009C4E4B">
              <w:rPr>
                <w:rFonts w:eastAsiaTheme="minorEastAsia"/>
                <w:kern w:val="2"/>
                <w:lang w:val="en-US" w:eastAsia="fr-FR"/>
                <w14:ligatures w14:val="standardContextual"/>
              </w:rPr>
              <w:t xml:space="preserve"> </w:t>
            </w:r>
            <w:r w:rsidR="000A41CA" w:rsidRPr="009C4E4B">
              <w:rPr>
                <w:rStyle w:val="Lienhypertexte"/>
              </w:rPr>
              <w:t>Le Marketing RH</w:t>
            </w:r>
            <w:r w:rsidR="000A41CA" w:rsidRPr="009C4E4B">
              <w:rPr>
                <w:webHidden/>
              </w:rPr>
              <w:tab/>
            </w:r>
            <w:r w:rsidR="000A41CA" w:rsidRPr="009C4E4B">
              <w:rPr>
                <w:b/>
                <w:bCs/>
                <w:webHidden/>
              </w:rPr>
              <w:fldChar w:fldCharType="begin"/>
            </w:r>
            <w:r w:rsidR="000A41CA" w:rsidRPr="009C4E4B">
              <w:rPr>
                <w:webHidden/>
              </w:rPr>
              <w:instrText xml:space="preserve"> PAGEREF _Toc200756010 \h </w:instrText>
            </w:r>
            <w:r w:rsidR="000A41CA" w:rsidRPr="009C4E4B">
              <w:rPr>
                <w:b/>
                <w:bCs/>
                <w:webHidden/>
              </w:rPr>
            </w:r>
            <w:r w:rsidR="000A41CA" w:rsidRPr="009C4E4B">
              <w:rPr>
                <w:b/>
                <w:bCs/>
                <w:webHidden/>
              </w:rPr>
              <w:fldChar w:fldCharType="separate"/>
            </w:r>
            <w:r w:rsidR="000A41CA" w:rsidRPr="009C4E4B">
              <w:rPr>
                <w:webHidden/>
              </w:rPr>
              <w:t>123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1" w:history="1">
            <w:r w:rsidR="000A41CA" w:rsidRPr="009C4E4B">
              <w:rPr>
                <w:rStyle w:val="Lienhypertexte"/>
              </w:rPr>
              <w:t>6.4.</w:t>
            </w:r>
            <w:r w:rsidR="00882F77" w:rsidRPr="009C4E4B">
              <w:rPr>
                <w:rFonts w:eastAsiaTheme="minorEastAsia"/>
                <w:kern w:val="2"/>
                <w:lang w:val="en-US" w:eastAsia="fr-FR"/>
                <w14:ligatures w14:val="standardContextual"/>
              </w:rPr>
              <w:t xml:space="preserve"> </w:t>
            </w:r>
            <w:r w:rsidR="000A41CA" w:rsidRPr="009C4E4B">
              <w:rPr>
                <w:rStyle w:val="Lienhypertexte"/>
              </w:rPr>
              <w:t>Le responsable développement des talents</w:t>
            </w:r>
            <w:r w:rsidR="000A41CA" w:rsidRPr="009C4E4B">
              <w:rPr>
                <w:webHidden/>
              </w:rPr>
              <w:tab/>
            </w:r>
            <w:r w:rsidR="000A41CA" w:rsidRPr="009C4E4B">
              <w:rPr>
                <w:b/>
                <w:bCs/>
                <w:webHidden/>
              </w:rPr>
              <w:fldChar w:fldCharType="begin"/>
            </w:r>
            <w:r w:rsidR="000A41CA" w:rsidRPr="009C4E4B">
              <w:rPr>
                <w:webHidden/>
              </w:rPr>
              <w:instrText xml:space="preserve"> PAGEREF _Toc200756011 \h </w:instrText>
            </w:r>
            <w:r w:rsidR="000A41CA" w:rsidRPr="009C4E4B">
              <w:rPr>
                <w:b/>
                <w:bCs/>
                <w:webHidden/>
              </w:rPr>
            </w:r>
            <w:r w:rsidR="000A41CA" w:rsidRPr="009C4E4B">
              <w:rPr>
                <w:b/>
                <w:bCs/>
                <w:webHidden/>
              </w:rPr>
              <w:fldChar w:fldCharType="separate"/>
            </w:r>
            <w:r w:rsidR="000A41CA" w:rsidRPr="009C4E4B">
              <w:rPr>
                <w:webHidden/>
              </w:rPr>
              <w:t>124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2" w:history="1">
            <w:r w:rsidR="000A41CA" w:rsidRPr="009C4E4B">
              <w:rPr>
                <w:rStyle w:val="Lienhypertexte"/>
              </w:rPr>
              <w:t>6.5.</w:t>
            </w:r>
            <w:r w:rsidR="00882F77" w:rsidRPr="009C4E4B">
              <w:rPr>
                <w:rFonts w:eastAsiaTheme="minorEastAsia"/>
                <w:kern w:val="2"/>
                <w:lang w:val="en-US" w:eastAsia="fr-FR"/>
                <w14:ligatures w14:val="standardContextual"/>
              </w:rPr>
              <w:t xml:space="preserve"> </w:t>
            </w:r>
            <w:r w:rsidR="000A41CA" w:rsidRPr="009C4E4B">
              <w:rPr>
                <w:rStyle w:val="Lienhypertexte"/>
              </w:rPr>
              <w:t>Le DRH 4.0 : un gestionnaire RH augmenté</w:t>
            </w:r>
            <w:r w:rsidR="000A41CA" w:rsidRPr="009C4E4B">
              <w:rPr>
                <w:webHidden/>
              </w:rPr>
              <w:tab/>
            </w:r>
            <w:r w:rsidR="000A41CA" w:rsidRPr="009C4E4B">
              <w:rPr>
                <w:b/>
                <w:bCs/>
                <w:webHidden/>
              </w:rPr>
              <w:fldChar w:fldCharType="begin"/>
            </w:r>
            <w:r w:rsidR="000A41CA" w:rsidRPr="009C4E4B">
              <w:rPr>
                <w:webHidden/>
              </w:rPr>
              <w:instrText xml:space="preserve"> PAGEREF _Toc200756012 \h </w:instrText>
            </w:r>
            <w:r w:rsidR="000A41CA" w:rsidRPr="009C4E4B">
              <w:rPr>
                <w:b/>
                <w:bCs/>
                <w:webHidden/>
              </w:rPr>
            </w:r>
            <w:r w:rsidR="000A41CA" w:rsidRPr="009C4E4B">
              <w:rPr>
                <w:b/>
                <w:bCs/>
                <w:webHidden/>
              </w:rPr>
              <w:fldChar w:fldCharType="separate"/>
            </w:r>
            <w:r w:rsidR="000A41CA" w:rsidRPr="009C4E4B">
              <w:rPr>
                <w:webHidden/>
              </w:rPr>
              <w:t>124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3" w:history="1">
            <w:r w:rsidR="000A41CA" w:rsidRPr="009C4E4B">
              <w:rPr>
                <w:rStyle w:val="Lienhypertexte"/>
              </w:rPr>
              <w:t>7.</w:t>
            </w:r>
            <w:r w:rsidR="00882F77" w:rsidRPr="009C4E4B">
              <w:rPr>
                <w:rFonts w:eastAsiaTheme="minorEastAsia"/>
                <w:kern w:val="2"/>
                <w:lang w:val="en-US" w:eastAsia="fr-FR"/>
                <w14:ligatures w14:val="standardContextual"/>
              </w:rPr>
              <w:t xml:space="preserve"> </w:t>
            </w:r>
            <w:r w:rsidR="000A41CA" w:rsidRPr="009C4E4B">
              <w:rPr>
                <w:rStyle w:val="Lienhypertexte"/>
              </w:rPr>
              <w:t>Les bénéfices de la digitalisation de la GRH</w:t>
            </w:r>
            <w:r w:rsidR="000A41CA" w:rsidRPr="009C4E4B">
              <w:rPr>
                <w:webHidden/>
              </w:rPr>
              <w:tab/>
            </w:r>
            <w:r w:rsidR="000A41CA" w:rsidRPr="009C4E4B">
              <w:rPr>
                <w:b/>
                <w:bCs/>
                <w:webHidden/>
              </w:rPr>
              <w:fldChar w:fldCharType="begin"/>
            </w:r>
            <w:r w:rsidR="000A41CA" w:rsidRPr="009C4E4B">
              <w:rPr>
                <w:webHidden/>
              </w:rPr>
              <w:instrText xml:space="preserve"> PAGEREF _Toc200756013 \h </w:instrText>
            </w:r>
            <w:r w:rsidR="000A41CA" w:rsidRPr="009C4E4B">
              <w:rPr>
                <w:b/>
                <w:bCs/>
                <w:webHidden/>
              </w:rPr>
            </w:r>
            <w:r w:rsidR="000A41CA" w:rsidRPr="009C4E4B">
              <w:rPr>
                <w:b/>
                <w:bCs/>
                <w:webHidden/>
              </w:rPr>
              <w:fldChar w:fldCharType="separate"/>
            </w:r>
            <w:r w:rsidR="000A41CA" w:rsidRPr="009C4E4B">
              <w:rPr>
                <w:webHidden/>
              </w:rPr>
              <w:t>124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4" w:history="1">
            <w:r w:rsidR="000A41CA" w:rsidRPr="009C4E4B">
              <w:rPr>
                <w:rStyle w:val="Lienhypertexte"/>
              </w:rPr>
              <w:t>8.</w:t>
            </w:r>
            <w:r w:rsidR="00882F77" w:rsidRPr="009C4E4B">
              <w:rPr>
                <w:rFonts w:eastAsiaTheme="minorEastAsia"/>
                <w:kern w:val="2"/>
                <w:lang w:val="en-US" w:eastAsia="fr-FR"/>
                <w14:ligatures w14:val="standardContextual"/>
              </w:rPr>
              <w:t xml:space="preserve"> </w:t>
            </w:r>
            <w:r w:rsidR="000A41CA" w:rsidRPr="009C4E4B">
              <w:rPr>
                <w:rStyle w:val="Lienhypertexte"/>
              </w:rPr>
              <w:t>Les indicateurs de réussite de la digitalisation de la GRH</w:t>
            </w:r>
            <w:r w:rsidR="000A41CA" w:rsidRPr="009C4E4B">
              <w:rPr>
                <w:webHidden/>
              </w:rPr>
              <w:tab/>
            </w:r>
            <w:r w:rsidR="000A41CA" w:rsidRPr="009C4E4B">
              <w:rPr>
                <w:b/>
                <w:bCs/>
                <w:webHidden/>
              </w:rPr>
              <w:fldChar w:fldCharType="begin"/>
            </w:r>
            <w:r w:rsidR="000A41CA" w:rsidRPr="009C4E4B">
              <w:rPr>
                <w:webHidden/>
              </w:rPr>
              <w:instrText xml:space="preserve"> PAGEREF _Toc200756014 \h </w:instrText>
            </w:r>
            <w:r w:rsidR="000A41CA" w:rsidRPr="009C4E4B">
              <w:rPr>
                <w:b/>
                <w:bCs/>
                <w:webHidden/>
              </w:rPr>
            </w:r>
            <w:r w:rsidR="000A41CA" w:rsidRPr="009C4E4B">
              <w:rPr>
                <w:b/>
                <w:bCs/>
                <w:webHidden/>
              </w:rPr>
              <w:fldChar w:fldCharType="separate"/>
            </w:r>
            <w:r w:rsidR="000A41CA" w:rsidRPr="009C4E4B">
              <w:rPr>
                <w:webHidden/>
              </w:rPr>
              <w:t>125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5" w:history="1">
            <w:r w:rsidR="000A41CA" w:rsidRPr="009C4E4B">
              <w:rPr>
                <w:rStyle w:val="Lienhypertexte"/>
              </w:rPr>
              <w:t>8.1.</w:t>
            </w:r>
            <w:r w:rsidR="00882F77" w:rsidRPr="009C4E4B">
              <w:rPr>
                <w:rFonts w:eastAsiaTheme="minorEastAsia"/>
                <w:kern w:val="2"/>
                <w:lang w:val="en-US" w:eastAsia="fr-FR"/>
                <w14:ligatures w14:val="standardContextual"/>
              </w:rPr>
              <w:t xml:space="preserve"> </w:t>
            </w:r>
            <w:r w:rsidR="000A41CA" w:rsidRPr="009C4E4B">
              <w:rPr>
                <w:rStyle w:val="Lienhypertexte"/>
              </w:rPr>
              <w:t>Adoption et utilisation des outils numériques</w:t>
            </w:r>
            <w:r w:rsidR="000A41CA" w:rsidRPr="009C4E4B">
              <w:rPr>
                <w:webHidden/>
              </w:rPr>
              <w:tab/>
            </w:r>
            <w:r w:rsidR="000A41CA" w:rsidRPr="009C4E4B">
              <w:rPr>
                <w:b/>
                <w:bCs/>
                <w:webHidden/>
              </w:rPr>
              <w:fldChar w:fldCharType="begin"/>
            </w:r>
            <w:r w:rsidR="000A41CA" w:rsidRPr="009C4E4B">
              <w:rPr>
                <w:webHidden/>
              </w:rPr>
              <w:instrText xml:space="preserve"> PAGEREF _Toc200756015 \h </w:instrText>
            </w:r>
            <w:r w:rsidR="000A41CA" w:rsidRPr="009C4E4B">
              <w:rPr>
                <w:b/>
                <w:bCs/>
                <w:webHidden/>
              </w:rPr>
            </w:r>
            <w:r w:rsidR="000A41CA" w:rsidRPr="009C4E4B">
              <w:rPr>
                <w:b/>
                <w:bCs/>
                <w:webHidden/>
              </w:rPr>
              <w:fldChar w:fldCharType="separate"/>
            </w:r>
            <w:r w:rsidR="000A41CA" w:rsidRPr="009C4E4B">
              <w:rPr>
                <w:webHidden/>
              </w:rPr>
              <w:t>125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6" w:history="1">
            <w:r w:rsidR="000A41CA" w:rsidRPr="009C4E4B">
              <w:rPr>
                <w:rStyle w:val="Lienhypertexte"/>
              </w:rPr>
              <w:t>8.2.</w:t>
            </w:r>
            <w:r w:rsidR="00882F77" w:rsidRPr="009C4E4B">
              <w:rPr>
                <w:rFonts w:eastAsiaTheme="minorEastAsia"/>
                <w:kern w:val="2"/>
                <w:lang w:val="en-US" w:eastAsia="fr-FR"/>
                <w14:ligatures w14:val="standardContextual"/>
              </w:rPr>
              <w:t xml:space="preserve"> </w:t>
            </w:r>
            <w:r w:rsidR="000A41CA" w:rsidRPr="009C4E4B">
              <w:rPr>
                <w:rStyle w:val="Lienhypertexte"/>
              </w:rPr>
              <w:t>Automatisation des processus et gain de temps</w:t>
            </w:r>
            <w:r w:rsidR="000A41CA" w:rsidRPr="009C4E4B">
              <w:rPr>
                <w:webHidden/>
              </w:rPr>
              <w:tab/>
            </w:r>
            <w:r w:rsidR="000A41CA" w:rsidRPr="009C4E4B">
              <w:rPr>
                <w:b/>
                <w:bCs/>
                <w:webHidden/>
              </w:rPr>
              <w:fldChar w:fldCharType="begin"/>
            </w:r>
            <w:r w:rsidR="000A41CA" w:rsidRPr="009C4E4B">
              <w:rPr>
                <w:webHidden/>
              </w:rPr>
              <w:instrText xml:space="preserve"> PAGEREF _Toc200756016 \h </w:instrText>
            </w:r>
            <w:r w:rsidR="000A41CA" w:rsidRPr="009C4E4B">
              <w:rPr>
                <w:b/>
                <w:bCs/>
                <w:webHidden/>
              </w:rPr>
            </w:r>
            <w:r w:rsidR="000A41CA" w:rsidRPr="009C4E4B">
              <w:rPr>
                <w:b/>
                <w:bCs/>
                <w:webHidden/>
              </w:rPr>
              <w:fldChar w:fldCharType="separate"/>
            </w:r>
            <w:r w:rsidR="000A41CA" w:rsidRPr="009C4E4B">
              <w:rPr>
                <w:webHidden/>
              </w:rPr>
              <w:t>126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7" w:history="1">
            <w:r w:rsidR="000A41CA" w:rsidRPr="009C4E4B">
              <w:rPr>
                <w:rStyle w:val="Lienhypertexte"/>
              </w:rPr>
              <w:t>8.3.</w:t>
            </w:r>
            <w:r w:rsidR="00882F77" w:rsidRPr="009C4E4B">
              <w:rPr>
                <w:rFonts w:eastAsiaTheme="minorEastAsia"/>
                <w:kern w:val="2"/>
                <w:lang w:val="en-US" w:eastAsia="fr-FR"/>
                <w14:ligatures w14:val="standardContextual"/>
              </w:rPr>
              <w:t xml:space="preserve"> </w:t>
            </w:r>
            <w:r w:rsidR="000A41CA" w:rsidRPr="009C4E4B">
              <w:rPr>
                <w:rStyle w:val="Lienhypertexte"/>
              </w:rPr>
              <w:t>Amélioration de l’expérience collaborateur</w:t>
            </w:r>
            <w:r w:rsidR="000A41CA" w:rsidRPr="009C4E4B">
              <w:rPr>
                <w:webHidden/>
              </w:rPr>
              <w:tab/>
            </w:r>
            <w:r w:rsidR="000A41CA" w:rsidRPr="009C4E4B">
              <w:rPr>
                <w:b/>
                <w:bCs/>
                <w:webHidden/>
              </w:rPr>
              <w:fldChar w:fldCharType="begin"/>
            </w:r>
            <w:r w:rsidR="000A41CA" w:rsidRPr="009C4E4B">
              <w:rPr>
                <w:webHidden/>
              </w:rPr>
              <w:instrText xml:space="preserve"> PAGEREF _Toc200756017 \h </w:instrText>
            </w:r>
            <w:r w:rsidR="000A41CA" w:rsidRPr="009C4E4B">
              <w:rPr>
                <w:b/>
                <w:bCs/>
                <w:webHidden/>
              </w:rPr>
            </w:r>
            <w:r w:rsidR="000A41CA" w:rsidRPr="009C4E4B">
              <w:rPr>
                <w:b/>
                <w:bCs/>
                <w:webHidden/>
              </w:rPr>
              <w:fldChar w:fldCharType="separate"/>
            </w:r>
            <w:r w:rsidR="000A41CA" w:rsidRPr="009C4E4B">
              <w:rPr>
                <w:webHidden/>
              </w:rPr>
              <w:t>126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8" w:history="1">
            <w:r w:rsidR="000A41CA" w:rsidRPr="009C4E4B">
              <w:rPr>
                <w:rStyle w:val="Lienhypertexte"/>
              </w:rPr>
              <w:t>8.4.</w:t>
            </w:r>
            <w:r w:rsidR="00882F77" w:rsidRPr="009C4E4B">
              <w:rPr>
                <w:rFonts w:eastAsiaTheme="minorEastAsia"/>
                <w:kern w:val="2"/>
                <w:lang w:val="en-US" w:eastAsia="fr-FR"/>
                <w14:ligatures w14:val="standardContextual"/>
              </w:rPr>
              <w:t xml:space="preserve"> </w:t>
            </w:r>
            <w:r w:rsidR="000A41CA" w:rsidRPr="009C4E4B">
              <w:rPr>
                <w:rStyle w:val="Lienhypertexte"/>
              </w:rPr>
              <w:t>Précision et fiabilité des données RH</w:t>
            </w:r>
            <w:r w:rsidR="000A41CA" w:rsidRPr="009C4E4B">
              <w:rPr>
                <w:webHidden/>
              </w:rPr>
              <w:tab/>
            </w:r>
            <w:r w:rsidR="000A41CA" w:rsidRPr="009C4E4B">
              <w:rPr>
                <w:b/>
                <w:bCs/>
                <w:webHidden/>
              </w:rPr>
              <w:fldChar w:fldCharType="begin"/>
            </w:r>
            <w:r w:rsidR="000A41CA" w:rsidRPr="009C4E4B">
              <w:rPr>
                <w:webHidden/>
              </w:rPr>
              <w:instrText xml:space="preserve"> PAGEREF _Toc200756018 \h </w:instrText>
            </w:r>
            <w:r w:rsidR="000A41CA" w:rsidRPr="009C4E4B">
              <w:rPr>
                <w:b/>
                <w:bCs/>
                <w:webHidden/>
              </w:rPr>
            </w:r>
            <w:r w:rsidR="000A41CA" w:rsidRPr="009C4E4B">
              <w:rPr>
                <w:b/>
                <w:bCs/>
                <w:webHidden/>
              </w:rPr>
              <w:fldChar w:fldCharType="separate"/>
            </w:r>
            <w:r w:rsidR="000A41CA" w:rsidRPr="009C4E4B">
              <w:rPr>
                <w:webHidden/>
              </w:rPr>
              <w:t>126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19" w:history="1">
            <w:r w:rsidR="000A41CA" w:rsidRPr="009C4E4B">
              <w:rPr>
                <w:rStyle w:val="Lienhypertexte"/>
              </w:rPr>
              <w:t>8.5.</w:t>
            </w:r>
            <w:r w:rsidR="00882F77" w:rsidRPr="009C4E4B">
              <w:rPr>
                <w:rFonts w:eastAsiaTheme="minorEastAsia"/>
                <w:kern w:val="2"/>
                <w:lang w:val="en-US" w:eastAsia="fr-FR"/>
                <w14:ligatures w14:val="standardContextual"/>
              </w:rPr>
              <w:t xml:space="preserve"> </w:t>
            </w:r>
            <w:r w:rsidR="000A41CA" w:rsidRPr="009C4E4B">
              <w:rPr>
                <w:rStyle w:val="Lienhypertexte"/>
              </w:rPr>
              <w:t>Réduction des coûts opérationnels</w:t>
            </w:r>
            <w:r w:rsidR="000A41CA" w:rsidRPr="009C4E4B">
              <w:rPr>
                <w:webHidden/>
              </w:rPr>
              <w:tab/>
            </w:r>
            <w:r w:rsidR="000A41CA" w:rsidRPr="009C4E4B">
              <w:rPr>
                <w:b/>
                <w:bCs/>
                <w:webHidden/>
              </w:rPr>
              <w:fldChar w:fldCharType="begin"/>
            </w:r>
            <w:r w:rsidR="000A41CA" w:rsidRPr="009C4E4B">
              <w:rPr>
                <w:webHidden/>
              </w:rPr>
              <w:instrText xml:space="preserve"> PAGEREF _Toc200756019 \h </w:instrText>
            </w:r>
            <w:r w:rsidR="000A41CA" w:rsidRPr="009C4E4B">
              <w:rPr>
                <w:b/>
                <w:bCs/>
                <w:webHidden/>
              </w:rPr>
            </w:r>
            <w:r w:rsidR="000A41CA" w:rsidRPr="009C4E4B">
              <w:rPr>
                <w:b/>
                <w:bCs/>
                <w:webHidden/>
              </w:rPr>
              <w:fldChar w:fldCharType="separate"/>
            </w:r>
            <w:r w:rsidR="000A41CA" w:rsidRPr="009C4E4B">
              <w:rPr>
                <w:webHidden/>
              </w:rPr>
              <w:t>126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20" w:history="1">
            <w:r w:rsidR="000A41CA" w:rsidRPr="009C4E4B">
              <w:rPr>
                <w:rStyle w:val="Lienhypertexte"/>
              </w:rPr>
              <w:t>8.6.</w:t>
            </w:r>
            <w:r w:rsidR="00882F77" w:rsidRPr="009C4E4B">
              <w:rPr>
                <w:rFonts w:eastAsiaTheme="minorEastAsia"/>
                <w:kern w:val="2"/>
                <w:lang w:val="en-US" w:eastAsia="fr-FR"/>
                <w14:ligatures w14:val="standardContextual"/>
              </w:rPr>
              <w:t xml:space="preserve"> </w:t>
            </w:r>
            <w:r w:rsidR="000A41CA" w:rsidRPr="009C4E4B">
              <w:rPr>
                <w:rStyle w:val="Lienhypertexte"/>
              </w:rPr>
              <w:t>Sécurité et conformité des données</w:t>
            </w:r>
            <w:r w:rsidR="000A41CA" w:rsidRPr="009C4E4B">
              <w:rPr>
                <w:webHidden/>
              </w:rPr>
              <w:tab/>
            </w:r>
            <w:r w:rsidR="000A41CA" w:rsidRPr="009C4E4B">
              <w:rPr>
                <w:b/>
                <w:bCs/>
                <w:webHidden/>
              </w:rPr>
              <w:fldChar w:fldCharType="begin"/>
            </w:r>
            <w:r w:rsidR="000A41CA" w:rsidRPr="009C4E4B">
              <w:rPr>
                <w:webHidden/>
              </w:rPr>
              <w:instrText xml:space="preserve"> PAGEREF _Toc200756020 \h </w:instrText>
            </w:r>
            <w:r w:rsidR="000A41CA" w:rsidRPr="009C4E4B">
              <w:rPr>
                <w:b/>
                <w:bCs/>
                <w:webHidden/>
              </w:rPr>
            </w:r>
            <w:r w:rsidR="000A41CA" w:rsidRPr="009C4E4B">
              <w:rPr>
                <w:b/>
                <w:bCs/>
                <w:webHidden/>
              </w:rPr>
              <w:fldChar w:fldCharType="separate"/>
            </w:r>
            <w:r w:rsidR="000A41CA" w:rsidRPr="009C4E4B">
              <w:rPr>
                <w:webHidden/>
              </w:rPr>
              <w:t>127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21" w:history="1">
            <w:r w:rsidR="000A41CA" w:rsidRPr="009C4E4B">
              <w:rPr>
                <w:rStyle w:val="Lienhypertexte"/>
              </w:rPr>
              <w:t>8.7.</w:t>
            </w:r>
            <w:r w:rsidR="00882F77" w:rsidRPr="009C4E4B">
              <w:rPr>
                <w:rFonts w:eastAsiaTheme="minorEastAsia"/>
                <w:kern w:val="2"/>
                <w:lang w:val="en-US" w:eastAsia="fr-FR"/>
                <w14:ligatures w14:val="standardContextual"/>
              </w:rPr>
              <w:t xml:space="preserve"> </w:t>
            </w:r>
            <w:r w:rsidR="000A41CA" w:rsidRPr="009C4E4B">
              <w:rPr>
                <w:rStyle w:val="Lienhypertexte"/>
              </w:rPr>
              <w:t>Capacité d’adaptation et amélioration continue</w:t>
            </w:r>
            <w:r w:rsidR="000A41CA" w:rsidRPr="009C4E4B">
              <w:rPr>
                <w:webHidden/>
              </w:rPr>
              <w:tab/>
            </w:r>
            <w:r w:rsidR="000A41CA" w:rsidRPr="009C4E4B">
              <w:rPr>
                <w:b/>
                <w:bCs/>
                <w:webHidden/>
              </w:rPr>
              <w:fldChar w:fldCharType="begin"/>
            </w:r>
            <w:r w:rsidR="000A41CA" w:rsidRPr="009C4E4B">
              <w:rPr>
                <w:webHidden/>
              </w:rPr>
              <w:instrText xml:space="preserve"> PAGEREF _Toc200756021 \h </w:instrText>
            </w:r>
            <w:r w:rsidR="000A41CA" w:rsidRPr="009C4E4B">
              <w:rPr>
                <w:b/>
                <w:bCs/>
                <w:webHidden/>
              </w:rPr>
            </w:r>
            <w:r w:rsidR="000A41CA" w:rsidRPr="009C4E4B">
              <w:rPr>
                <w:b/>
                <w:bCs/>
                <w:webHidden/>
              </w:rPr>
              <w:fldChar w:fldCharType="separate"/>
            </w:r>
            <w:r w:rsidR="000A41CA" w:rsidRPr="009C4E4B">
              <w:rPr>
                <w:webHidden/>
              </w:rPr>
              <w:t>127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22" w:history="1">
            <w:r w:rsidR="000A41CA" w:rsidRPr="009C4E4B">
              <w:rPr>
                <w:rStyle w:val="Lienhypertexte"/>
              </w:rPr>
              <w:t>9.</w:t>
            </w:r>
            <w:r w:rsidR="00882F77" w:rsidRPr="009C4E4B">
              <w:rPr>
                <w:rFonts w:eastAsiaTheme="minorEastAsia"/>
                <w:kern w:val="2"/>
                <w:lang w:val="en-US" w:eastAsia="fr-FR"/>
                <w14:ligatures w14:val="standardContextual"/>
              </w:rPr>
              <w:t xml:space="preserve"> </w:t>
            </w:r>
            <w:r w:rsidR="000A41CA" w:rsidRPr="009C4E4B">
              <w:rPr>
                <w:rStyle w:val="Lienhypertexte"/>
              </w:rPr>
              <w:t>Les enjeux de la digitalisation de la GRH</w:t>
            </w:r>
            <w:r w:rsidR="000A41CA" w:rsidRPr="009C4E4B">
              <w:rPr>
                <w:webHidden/>
              </w:rPr>
              <w:tab/>
            </w:r>
            <w:r w:rsidR="000A41CA" w:rsidRPr="009C4E4B">
              <w:rPr>
                <w:b/>
                <w:bCs/>
                <w:webHidden/>
              </w:rPr>
              <w:fldChar w:fldCharType="begin"/>
            </w:r>
            <w:r w:rsidR="000A41CA" w:rsidRPr="009C4E4B">
              <w:rPr>
                <w:webHidden/>
              </w:rPr>
              <w:instrText xml:space="preserve"> PAGEREF _Toc200756022 \h </w:instrText>
            </w:r>
            <w:r w:rsidR="000A41CA" w:rsidRPr="009C4E4B">
              <w:rPr>
                <w:b/>
                <w:bCs/>
                <w:webHidden/>
              </w:rPr>
            </w:r>
            <w:r w:rsidR="000A41CA" w:rsidRPr="009C4E4B">
              <w:rPr>
                <w:b/>
                <w:bCs/>
                <w:webHidden/>
              </w:rPr>
              <w:fldChar w:fldCharType="separate"/>
            </w:r>
            <w:r w:rsidR="000A41CA" w:rsidRPr="009C4E4B">
              <w:rPr>
                <w:webHidden/>
              </w:rPr>
              <w:t>127</w:t>
            </w:r>
            <w:r w:rsidR="000A41CA" w:rsidRPr="009C4E4B">
              <w:rPr>
                <w:b/>
                <w:bCs/>
                <w:webHidden/>
              </w:rPr>
              <w:fldChar w:fldCharType="end"/>
            </w:r>
          </w:hyperlink>
        </w:p>
        <w:p w:rsidR="000A41CA" w:rsidRPr="00257B48" w:rsidRDefault="00000000" w:rsidP="00B26299">
          <w:pPr>
            <w:pStyle w:val="TM3"/>
            <w:rPr>
              <w:rFonts w:eastAsiaTheme="minorEastAsia"/>
              <w:kern w:val="2"/>
              <w:lang w:val="fr-DZ" w:eastAsia="fr-FR"/>
              <w14:ligatures w14:val="standardContextual"/>
            </w:rPr>
          </w:pPr>
          <w:hyperlink w:anchor="_Toc200756023" w:history="1">
            <w:r w:rsidR="000A41CA" w:rsidRPr="00257B48">
              <w:rPr>
                <w:rStyle w:val="Lienhypertexte"/>
                <w:b/>
                <w:bCs/>
              </w:rPr>
              <w:t>Section 3 : La digitalisation des processus RH</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_Toc200756023 \h </w:instrText>
            </w:r>
            <w:r w:rsidR="000A41CA" w:rsidRPr="00B26299">
              <w:rPr>
                <w:b/>
                <w:bCs/>
                <w:webHidden/>
              </w:rPr>
            </w:r>
            <w:r w:rsidR="000A41CA" w:rsidRPr="00B26299">
              <w:rPr>
                <w:b/>
                <w:bCs/>
                <w:webHidden/>
              </w:rPr>
              <w:fldChar w:fldCharType="separate"/>
            </w:r>
            <w:r w:rsidR="000A41CA" w:rsidRPr="00B26299">
              <w:rPr>
                <w:b/>
                <w:bCs/>
                <w:webHidden/>
              </w:rPr>
              <w:t>130</w:t>
            </w:r>
            <w:r w:rsidR="000A41CA" w:rsidRPr="00B26299">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26" w:history="1">
            <w:r w:rsidR="000A41CA" w:rsidRPr="009C4E4B">
              <w:rPr>
                <w:rStyle w:val="Lienhypertexte"/>
              </w:rPr>
              <w:t>1.</w:t>
            </w:r>
            <w:r w:rsidR="00882F77" w:rsidRPr="009C4E4B">
              <w:rPr>
                <w:rFonts w:eastAsiaTheme="minorEastAsia"/>
                <w:kern w:val="2"/>
                <w:lang w:val="en-US" w:eastAsia="fr-FR"/>
                <w14:ligatures w14:val="standardContextual"/>
              </w:rPr>
              <w:t xml:space="preserve"> </w:t>
            </w:r>
            <w:r w:rsidR="000A41CA" w:rsidRPr="009C4E4B">
              <w:rPr>
                <w:rStyle w:val="Lienhypertexte"/>
              </w:rPr>
              <w:t>L’e-recrutement : Définition, enjeux et outils</w:t>
            </w:r>
            <w:r w:rsidR="000A41CA" w:rsidRPr="009C4E4B">
              <w:rPr>
                <w:webHidden/>
              </w:rPr>
              <w:tab/>
            </w:r>
            <w:r w:rsidR="000A41CA" w:rsidRPr="009C4E4B">
              <w:rPr>
                <w:b/>
                <w:bCs/>
                <w:webHidden/>
              </w:rPr>
              <w:fldChar w:fldCharType="begin"/>
            </w:r>
            <w:r w:rsidR="000A41CA" w:rsidRPr="009C4E4B">
              <w:rPr>
                <w:webHidden/>
              </w:rPr>
              <w:instrText xml:space="preserve"> PAGEREF _Toc200756026 \h </w:instrText>
            </w:r>
            <w:r w:rsidR="000A41CA" w:rsidRPr="009C4E4B">
              <w:rPr>
                <w:b/>
                <w:bCs/>
                <w:webHidden/>
              </w:rPr>
            </w:r>
            <w:r w:rsidR="000A41CA" w:rsidRPr="009C4E4B">
              <w:rPr>
                <w:b/>
                <w:bCs/>
                <w:webHidden/>
              </w:rPr>
              <w:fldChar w:fldCharType="separate"/>
            </w:r>
            <w:r w:rsidR="000A41CA" w:rsidRPr="009C4E4B">
              <w:rPr>
                <w:webHidden/>
              </w:rPr>
              <w:t>130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27" w:history="1">
            <w:r w:rsidR="000A41CA" w:rsidRPr="009C4E4B">
              <w:rPr>
                <w:rStyle w:val="Lienhypertexte"/>
              </w:rPr>
              <w:t>1.1.</w:t>
            </w:r>
            <w:r w:rsidR="00882F77" w:rsidRPr="009C4E4B">
              <w:rPr>
                <w:rFonts w:eastAsiaTheme="minorEastAsia"/>
                <w:kern w:val="2"/>
                <w:lang w:val="en-US" w:eastAsia="fr-FR"/>
                <w14:ligatures w14:val="standardContextual"/>
              </w:rPr>
              <w:t xml:space="preserve"> </w:t>
            </w:r>
            <w:r w:rsidR="000A41CA" w:rsidRPr="009C4E4B">
              <w:rPr>
                <w:rStyle w:val="Lienhypertexte"/>
              </w:rPr>
              <w:t>Définition et évolution de l’e-recrutement</w:t>
            </w:r>
            <w:r w:rsidR="000A41CA" w:rsidRPr="009C4E4B">
              <w:rPr>
                <w:webHidden/>
              </w:rPr>
              <w:tab/>
            </w:r>
            <w:r w:rsidR="000A41CA" w:rsidRPr="009C4E4B">
              <w:rPr>
                <w:b/>
                <w:bCs/>
                <w:webHidden/>
              </w:rPr>
              <w:fldChar w:fldCharType="begin"/>
            </w:r>
            <w:r w:rsidR="000A41CA" w:rsidRPr="009C4E4B">
              <w:rPr>
                <w:webHidden/>
              </w:rPr>
              <w:instrText xml:space="preserve"> PAGEREF _Toc200756027 \h </w:instrText>
            </w:r>
            <w:r w:rsidR="000A41CA" w:rsidRPr="009C4E4B">
              <w:rPr>
                <w:b/>
                <w:bCs/>
                <w:webHidden/>
              </w:rPr>
            </w:r>
            <w:r w:rsidR="000A41CA" w:rsidRPr="009C4E4B">
              <w:rPr>
                <w:b/>
                <w:bCs/>
                <w:webHidden/>
              </w:rPr>
              <w:fldChar w:fldCharType="separate"/>
            </w:r>
            <w:r w:rsidR="000A41CA" w:rsidRPr="009C4E4B">
              <w:rPr>
                <w:webHidden/>
              </w:rPr>
              <w:t>130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28" w:history="1">
            <w:r w:rsidR="000A41CA" w:rsidRPr="009C4E4B">
              <w:rPr>
                <w:rStyle w:val="Lienhypertexte"/>
              </w:rPr>
              <w:t>1.2.</w:t>
            </w:r>
            <w:r w:rsidR="00882F77" w:rsidRPr="009C4E4B">
              <w:rPr>
                <w:rFonts w:eastAsiaTheme="minorEastAsia"/>
                <w:kern w:val="2"/>
                <w:lang w:val="en-US" w:eastAsia="fr-FR"/>
                <w14:ligatures w14:val="standardContextual"/>
              </w:rPr>
              <w:t xml:space="preserve"> </w:t>
            </w:r>
            <w:r w:rsidR="000A41CA" w:rsidRPr="009C4E4B">
              <w:rPr>
                <w:rStyle w:val="Lienhypertexte"/>
              </w:rPr>
              <w:t>Les outils de l’e-recrutement</w:t>
            </w:r>
            <w:r w:rsidR="000A41CA" w:rsidRPr="009C4E4B">
              <w:rPr>
                <w:webHidden/>
              </w:rPr>
              <w:tab/>
            </w:r>
            <w:r w:rsidR="000A41CA" w:rsidRPr="009C4E4B">
              <w:rPr>
                <w:b/>
                <w:bCs/>
                <w:webHidden/>
              </w:rPr>
              <w:fldChar w:fldCharType="begin"/>
            </w:r>
            <w:r w:rsidR="000A41CA" w:rsidRPr="009C4E4B">
              <w:rPr>
                <w:webHidden/>
              </w:rPr>
              <w:instrText xml:space="preserve"> PAGEREF _Toc200756028 \h </w:instrText>
            </w:r>
            <w:r w:rsidR="000A41CA" w:rsidRPr="009C4E4B">
              <w:rPr>
                <w:b/>
                <w:bCs/>
                <w:webHidden/>
              </w:rPr>
            </w:r>
            <w:r w:rsidR="000A41CA" w:rsidRPr="009C4E4B">
              <w:rPr>
                <w:b/>
                <w:bCs/>
                <w:webHidden/>
              </w:rPr>
              <w:fldChar w:fldCharType="separate"/>
            </w:r>
            <w:r w:rsidR="000A41CA" w:rsidRPr="009C4E4B">
              <w:rPr>
                <w:webHidden/>
              </w:rPr>
              <w:t>131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33" w:history="1">
            <w:r w:rsidR="000A41CA" w:rsidRPr="009C4E4B">
              <w:rPr>
                <w:rStyle w:val="Lienhypertexte"/>
              </w:rPr>
              <w:t>1.3.</w:t>
            </w:r>
            <w:r w:rsidR="00882F77" w:rsidRPr="009C4E4B">
              <w:rPr>
                <w:rFonts w:eastAsiaTheme="minorEastAsia"/>
                <w:kern w:val="2"/>
                <w:lang w:val="en-US" w:eastAsia="fr-FR"/>
                <w14:ligatures w14:val="standardContextual"/>
              </w:rPr>
              <w:t xml:space="preserve"> </w:t>
            </w:r>
            <w:r w:rsidR="000A41CA" w:rsidRPr="009C4E4B">
              <w:rPr>
                <w:rStyle w:val="Lienhypertexte"/>
              </w:rPr>
              <w:t>Le processus de l’e-recrutement</w:t>
            </w:r>
            <w:r w:rsidR="000A41CA" w:rsidRPr="009C4E4B">
              <w:rPr>
                <w:webHidden/>
              </w:rPr>
              <w:tab/>
            </w:r>
            <w:r w:rsidR="000A41CA" w:rsidRPr="009C4E4B">
              <w:rPr>
                <w:b/>
                <w:bCs/>
                <w:webHidden/>
              </w:rPr>
              <w:fldChar w:fldCharType="begin"/>
            </w:r>
            <w:r w:rsidR="000A41CA" w:rsidRPr="009C4E4B">
              <w:rPr>
                <w:webHidden/>
              </w:rPr>
              <w:instrText xml:space="preserve"> PAGEREF _Toc200756033 \h </w:instrText>
            </w:r>
            <w:r w:rsidR="000A41CA" w:rsidRPr="009C4E4B">
              <w:rPr>
                <w:b/>
                <w:bCs/>
                <w:webHidden/>
              </w:rPr>
            </w:r>
            <w:r w:rsidR="000A41CA" w:rsidRPr="009C4E4B">
              <w:rPr>
                <w:b/>
                <w:bCs/>
                <w:webHidden/>
              </w:rPr>
              <w:fldChar w:fldCharType="separate"/>
            </w:r>
            <w:r w:rsidR="000A41CA" w:rsidRPr="009C4E4B">
              <w:rPr>
                <w:webHidden/>
              </w:rPr>
              <w:t>134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34" w:history="1">
            <w:r w:rsidR="000A41CA" w:rsidRPr="009C4E4B">
              <w:rPr>
                <w:rStyle w:val="Lienhypertexte"/>
              </w:rPr>
              <w:t>1.3.1.</w:t>
            </w:r>
            <w:r w:rsidR="00882F77" w:rsidRPr="009C4E4B">
              <w:rPr>
                <w:rFonts w:eastAsiaTheme="minorEastAsia"/>
                <w:kern w:val="2"/>
                <w:lang w:val="en-US" w:eastAsia="fr-FR"/>
                <w14:ligatures w14:val="standardContextual"/>
              </w:rPr>
              <w:t xml:space="preserve"> </w:t>
            </w:r>
            <w:r w:rsidR="000A41CA" w:rsidRPr="009C4E4B">
              <w:rPr>
                <w:rStyle w:val="Lienhypertexte"/>
              </w:rPr>
              <w:t>Identification des besoins et rédaction de l’offre d’emploi</w:t>
            </w:r>
            <w:r w:rsidR="000A41CA" w:rsidRPr="009C4E4B">
              <w:rPr>
                <w:webHidden/>
              </w:rPr>
              <w:tab/>
            </w:r>
            <w:r w:rsidR="000A41CA" w:rsidRPr="009C4E4B">
              <w:rPr>
                <w:b/>
                <w:bCs/>
                <w:webHidden/>
              </w:rPr>
              <w:fldChar w:fldCharType="begin"/>
            </w:r>
            <w:r w:rsidR="000A41CA" w:rsidRPr="009C4E4B">
              <w:rPr>
                <w:webHidden/>
              </w:rPr>
              <w:instrText xml:space="preserve"> PAGEREF _Toc200756034 \h </w:instrText>
            </w:r>
            <w:r w:rsidR="000A41CA" w:rsidRPr="009C4E4B">
              <w:rPr>
                <w:b/>
                <w:bCs/>
                <w:webHidden/>
              </w:rPr>
            </w:r>
            <w:r w:rsidR="000A41CA" w:rsidRPr="009C4E4B">
              <w:rPr>
                <w:b/>
                <w:bCs/>
                <w:webHidden/>
              </w:rPr>
              <w:fldChar w:fldCharType="separate"/>
            </w:r>
            <w:r w:rsidR="000A41CA" w:rsidRPr="009C4E4B">
              <w:rPr>
                <w:webHidden/>
              </w:rPr>
              <w:t>135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35" w:history="1">
            <w:r w:rsidR="000A41CA" w:rsidRPr="009C4E4B">
              <w:rPr>
                <w:rStyle w:val="Lienhypertexte"/>
              </w:rPr>
              <w:t>1.3.2.</w:t>
            </w:r>
            <w:r w:rsidR="00882F77" w:rsidRPr="009C4E4B">
              <w:rPr>
                <w:rFonts w:eastAsiaTheme="minorEastAsia"/>
                <w:kern w:val="2"/>
                <w:lang w:val="en-US" w:eastAsia="fr-FR"/>
                <w14:ligatures w14:val="standardContextual"/>
              </w:rPr>
              <w:t xml:space="preserve"> </w:t>
            </w:r>
            <w:r w:rsidR="000A41CA" w:rsidRPr="009C4E4B">
              <w:rPr>
                <w:rStyle w:val="Lienhypertexte"/>
              </w:rPr>
              <w:t>Diffusion de l’offre d’emploi sur les plateformes numériques</w:t>
            </w:r>
            <w:r w:rsidR="000A41CA" w:rsidRPr="009C4E4B">
              <w:rPr>
                <w:webHidden/>
              </w:rPr>
              <w:tab/>
            </w:r>
            <w:r w:rsidR="000A41CA" w:rsidRPr="009C4E4B">
              <w:rPr>
                <w:b/>
                <w:bCs/>
                <w:webHidden/>
              </w:rPr>
              <w:fldChar w:fldCharType="begin"/>
            </w:r>
            <w:r w:rsidR="000A41CA" w:rsidRPr="009C4E4B">
              <w:rPr>
                <w:webHidden/>
              </w:rPr>
              <w:instrText xml:space="preserve"> PAGEREF _Toc200756035 \h </w:instrText>
            </w:r>
            <w:r w:rsidR="000A41CA" w:rsidRPr="009C4E4B">
              <w:rPr>
                <w:b/>
                <w:bCs/>
                <w:webHidden/>
              </w:rPr>
            </w:r>
            <w:r w:rsidR="000A41CA" w:rsidRPr="009C4E4B">
              <w:rPr>
                <w:b/>
                <w:bCs/>
                <w:webHidden/>
              </w:rPr>
              <w:fldChar w:fldCharType="separate"/>
            </w:r>
            <w:r w:rsidR="000A41CA" w:rsidRPr="009C4E4B">
              <w:rPr>
                <w:webHidden/>
              </w:rPr>
              <w:t>136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36" w:history="1">
            <w:r w:rsidR="000A41CA" w:rsidRPr="009C4E4B">
              <w:rPr>
                <w:rStyle w:val="Lienhypertexte"/>
              </w:rPr>
              <w:t>1.3.3.</w:t>
            </w:r>
            <w:r w:rsidR="00882F77" w:rsidRPr="009C4E4B">
              <w:rPr>
                <w:rFonts w:eastAsiaTheme="minorEastAsia"/>
                <w:kern w:val="2"/>
                <w:lang w:val="en-US" w:eastAsia="fr-FR"/>
                <w14:ligatures w14:val="standardContextual"/>
              </w:rPr>
              <w:t xml:space="preserve"> </w:t>
            </w:r>
            <w:r w:rsidR="000A41CA" w:rsidRPr="009C4E4B">
              <w:rPr>
                <w:rStyle w:val="Lienhypertexte"/>
              </w:rPr>
              <w:t>Présélection des candidatures et tri automatisé</w:t>
            </w:r>
            <w:r w:rsidR="000A41CA" w:rsidRPr="009C4E4B">
              <w:rPr>
                <w:webHidden/>
              </w:rPr>
              <w:tab/>
            </w:r>
            <w:r w:rsidR="000A41CA" w:rsidRPr="009C4E4B">
              <w:rPr>
                <w:b/>
                <w:bCs/>
                <w:webHidden/>
              </w:rPr>
              <w:fldChar w:fldCharType="begin"/>
            </w:r>
            <w:r w:rsidR="000A41CA" w:rsidRPr="009C4E4B">
              <w:rPr>
                <w:webHidden/>
              </w:rPr>
              <w:instrText xml:space="preserve"> PAGEREF _Toc200756036 \h </w:instrText>
            </w:r>
            <w:r w:rsidR="000A41CA" w:rsidRPr="009C4E4B">
              <w:rPr>
                <w:b/>
                <w:bCs/>
                <w:webHidden/>
              </w:rPr>
            </w:r>
            <w:r w:rsidR="000A41CA" w:rsidRPr="009C4E4B">
              <w:rPr>
                <w:b/>
                <w:bCs/>
                <w:webHidden/>
              </w:rPr>
              <w:fldChar w:fldCharType="separate"/>
            </w:r>
            <w:r w:rsidR="000A41CA" w:rsidRPr="009C4E4B">
              <w:rPr>
                <w:webHidden/>
              </w:rPr>
              <w:t>136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37" w:history="1">
            <w:r w:rsidR="000A41CA" w:rsidRPr="009C4E4B">
              <w:rPr>
                <w:rStyle w:val="Lienhypertexte"/>
              </w:rPr>
              <w:t>1.3.4.</w:t>
            </w:r>
            <w:r w:rsidR="00882F77" w:rsidRPr="009C4E4B">
              <w:rPr>
                <w:rFonts w:eastAsiaTheme="minorEastAsia"/>
                <w:kern w:val="2"/>
                <w:lang w:val="en-US" w:eastAsia="fr-FR"/>
                <w14:ligatures w14:val="standardContextual"/>
              </w:rPr>
              <w:t xml:space="preserve"> </w:t>
            </w:r>
            <w:r w:rsidR="000A41CA" w:rsidRPr="009C4E4B">
              <w:rPr>
                <w:rStyle w:val="Lienhypertexte"/>
              </w:rPr>
              <w:t>Sélection et évaluation approfondie des candidats</w:t>
            </w:r>
            <w:r w:rsidR="000A41CA" w:rsidRPr="009C4E4B">
              <w:rPr>
                <w:webHidden/>
              </w:rPr>
              <w:tab/>
            </w:r>
            <w:r w:rsidR="000A41CA" w:rsidRPr="009C4E4B">
              <w:rPr>
                <w:b/>
                <w:bCs/>
                <w:webHidden/>
              </w:rPr>
              <w:fldChar w:fldCharType="begin"/>
            </w:r>
            <w:r w:rsidR="000A41CA" w:rsidRPr="009C4E4B">
              <w:rPr>
                <w:webHidden/>
              </w:rPr>
              <w:instrText xml:space="preserve"> PAGEREF _Toc200756037 \h </w:instrText>
            </w:r>
            <w:r w:rsidR="000A41CA" w:rsidRPr="009C4E4B">
              <w:rPr>
                <w:b/>
                <w:bCs/>
                <w:webHidden/>
              </w:rPr>
            </w:r>
            <w:r w:rsidR="000A41CA" w:rsidRPr="009C4E4B">
              <w:rPr>
                <w:b/>
                <w:bCs/>
                <w:webHidden/>
              </w:rPr>
              <w:fldChar w:fldCharType="separate"/>
            </w:r>
            <w:r w:rsidR="000A41CA" w:rsidRPr="009C4E4B">
              <w:rPr>
                <w:webHidden/>
              </w:rPr>
              <w:t>136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38" w:history="1">
            <w:r w:rsidR="000A41CA" w:rsidRPr="009C4E4B">
              <w:rPr>
                <w:rStyle w:val="Lienhypertexte"/>
              </w:rPr>
              <w:t>1.3.5.</w:t>
            </w:r>
            <w:r w:rsidR="00882F77" w:rsidRPr="009C4E4B">
              <w:rPr>
                <w:rFonts w:eastAsiaTheme="minorEastAsia"/>
                <w:kern w:val="2"/>
                <w:lang w:val="en-US" w:eastAsia="fr-FR"/>
                <w14:ligatures w14:val="standardContextual"/>
              </w:rPr>
              <w:t xml:space="preserve"> </w:t>
            </w:r>
            <w:r w:rsidR="000A41CA" w:rsidRPr="009C4E4B">
              <w:rPr>
                <w:rStyle w:val="Lienhypertexte"/>
              </w:rPr>
              <w:t>Prise de décision et onboarding digitalisé</w:t>
            </w:r>
            <w:r w:rsidR="000A41CA" w:rsidRPr="009C4E4B">
              <w:rPr>
                <w:webHidden/>
              </w:rPr>
              <w:tab/>
            </w:r>
            <w:r w:rsidR="000A41CA" w:rsidRPr="009C4E4B">
              <w:rPr>
                <w:b/>
                <w:bCs/>
                <w:webHidden/>
              </w:rPr>
              <w:fldChar w:fldCharType="begin"/>
            </w:r>
            <w:r w:rsidR="000A41CA" w:rsidRPr="009C4E4B">
              <w:rPr>
                <w:webHidden/>
              </w:rPr>
              <w:instrText xml:space="preserve"> PAGEREF _Toc200756038 \h </w:instrText>
            </w:r>
            <w:r w:rsidR="000A41CA" w:rsidRPr="009C4E4B">
              <w:rPr>
                <w:b/>
                <w:bCs/>
                <w:webHidden/>
              </w:rPr>
            </w:r>
            <w:r w:rsidR="000A41CA" w:rsidRPr="009C4E4B">
              <w:rPr>
                <w:b/>
                <w:bCs/>
                <w:webHidden/>
              </w:rPr>
              <w:fldChar w:fldCharType="separate"/>
            </w:r>
            <w:r w:rsidR="000A41CA" w:rsidRPr="009C4E4B">
              <w:rPr>
                <w:webHidden/>
              </w:rPr>
              <w:t>137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39" w:history="1">
            <w:r w:rsidR="000A41CA" w:rsidRPr="009C4E4B">
              <w:rPr>
                <w:rStyle w:val="Lienhypertexte"/>
              </w:rPr>
              <w:t>1.4.</w:t>
            </w:r>
            <w:r w:rsidR="00882F77" w:rsidRPr="009C4E4B">
              <w:rPr>
                <w:rFonts w:eastAsiaTheme="minorEastAsia"/>
                <w:kern w:val="2"/>
                <w:lang w:val="en-US" w:eastAsia="fr-FR"/>
                <w14:ligatures w14:val="standardContextual"/>
              </w:rPr>
              <w:t xml:space="preserve"> </w:t>
            </w:r>
            <w:r w:rsidR="000A41CA" w:rsidRPr="009C4E4B">
              <w:rPr>
                <w:rStyle w:val="Lienhypertexte"/>
              </w:rPr>
              <w:t>Les avantages et limites de l’e-recrutement</w:t>
            </w:r>
            <w:r w:rsidR="000A41CA" w:rsidRPr="009C4E4B">
              <w:rPr>
                <w:webHidden/>
              </w:rPr>
              <w:tab/>
            </w:r>
            <w:r w:rsidR="000A41CA" w:rsidRPr="009C4E4B">
              <w:rPr>
                <w:b/>
                <w:bCs/>
                <w:webHidden/>
              </w:rPr>
              <w:fldChar w:fldCharType="begin"/>
            </w:r>
            <w:r w:rsidR="000A41CA" w:rsidRPr="009C4E4B">
              <w:rPr>
                <w:webHidden/>
              </w:rPr>
              <w:instrText xml:space="preserve"> PAGEREF _Toc200756039 \h </w:instrText>
            </w:r>
            <w:r w:rsidR="000A41CA" w:rsidRPr="009C4E4B">
              <w:rPr>
                <w:b/>
                <w:bCs/>
                <w:webHidden/>
              </w:rPr>
            </w:r>
            <w:r w:rsidR="000A41CA" w:rsidRPr="009C4E4B">
              <w:rPr>
                <w:b/>
                <w:bCs/>
                <w:webHidden/>
              </w:rPr>
              <w:fldChar w:fldCharType="separate"/>
            </w:r>
            <w:r w:rsidR="000A41CA" w:rsidRPr="009C4E4B">
              <w:rPr>
                <w:webHidden/>
              </w:rPr>
              <w:t>137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41" w:history="1">
            <w:r w:rsidR="000A41CA" w:rsidRPr="009C4E4B">
              <w:rPr>
                <w:rStyle w:val="Lienhypertexte"/>
              </w:rPr>
              <w:t>2.</w:t>
            </w:r>
            <w:r w:rsidR="00882F77" w:rsidRPr="009C4E4B">
              <w:rPr>
                <w:rFonts w:eastAsiaTheme="minorEastAsia"/>
                <w:kern w:val="2"/>
                <w:lang w:val="en-US" w:eastAsia="fr-FR"/>
                <w14:ligatures w14:val="standardContextual"/>
              </w:rPr>
              <w:t xml:space="preserve"> </w:t>
            </w:r>
            <w:r w:rsidR="000A41CA" w:rsidRPr="009C4E4B">
              <w:rPr>
                <w:rStyle w:val="Lienhypertexte"/>
              </w:rPr>
              <w:t>L’e-formation : Définition, enjeux et outils</w:t>
            </w:r>
            <w:r w:rsidR="000A41CA" w:rsidRPr="009C4E4B">
              <w:rPr>
                <w:webHidden/>
              </w:rPr>
              <w:tab/>
            </w:r>
            <w:r w:rsidR="000A41CA" w:rsidRPr="009C4E4B">
              <w:rPr>
                <w:b/>
                <w:bCs/>
                <w:webHidden/>
              </w:rPr>
              <w:fldChar w:fldCharType="begin"/>
            </w:r>
            <w:r w:rsidR="000A41CA" w:rsidRPr="009C4E4B">
              <w:rPr>
                <w:webHidden/>
              </w:rPr>
              <w:instrText xml:space="preserve"> PAGEREF _Toc200756041 \h </w:instrText>
            </w:r>
            <w:r w:rsidR="000A41CA" w:rsidRPr="009C4E4B">
              <w:rPr>
                <w:b/>
                <w:bCs/>
                <w:webHidden/>
              </w:rPr>
            </w:r>
            <w:r w:rsidR="000A41CA" w:rsidRPr="009C4E4B">
              <w:rPr>
                <w:b/>
                <w:bCs/>
                <w:webHidden/>
              </w:rPr>
              <w:fldChar w:fldCharType="separate"/>
            </w:r>
            <w:r w:rsidR="000A41CA" w:rsidRPr="009C4E4B">
              <w:rPr>
                <w:webHidden/>
              </w:rPr>
              <w:t>139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42" w:history="1">
            <w:r w:rsidR="000A41CA" w:rsidRPr="009C4E4B">
              <w:rPr>
                <w:rStyle w:val="Lienhypertexte"/>
              </w:rPr>
              <w:t>2.1.</w:t>
            </w:r>
            <w:r w:rsidR="00882F77" w:rsidRPr="009C4E4B">
              <w:rPr>
                <w:rFonts w:eastAsiaTheme="minorEastAsia"/>
                <w:kern w:val="2"/>
                <w:lang w:val="en-US" w:eastAsia="fr-FR"/>
                <w14:ligatures w14:val="standardContextual"/>
              </w:rPr>
              <w:t xml:space="preserve"> </w:t>
            </w:r>
            <w:r w:rsidR="000A41CA" w:rsidRPr="009C4E4B">
              <w:rPr>
                <w:rStyle w:val="Lienhypertexte"/>
              </w:rPr>
              <w:t>Définition et évolution de l’e-formation</w:t>
            </w:r>
            <w:r w:rsidR="000A41CA" w:rsidRPr="009C4E4B">
              <w:rPr>
                <w:webHidden/>
              </w:rPr>
              <w:tab/>
            </w:r>
            <w:r w:rsidR="000A41CA" w:rsidRPr="009C4E4B">
              <w:rPr>
                <w:b/>
                <w:bCs/>
                <w:webHidden/>
              </w:rPr>
              <w:fldChar w:fldCharType="begin"/>
            </w:r>
            <w:r w:rsidR="000A41CA" w:rsidRPr="009C4E4B">
              <w:rPr>
                <w:webHidden/>
              </w:rPr>
              <w:instrText xml:space="preserve"> PAGEREF _Toc200756042 \h </w:instrText>
            </w:r>
            <w:r w:rsidR="000A41CA" w:rsidRPr="009C4E4B">
              <w:rPr>
                <w:b/>
                <w:bCs/>
                <w:webHidden/>
              </w:rPr>
            </w:r>
            <w:r w:rsidR="000A41CA" w:rsidRPr="009C4E4B">
              <w:rPr>
                <w:b/>
                <w:bCs/>
                <w:webHidden/>
              </w:rPr>
              <w:fldChar w:fldCharType="separate"/>
            </w:r>
            <w:r w:rsidR="000A41CA" w:rsidRPr="009C4E4B">
              <w:rPr>
                <w:webHidden/>
              </w:rPr>
              <w:t>139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43" w:history="1">
            <w:r w:rsidR="000A41CA" w:rsidRPr="009C4E4B">
              <w:rPr>
                <w:rStyle w:val="Lienhypertexte"/>
              </w:rPr>
              <w:t>2.2.</w:t>
            </w:r>
            <w:r w:rsidR="00882F77" w:rsidRPr="009C4E4B">
              <w:rPr>
                <w:rFonts w:eastAsiaTheme="minorEastAsia"/>
                <w:kern w:val="2"/>
                <w:lang w:val="en-US" w:eastAsia="fr-FR"/>
                <w14:ligatures w14:val="standardContextual"/>
              </w:rPr>
              <w:t xml:space="preserve"> </w:t>
            </w:r>
            <w:r w:rsidR="000A41CA" w:rsidRPr="009C4E4B">
              <w:rPr>
                <w:rStyle w:val="Lienhypertexte"/>
              </w:rPr>
              <w:t>Les outils de l’e-formation</w:t>
            </w:r>
            <w:r w:rsidR="000A41CA" w:rsidRPr="009C4E4B">
              <w:rPr>
                <w:webHidden/>
              </w:rPr>
              <w:tab/>
            </w:r>
            <w:r w:rsidR="000A41CA" w:rsidRPr="009C4E4B">
              <w:rPr>
                <w:b/>
                <w:bCs/>
                <w:webHidden/>
              </w:rPr>
              <w:fldChar w:fldCharType="begin"/>
            </w:r>
            <w:r w:rsidR="000A41CA" w:rsidRPr="009C4E4B">
              <w:rPr>
                <w:webHidden/>
              </w:rPr>
              <w:instrText xml:space="preserve"> PAGEREF _Toc200756043 \h </w:instrText>
            </w:r>
            <w:r w:rsidR="000A41CA" w:rsidRPr="009C4E4B">
              <w:rPr>
                <w:b/>
                <w:bCs/>
                <w:webHidden/>
              </w:rPr>
            </w:r>
            <w:r w:rsidR="000A41CA" w:rsidRPr="009C4E4B">
              <w:rPr>
                <w:b/>
                <w:bCs/>
                <w:webHidden/>
              </w:rPr>
              <w:fldChar w:fldCharType="separate"/>
            </w:r>
            <w:r w:rsidR="000A41CA" w:rsidRPr="009C4E4B">
              <w:rPr>
                <w:webHidden/>
              </w:rPr>
              <w:t>141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50" w:history="1">
            <w:r w:rsidR="000A41CA" w:rsidRPr="009C4E4B">
              <w:rPr>
                <w:rStyle w:val="Lienhypertexte"/>
              </w:rPr>
              <w:t>2.3.</w:t>
            </w:r>
            <w:r w:rsidR="00882F77" w:rsidRPr="009C4E4B">
              <w:rPr>
                <w:rFonts w:eastAsiaTheme="minorEastAsia"/>
                <w:kern w:val="2"/>
                <w:lang w:val="en-US" w:eastAsia="fr-FR"/>
                <w14:ligatures w14:val="standardContextual"/>
              </w:rPr>
              <w:t xml:space="preserve"> </w:t>
            </w:r>
            <w:r w:rsidR="000A41CA" w:rsidRPr="009C4E4B">
              <w:rPr>
                <w:rStyle w:val="Lienhypertexte"/>
              </w:rPr>
              <w:t>Les avantages et les défis de l’e-formation</w:t>
            </w:r>
            <w:r w:rsidR="000A41CA" w:rsidRPr="009C4E4B">
              <w:rPr>
                <w:webHidden/>
              </w:rPr>
              <w:tab/>
            </w:r>
            <w:r w:rsidR="000A41CA" w:rsidRPr="009C4E4B">
              <w:rPr>
                <w:b/>
                <w:bCs/>
                <w:webHidden/>
              </w:rPr>
              <w:fldChar w:fldCharType="begin"/>
            </w:r>
            <w:r w:rsidR="000A41CA" w:rsidRPr="009C4E4B">
              <w:rPr>
                <w:webHidden/>
              </w:rPr>
              <w:instrText xml:space="preserve"> PAGEREF _Toc200756050 \h </w:instrText>
            </w:r>
            <w:r w:rsidR="000A41CA" w:rsidRPr="009C4E4B">
              <w:rPr>
                <w:b/>
                <w:bCs/>
                <w:webHidden/>
              </w:rPr>
            </w:r>
            <w:r w:rsidR="000A41CA" w:rsidRPr="009C4E4B">
              <w:rPr>
                <w:b/>
                <w:bCs/>
                <w:webHidden/>
              </w:rPr>
              <w:fldChar w:fldCharType="separate"/>
            </w:r>
            <w:r w:rsidR="000A41CA" w:rsidRPr="009C4E4B">
              <w:rPr>
                <w:webHidden/>
              </w:rPr>
              <w:t>145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63" w:history="1">
            <w:r w:rsidR="000A41CA" w:rsidRPr="009C4E4B">
              <w:rPr>
                <w:rStyle w:val="Lienhypertexte"/>
              </w:rPr>
              <w:t>2.4.</w:t>
            </w:r>
            <w:r w:rsidR="00882F77" w:rsidRPr="009C4E4B">
              <w:rPr>
                <w:rFonts w:eastAsiaTheme="minorEastAsia"/>
                <w:kern w:val="2"/>
                <w:lang w:val="en-US" w:eastAsia="fr-FR"/>
                <w14:ligatures w14:val="standardContextual"/>
              </w:rPr>
              <w:t xml:space="preserve"> </w:t>
            </w:r>
            <w:r w:rsidR="000A41CA" w:rsidRPr="009C4E4B">
              <w:rPr>
                <w:rStyle w:val="Lienhypertexte"/>
              </w:rPr>
              <w:t>Le processus de l’e-formation</w:t>
            </w:r>
            <w:r w:rsidR="000A41CA" w:rsidRPr="009C4E4B">
              <w:rPr>
                <w:webHidden/>
              </w:rPr>
              <w:tab/>
            </w:r>
            <w:r w:rsidR="000A41CA" w:rsidRPr="009C4E4B">
              <w:rPr>
                <w:b/>
                <w:bCs/>
                <w:webHidden/>
              </w:rPr>
              <w:fldChar w:fldCharType="begin"/>
            </w:r>
            <w:r w:rsidR="000A41CA" w:rsidRPr="009C4E4B">
              <w:rPr>
                <w:webHidden/>
              </w:rPr>
              <w:instrText xml:space="preserve"> PAGEREF _Toc200756063 \h </w:instrText>
            </w:r>
            <w:r w:rsidR="000A41CA" w:rsidRPr="009C4E4B">
              <w:rPr>
                <w:b/>
                <w:bCs/>
                <w:webHidden/>
              </w:rPr>
            </w:r>
            <w:r w:rsidR="000A41CA" w:rsidRPr="009C4E4B">
              <w:rPr>
                <w:b/>
                <w:bCs/>
                <w:webHidden/>
              </w:rPr>
              <w:fldChar w:fldCharType="separate"/>
            </w:r>
            <w:r w:rsidR="000A41CA" w:rsidRPr="009C4E4B">
              <w:rPr>
                <w:webHidden/>
              </w:rPr>
              <w:t>147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64" w:history="1">
            <w:r w:rsidR="000A41CA" w:rsidRPr="009C4E4B">
              <w:rPr>
                <w:rStyle w:val="Lienhypertexte"/>
              </w:rPr>
              <w:t>2.4.1.</w:t>
            </w:r>
            <w:r w:rsidR="00861F90" w:rsidRPr="009C4E4B">
              <w:rPr>
                <w:rFonts w:eastAsiaTheme="minorEastAsia"/>
                <w:kern w:val="2"/>
                <w:lang w:val="en-US" w:eastAsia="fr-FR"/>
                <w14:ligatures w14:val="standardContextual"/>
              </w:rPr>
              <w:t xml:space="preserve"> </w:t>
            </w:r>
            <w:r w:rsidR="000A41CA" w:rsidRPr="009C4E4B">
              <w:rPr>
                <w:rStyle w:val="Lienhypertexte"/>
              </w:rPr>
              <w:t>Analyse des besoins en formation</w:t>
            </w:r>
            <w:r w:rsidR="000A41CA" w:rsidRPr="009C4E4B">
              <w:rPr>
                <w:webHidden/>
              </w:rPr>
              <w:tab/>
            </w:r>
            <w:r w:rsidR="000A41CA" w:rsidRPr="009C4E4B">
              <w:rPr>
                <w:b/>
                <w:bCs/>
                <w:webHidden/>
              </w:rPr>
              <w:fldChar w:fldCharType="begin"/>
            </w:r>
            <w:r w:rsidR="000A41CA" w:rsidRPr="009C4E4B">
              <w:rPr>
                <w:webHidden/>
              </w:rPr>
              <w:instrText xml:space="preserve"> PAGEREF _Toc200756064 \h </w:instrText>
            </w:r>
            <w:r w:rsidR="000A41CA" w:rsidRPr="009C4E4B">
              <w:rPr>
                <w:b/>
                <w:bCs/>
                <w:webHidden/>
              </w:rPr>
            </w:r>
            <w:r w:rsidR="000A41CA" w:rsidRPr="009C4E4B">
              <w:rPr>
                <w:b/>
                <w:bCs/>
                <w:webHidden/>
              </w:rPr>
              <w:fldChar w:fldCharType="separate"/>
            </w:r>
            <w:r w:rsidR="000A41CA" w:rsidRPr="009C4E4B">
              <w:rPr>
                <w:webHidden/>
              </w:rPr>
              <w:t>147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65" w:history="1">
            <w:r w:rsidR="000A41CA" w:rsidRPr="009C4E4B">
              <w:rPr>
                <w:rStyle w:val="Lienhypertexte"/>
              </w:rPr>
              <w:t>2.4.2.</w:t>
            </w:r>
            <w:r w:rsidR="00861F90" w:rsidRPr="009C4E4B">
              <w:rPr>
                <w:rFonts w:eastAsiaTheme="minorEastAsia"/>
                <w:kern w:val="2"/>
                <w:lang w:val="en-US" w:eastAsia="fr-FR"/>
                <w14:ligatures w14:val="standardContextual"/>
              </w:rPr>
              <w:t xml:space="preserve"> </w:t>
            </w:r>
            <w:r w:rsidR="000A41CA" w:rsidRPr="009C4E4B">
              <w:rPr>
                <w:rStyle w:val="Lienhypertexte"/>
              </w:rPr>
              <w:t>Conception et digitalisation des contenus pédagogiques</w:t>
            </w:r>
            <w:r w:rsidR="000A41CA" w:rsidRPr="009C4E4B">
              <w:rPr>
                <w:webHidden/>
              </w:rPr>
              <w:tab/>
            </w:r>
            <w:r w:rsidR="000A41CA" w:rsidRPr="009C4E4B">
              <w:rPr>
                <w:b/>
                <w:bCs/>
                <w:webHidden/>
              </w:rPr>
              <w:fldChar w:fldCharType="begin"/>
            </w:r>
            <w:r w:rsidR="000A41CA" w:rsidRPr="009C4E4B">
              <w:rPr>
                <w:webHidden/>
              </w:rPr>
              <w:instrText xml:space="preserve"> PAGEREF _Toc200756065 \h </w:instrText>
            </w:r>
            <w:r w:rsidR="000A41CA" w:rsidRPr="009C4E4B">
              <w:rPr>
                <w:b/>
                <w:bCs/>
                <w:webHidden/>
              </w:rPr>
            </w:r>
            <w:r w:rsidR="000A41CA" w:rsidRPr="009C4E4B">
              <w:rPr>
                <w:b/>
                <w:bCs/>
                <w:webHidden/>
              </w:rPr>
              <w:fldChar w:fldCharType="separate"/>
            </w:r>
            <w:r w:rsidR="000A41CA" w:rsidRPr="009C4E4B">
              <w:rPr>
                <w:webHidden/>
              </w:rPr>
              <w:t>148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66" w:history="1">
            <w:r w:rsidR="000A41CA" w:rsidRPr="009C4E4B">
              <w:rPr>
                <w:rStyle w:val="Lienhypertexte"/>
              </w:rPr>
              <w:t>2.4.3.</w:t>
            </w:r>
            <w:r w:rsidR="00861F90" w:rsidRPr="009C4E4B">
              <w:rPr>
                <w:rFonts w:eastAsiaTheme="minorEastAsia"/>
                <w:kern w:val="2"/>
                <w:lang w:val="en-US" w:eastAsia="fr-FR"/>
                <w14:ligatures w14:val="standardContextual"/>
              </w:rPr>
              <w:t xml:space="preserve"> </w:t>
            </w:r>
            <w:r w:rsidR="000A41CA" w:rsidRPr="009C4E4B">
              <w:rPr>
                <w:rStyle w:val="Lienhypertexte"/>
              </w:rPr>
              <w:t>Mise en place des plateformes de formation et déploiement</w:t>
            </w:r>
            <w:r w:rsidR="000A41CA" w:rsidRPr="009C4E4B">
              <w:rPr>
                <w:webHidden/>
              </w:rPr>
              <w:tab/>
            </w:r>
            <w:r w:rsidR="000A41CA" w:rsidRPr="009C4E4B">
              <w:rPr>
                <w:b/>
                <w:bCs/>
                <w:webHidden/>
              </w:rPr>
              <w:fldChar w:fldCharType="begin"/>
            </w:r>
            <w:r w:rsidR="000A41CA" w:rsidRPr="009C4E4B">
              <w:rPr>
                <w:webHidden/>
              </w:rPr>
              <w:instrText xml:space="preserve"> PAGEREF _Toc200756066 \h </w:instrText>
            </w:r>
            <w:r w:rsidR="000A41CA" w:rsidRPr="009C4E4B">
              <w:rPr>
                <w:b/>
                <w:bCs/>
                <w:webHidden/>
              </w:rPr>
            </w:r>
            <w:r w:rsidR="000A41CA" w:rsidRPr="009C4E4B">
              <w:rPr>
                <w:b/>
                <w:bCs/>
                <w:webHidden/>
              </w:rPr>
              <w:fldChar w:fldCharType="separate"/>
            </w:r>
            <w:r w:rsidR="000A41CA" w:rsidRPr="009C4E4B">
              <w:rPr>
                <w:webHidden/>
              </w:rPr>
              <w:t>148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67" w:history="1">
            <w:r w:rsidR="000A41CA" w:rsidRPr="009C4E4B">
              <w:rPr>
                <w:rStyle w:val="Lienhypertexte"/>
              </w:rPr>
              <w:t>2.4.4.</w:t>
            </w:r>
            <w:r w:rsidR="00861F90" w:rsidRPr="009C4E4B">
              <w:rPr>
                <w:rFonts w:eastAsiaTheme="minorEastAsia"/>
                <w:kern w:val="2"/>
                <w:lang w:val="en-US" w:eastAsia="fr-FR"/>
                <w14:ligatures w14:val="standardContextual"/>
              </w:rPr>
              <w:t xml:space="preserve"> </w:t>
            </w:r>
            <w:r w:rsidR="000A41CA" w:rsidRPr="009C4E4B">
              <w:rPr>
                <w:rStyle w:val="Lienhypertexte"/>
              </w:rPr>
              <w:t>Suivi et évaluation des compétences acquises</w:t>
            </w:r>
            <w:r w:rsidR="000A41CA" w:rsidRPr="009C4E4B">
              <w:rPr>
                <w:webHidden/>
              </w:rPr>
              <w:tab/>
            </w:r>
            <w:r w:rsidR="000A41CA" w:rsidRPr="009C4E4B">
              <w:rPr>
                <w:b/>
                <w:bCs/>
                <w:webHidden/>
              </w:rPr>
              <w:fldChar w:fldCharType="begin"/>
            </w:r>
            <w:r w:rsidR="000A41CA" w:rsidRPr="009C4E4B">
              <w:rPr>
                <w:webHidden/>
              </w:rPr>
              <w:instrText xml:space="preserve"> PAGEREF _Toc200756067 \h </w:instrText>
            </w:r>
            <w:r w:rsidR="000A41CA" w:rsidRPr="009C4E4B">
              <w:rPr>
                <w:b/>
                <w:bCs/>
                <w:webHidden/>
              </w:rPr>
            </w:r>
            <w:r w:rsidR="000A41CA" w:rsidRPr="009C4E4B">
              <w:rPr>
                <w:b/>
                <w:bCs/>
                <w:webHidden/>
              </w:rPr>
              <w:fldChar w:fldCharType="separate"/>
            </w:r>
            <w:r w:rsidR="000A41CA" w:rsidRPr="009C4E4B">
              <w:rPr>
                <w:webHidden/>
              </w:rPr>
              <w:t>148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68" w:history="1">
            <w:r w:rsidR="000A41CA" w:rsidRPr="009C4E4B">
              <w:rPr>
                <w:rStyle w:val="Lienhypertexte"/>
              </w:rPr>
              <w:t>2.4.5.</w:t>
            </w:r>
            <w:r w:rsidR="00861F90" w:rsidRPr="009C4E4B">
              <w:rPr>
                <w:rFonts w:eastAsiaTheme="minorEastAsia"/>
                <w:kern w:val="2"/>
                <w:lang w:val="en-US" w:eastAsia="fr-FR"/>
                <w14:ligatures w14:val="standardContextual"/>
              </w:rPr>
              <w:t xml:space="preserve"> </w:t>
            </w:r>
            <w:r w:rsidR="000A41CA" w:rsidRPr="009C4E4B">
              <w:rPr>
                <w:rStyle w:val="Lienhypertexte"/>
              </w:rPr>
              <w:t>Intégration des compétences et application en entreprise</w:t>
            </w:r>
            <w:r w:rsidR="000A41CA" w:rsidRPr="009C4E4B">
              <w:rPr>
                <w:webHidden/>
              </w:rPr>
              <w:tab/>
            </w:r>
            <w:r w:rsidR="000A41CA" w:rsidRPr="009C4E4B">
              <w:rPr>
                <w:b/>
                <w:bCs/>
                <w:webHidden/>
              </w:rPr>
              <w:fldChar w:fldCharType="begin"/>
            </w:r>
            <w:r w:rsidR="000A41CA" w:rsidRPr="009C4E4B">
              <w:rPr>
                <w:webHidden/>
              </w:rPr>
              <w:instrText xml:space="preserve"> PAGEREF _Toc200756068 \h </w:instrText>
            </w:r>
            <w:r w:rsidR="000A41CA" w:rsidRPr="009C4E4B">
              <w:rPr>
                <w:b/>
                <w:bCs/>
                <w:webHidden/>
              </w:rPr>
            </w:r>
            <w:r w:rsidR="000A41CA" w:rsidRPr="009C4E4B">
              <w:rPr>
                <w:b/>
                <w:bCs/>
                <w:webHidden/>
              </w:rPr>
              <w:fldChar w:fldCharType="separate"/>
            </w:r>
            <w:r w:rsidR="000A41CA" w:rsidRPr="009C4E4B">
              <w:rPr>
                <w:webHidden/>
              </w:rPr>
              <w:t>149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69" w:history="1">
            <w:r w:rsidR="000A41CA" w:rsidRPr="009C4E4B">
              <w:rPr>
                <w:rStyle w:val="Lienhypertexte"/>
              </w:rPr>
              <w:t>3.</w:t>
            </w:r>
            <w:r w:rsidR="00861F90" w:rsidRPr="009C4E4B">
              <w:rPr>
                <w:rFonts w:eastAsiaTheme="minorEastAsia"/>
                <w:kern w:val="2"/>
                <w:lang w:val="en-US" w:eastAsia="fr-FR"/>
                <w14:ligatures w14:val="standardContextual"/>
              </w:rPr>
              <w:t xml:space="preserve"> </w:t>
            </w:r>
            <w:r w:rsidR="000A41CA" w:rsidRPr="009C4E4B">
              <w:rPr>
                <w:rStyle w:val="Lienhypertexte"/>
              </w:rPr>
              <w:t>La complémentarité entre digitalisation et l’approche hybride</w:t>
            </w:r>
            <w:r w:rsidR="000A41CA" w:rsidRPr="009C4E4B">
              <w:rPr>
                <w:webHidden/>
              </w:rPr>
              <w:tab/>
            </w:r>
            <w:r w:rsidR="000A41CA" w:rsidRPr="009C4E4B">
              <w:rPr>
                <w:b/>
                <w:bCs/>
                <w:webHidden/>
              </w:rPr>
              <w:fldChar w:fldCharType="begin"/>
            </w:r>
            <w:r w:rsidR="000A41CA" w:rsidRPr="009C4E4B">
              <w:rPr>
                <w:webHidden/>
              </w:rPr>
              <w:instrText xml:space="preserve"> PAGEREF _Toc200756069 \h </w:instrText>
            </w:r>
            <w:r w:rsidR="000A41CA" w:rsidRPr="009C4E4B">
              <w:rPr>
                <w:b/>
                <w:bCs/>
                <w:webHidden/>
              </w:rPr>
            </w:r>
            <w:r w:rsidR="000A41CA" w:rsidRPr="009C4E4B">
              <w:rPr>
                <w:b/>
                <w:bCs/>
                <w:webHidden/>
              </w:rPr>
              <w:fldChar w:fldCharType="separate"/>
            </w:r>
            <w:r w:rsidR="000A41CA" w:rsidRPr="009C4E4B">
              <w:rPr>
                <w:webHidden/>
              </w:rPr>
              <w:t>149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70" w:history="1">
            <w:r w:rsidR="000A41CA" w:rsidRPr="009C4E4B">
              <w:rPr>
                <w:rStyle w:val="Lienhypertexte"/>
              </w:rPr>
              <w:t>3.1.</w:t>
            </w:r>
            <w:r w:rsidR="00861F90" w:rsidRPr="009C4E4B">
              <w:rPr>
                <w:rFonts w:eastAsiaTheme="minorEastAsia"/>
                <w:kern w:val="2"/>
                <w:lang w:val="en-US" w:eastAsia="fr-FR"/>
                <w14:ligatures w14:val="standardContextual"/>
              </w:rPr>
              <w:t xml:space="preserve"> </w:t>
            </w:r>
            <w:r w:rsidR="000A41CA" w:rsidRPr="009C4E4B">
              <w:rPr>
                <w:rStyle w:val="Lienhypertexte"/>
              </w:rPr>
              <w:t>Les limites d’un modèle 100% digital</w:t>
            </w:r>
            <w:r w:rsidR="000A41CA" w:rsidRPr="009C4E4B">
              <w:rPr>
                <w:webHidden/>
              </w:rPr>
              <w:tab/>
            </w:r>
            <w:r w:rsidR="000A41CA" w:rsidRPr="009C4E4B">
              <w:rPr>
                <w:b/>
                <w:bCs/>
                <w:webHidden/>
              </w:rPr>
              <w:fldChar w:fldCharType="begin"/>
            </w:r>
            <w:r w:rsidR="000A41CA" w:rsidRPr="009C4E4B">
              <w:rPr>
                <w:webHidden/>
              </w:rPr>
              <w:instrText xml:space="preserve"> PAGEREF _Toc200756070 \h </w:instrText>
            </w:r>
            <w:r w:rsidR="000A41CA" w:rsidRPr="009C4E4B">
              <w:rPr>
                <w:b/>
                <w:bCs/>
                <w:webHidden/>
              </w:rPr>
            </w:r>
            <w:r w:rsidR="000A41CA" w:rsidRPr="009C4E4B">
              <w:rPr>
                <w:b/>
                <w:bCs/>
                <w:webHidden/>
              </w:rPr>
              <w:fldChar w:fldCharType="separate"/>
            </w:r>
            <w:r w:rsidR="000A41CA" w:rsidRPr="009C4E4B">
              <w:rPr>
                <w:webHidden/>
              </w:rPr>
              <w:t>149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71" w:history="1">
            <w:r w:rsidR="000A41CA" w:rsidRPr="009C4E4B">
              <w:rPr>
                <w:rStyle w:val="Lienhypertexte"/>
              </w:rPr>
              <w:t>3.2.</w:t>
            </w:r>
            <w:r w:rsidR="00861F90" w:rsidRPr="009C4E4B">
              <w:rPr>
                <w:rFonts w:eastAsiaTheme="minorEastAsia"/>
                <w:kern w:val="2"/>
                <w:lang w:val="en-US" w:eastAsia="fr-FR"/>
                <w14:ligatures w14:val="standardContextual"/>
              </w:rPr>
              <w:t xml:space="preserve"> </w:t>
            </w:r>
            <w:r w:rsidR="000A41CA" w:rsidRPr="009C4E4B">
              <w:rPr>
                <w:rStyle w:val="Lienhypertexte"/>
              </w:rPr>
              <w:t>L’intérêt d’un modèle hybride</w:t>
            </w:r>
            <w:r w:rsidR="000A41CA" w:rsidRPr="009C4E4B">
              <w:rPr>
                <w:webHidden/>
              </w:rPr>
              <w:tab/>
            </w:r>
            <w:r w:rsidR="000A41CA" w:rsidRPr="009C4E4B">
              <w:rPr>
                <w:b/>
                <w:bCs/>
                <w:webHidden/>
              </w:rPr>
              <w:fldChar w:fldCharType="begin"/>
            </w:r>
            <w:r w:rsidR="000A41CA" w:rsidRPr="009C4E4B">
              <w:rPr>
                <w:webHidden/>
              </w:rPr>
              <w:instrText xml:space="preserve"> PAGEREF _Toc200756071 \h </w:instrText>
            </w:r>
            <w:r w:rsidR="000A41CA" w:rsidRPr="009C4E4B">
              <w:rPr>
                <w:b/>
                <w:bCs/>
                <w:webHidden/>
              </w:rPr>
            </w:r>
            <w:r w:rsidR="000A41CA" w:rsidRPr="009C4E4B">
              <w:rPr>
                <w:b/>
                <w:bCs/>
                <w:webHidden/>
              </w:rPr>
              <w:fldChar w:fldCharType="separate"/>
            </w:r>
            <w:r w:rsidR="000A41CA" w:rsidRPr="009C4E4B">
              <w:rPr>
                <w:webHidden/>
              </w:rPr>
              <w:t>151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72" w:history="1">
            <w:r w:rsidR="000A41CA" w:rsidRPr="009C4E4B">
              <w:rPr>
                <w:rStyle w:val="Lienhypertexte"/>
              </w:rPr>
              <w:t>4.</w:t>
            </w:r>
            <w:r w:rsidR="00861F90" w:rsidRPr="009C4E4B">
              <w:rPr>
                <w:rFonts w:eastAsiaTheme="minorEastAsia"/>
                <w:kern w:val="2"/>
                <w:lang w:val="en-US" w:eastAsia="fr-FR"/>
                <w14:ligatures w14:val="standardContextual"/>
              </w:rPr>
              <w:t xml:space="preserve"> </w:t>
            </w:r>
            <w:r w:rsidR="000A41CA" w:rsidRPr="009C4E4B">
              <w:rPr>
                <w:rStyle w:val="Lienhypertexte"/>
              </w:rPr>
              <w:t>Impact de l’e-recrutement et de l’e-formation sur la gestion prévisionnelle des RH</w:t>
            </w:r>
            <w:r w:rsidR="000A41CA" w:rsidRPr="009C4E4B">
              <w:rPr>
                <w:webHidden/>
              </w:rPr>
              <w:tab/>
            </w:r>
            <w:r w:rsidR="000A41CA" w:rsidRPr="009C4E4B">
              <w:rPr>
                <w:b/>
                <w:bCs/>
                <w:webHidden/>
              </w:rPr>
              <w:fldChar w:fldCharType="begin"/>
            </w:r>
            <w:r w:rsidR="000A41CA" w:rsidRPr="009C4E4B">
              <w:rPr>
                <w:webHidden/>
              </w:rPr>
              <w:instrText xml:space="preserve"> PAGEREF _Toc200756072 \h </w:instrText>
            </w:r>
            <w:r w:rsidR="000A41CA" w:rsidRPr="009C4E4B">
              <w:rPr>
                <w:b/>
                <w:bCs/>
                <w:webHidden/>
              </w:rPr>
            </w:r>
            <w:r w:rsidR="000A41CA" w:rsidRPr="009C4E4B">
              <w:rPr>
                <w:b/>
                <w:bCs/>
                <w:webHidden/>
              </w:rPr>
              <w:fldChar w:fldCharType="separate"/>
            </w:r>
            <w:r w:rsidR="000A41CA" w:rsidRPr="009C4E4B">
              <w:rPr>
                <w:webHidden/>
              </w:rPr>
              <w:t>151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73" w:history="1">
            <w:r w:rsidR="000A41CA" w:rsidRPr="009C4E4B">
              <w:rPr>
                <w:rStyle w:val="Lienhypertexte"/>
              </w:rPr>
              <w:t>4.1.</w:t>
            </w:r>
            <w:r w:rsidR="00861F90" w:rsidRPr="009C4E4B">
              <w:rPr>
                <w:rFonts w:eastAsiaTheme="minorEastAsia"/>
                <w:kern w:val="2"/>
                <w:lang w:val="en-US" w:eastAsia="fr-FR"/>
                <w14:ligatures w14:val="standardContextual"/>
              </w:rPr>
              <w:t xml:space="preserve"> </w:t>
            </w:r>
            <w:r w:rsidR="000A41CA" w:rsidRPr="009C4E4B">
              <w:rPr>
                <w:rStyle w:val="Lienhypertexte"/>
              </w:rPr>
              <w:t>L’e-recrutement et son impact sur la gestion prévisionnelle des RH</w:t>
            </w:r>
            <w:r w:rsidR="000A41CA" w:rsidRPr="009C4E4B">
              <w:rPr>
                <w:webHidden/>
              </w:rPr>
              <w:tab/>
            </w:r>
            <w:r w:rsidR="000A41CA" w:rsidRPr="009C4E4B">
              <w:rPr>
                <w:b/>
                <w:bCs/>
                <w:webHidden/>
              </w:rPr>
              <w:fldChar w:fldCharType="begin"/>
            </w:r>
            <w:r w:rsidR="000A41CA" w:rsidRPr="009C4E4B">
              <w:rPr>
                <w:webHidden/>
              </w:rPr>
              <w:instrText xml:space="preserve"> PAGEREF _Toc200756073 \h </w:instrText>
            </w:r>
            <w:r w:rsidR="000A41CA" w:rsidRPr="009C4E4B">
              <w:rPr>
                <w:b/>
                <w:bCs/>
                <w:webHidden/>
              </w:rPr>
            </w:r>
            <w:r w:rsidR="000A41CA" w:rsidRPr="009C4E4B">
              <w:rPr>
                <w:b/>
                <w:bCs/>
                <w:webHidden/>
              </w:rPr>
              <w:fldChar w:fldCharType="separate"/>
            </w:r>
            <w:r w:rsidR="000A41CA" w:rsidRPr="009C4E4B">
              <w:rPr>
                <w:webHidden/>
              </w:rPr>
              <w:t>152</w:t>
            </w:r>
            <w:r w:rsidR="000A41CA" w:rsidRPr="009C4E4B">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6074" w:history="1">
            <w:r w:rsidR="000A41CA" w:rsidRPr="009C4E4B">
              <w:rPr>
                <w:rStyle w:val="Lienhypertexte"/>
              </w:rPr>
              <w:t>4.2.</w:t>
            </w:r>
            <w:r w:rsidR="00861F90" w:rsidRPr="009C4E4B">
              <w:rPr>
                <w:rFonts w:eastAsiaTheme="minorEastAsia"/>
                <w:kern w:val="2"/>
                <w:lang w:val="en-US" w:eastAsia="fr-FR"/>
                <w14:ligatures w14:val="standardContextual"/>
              </w:rPr>
              <w:t xml:space="preserve"> </w:t>
            </w:r>
            <w:r w:rsidR="000A41CA" w:rsidRPr="009C4E4B">
              <w:rPr>
                <w:rStyle w:val="Lienhypertexte"/>
              </w:rPr>
              <w:t>L’e-formation et son impact sur la gestion prévisionnelle des RH</w:t>
            </w:r>
            <w:r w:rsidR="000A41CA" w:rsidRPr="009C4E4B">
              <w:rPr>
                <w:webHidden/>
              </w:rPr>
              <w:tab/>
            </w:r>
            <w:r w:rsidR="000A41CA" w:rsidRPr="009C4E4B">
              <w:rPr>
                <w:b/>
                <w:bCs/>
                <w:webHidden/>
              </w:rPr>
              <w:fldChar w:fldCharType="begin"/>
            </w:r>
            <w:r w:rsidR="000A41CA" w:rsidRPr="009C4E4B">
              <w:rPr>
                <w:webHidden/>
              </w:rPr>
              <w:instrText xml:space="preserve"> PAGEREF _Toc200756074 \h </w:instrText>
            </w:r>
            <w:r w:rsidR="000A41CA" w:rsidRPr="009C4E4B">
              <w:rPr>
                <w:b/>
                <w:bCs/>
                <w:webHidden/>
              </w:rPr>
            </w:r>
            <w:r w:rsidR="000A41CA" w:rsidRPr="009C4E4B">
              <w:rPr>
                <w:b/>
                <w:bCs/>
                <w:webHidden/>
              </w:rPr>
              <w:fldChar w:fldCharType="separate"/>
            </w:r>
            <w:r w:rsidR="000A41CA" w:rsidRPr="009C4E4B">
              <w:rPr>
                <w:webHidden/>
              </w:rPr>
              <w:t>153</w:t>
            </w:r>
            <w:r w:rsidR="000A41CA" w:rsidRPr="009C4E4B">
              <w:rPr>
                <w:b/>
                <w:bCs/>
                <w:webHidden/>
              </w:rPr>
              <w:fldChar w:fldCharType="end"/>
            </w:r>
          </w:hyperlink>
        </w:p>
        <w:p w:rsidR="000A41CA" w:rsidRPr="00B26299" w:rsidRDefault="00000000" w:rsidP="00B26299">
          <w:pPr>
            <w:pStyle w:val="TM3"/>
            <w:spacing w:after="240"/>
            <w:rPr>
              <w:rFonts w:eastAsiaTheme="minorEastAsia"/>
              <w:b/>
              <w:bCs/>
              <w:kern w:val="2"/>
              <w:lang w:val="fr-DZ" w:eastAsia="fr-FR"/>
              <w14:ligatures w14:val="standardContextual"/>
            </w:rPr>
          </w:pPr>
          <w:hyperlink w:anchor="_Toc200756075" w:history="1">
            <w:r w:rsidR="000A41CA" w:rsidRPr="00B26299">
              <w:rPr>
                <w:rStyle w:val="Lienhypertexte"/>
                <w:b/>
                <w:bCs/>
              </w:rPr>
              <w:t>Conclusion du chapitre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_Toc200756075 \h </w:instrText>
            </w:r>
            <w:r w:rsidR="000A41CA" w:rsidRPr="00B26299">
              <w:rPr>
                <w:b/>
                <w:bCs/>
                <w:webHidden/>
              </w:rPr>
            </w:r>
            <w:r w:rsidR="000A41CA" w:rsidRPr="00B26299">
              <w:rPr>
                <w:b/>
                <w:bCs/>
                <w:webHidden/>
              </w:rPr>
              <w:fldChar w:fldCharType="separate"/>
            </w:r>
            <w:r w:rsidR="000A41CA" w:rsidRPr="00B26299">
              <w:rPr>
                <w:b/>
                <w:bCs/>
                <w:webHidden/>
              </w:rPr>
              <w:t>155</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6076" w:history="1">
            <w:r w:rsidR="000A41CA" w:rsidRPr="00B26299">
              <w:rPr>
                <w:rStyle w:val="Lienhypertexte"/>
                <w:b/>
                <w:bCs/>
              </w:rPr>
              <w:t xml:space="preserve">Chapitre </w:t>
            </w:r>
            <w:r w:rsidR="000A41CA" w:rsidRPr="00B26299">
              <w:rPr>
                <w:rStyle w:val="Lienhypertexte"/>
                <w:b/>
                <w:bCs/>
                <w:lang w:eastAsia="fr-FR"/>
              </w:rPr>
              <w:t>III</w:t>
            </w:r>
            <w:r w:rsidR="000A41CA" w:rsidRPr="00B26299">
              <w:rPr>
                <w:rStyle w:val="Lienhypertexte"/>
                <w:b/>
                <w:bCs/>
              </w:rPr>
              <w:t xml:space="preserve"> :</w:t>
            </w:r>
            <w:r w:rsidR="00861F90" w:rsidRPr="00B26299">
              <w:rPr>
                <w:rStyle w:val="Lienhypertexte"/>
                <w:b/>
                <w:bCs/>
              </w:rPr>
              <w:t xml:space="preserve"> Étude empirique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_Toc200756076 \h </w:instrText>
            </w:r>
            <w:r w:rsidR="000A41CA" w:rsidRPr="00B26299">
              <w:rPr>
                <w:b/>
                <w:bCs/>
                <w:webHidden/>
              </w:rPr>
            </w:r>
            <w:r w:rsidR="000A41CA" w:rsidRPr="00B26299">
              <w:rPr>
                <w:b/>
                <w:bCs/>
                <w:webHidden/>
              </w:rPr>
              <w:fldChar w:fldCharType="separate"/>
            </w:r>
            <w:r w:rsidR="000A41CA" w:rsidRPr="00B26299">
              <w:rPr>
                <w:b/>
                <w:bCs/>
                <w:webHidden/>
              </w:rPr>
              <w:t>156</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6078" w:history="1">
            <w:r w:rsidR="000A41CA" w:rsidRPr="00B26299">
              <w:rPr>
                <w:rStyle w:val="Lienhypertexte"/>
                <w:b/>
                <w:bCs/>
              </w:rPr>
              <w:t>Introduction du chapitre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_Toc200756078 \h </w:instrText>
            </w:r>
            <w:r w:rsidR="000A41CA" w:rsidRPr="00B26299">
              <w:rPr>
                <w:b/>
                <w:bCs/>
                <w:webHidden/>
              </w:rPr>
            </w:r>
            <w:r w:rsidR="000A41CA" w:rsidRPr="00B26299">
              <w:rPr>
                <w:b/>
                <w:bCs/>
                <w:webHidden/>
              </w:rPr>
              <w:fldChar w:fldCharType="separate"/>
            </w:r>
            <w:r w:rsidR="000A41CA" w:rsidRPr="00B26299">
              <w:rPr>
                <w:b/>
                <w:bCs/>
                <w:webHidden/>
              </w:rPr>
              <w:t>157</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6079" w:history="1">
            <w:r w:rsidR="000A41CA" w:rsidRPr="00B26299">
              <w:rPr>
                <w:rStyle w:val="Lienhypertexte"/>
                <w:b/>
                <w:bCs/>
              </w:rPr>
              <w:t>Section 1 : Présentation de l’entreprise Hasnaoui Logistique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_Toc200756079 \h </w:instrText>
            </w:r>
            <w:r w:rsidR="000A41CA" w:rsidRPr="00B26299">
              <w:rPr>
                <w:b/>
                <w:bCs/>
                <w:webHidden/>
              </w:rPr>
            </w:r>
            <w:r w:rsidR="000A41CA" w:rsidRPr="00B26299">
              <w:rPr>
                <w:b/>
                <w:bCs/>
                <w:webHidden/>
              </w:rPr>
              <w:fldChar w:fldCharType="separate"/>
            </w:r>
            <w:r w:rsidR="000A41CA" w:rsidRPr="00B26299">
              <w:rPr>
                <w:b/>
                <w:bCs/>
                <w:webHidden/>
              </w:rPr>
              <w:t>159</w:t>
            </w:r>
            <w:r w:rsidR="000A41CA" w:rsidRPr="00B26299">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1" w:history="1">
            <w:r w:rsidR="000A41CA" w:rsidRPr="009C4E4B">
              <w:rPr>
                <w:rStyle w:val="Lienhypertexte"/>
              </w:rPr>
              <w:t>1.</w:t>
            </w:r>
            <w:r w:rsidR="00861F90" w:rsidRPr="009C4E4B">
              <w:rPr>
                <w:rFonts w:eastAsiaTheme="minorEastAsia"/>
                <w:kern w:val="2"/>
                <w:lang w:val="en-US" w:eastAsia="fr-FR"/>
                <w14:ligatures w14:val="standardContextual"/>
              </w:rPr>
              <w:t xml:space="preserve"> </w:t>
            </w:r>
            <w:r w:rsidR="000A41CA" w:rsidRPr="009C4E4B">
              <w:rPr>
                <w:rStyle w:val="Lienhypertexte"/>
              </w:rPr>
              <w:t>Historique et évolution du Groupe Hasnaoui</w:t>
            </w:r>
            <w:r w:rsidR="000A41CA" w:rsidRPr="009C4E4B">
              <w:rPr>
                <w:webHidden/>
              </w:rPr>
              <w:tab/>
            </w:r>
            <w:r w:rsidR="000A41CA" w:rsidRPr="009C4E4B">
              <w:rPr>
                <w:b/>
                <w:bCs/>
                <w:webHidden/>
              </w:rPr>
              <w:fldChar w:fldCharType="begin"/>
            </w:r>
            <w:r w:rsidR="000A41CA" w:rsidRPr="009C4E4B">
              <w:rPr>
                <w:webHidden/>
              </w:rPr>
              <w:instrText xml:space="preserve"> PAGEREF _Toc200756081 \h </w:instrText>
            </w:r>
            <w:r w:rsidR="000A41CA" w:rsidRPr="009C4E4B">
              <w:rPr>
                <w:b/>
                <w:bCs/>
                <w:webHidden/>
              </w:rPr>
            </w:r>
            <w:r w:rsidR="000A41CA" w:rsidRPr="009C4E4B">
              <w:rPr>
                <w:b/>
                <w:bCs/>
                <w:webHidden/>
              </w:rPr>
              <w:fldChar w:fldCharType="separate"/>
            </w:r>
            <w:r w:rsidR="000A41CA" w:rsidRPr="009C4E4B">
              <w:rPr>
                <w:webHidden/>
              </w:rPr>
              <w:t>159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2" w:history="1">
            <w:r w:rsidR="000A41CA" w:rsidRPr="009C4E4B">
              <w:rPr>
                <w:rStyle w:val="Lienhypertexte"/>
              </w:rPr>
              <w:t>2.</w:t>
            </w:r>
            <w:r w:rsidR="00861F90" w:rsidRPr="009C4E4B">
              <w:rPr>
                <w:rFonts w:eastAsiaTheme="minorEastAsia"/>
                <w:kern w:val="2"/>
                <w:lang w:val="en-US" w:eastAsia="fr-FR"/>
                <w14:ligatures w14:val="standardContextual"/>
              </w:rPr>
              <w:t xml:space="preserve"> </w:t>
            </w:r>
            <w:r w:rsidR="000A41CA" w:rsidRPr="009C4E4B">
              <w:rPr>
                <w:rStyle w:val="Lienhypertexte"/>
              </w:rPr>
              <w:t>Création et statut de Hasnaoui Logistique</w:t>
            </w:r>
            <w:r w:rsidR="000A41CA" w:rsidRPr="009C4E4B">
              <w:rPr>
                <w:webHidden/>
              </w:rPr>
              <w:tab/>
            </w:r>
            <w:r w:rsidR="000A41CA" w:rsidRPr="009C4E4B">
              <w:rPr>
                <w:b/>
                <w:bCs/>
                <w:webHidden/>
              </w:rPr>
              <w:fldChar w:fldCharType="begin"/>
            </w:r>
            <w:r w:rsidR="000A41CA" w:rsidRPr="009C4E4B">
              <w:rPr>
                <w:webHidden/>
              </w:rPr>
              <w:instrText xml:space="preserve"> PAGEREF _Toc200756082 \h </w:instrText>
            </w:r>
            <w:r w:rsidR="000A41CA" w:rsidRPr="009C4E4B">
              <w:rPr>
                <w:b/>
                <w:bCs/>
                <w:webHidden/>
              </w:rPr>
            </w:r>
            <w:r w:rsidR="000A41CA" w:rsidRPr="009C4E4B">
              <w:rPr>
                <w:b/>
                <w:bCs/>
                <w:webHidden/>
              </w:rPr>
              <w:fldChar w:fldCharType="separate"/>
            </w:r>
            <w:r w:rsidR="000A41CA" w:rsidRPr="009C4E4B">
              <w:rPr>
                <w:webHidden/>
              </w:rPr>
              <w:t>159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3" w:history="1">
            <w:r w:rsidR="000A41CA" w:rsidRPr="009C4E4B">
              <w:rPr>
                <w:rStyle w:val="Lienhypertexte"/>
              </w:rPr>
              <w:t>3.</w:t>
            </w:r>
            <w:r w:rsidR="00861F90" w:rsidRPr="009C4E4B">
              <w:rPr>
                <w:rFonts w:eastAsiaTheme="minorEastAsia"/>
                <w:kern w:val="2"/>
                <w:lang w:val="en-US" w:eastAsia="fr-FR"/>
                <w14:ligatures w14:val="standardContextual"/>
              </w:rPr>
              <w:t xml:space="preserve"> </w:t>
            </w:r>
            <w:r w:rsidR="000A41CA" w:rsidRPr="009C4E4B">
              <w:rPr>
                <w:rStyle w:val="Lienhypertexte"/>
              </w:rPr>
              <w:t>Objectifs environnementaux et engagement RSE</w:t>
            </w:r>
            <w:r w:rsidR="000A41CA" w:rsidRPr="009C4E4B">
              <w:rPr>
                <w:webHidden/>
              </w:rPr>
              <w:tab/>
            </w:r>
            <w:r w:rsidR="000A41CA" w:rsidRPr="009C4E4B">
              <w:rPr>
                <w:b/>
                <w:bCs/>
                <w:webHidden/>
              </w:rPr>
              <w:fldChar w:fldCharType="begin"/>
            </w:r>
            <w:r w:rsidR="000A41CA" w:rsidRPr="009C4E4B">
              <w:rPr>
                <w:webHidden/>
              </w:rPr>
              <w:instrText xml:space="preserve"> PAGEREF _Toc200756083 \h </w:instrText>
            </w:r>
            <w:r w:rsidR="000A41CA" w:rsidRPr="009C4E4B">
              <w:rPr>
                <w:b/>
                <w:bCs/>
                <w:webHidden/>
              </w:rPr>
            </w:r>
            <w:r w:rsidR="000A41CA" w:rsidRPr="009C4E4B">
              <w:rPr>
                <w:b/>
                <w:bCs/>
                <w:webHidden/>
              </w:rPr>
              <w:fldChar w:fldCharType="separate"/>
            </w:r>
            <w:r w:rsidR="000A41CA" w:rsidRPr="009C4E4B">
              <w:rPr>
                <w:webHidden/>
              </w:rPr>
              <w:t>160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4" w:history="1">
            <w:r w:rsidR="000A41CA" w:rsidRPr="009C4E4B">
              <w:rPr>
                <w:rStyle w:val="Lienhypertexte"/>
              </w:rPr>
              <w:t>4.</w:t>
            </w:r>
            <w:r w:rsidR="00861F90" w:rsidRPr="009C4E4B">
              <w:rPr>
                <w:rFonts w:eastAsiaTheme="minorEastAsia"/>
                <w:kern w:val="2"/>
                <w:lang w:val="en-US" w:eastAsia="fr-FR"/>
                <w14:ligatures w14:val="standardContextual"/>
              </w:rPr>
              <w:t xml:space="preserve"> </w:t>
            </w:r>
            <w:r w:rsidR="000A41CA" w:rsidRPr="009C4E4B">
              <w:rPr>
                <w:rStyle w:val="Lienhypertexte"/>
              </w:rPr>
              <w:t>Organisation et structure de l’entreprise</w:t>
            </w:r>
            <w:r w:rsidR="000A41CA" w:rsidRPr="009C4E4B">
              <w:rPr>
                <w:webHidden/>
              </w:rPr>
              <w:tab/>
            </w:r>
            <w:r w:rsidR="000A41CA" w:rsidRPr="009C4E4B">
              <w:rPr>
                <w:b/>
                <w:bCs/>
                <w:webHidden/>
              </w:rPr>
              <w:fldChar w:fldCharType="begin"/>
            </w:r>
            <w:r w:rsidR="000A41CA" w:rsidRPr="009C4E4B">
              <w:rPr>
                <w:webHidden/>
              </w:rPr>
              <w:instrText xml:space="preserve"> PAGEREF _Toc200756084 \h </w:instrText>
            </w:r>
            <w:r w:rsidR="000A41CA" w:rsidRPr="009C4E4B">
              <w:rPr>
                <w:b/>
                <w:bCs/>
                <w:webHidden/>
              </w:rPr>
            </w:r>
            <w:r w:rsidR="000A41CA" w:rsidRPr="009C4E4B">
              <w:rPr>
                <w:b/>
                <w:bCs/>
                <w:webHidden/>
              </w:rPr>
              <w:fldChar w:fldCharType="separate"/>
            </w:r>
            <w:r w:rsidR="000A41CA" w:rsidRPr="009C4E4B">
              <w:rPr>
                <w:webHidden/>
              </w:rPr>
              <w:t>161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5" w:history="1">
            <w:r w:rsidR="000A41CA" w:rsidRPr="009C4E4B">
              <w:rPr>
                <w:rStyle w:val="Lienhypertexte"/>
              </w:rPr>
              <w:t>5.</w:t>
            </w:r>
            <w:r w:rsidR="00861F90" w:rsidRPr="009C4E4B">
              <w:rPr>
                <w:rFonts w:eastAsiaTheme="minorEastAsia"/>
                <w:kern w:val="2"/>
                <w:lang w:val="en-US" w:eastAsia="fr-FR"/>
                <w14:ligatures w14:val="standardContextual"/>
              </w:rPr>
              <w:t xml:space="preserve"> </w:t>
            </w:r>
            <w:r w:rsidR="000A41CA" w:rsidRPr="009C4E4B">
              <w:rPr>
                <w:rStyle w:val="Lienhypertexte"/>
              </w:rPr>
              <w:t>Présentation du département des ressources humaines</w:t>
            </w:r>
            <w:r w:rsidR="000A41CA" w:rsidRPr="009C4E4B">
              <w:rPr>
                <w:webHidden/>
              </w:rPr>
              <w:tab/>
            </w:r>
            <w:r w:rsidR="000A41CA" w:rsidRPr="009C4E4B">
              <w:rPr>
                <w:b/>
                <w:bCs/>
                <w:webHidden/>
              </w:rPr>
              <w:fldChar w:fldCharType="begin"/>
            </w:r>
            <w:r w:rsidR="000A41CA" w:rsidRPr="009C4E4B">
              <w:rPr>
                <w:webHidden/>
              </w:rPr>
              <w:instrText xml:space="preserve"> PAGEREF _Toc200756085 \h </w:instrText>
            </w:r>
            <w:r w:rsidR="000A41CA" w:rsidRPr="009C4E4B">
              <w:rPr>
                <w:b/>
                <w:bCs/>
                <w:webHidden/>
              </w:rPr>
            </w:r>
            <w:r w:rsidR="000A41CA" w:rsidRPr="009C4E4B">
              <w:rPr>
                <w:b/>
                <w:bCs/>
                <w:webHidden/>
              </w:rPr>
              <w:fldChar w:fldCharType="separate"/>
            </w:r>
            <w:r w:rsidR="000A41CA" w:rsidRPr="009C4E4B">
              <w:rPr>
                <w:webHidden/>
              </w:rPr>
              <w:t>162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6" w:history="1">
            <w:r w:rsidR="000A41CA" w:rsidRPr="009C4E4B">
              <w:rPr>
                <w:rStyle w:val="Lienhypertexte"/>
              </w:rPr>
              <w:t>5.1.1.</w:t>
            </w:r>
            <w:r w:rsidR="00861F90" w:rsidRPr="009C4E4B">
              <w:rPr>
                <w:rFonts w:eastAsiaTheme="minorEastAsia"/>
                <w:kern w:val="2"/>
                <w:lang w:val="en-US" w:eastAsia="fr-FR"/>
                <w14:ligatures w14:val="standardContextual"/>
              </w:rPr>
              <w:t xml:space="preserve"> </w:t>
            </w:r>
            <w:r w:rsidR="000A41CA" w:rsidRPr="009C4E4B">
              <w:rPr>
                <w:rStyle w:val="Lienhypertexte"/>
              </w:rPr>
              <w:t>Identification des besoins en personnel</w:t>
            </w:r>
            <w:r w:rsidR="000A41CA" w:rsidRPr="009C4E4B">
              <w:rPr>
                <w:webHidden/>
              </w:rPr>
              <w:tab/>
            </w:r>
            <w:r w:rsidR="000A41CA" w:rsidRPr="009C4E4B">
              <w:rPr>
                <w:b/>
                <w:bCs/>
                <w:webHidden/>
              </w:rPr>
              <w:fldChar w:fldCharType="begin"/>
            </w:r>
            <w:r w:rsidR="000A41CA" w:rsidRPr="009C4E4B">
              <w:rPr>
                <w:webHidden/>
              </w:rPr>
              <w:instrText xml:space="preserve"> PAGEREF _Toc200756086 \h </w:instrText>
            </w:r>
            <w:r w:rsidR="000A41CA" w:rsidRPr="009C4E4B">
              <w:rPr>
                <w:b/>
                <w:bCs/>
                <w:webHidden/>
              </w:rPr>
            </w:r>
            <w:r w:rsidR="000A41CA" w:rsidRPr="009C4E4B">
              <w:rPr>
                <w:b/>
                <w:bCs/>
                <w:webHidden/>
              </w:rPr>
              <w:fldChar w:fldCharType="separate"/>
            </w:r>
            <w:r w:rsidR="000A41CA" w:rsidRPr="009C4E4B">
              <w:rPr>
                <w:webHidden/>
              </w:rPr>
              <w:t>163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7" w:history="1">
            <w:r w:rsidR="000A41CA" w:rsidRPr="009C4E4B">
              <w:rPr>
                <w:rStyle w:val="Lienhypertexte"/>
              </w:rPr>
              <w:t>5.1.2.</w:t>
            </w:r>
            <w:r w:rsidR="00861F90" w:rsidRPr="009C4E4B">
              <w:rPr>
                <w:rFonts w:eastAsiaTheme="minorEastAsia"/>
                <w:kern w:val="2"/>
                <w:lang w:val="en-US" w:eastAsia="fr-FR"/>
                <w14:ligatures w14:val="standardContextual"/>
              </w:rPr>
              <w:t xml:space="preserve"> </w:t>
            </w:r>
            <w:r w:rsidR="000A41CA" w:rsidRPr="009C4E4B">
              <w:rPr>
                <w:rStyle w:val="Lienhypertexte"/>
              </w:rPr>
              <w:t>Description du poste à pourvoir</w:t>
            </w:r>
            <w:r w:rsidR="000A41CA" w:rsidRPr="009C4E4B">
              <w:rPr>
                <w:webHidden/>
              </w:rPr>
              <w:tab/>
            </w:r>
            <w:r w:rsidR="000A41CA" w:rsidRPr="009C4E4B">
              <w:rPr>
                <w:b/>
                <w:bCs/>
                <w:webHidden/>
              </w:rPr>
              <w:fldChar w:fldCharType="begin"/>
            </w:r>
            <w:r w:rsidR="000A41CA" w:rsidRPr="009C4E4B">
              <w:rPr>
                <w:webHidden/>
              </w:rPr>
              <w:instrText xml:space="preserve"> PAGEREF _Toc200756087 \h </w:instrText>
            </w:r>
            <w:r w:rsidR="000A41CA" w:rsidRPr="009C4E4B">
              <w:rPr>
                <w:b/>
                <w:bCs/>
                <w:webHidden/>
              </w:rPr>
            </w:r>
            <w:r w:rsidR="000A41CA" w:rsidRPr="009C4E4B">
              <w:rPr>
                <w:b/>
                <w:bCs/>
                <w:webHidden/>
              </w:rPr>
              <w:fldChar w:fldCharType="separate"/>
            </w:r>
            <w:r w:rsidR="000A41CA" w:rsidRPr="009C4E4B">
              <w:rPr>
                <w:webHidden/>
              </w:rPr>
              <w:t>163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8" w:history="1">
            <w:r w:rsidR="000A41CA" w:rsidRPr="009C4E4B">
              <w:rPr>
                <w:rStyle w:val="Lienhypertexte"/>
              </w:rPr>
              <w:t>5.1.3.</w:t>
            </w:r>
            <w:r w:rsidR="00861F90" w:rsidRPr="009C4E4B">
              <w:rPr>
                <w:rFonts w:eastAsiaTheme="minorEastAsia"/>
                <w:kern w:val="2"/>
                <w:lang w:val="en-US" w:eastAsia="fr-FR"/>
                <w14:ligatures w14:val="standardContextual"/>
              </w:rPr>
              <w:t xml:space="preserve"> </w:t>
            </w:r>
            <w:r w:rsidR="000A41CA" w:rsidRPr="009C4E4B">
              <w:rPr>
                <w:rStyle w:val="Lienhypertexte"/>
              </w:rPr>
              <w:t>Recherche de candidats</w:t>
            </w:r>
            <w:r w:rsidR="000A41CA" w:rsidRPr="009C4E4B">
              <w:rPr>
                <w:webHidden/>
              </w:rPr>
              <w:tab/>
            </w:r>
            <w:r w:rsidR="000A41CA" w:rsidRPr="009C4E4B">
              <w:rPr>
                <w:b/>
                <w:bCs/>
                <w:webHidden/>
              </w:rPr>
              <w:fldChar w:fldCharType="begin"/>
            </w:r>
            <w:r w:rsidR="000A41CA" w:rsidRPr="009C4E4B">
              <w:rPr>
                <w:webHidden/>
              </w:rPr>
              <w:instrText xml:space="preserve"> PAGEREF _Toc200756088 \h </w:instrText>
            </w:r>
            <w:r w:rsidR="000A41CA" w:rsidRPr="009C4E4B">
              <w:rPr>
                <w:b/>
                <w:bCs/>
                <w:webHidden/>
              </w:rPr>
            </w:r>
            <w:r w:rsidR="000A41CA" w:rsidRPr="009C4E4B">
              <w:rPr>
                <w:b/>
                <w:bCs/>
                <w:webHidden/>
              </w:rPr>
              <w:fldChar w:fldCharType="separate"/>
            </w:r>
            <w:r w:rsidR="000A41CA" w:rsidRPr="009C4E4B">
              <w:rPr>
                <w:webHidden/>
              </w:rPr>
              <w:t>163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89" w:history="1">
            <w:r w:rsidR="000A41CA" w:rsidRPr="009C4E4B">
              <w:rPr>
                <w:rStyle w:val="Lienhypertexte"/>
              </w:rPr>
              <w:t>5.1.4.</w:t>
            </w:r>
            <w:r w:rsidR="00861F90" w:rsidRPr="009C4E4B">
              <w:rPr>
                <w:rFonts w:eastAsiaTheme="minorEastAsia"/>
                <w:kern w:val="2"/>
                <w:lang w:val="en-US" w:eastAsia="fr-FR"/>
                <w14:ligatures w14:val="standardContextual"/>
              </w:rPr>
              <w:t xml:space="preserve"> </w:t>
            </w:r>
            <w:r w:rsidR="000A41CA" w:rsidRPr="009C4E4B">
              <w:rPr>
                <w:rStyle w:val="Lienhypertexte"/>
              </w:rPr>
              <w:t>Sélection et entretiens</w:t>
            </w:r>
            <w:r w:rsidR="000A41CA" w:rsidRPr="009C4E4B">
              <w:rPr>
                <w:webHidden/>
              </w:rPr>
              <w:tab/>
            </w:r>
            <w:r w:rsidR="000A41CA" w:rsidRPr="009C4E4B">
              <w:rPr>
                <w:b/>
                <w:bCs/>
                <w:webHidden/>
              </w:rPr>
              <w:fldChar w:fldCharType="begin"/>
            </w:r>
            <w:r w:rsidR="000A41CA" w:rsidRPr="009C4E4B">
              <w:rPr>
                <w:webHidden/>
              </w:rPr>
              <w:instrText xml:space="preserve"> PAGEREF _Toc200756089 \h </w:instrText>
            </w:r>
            <w:r w:rsidR="000A41CA" w:rsidRPr="009C4E4B">
              <w:rPr>
                <w:b/>
                <w:bCs/>
                <w:webHidden/>
              </w:rPr>
            </w:r>
            <w:r w:rsidR="000A41CA" w:rsidRPr="009C4E4B">
              <w:rPr>
                <w:b/>
                <w:bCs/>
                <w:webHidden/>
              </w:rPr>
              <w:fldChar w:fldCharType="separate"/>
            </w:r>
            <w:r w:rsidR="000A41CA" w:rsidRPr="009C4E4B">
              <w:rPr>
                <w:webHidden/>
              </w:rPr>
              <w:t>164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0" w:history="1">
            <w:r w:rsidR="000A41CA" w:rsidRPr="009C4E4B">
              <w:rPr>
                <w:rStyle w:val="Lienhypertexte"/>
              </w:rPr>
              <w:t>5.1.5.</w:t>
            </w:r>
            <w:r w:rsidR="00861F90" w:rsidRPr="009C4E4B">
              <w:rPr>
                <w:rFonts w:eastAsiaTheme="minorEastAsia"/>
                <w:kern w:val="2"/>
                <w:lang w:val="en-US" w:eastAsia="fr-FR"/>
                <w14:ligatures w14:val="standardContextual"/>
              </w:rPr>
              <w:t xml:space="preserve"> </w:t>
            </w:r>
            <w:r w:rsidR="000A41CA" w:rsidRPr="009C4E4B">
              <w:rPr>
                <w:rStyle w:val="Lienhypertexte"/>
              </w:rPr>
              <w:t>Offre d’emploi et contractualisation</w:t>
            </w:r>
            <w:r w:rsidR="000A41CA" w:rsidRPr="009C4E4B">
              <w:rPr>
                <w:webHidden/>
              </w:rPr>
              <w:tab/>
            </w:r>
            <w:r w:rsidR="000A41CA" w:rsidRPr="009C4E4B">
              <w:rPr>
                <w:b/>
                <w:bCs/>
                <w:webHidden/>
              </w:rPr>
              <w:fldChar w:fldCharType="begin"/>
            </w:r>
            <w:r w:rsidR="000A41CA" w:rsidRPr="009C4E4B">
              <w:rPr>
                <w:webHidden/>
              </w:rPr>
              <w:instrText xml:space="preserve"> PAGEREF _Toc200756090 \h </w:instrText>
            </w:r>
            <w:r w:rsidR="000A41CA" w:rsidRPr="009C4E4B">
              <w:rPr>
                <w:b/>
                <w:bCs/>
                <w:webHidden/>
              </w:rPr>
            </w:r>
            <w:r w:rsidR="000A41CA" w:rsidRPr="009C4E4B">
              <w:rPr>
                <w:b/>
                <w:bCs/>
                <w:webHidden/>
              </w:rPr>
              <w:fldChar w:fldCharType="separate"/>
            </w:r>
            <w:r w:rsidR="000A41CA" w:rsidRPr="009C4E4B">
              <w:rPr>
                <w:webHidden/>
              </w:rPr>
              <w:t>164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1" w:history="1">
            <w:r w:rsidR="000A41CA" w:rsidRPr="009C4E4B">
              <w:rPr>
                <w:rStyle w:val="Lienhypertexte"/>
              </w:rPr>
              <w:t>5.1.6.</w:t>
            </w:r>
            <w:r w:rsidR="00861F90" w:rsidRPr="009C4E4B">
              <w:rPr>
                <w:rFonts w:eastAsiaTheme="minorEastAsia"/>
                <w:kern w:val="2"/>
                <w:lang w:val="en-US" w:eastAsia="fr-FR"/>
                <w14:ligatures w14:val="standardContextual"/>
              </w:rPr>
              <w:t xml:space="preserve"> </w:t>
            </w:r>
            <w:r w:rsidR="000A41CA" w:rsidRPr="009C4E4B">
              <w:rPr>
                <w:rStyle w:val="Lienhypertexte"/>
              </w:rPr>
              <w:t>Formalisation de l’embauche</w:t>
            </w:r>
            <w:r w:rsidR="000A41CA" w:rsidRPr="009C4E4B">
              <w:rPr>
                <w:webHidden/>
              </w:rPr>
              <w:tab/>
            </w:r>
            <w:r w:rsidR="000A41CA" w:rsidRPr="009C4E4B">
              <w:rPr>
                <w:b/>
                <w:bCs/>
                <w:webHidden/>
              </w:rPr>
              <w:fldChar w:fldCharType="begin"/>
            </w:r>
            <w:r w:rsidR="000A41CA" w:rsidRPr="009C4E4B">
              <w:rPr>
                <w:webHidden/>
              </w:rPr>
              <w:instrText xml:space="preserve"> PAGEREF _Toc200756091 \h </w:instrText>
            </w:r>
            <w:r w:rsidR="000A41CA" w:rsidRPr="009C4E4B">
              <w:rPr>
                <w:b/>
                <w:bCs/>
                <w:webHidden/>
              </w:rPr>
            </w:r>
            <w:r w:rsidR="000A41CA" w:rsidRPr="009C4E4B">
              <w:rPr>
                <w:b/>
                <w:bCs/>
                <w:webHidden/>
              </w:rPr>
              <w:fldChar w:fldCharType="separate"/>
            </w:r>
            <w:r w:rsidR="000A41CA" w:rsidRPr="009C4E4B">
              <w:rPr>
                <w:webHidden/>
              </w:rPr>
              <w:t>164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2" w:history="1">
            <w:r w:rsidR="000A41CA" w:rsidRPr="009C4E4B">
              <w:rPr>
                <w:rStyle w:val="Lienhypertexte"/>
              </w:rPr>
              <w:t>5.1.7.</w:t>
            </w:r>
            <w:r w:rsidR="00861F90" w:rsidRPr="009C4E4B">
              <w:rPr>
                <w:rFonts w:eastAsiaTheme="minorEastAsia"/>
                <w:kern w:val="2"/>
                <w:lang w:val="en-US" w:eastAsia="fr-FR"/>
                <w14:ligatures w14:val="standardContextual"/>
              </w:rPr>
              <w:t xml:space="preserve"> </w:t>
            </w:r>
            <w:r w:rsidR="000A41CA" w:rsidRPr="009C4E4B">
              <w:rPr>
                <w:rStyle w:val="Lienhypertexte"/>
              </w:rPr>
              <w:t>Période d’essai</w:t>
            </w:r>
            <w:r w:rsidR="000A41CA" w:rsidRPr="009C4E4B">
              <w:rPr>
                <w:webHidden/>
              </w:rPr>
              <w:tab/>
            </w:r>
            <w:r w:rsidR="000A41CA" w:rsidRPr="009C4E4B">
              <w:rPr>
                <w:b/>
                <w:bCs/>
                <w:webHidden/>
              </w:rPr>
              <w:fldChar w:fldCharType="begin"/>
            </w:r>
            <w:r w:rsidR="000A41CA" w:rsidRPr="009C4E4B">
              <w:rPr>
                <w:webHidden/>
              </w:rPr>
              <w:instrText xml:space="preserve"> PAGEREF _Toc200756092 \h </w:instrText>
            </w:r>
            <w:r w:rsidR="000A41CA" w:rsidRPr="009C4E4B">
              <w:rPr>
                <w:b/>
                <w:bCs/>
                <w:webHidden/>
              </w:rPr>
            </w:r>
            <w:r w:rsidR="000A41CA" w:rsidRPr="009C4E4B">
              <w:rPr>
                <w:b/>
                <w:bCs/>
                <w:webHidden/>
              </w:rPr>
              <w:fldChar w:fldCharType="separate"/>
            </w:r>
            <w:r w:rsidR="000A41CA" w:rsidRPr="009C4E4B">
              <w:rPr>
                <w:webHidden/>
              </w:rPr>
              <w:t>164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3" w:history="1">
            <w:r w:rsidR="000A41CA" w:rsidRPr="009C4E4B">
              <w:rPr>
                <w:rStyle w:val="Lienhypertexte"/>
              </w:rPr>
              <w:t>5.1.8.</w:t>
            </w:r>
            <w:r w:rsidR="00C54B27" w:rsidRPr="009C4E4B">
              <w:rPr>
                <w:rFonts w:eastAsiaTheme="minorEastAsia"/>
                <w:kern w:val="2"/>
                <w:lang w:val="en-US" w:eastAsia="fr-FR"/>
                <w14:ligatures w14:val="standardContextual"/>
              </w:rPr>
              <w:t xml:space="preserve"> </w:t>
            </w:r>
            <w:r w:rsidR="000A41CA" w:rsidRPr="009C4E4B">
              <w:rPr>
                <w:rStyle w:val="Lienhypertexte"/>
              </w:rPr>
              <w:t>Visite médicale d’embauche</w:t>
            </w:r>
            <w:r w:rsidR="000A41CA" w:rsidRPr="009C4E4B">
              <w:rPr>
                <w:webHidden/>
              </w:rPr>
              <w:tab/>
            </w:r>
            <w:r w:rsidR="000A41CA" w:rsidRPr="009C4E4B">
              <w:rPr>
                <w:b/>
                <w:bCs/>
                <w:webHidden/>
              </w:rPr>
              <w:fldChar w:fldCharType="begin"/>
            </w:r>
            <w:r w:rsidR="000A41CA" w:rsidRPr="009C4E4B">
              <w:rPr>
                <w:webHidden/>
              </w:rPr>
              <w:instrText xml:space="preserve"> PAGEREF _Toc200756093 \h </w:instrText>
            </w:r>
            <w:r w:rsidR="000A41CA" w:rsidRPr="009C4E4B">
              <w:rPr>
                <w:b/>
                <w:bCs/>
                <w:webHidden/>
              </w:rPr>
            </w:r>
            <w:r w:rsidR="000A41CA" w:rsidRPr="009C4E4B">
              <w:rPr>
                <w:b/>
                <w:bCs/>
                <w:webHidden/>
              </w:rPr>
              <w:fldChar w:fldCharType="separate"/>
            </w:r>
            <w:r w:rsidR="000A41CA" w:rsidRPr="009C4E4B">
              <w:rPr>
                <w:webHidden/>
              </w:rPr>
              <w:t>165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4" w:history="1">
            <w:r w:rsidR="000A41CA" w:rsidRPr="009C4E4B">
              <w:rPr>
                <w:rStyle w:val="Lienhypertexte"/>
              </w:rPr>
              <w:t>5.1.9.</w:t>
            </w:r>
            <w:r w:rsidR="00C54B27" w:rsidRPr="009C4E4B">
              <w:rPr>
                <w:rFonts w:eastAsiaTheme="minorEastAsia"/>
                <w:kern w:val="2"/>
                <w:lang w:val="en-US" w:eastAsia="fr-FR"/>
                <w14:ligatures w14:val="standardContextual"/>
              </w:rPr>
              <w:t xml:space="preserve"> </w:t>
            </w:r>
            <w:r w:rsidR="000A41CA" w:rsidRPr="009C4E4B">
              <w:rPr>
                <w:rStyle w:val="Lienhypertexte"/>
              </w:rPr>
              <w:t>Politique de réintégration</w:t>
            </w:r>
            <w:r w:rsidR="000A41CA" w:rsidRPr="009C4E4B">
              <w:rPr>
                <w:webHidden/>
              </w:rPr>
              <w:tab/>
            </w:r>
            <w:r w:rsidR="000A41CA" w:rsidRPr="009C4E4B">
              <w:rPr>
                <w:b/>
                <w:bCs/>
                <w:webHidden/>
              </w:rPr>
              <w:fldChar w:fldCharType="begin"/>
            </w:r>
            <w:r w:rsidR="000A41CA" w:rsidRPr="009C4E4B">
              <w:rPr>
                <w:webHidden/>
              </w:rPr>
              <w:instrText xml:space="preserve"> PAGEREF _Toc200756094 \h </w:instrText>
            </w:r>
            <w:r w:rsidR="000A41CA" w:rsidRPr="009C4E4B">
              <w:rPr>
                <w:b/>
                <w:bCs/>
                <w:webHidden/>
              </w:rPr>
            </w:r>
            <w:r w:rsidR="000A41CA" w:rsidRPr="009C4E4B">
              <w:rPr>
                <w:b/>
                <w:bCs/>
                <w:webHidden/>
              </w:rPr>
              <w:fldChar w:fldCharType="separate"/>
            </w:r>
            <w:r w:rsidR="000A41CA" w:rsidRPr="009C4E4B">
              <w:rPr>
                <w:webHidden/>
              </w:rPr>
              <w:t>165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5" w:history="1">
            <w:r w:rsidR="000A41CA" w:rsidRPr="009C4E4B">
              <w:rPr>
                <w:rStyle w:val="Lienhypertexte"/>
              </w:rPr>
              <w:t>5.2.</w:t>
            </w:r>
            <w:r w:rsidR="00C54B27" w:rsidRPr="009C4E4B">
              <w:rPr>
                <w:rFonts w:eastAsiaTheme="minorEastAsia"/>
                <w:kern w:val="2"/>
                <w:lang w:val="en-US" w:eastAsia="fr-FR"/>
                <w14:ligatures w14:val="standardContextual"/>
              </w:rPr>
              <w:t xml:space="preserve"> </w:t>
            </w:r>
            <w:r w:rsidR="000A41CA" w:rsidRPr="009C4E4B">
              <w:rPr>
                <w:rStyle w:val="Lienhypertexte"/>
              </w:rPr>
              <w:t>La gestion de la formation chez Hasnaoui Logistique</w:t>
            </w:r>
            <w:r w:rsidR="000A41CA" w:rsidRPr="009C4E4B">
              <w:rPr>
                <w:webHidden/>
              </w:rPr>
              <w:tab/>
            </w:r>
            <w:r w:rsidR="000A41CA" w:rsidRPr="009C4E4B">
              <w:rPr>
                <w:b/>
                <w:bCs/>
                <w:webHidden/>
              </w:rPr>
              <w:fldChar w:fldCharType="begin"/>
            </w:r>
            <w:r w:rsidR="000A41CA" w:rsidRPr="009C4E4B">
              <w:rPr>
                <w:webHidden/>
              </w:rPr>
              <w:instrText xml:space="preserve"> PAGEREF _Toc200756095 \h </w:instrText>
            </w:r>
            <w:r w:rsidR="000A41CA" w:rsidRPr="009C4E4B">
              <w:rPr>
                <w:b/>
                <w:bCs/>
                <w:webHidden/>
              </w:rPr>
            </w:r>
            <w:r w:rsidR="000A41CA" w:rsidRPr="009C4E4B">
              <w:rPr>
                <w:b/>
                <w:bCs/>
                <w:webHidden/>
              </w:rPr>
              <w:fldChar w:fldCharType="separate"/>
            </w:r>
            <w:r w:rsidR="000A41CA" w:rsidRPr="009C4E4B">
              <w:rPr>
                <w:webHidden/>
              </w:rPr>
              <w:t>165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6" w:history="1">
            <w:r w:rsidR="000A41CA" w:rsidRPr="009C4E4B">
              <w:rPr>
                <w:rStyle w:val="Lienhypertexte"/>
              </w:rPr>
              <w:t>5.2.1.</w:t>
            </w:r>
            <w:r w:rsidR="00C54B27" w:rsidRPr="009C4E4B">
              <w:rPr>
                <w:rFonts w:eastAsiaTheme="minorEastAsia"/>
                <w:kern w:val="2"/>
                <w:lang w:val="en-US" w:eastAsia="fr-FR"/>
                <w14:ligatures w14:val="standardContextual"/>
              </w:rPr>
              <w:t xml:space="preserve"> </w:t>
            </w:r>
            <w:r w:rsidR="000A41CA" w:rsidRPr="009C4E4B">
              <w:rPr>
                <w:rStyle w:val="Lienhypertexte"/>
              </w:rPr>
              <w:t>Identification des besoins en formation et planification</w:t>
            </w:r>
            <w:r w:rsidR="000A41CA" w:rsidRPr="009C4E4B">
              <w:rPr>
                <w:webHidden/>
              </w:rPr>
              <w:tab/>
            </w:r>
            <w:r w:rsidR="000A41CA" w:rsidRPr="009C4E4B">
              <w:rPr>
                <w:b/>
                <w:bCs/>
                <w:webHidden/>
              </w:rPr>
              <w:fldChar w:fldCharType="begin"/>
            </w:r>
            <w:r w:rsidR="000A41CA" w:rsidRPr="009C4E4B">
              <w:rPr>
                <w:webHidden/>
              </w:rPr>
              <w:instrText xml:space="preserve"> PAGEREF _Toc200756096 \h </w:instrText>
            </w:r>
            <w:r w:rsidR="000A41CA" w:rsidRPr="009C4E4B">
              <w:rPr>
                <w:b/>
                <w:bCs/>
                <w:webHidden/>
              </w:rPr>
            </w:r>
            <w:r w:rsidR="000A41CA" w:rsidRPr="009C4E4B">
              <w:rPr>
                <w:b/>
                <w:bCs/>
                <w:webHidden/>
              </w:rPr>
              <w:fldChar w:fldCharType="separate"/>
            </w:r>
            <w:r w:rsidR="000A41CA" w:rsidRPr="009C4E4B">
              <w:rPr>
                <w:webHidden/>
              </w:rPr>
              <w:t>165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7" w:history="1">
            <w:r w:rsidR="000A41CA" w:rsidRPr="009C4E4B">
              <w:rPr>
                <w:rStyle w:val="Lienhypertexte"/>
              </w:rPr>
              <w:t>5.2.2.</w:t>
            </w:r>
            <w:r w:rsidR="00257B48">
              <w:rPr>
                <w:rFonts w:eastAsiaTheme="minorEastAsia"/>
                <w:kern w:val="2"/>
                <w:lang w:val="en-US" w:eastAsia="fr-FR"/>
                <w14:ligatures w14:val="standardContextual"/>
              </w:rPr>
              <w:t xml:space="preserve"> </w:t>
            </w:r>
            <w:r w:rsidR="000A41CA" w:rsidRPr="009C4E4B">
              <w:rPr>
                <w:rStyle w:val="Lienhypertexte"/>
              </w:rPr>
              <w:t>Mise en œuvre des actions de formation</w:t>
            </w:r>
            <w:r w:rsidR="000A41CA" w:rsidRPr="009C4E4B">
              <w:rPr>
                <w:webHidden/>
              </w:rPr>
              <w:tab/>
            </w:r>
            <w:r w:rsidR="000A41CA" w:rsidRPr="009C4E4B">
              <w:rPr>
                <w:b/>
                <w:bCs/>
                <w:webHidden/>
              </w:rPr>
              <w:fldChar w:fldCharType="begin"/>
            </w:r>
            <w:r w:rsidR="000A41CA" w:rsidRPr="009C4E4B">
              <w:rPr>
                <w:webHidden/>
              </w:rPr>
              <w:instrText xml:space="preserve"> PAGEREF _Toc200756097 \h </w:instrText>
            </w:r>
            <w:r w:rsidR="000A41CA" w:rsidRPr="009C4E4B">
              <w:rPr>
                <w:b/>
                <w:bCs/>
                <w:webHidden/>
              </w:rPr>
            </w:r>
            <w:r w:rsidR="000A41CA" w:rsidRPr="009C4E4B">
              <w:rPr>
                <w:b/>
                <w:bCs/>
                <w:webHidden/>
              </w:rPr>
              <w:fldChar w:fldCharType="separate"/>
            </w:r>
            <w:r w:rsidR="000A41CA" w:rsidRPr="009C4E4B">
              <w:rPr>
                <w:webHidden/>
              </w:rPr>
              <w:t>168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8" w:history="1">
            <w:r w:rsidR="000A41CA" w:rsidRPr="009C4E4B">
              <w:rPr>
                <w:rStyle w:val="Lienhypertexte"/>
              </w:rPr>
              <w:t>5.2.3.</w:t>
            </w:r>
            <w:r w:rsidR="00257B48">
              <w:rPr>
                <w:rFonts w:eastAsiaTheme="minorEastAsia"/>
                <w:kern w:val="2"/>
                <w:lang w:val="en-US" w:eastAsia="fr-FR"/>
                <w14:ligatures w14:val="standardContextual"/>
              </w:rPr>
              <w:t xml:space="preserve"> </w:t>
            </w:r>
            <w:r w:rsidR="000A41CA" w:rsidRPr="009C4E4B">
              <w:rPr>
                <w:rStyle w:val="Lienhypertexte"/>
              </w:rPr>
              <w:t>Évaluation de l’efficacité des formations</w:t>
            </w:r>
            <w:r w:rsidR="000A41CA" w:rsidRPr="009C4E4B">
              <w:rPr>
                <w:webHidden/>
              </w:rPr>
              <w:tab/>
            </w:r>
            <w:r w:rsidR="000A41CA" w:rsidRPr="009C4E4B">
              <w:rPr>
                <w:b/>
                <w:bCs/>
                <w:webHidden/>
              </w:rPr>
              <w:fldChar w:fldCharType="begin"/>
            </w:r>
            <w:r w:rsidR="000A41CA" w:rsidRPr="009C4E4B">
              <w:rPr>
                <w:webHidden/>
              </w:rPr>
              <w:instrText xml:space="preserve"> PAGEREF _Toc200756098 \h </w:instrText>
            </w:r>
            <w:r w:rsidR="000A41CA" w:rsidRPr="009C4E4B">
              <w:rPr>
                <w:b/>
                <w:bCs/>
                <w:webHidden/>
              </w:rPr>
            </w:r>
            <w:r w:rsidR="000A41CA" w:rsidRPr="009C4E4B">
              <w:rPr>
                <w:b/>
                <w:bCs/>
                <w:webHidden/>
              </w:rPr>
              <w:fldChar w:fldCharType="separate"/>
            </w:r>
            <w:r w:rsidR="000A41CA" w:rsidRPr="009C4E4B">
              <w:rPr>
                <w:webHidden/>
              </w:rPr>
              <w:t>168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099" w:history="1">
            <w:r w:rsidR="000A41CA" w:rsidRPr="009C4E4B">
              <w:rPr>
                <w:rStyle w:val="Lienhypertexte"/>
              </w:rPr>
              <w:t>5.2.4.</w:t>
            </w:r>
            <w:r w:rsidR="00257B48">
              <w:rPr>
                <w:rFonts w:eastAsiaTheme="minorEastAsia"/>
                <w:kern w:val="2"/>
                <w:lang w:val="en-US" w:eastAsia="fr-FR"/>
                <w14:ligatures w14:val="standardContextual"/>
              </w:rPr>
              <w:t xml:space="preserve"> </w:t>
            </w:r>
            <w:r w:rsidR="000A41CA" w:rsidRPr="009C4E4B">
              <w:rPr>
                <w:rStyle w:val="Lienhypertexte"/>
              </w:rPr>
              <w:t>Engagement de fidélité et suivi</w:t>
            </w:r>
            <w:r w:rsidR="000A41CA" w:rsidRPr="009C4E4B">
              <w:rPr>
                <w:webHidden/>
              </w:rPr>
              <w:tab/>
            </w:r>
            <w:r w:rsidR="000A41CA" w:rsidRPr="009C4E4B">
              <w:rPr>
                <w:b/>
                <w:bCs/>
                <w:webHidden/>
              </w:rPr>
              <w:fldChar w:fldCharType="begin"/>
            </w:r>
            <w:r w:rsidR="000A41CA" w:rsidRPr="009C4E4B">
              <w:rPr>
                <w:webHidden/>
              </w:rPr>
              <w:instrText xml:space="preserve"> PAGEREF _Toc200756099 \h </w:instrText>
            </w:r>
            <w:r w:rsidR="000A41CA" w:rsidRPr="009C4E4B">
              <w:rPr>
                <w:b/>
                <w:bCs/>
                <w:webHidden/>
              </w:rPr>
            </w:r>
            <w:r w:rsidR="000A41CA" w:rsidRPr="009C4E4B">
              <w:rPr>
                <w:b/>
                <w:bCs/>
                <w:webHidden/>
              </w:rPr>
              <w:fldChar w:fldCharType="separate"/>
            </w:r>
            <w:r w:rsidR="000A41CA" w:rsidRPr="009C4E4B">
              <w:rPr>
                <w:webHidden/>
              </w:rPr>
              <w:t>169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00" w:history="1">
            <w:r w:rsidR="000A41CA" w:rsidRPr="009C4E4B">
              <w:rPr>
                <w:rStyle w:val="Lienhypertexte"/>
              </w:rPr>
              <w:t>6.</w:t>
            </w:r>
            <w:r w:rsidR="00861F90" w:rsidRPr="009C4E4B">
              <w:rPr>
                <w:rFonts w:eastAsiaTheme="minorEastAsia"/>
                <w:kern w:val="2"/>
                <w:lang w:val="en-US" w:eastAsia="fr-FR"/>
                <w14:ligatures w14:val="standardContextual"/>
              </w:rPr>
              <w:t xml:space="preserve"> </w:t>
            </w:r>
            <w:r w:rsidR="000A41CA" w:rsidRPr="009C4E4B">
              <w:rPr>
                <w:rStyle w:val="Lienhypertexte"/>
              </w:rPr>
              <w:t>Digitalisation des processus RH : outils utilisés dans le recrutement et la formation</w:t>
            </w:r>
            <w:r w:rsidR="000A41CA" w:rsidRPr="009C4E4B">
              <w:rPr>
                <w:webHidden/>
              </w:rPr>
              <w:tab/>
            </w:r>
            <w:r w:rsidR="000A41CA" w:rsidRPr="009C4E4B">
              <w:rPr>
                <w:b/>
                <w:bCs/>
                <w:webHidden/>
              </w:rPr>
              <w:fldChar w:fldCharType="begin"/>
            </w:r>
            <w:r w:rsidR="000A41CA" w:rsidRPr="009C4E4B">
              <w:rPr>
                <w:webHidden/>
              </w:rPr>
              <w:instrText xml:space="preserve"> PAGEREF _Toc200756100 \h </w:instrText>
            </w:r>
            <w:r w:rsidR="000A41CA" w:rsidRPr="009C4E4B">
              <w:rPr>
                <w:b/>
                <w:bCs/>
                <w:webHidden/>
              </w:rPr>
            </w:r>
            <w:r w:rsidR="000A41CA" w:rsidRPr="009C4E4B">
              <w:rPr>
                <w:b/>
                <w:bCs/>
                <w:webHidden/>
              </w:rPr>
              <w:fldChar w:fldCharType="separate"/>
            </w:r>
            <w:r w:rsidR="000A41CA" w:rsidRPr="009C4E4B">
              <w:rPr>
                <w:webHidden/>
              </w:rPr>
              <w:t>169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01" w:history="1">
            <w:r w:rsidR="000A41CA" w:rsidRPr="009C4E4B">
              <w:rPr>
                <w:rStyle w:val="Lienhypertexte"/>
              </w:rPr>
              <w:t>6.1.</w:t>
            </w:r>
            <w:r w:rsidR="00861F90" w:rsidRPr="009C4E4B">
              <w:rPr>
                <w:rFonts w:eastAsiaTheme="minorEastAsia"/>
                <w:kern w:val="2"/>
                <w:lang w:val="en-US" w:eastAsia="fr-FR"/>
                <w14:ligatures w14:val="standardContextual"/>
              </w:rPr>
              <w:t xml:space="preserve"> </w:t>
            </w:r>
            <w:r w:rsidR="000A41CA" w:rsidRPr="009C4E4B">
              <w:rPr>
                <w:rStyle w:val="Lienhypertexte"/>
              </w:rPr>
              <w:t xml:space="preserve">Outils digitaux utilisés dans le recrutement </w:t>
            </w:r>
            <w:r w:rsidR="000A41CA" w:rsidRPr="009C4E4B">
              <w:rPr>
                <w:webHidden/>
              </w:rPr>
              <w:tab/>
            </w:r>
            <w:r w:rsidR="000A41CA" w:rsidRPr="009C4E4B">
              <w:rPr>
                <w:b/>
                <w:bCs/>
                <w:webHidden/>
              </w:rPr>
              <w:fldChar w:fldCharType="begin"/>
            </w:r>
            <w:r w:rsidR="000A41CA" w:rsidRPr="009C4E4B">
              <w:rPr>
                <w:webHidden/>
              </w:rPr>
              <w:instrText xml:space="preserve"> PAGEREF _Toc200756101 \h </w:instrText>
            </w:r>
            <w:r w:rsidR="000A41CA" w:rsidRPr="009C4E4B">
              <w:rPr>
                <w:b/>
                <w:bCs/>
                <w:webHidden/>
              </w:rPr>
            </w:r>
            <w:r w:rsidR="000A41CA" w:rsidRPr="009C4E4B">
              <w:rPr>
                <w:b/>
                <w:bCs/>
                <w:webHidden/>
              </w:rPr>
              <w:fldChar w:fldCharType="separate"/>
            </w:r>
            <w:r w:rsidR="000A41CA" w:rsidRPr="009C4E4B">
              <w:rPr>
                <w:webHidden/>
              </w:rPr>
              <w:t>169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02" w:history="1">
            <w:r w:rsidR="000A41CA" w:rsidRPr="009C4E4B">
              <w:rPr>
                <w:rStyle w:val="Lienhypertexte"/>
              </w:rPr>
              <w:t>6.2.</w:t>
            </w:r>
            <w:r w:rsidR="00861F90" w:rsidRPr="009C4E4B">
              <w:rPr>
                <w:rFonts w:eastAsiaTheme="minorEastAsia"/>
                <w:kern w:val="2"/>
                <w:lang w:val="en-US" w:eastAsia="fr-FR"/>
                <w14:ligatures w14:val="standardContextual"/>
              </w:rPr>
              <w:t xml:space="preserve"> </w:t>
            </w:r>
            <w:r w:rsidR="000A41CA" w:rsidRPr="009C4E4B">
              <w:rPr>
                <w:rStyle w:val="Lienhypertexte"/>
              </w:rPr>
              <w:t xml:space="preserve">Outils digitaux mobilisés dans la formation </w:t>
            </w:r>
            <w:r w:rsidR="000A41CA" w:rsidRPr="009C4E4B">
              <w:rPr>
                <w:webHidden/>
              </w:rPr>
              <w:tab/>
            </w:r>
            <w:r w:rsidR="000A41CA" w:rsidRPr="009C4E4B">
              <w:rPr>
                <w:b/>
                <w:bCs/>
                <w:webHidden/>
              </w:rPr>
              <w:fldChar w:fldCharType="begin"/>
            </w:r>
            <w:r w:rsidR="000A41CA" w:rsidRPr="009C4E4B">
              <w:rPr>
                <w:webHidden/>
              </w:rPr>
              <w:instrText xml:space="preserve"> PAGEREF _Toc200756102 \h </w:instrText>
            </w:r>
            <w:r w:rsidR="000A41CA" w:rsidRPr="009C4E4B">
              <w:rPr>
                <w:b/>
                <w:bCs/>
                <w:webHidden/>
              </w:rPr>
            </w:r>
            <w:r w:rsidR="000A41CA" w:rsidRPr="009C4E4B">
              <w:rPr>
                <w:b/>
                <w:bCs/>
                <w:webHidden/>
              </w:rPr>
              <w:fldChar w:fldCharType="separate"/>
            </w:r>
            <w:r w:rsidR="000A41CA" w:rsidRPr="009C4E4B">
              <w:rPr>
                <w:webHidden/>
              </w:rPr>
              <w:t>170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03" w:history="1">
            <w:r w:rsidR="000A41CA" w:rsidRPr="009C4E4B">
              <w:rPr>
                <w:rStyle w:val="Lienhypertexte"/>
              </w:rPr>
              <w:t>6.3.</w:t>
            </w:r>
            <w:r w:rsidR="00861F90" w:rsidRPr="009C4E4B">
              <w:rPr>
                <w:rFonts w:eastAsiaTheme="minorEastAsia"/>
                <w:kern w:val="2"/>
                <w:lang w:val="en-US" w:eastAsia="fr-FR"/>
                <w14:ligatures w14:val="standardContextual"/>
              </w:rPr>
              <w:t xml:space="preserve"> </w:t>
            </w:r>
            <w:r w:rsidR="000A41CA" w:rsidRPr="009C4E4B">
              <w:rPr>
                <w:rStyle w:val="Lienhypertexte"/>
              </w:rPr>
              <w:t>Autres outils numériques RH</w:t>
            </w:r>
            <w:r w:rsidR="000A41CA" w:rsidRPr="009C4E4B">
              <w:rPr>
                <w:webHidden/>
              </w:rPr>
              <w:tab/>
            </w:r>
            <w:r w:rsidR="000A41CA" w:rsidRPr="009C4E4B">
              <w:rPr>
                <w:b/>
                <w:bCs/>
                <w:webHidden/>
              </w:rPr>
              <w:fldChar w:fldCharType="begin"/>
            </w:r>
            <w:r w:rsidR="000A41CA" w:rsidRPr="009C4E4B">
              <w:rPr>
                <w:webHidden/>
              </w:rPr>
              <w:instrText xml:space="preserve"> PAGEREF _Toc200756103 \h </w:instrText>
            </w:r>
            <w:r w:rsidR="000A41CA" w:rsidRPr="009C4E4B">
              <w:rPr>
                <w:b/>
                <w:bCs/>
                <w:webHidden/>
              </w:rPr>
            </w:r>
            <w:r w:rsidR="000A41CA" w:rsidRPr="009C4E4B">
              <w:rPr>
                <w:b/>
                <w:bCs/>
                <w:webHidden/>
              </w:rPr>
              <w:fldChar w:fldCharType="separate"/>
            </w:r>
            <w:r w:rsidR="000A41CA" w:rsidRPr="009C4E4B">
              <w:rPr>
                <w:webHidden/>
              </w:rPr>
              <w:t>170</w:t>
            </w:r>
            <w:r w:rsidR="000A41CA" w:rsidRPr="009C4E4B">
              <w:rPr>
                <w:b/>
                <w:bCs/>
                <w:webHidden/>
              </w:rPr>
              <w:fldChar w:fldCharType="end"/>
            </w:r>
          </w:hyperlink>
        </w:p>
        <w:p w:rsidR="000A41CA" w:rsidRPr="00257B48" w:rsidRDefault="00000000" w:rsidP="00B26299">
          <w:pPr>
            <w:pStyle w:val="TM3"/>
            <w:rPr>
              <w:rFonts w:eastAsiaTheme="minorEastAsia"/>
              <w:kern w:val="2"/>
              <w:lang w:val="fr-DZ" w:eastAsia="fr-FR"/>
              <w14:ligatures w14:val="standardContextual"/>
            </w:rPr>
          </w:pPr>
          <w:hyperlink w:anchor="_Toc200756104" w:history="1">
            <w:r w:rsidR="000A41CA" w:rsidRPr="00257B48">
              <w:rPr>
                <w:rStyle w:val="Lienhypertexte"/>
                <w:b/>
                <w:bCs/>
              </w:rPr>
              <w:t>Section 2 : Cadre méthodologique de la recherche</w:t>
            </w:r>
            <w:r w:rsidR="000A41CA" w:rsidRPr="00707EE5">
              <w:rPr>
                <w:b/>
                <w:bCs/>
                <w:webHidden/>
              </w:rPr>
              <w:tab/>
            </w:r>
            <w:r w:rsidR="000A41CA" w:rsidRPr="00707EE5">
              <w:rPr>
                <w:b/>
                <w:bCs/>
                <w:webHidden/>
              </w:rPr>
              <w:fldChar w:fldCharType="begin"/>
            </w:r>
            <w:r w:rsidR="000A41CA" w:rsidRPr="00707EE5">
              <w:rPr>
                <w:b/>
                <w:bCs/>
                <w:webHidden/>
              </w:rPr>
              <w:instrText xml:space="preserve"> PAGEREF _Toc200756104 \h </w:instrText>
            </w:r>
            <w:r w:rsidR="000A41CA" w:rsidRPr="00707EE5">
              <w:rPr>
                <w:b/>
                <w:bCs/>
                <w:webHidden/>
              </w:rPr>
            </w:r>
            <w:r w:rsidR="000A41CA" w:rsidRPr="00707EE5">
              <w:rPr>
                <w:b/>
                <w:bCs/>
                <w:webHidden/>
              </w:rPr>
              <w:fldChar w:fldCharType="separate"/>
            </w:r>
            <w:r w:rsidR="000A41CA" w:rsidRPr="00707EE5">
              <w:rPr>
                <w:b/>
                <w:bCs/>
                <w:webHidden/>
              </w:rPr>
              <w:t>171</w:t>
            </w:r>
            <w:r w:rsidR="000A41CA" w:rsidRPr="00707EE5">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05" w:history="1">
            <w:r w:rsidR="000A41CA" w:rsidRPr="009C4E4B">
              <w:rPr>
                <w:rStyle w:val="Lienhypertexte"/>
              </w:rPr>
              <w:t>1.</w:t>
            </w:r>
            <w:r w:rsidR="00861F90" w:rsidRPr="009C4E4B">
              <w:rPr>
                <w:rFonts w:eastAsiaTheme="minorEastAsia"/>
                <w:kern w:val="2"/>
                <w:lang w:val="en-US" w:eastAsia="fr-FR"/>
                <w14:ligatures w14:val="standardContextual"/>
              </w:rPr>
              <w:t xml:space="preserve"> </w:t>
            </w:r>
            <w:r w:rsidR="000A41CA" w:rsidRPr="009C4E4B">
              <w:rPr>
                <w:rStyle w:val="Lienhypertexte"/>
              </w:rPr>
              <w:t>Nature de la recherche</w:t>
            </w:r>
            <w:r w:rsidR="000A41CA" w:rsidRPr="009C4E4B">
              <w:rPr>
                <w:webHidden/>
              </w:rPr>
              <w:tab/>
            </w:r>
            <w:r w:rsidR="000A41CA" w:rsidRPr="009C4E4B">
              <w:rPr>
                <w:b/>
                <w:bCs/>
                <w:webHidden/>
              </w:rPr>
              <w:fldChar w:fldCharType="begin"/>
            </w:r>
            <w:r w:rsidR="000A41CA" w:rsidRPr="009C4E4B">
              <w:rPr>
                <w:webHidden/>
              </w:rPr>
              <w:instrText xml:space="preserve"> PAGEREF _Toc200756105 \h </w:instrText>
            </w:r>
            <w:r w:rsidR="000A41CA" w:rsidRPr="009C4E4B">
              <w:rPr>
                <w:b/>
                <w:bCs/>
                <w:webHidden/>
              </w:rPr>
            </w:r>
            <w:r w:rsidR="000A41CA" w:rsidRPr="009C4E4B">
              <w:rPr>
                <w:b/>
                <w:bCs/>
                <w:webHidden/>
              </w:rPr>
              <w:fldChar w:fldCharType="separate"/>
            </w:r>
            <w:r w:rsidR="000A41CA" w:rsidRPr="009C4E4B">
              <w:rPr>
                <w:webHidden/>
              </w:rPr>
              <w:t>171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06" w:history="1">
            <w:r w:rsidR="000A41CA" w:rsidRPr="009C4E4B">
              <w:rPr>
                <w:rStyle w:val="Lienhypertexte"/>
              </w:rPr>
              <w:t>2.</w:t>
            </w:r>
            <w:r w:rsidR="00861F90" w:rsidRPr="009C4E4B">
              <w:rPr>
                <w:rFonts w:eastAsiaTheme="minorEastAsia"/>
                <w:kern w:val="2"/>
                <w:lang w:val="en-US" w:eastAsia="fr-FR"/>
                <w14:ligatures w14:val="standardContextual"/>
              </w:rPr>
              <w:t xml:space="preserve"> </w:t>
            </w:r>
            <w:r w:rsidR="000A41CA" w:rsidRPr="009C4E4B">
              <w:rPr>
                <w:rStyle w:val="Lienhypertexte"/>
              </w:rPr>
              <w:t>Modèle de recherche et formulation des hypothèses</w:t>
            </w:r>
            <w:r w:rsidR="000A41CA" w:rsidRPr="009C4E4B">
              <w:rPr>
                <w:webHidden/>
              </w:rPr>
              <w:tab/>
            </w:r>
            <w:r w:rsidR="000A41CA" w:rsidRPr="009C4E4B">
              <w:rPr>
                <w:b/>
                <w:bCs/>
                <w:webHidden/>
              </w:rPr>
              <w:fldChar w:fldCharType="begin"/>
            </w:r>
            <w:r w:rsidR="000A41CA" w:rsidRPr="009C4E4B">
              <w:rPr>
                <w:webHidden/>
              </w:rPr>
              <w:instrText xml:space="preserve"> PAGEREF _Toc200756106 \h </w:instrText>
            </w:r>
            <w:r w:rsidR="000A41CA" w:rsidRPr="009C4E4B">
              <w:rPr>
                <w:b/>
                <w:bCs/>
                <w:webHidden/>
              </w:rPr>
            </w:r>
            <w:r w:rsidR="000A41CA" w:rsidRPr="009C4E4B">
              <w:rPr>
                <w:b/>
                <w:bCs/>
                <w:webHidden/>
              </w:rPr>
              <w:fldChar w:fldCharType="separate"/>
            </w:r>
            <w:r w:rsidR="000A41CA" w:rsidRPr="009C4E4B">
              <w:rPr>
                <w:webHidden/>
              </w:rPr>
              <w:t>171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07" w:history="1">
            <w:r w:rsidR="000A41CA" w:rsidRPr="009C4E4B">
              <w:rPr>
                <w:rStyle w:val="Lienhypertexte"/>
              </w:rPr>
              <w:t>3.</w:t>
            </w:r>
            <w:r w:rsidR="00861F90" w:rsidRPr="009C4E4B">
              <w:rPr>
                <w:rFonts w:eastAsiaTheme="minorEastAsia"/>
                <w:kern w:val="2"/>
                <w:lang w:val="en-US" w:eastAsia="fr-FR"/>
                <w14:ligatures w14:val="standardContextual"/>
              </w:rPr>
              <w:t xml:space="preserve"> </w:t>
            </w:r>
            <w:r w:rsidR="000A41CA" w:rsidRPr="009C4E4B">
              <w:rPr>
                <w:rStyle w:val="Lienhypertexte"/>
              </w:rPr>
              <w:t>Présentation de l'Échantillon</w:t>
            </w:r>
            <w:r w:rsidR="000A41CA" w:rsidRPr="009C4E4B">
              <w:rPr>
                <w:webHidden/>
              </w:rPr>
              <w:tab/>
            </w:r>
            <w:r w:rsidR="000A41CA" w:rsidRPr="009C4E4B">
              <w:rPr>
                <w:b/>
                <w:bCs/>
                <w:webHidden/>
              </w:rPr>
              <w:fldChar w:fldCharType="begin"/>
            </w:r>
            <w:r w:rsidR="000A41CA" w:rsidRPr="009C4E4B">
              <w:rPr>
                <w:webHidden/>
              </w:rPr>
              <w:instrText xml:space="preserve"> PAGEREF _Toc200756107 \h </w:instrText>
            </w:r>
            <w:r w:rsidR="000A41CA" w:rsidRPr="009C4E4B">
              <w:rPr>
                <w:b/>
                <w:bCs/>
                <w:webHidden/>
              </w:rPr>
            </w:r>
            <w:r w:rsidR="000A41CA" w:rsidRPr="009C4E4B">
              <w:rPr>
                <w:b/>
                <w:bCs/>
                <w:webHidden/>
              </w:rPr>
              <w:fldChar w:fldCharType="separate"/>
            </w:r>
            <w:r w:rsidR="000A41CA" w:rsidRPr="009C4E4B">
              <w:rPr>
                <w:webHidden/>
              </w:rPr>
              <w:t>174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08" w:history="1">
            <w:r w:rsidR="000A41CA" w:rsidRPr="009C4E4B">
              <w:rPr>
                <w:rStyle w:val="Lienhypertexte"/>
              </w:rPr>
              <w:t>3.1.</w:t>
            </w:r>
            <w:r w:rsidR="00861F90" w:rsidRPr="009C4E4B">
              <w:rPr>
                <w:rFonts w:eastAsiaTheme="minorEastAsia"/>
                <w:kern w:val="2"/>
                <w:lang w:val="en-US" w:eastAsia="fr-FR"/>
                <w14:ligatures w14:val="standardContextual"/>
              </w:rPr>
              <w:t xml:space="preserve"> </w:t>
            </w:r>
            <w:r w:rsidR="000A41CA" w:rsidRPr="009C4E4B">
              <w:rPr>
                <w:rStyle w:val="Lienhypertexte"/>
              </w:rPr>
              <w:t>Description de l'</w:t>
            </w:r>
            <w:r w:rsidR="000A41CA" w:rsidRPr="009C4E4B">
              <w:rPr>
                <w:rStyle w:val="Lienhypertexte"/>
                <w:lang w:val="en-US"/>
              </w:rPr>
              <w:t>é</w:t>
            </w:r>
            <w:r w:rsidR="000A41CA" w:rsidRPr="009C4E4B">
              <w:rPr>
                <w:rStyle w:val="Lienhypertexte"/>
              </w:rPr>
              <w:t>chantillon</w:t>
            </w:r>
            <w:r w:rsidR="000A41CA" w:rsidRPr="009C4E4B">
              <w:rPr>
                <w:webHidden/>
              </w:rPr>
              <w:tab/>
            </w:r>
            <w:r w:rsidR="000A41CA" w:rsidRPr="009C4E4B">
              <w:rPr>
                <w:b/>
                <w:bCs/>
                <w:webHidden/>
              </w:rPr>
              <w:fldChar w:fldCharType="begin"/>
            </w:r>
            <w:r w:rsidR="000A41CA" w:rsidRPr="009C4E4B">
              <w:rPr>
                <w:webHidden/>
              </w:rPr>
              <w:instrText xml:space="preserve"> PAGEREF _Toc200756108 \h </w:instrText>
            </w:r>
            <w:r w:rsidR="000A41CA" w:rsidRPr="009C4E4B">
              <w:rPr>
                <w:b/>
                <w:bCs/>
                <w:webHidden/>
              </w:rPr>
            </w:r>
            <w:r w:rsidR="000A41CA" w:rsidRPr="009C4E4B">
              <w:rPr>
                <w:b/>
                <w:bCs/>
                <w:webHidden/>
              </w:rPr>
              <w:fldChar w:fldCharType="separate"/>
            </w:r>
            <w:r w:rsidR="000A41CA" w:rsidRPr="009C4E4B">
              <w:rPr>
                <w:webHidden/>
              </w:rPr>
              <w:t>175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12" w:history="1">
            <w:r w:rsidR="000A41CA" w:rsidRPr="009C4E4B">
              <w:rPr>
                <w:rStyle w:val="Lienhypertexte"/>
              </w:rPr>
              <w:t>3.2.</w:t>
            </w:r>
            <w:r w:rsidR="00861F90" w:rsidRPr="009C4E4B">
              <w:rPr>
                <w:rFonts w:eastAsiaTheme="minorEastAsia"/>
                <w:kern w:val="2"/>
                <w:lang w:val="en-US" w:eastAsia="fr-FR"/>
                <w14:ligatures w14:val="standardContextual"/>
              </w:rPr>
              <w:t xml:space="preserve"> </w:t>
            </w:r>
            <w:r w:rsidR="000A41CA" w:rsidRPr="009C4E4B">
              <w:rPr>
                <w:rStyle w:val="Lienhypertexte"/>
              </w:rPr>
              <w:t>Méthode d'</w:t>
            </w:r>
            <w:r w:rsidR="000A41CA" w:rsidRPr="009C4E4B">
              <w:rPr>
                <w:rStyle w:val="Lienhypertexte"/>
                <w:lang w:val="en-US"/>
              </w:rPr>
              <w:t>é</w:t>
            </w:r>
            <w:r w:rsidR="000A41CA" w:rsidRPr="009C4E4B">
              <w:rPr>
                <w:rStyle w:val="Lienhypertexte"/>
              </w:rPr>
              <w:t>chantillonnage</w:t>
            </w:r>
            <w:r w:rsidR="000A41CA" w:rsidRPr="009C4E4B">
              <w:rPr>
                <w:webHidden/>
              </w:rPr>
              <w:tab/>
            </w:r>
            <w:r w:rsidR="000A41CA" w:rsidRPr="009C4E4B">
              <w:rPr>
                <w:b/>
                <w:bCs/>
                <w:webHidden/>
              </w:rPr>
              <w:fldChar w:fldCharType="begin"/>
            </w:r>
            <w:r w:rsidR="000A41CA" w:rsidRPr="009C4E4B">
              <w:rPr>
                <w:webHidden/>
              </w:rPr>
              <w:instrText xml:space="preserve"> PAGEREF _Toc200756112 \h </w:instrText>
            </w:r>
            <w:r w:rsidR="000A41CA" w:rsidRPr="009C4E4B">
              <w:rPr>
                <w:b/>
                <w:bCs/>
                <w:webHidden/>
              </w:rPr>
            </w:r>
            <w:r w:rsidR="000A41CA" w:rsidRPr="009C4E4B">
              <w:rPr>
                <w:b/>
                <w:bCs/>
                <w:webHidden/>
              </w:rPr>
              <w:fldChar w:fldCharType="separate"/>
            </w:r>
            <w:r w:rsidR="000A41CA" w:rsidRPr="009C4E4B">
              <w:rPr>
                <w:webHidden/>
              </w:rPr>
              <w:t>175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15" w:history="1">
            <w:r w:rsidR="000A41CA" w:rsidRPr="009C4E4B">
              <w:rPr>
                <w:rStyle w:val="Lienhypertexte"/>
              </w:rPr>
              <w:t>3.3.</w:t>
            </w:r>
            <w:r w:rsidR="00861F90" w:rsidRPr="009C4E4B">
              <w:rPr>
                <w:rFonts w:eastAsiaTheme="minorEastAsia"/>
                <w:kern w:val="2"/>
                <w:lang w:val="en-US" w:eastAsia="fr-FR"/>
                <w14:ligatures w14:val="standardContextual"/>
              </w:rPr>
              <w:t xml:space="preserve"> </w:t>
            </w:r>
            <w:r w:rsidR="000A41CA" w:rsidRPr="009C4E4B">
              <w:rPr>
                <w:rStyle w:val="Lienhypertexte"/>
              </w:rPr>
              <w:t>Justification de l'Échantillonnage</w:t>
            </w:r>
            <w:r w:rsidR="000A41CA" w:rsidRPr="009C4E4B">
              <w:rPr>
                <w:webHidden/>
              </w:rPr>
              <w:tab/>
            </w:r>
            <w:r w:rsidR="000A41CA" w:rsidRPr="009C4E4B">
              <w:rPr>
                <w:b/>
                <w:bCs/>
                <w:webHidden/>
              </w:rPr>
              <w:fldChar w:fldCharType="begin"/>
            </w:r>
            <w:r w:rsidR="000A41CA" w:rsidRPr="009C4E4B">
              <w:rPr>
                <w:webHidden/>
              </w:rPr>
              <w:instrText xml:space="preserve"> PAGEREF _Toc200756115 \h </w:instrText>
            </w:r>
            <w:r w:rsidR="000A41CA" w:rsidRPr="009C4E4B">
              <w:rPr>
                <w:b/>
                <w:bCs/>
                <w:webHidden/>
              </w:rPr>
            </w:r>
            <w:r w:rsidR="000A41CA" w:rsidRPr="009C4E4B">
              <w:rPr>
                <w:b/>
                <w:bCs/>
                <w:webHidden/>
              </w:rPr>
              <w:fldChar w:fldCharType="separate"/>
            </w:r>
            <w:r w:rsidR="000A41CA" w:rsidRPr="009C4E4B">
              <w:rPr>
                <w:webHidden/>
              </w:rPr>
              <w:t>176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18" w:history="1">
            <w:r w:rsidR="000A41CA" w:rsidRPr="009C4E4B">
              <w:rPr>
                <w:rStyle w:val="Lienhypertexte"/>
              </w:rPr>
              <w:t>4.</w:t>
            </w:r>
            <w:r w:rsidR="00861F90" w:rsidRPr="009C4E4B">
              <w:rPr>
                <w:rFonts w:eastAsiaTheme="minorEastAsia"/>
                <w:kern w:val="2"/>
                <w:lang w:val="en-US" w:eastAsia="fr-FR"/>
                <w14:ligatures w14:val="standardContextual"/>
              </w:rPr>
              <w:t xml:space="preserve"> </w:t>
            </w:r>
            <w:r w:rsidR="000A41CA" w:rsidRPr="009C4E4B">
              <w:rPr>
                <w:rStyle w:val="Lienhypertexte"/>
              </w:rPr>
              <w:t>Le questionnaire de recherche</w:t>
            </w:r>
            <w:r w:rsidR="000A41CA" w:rsidRPr="009C4E4B">
              <w:rPr>
                <w:webHidden/>
              </w:rPr>
              <w:tab/>
            </w:r>
            <w:r w:rsidR="000A41CA" w:rsidRPr="009C4E4B">
              <w:rPr>
                <w:b/>
                <w:bCs/>
                <w:webHidden/>
              </w:rPr>
              <w:fldChar w:fldCharType="begin"/>
            </w:r>
            <w:r w:rsidR="000A41CA" w:rsidRPr="009C4E4B">
              <w:rPr>
                <w:webHidden/>
              </w:rPr>
              <w:instrText xml:space="preserve"> PAGEREF _Toc200756118 \h </w:instrText>
            </w:r>
            <w:r w:rsidR="000A41CA" w:rsidRPr="009C4E4B">
              <w:rPr>
                <w:b/>
                <w:bCs/>
                <w:webHidden/>
              </w:rPr>
            </w:r>
            <w:r w:rsidR="000A41CA" w:rsidRPr="009C4E4B">
              <w:rPr>
                <w:b/>
                <w:bCs/>
                <w:webHidden/>
              </w:rPr>
              <w:fldChar w:fldCharType="separate"/>
            </w:r>
            <w:r w:rsidR="000A41CA" w:rsidRPr="009C4E4B">
              <w:rPr>
                <w:webHidden/>
              </w:rPr>
              <w:t>176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19" w:history="1">
            <w:r w:rsidR="000A41CA" w:rsidRPr="009C4E4B">
              <w:rPr>
                <w:rStyle w:val="Lienhypertexte"/>
              </w:rPr>
              <w:t>5.</w:t>
            </w:r>
            <w:r w:rsidR="00861F90" w:rsidRPr="009C4E4B">
              <w:rPr>
                <w:rFonts w:eastAsiaTheme="minorEastAsia"/>
                <w:kern w:val="2"/>
                <w:lang w:val="en-US" w:eastAsia="fr-FR"/>
                <w14:ligatures w14:val="standardContextual"/>
              </w:rPr>
              <w:t xml:space="preserve"> </w:t>
            </w:r>
            <w:r w:rsidR="000A41CA" w:rsidRPr="009C4E4B">
              <w:rPr>
                <w:rStyle w:val="Lienhypertexte"/>
              </w:rPr>
              <w:t>Présentation des variables et des items de mesure</w:t>
            </w:r>
            <w:r w:rsidR="000A41CA" w:rsidRPr="009C4E4B">
              <w:rPr>
                <w:webHidden/>
              </w:rPr>
              <w:tab/>
            </w:r>
            <w:r w:rsidR="000A41CA" w:rsidRPr="009C4E4B">
              <w:rPr>
                <w:b/>
                <w:bCs/>
                <w:webHidden/>
              </w:rPr>
              <w:fldChar w:fldCharType="begin"/>
            </w:r>
            <w:r w:rsidR="000A41CA" w:rsidRPr="009C4E4B">
              <w:rPr>
                <w:webHidden/>
              </w:rPr>
              <w:instrText xml:space="preserve"> PAGEREF _Toc200756119 \h </w:instrText>
            </w:r>
            <w:r w:rsidR="000A41CA" w:rsidRPr="009C4E4B">
              <w:rPr>
                <w:b/>
                <w:bCs/>
                <w:webHidden/>
              </w:rPr>
            </w:r>
            <w:r w:rsidR="000A41CA" w:rsidRPr="009C4E4B">
              <w:rPr>
                <w:b/>
                <w:bCs/>
                <w:webHidden/>
              </w:rPr>
              <w:fldChar w:fldCharType="separate"/>
            </w:r>
            <w:r w:rsidR="000A41CA" w:rsidRPr="009C4E4B">
              <w:rPr>
                <w:webHidden/>
              </w:rPr>
              <w:t>177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0" w:history="1">
            <w:r w:rsidR="000A41CA" w:rsidRPr="009C4E4B">
              <w:rPr>
                <w:rStyle w:val="Lienhypertexte"/>
              </w:rPr>
              <w:t>6.</w:t>
            </w:r>
            <w:r w:rsidR="00861F90" w:rsidRPr="009C4E4B">
              <w:rPr>
                <w:rFonts w:eastAsiaTheme="minorEastAsia"/>
                <w:kern w:val="2"/>
                <w:lang w:val="en-US" w:eastAsia="fr-FR"/>
                <w14:ligatures w14:val="standardContextual"/>
              </w:rPr>
              <w:t xml:space="preserve"> </w:t>
            </w:r>
            <w:r w:rsidR="000A41CA" w:rsidRPr="009C4E4B">
              <w:rPr>
                <w:rStyle w:val="Lienhypertexte"/>
              </w:rPr>
              <w:t>Outils d'analyse</w:t>
            </w:r>
            <w:r w:rsidR="000A41CA" w:rsidRPr="009C4E4B">
              <w:rPr>
                <w:webHidden/>
              </w:rPr>
              <w:tab/>
            </w:r>
            <w:r w:rsidR="000A41CA" w:rsidRPr="009C4E4B">
              <w:rPr>
                <w:b/>
                <w:bCs/>
                <w:webHidden/>
              </w:rPr>
              <w:fldChar w:fldCharType="begin"/>
            </w:r>
            <w:r w:rsidR="000A41CA" w:rsidRPr="009C4E4B">
              <w:rPr>
                <w:webHidden/>
              </w:rPr>
              <w:instrText xml:space="preserve"> PAGEREF _Toc200756120 \h </w:instrText>
            </w:r>
            <w:r w:rsidR="000A41CA" w:rsidRPr="009C4E4B">
              <w:rPr>
                <w:b/>
                <w:bCs/>
                <w:webHidden/>
              </w:rPr>
            </w:r>
            <w:r w:rsidR="000A41CA" w:rsidRPr="009C4E4B">
              <w:rPr>
                <w:b/>
                <w:bCs/>
                <w:webHidden/>
              </w:rPr>
              <w:fldChar w:fldCharType="separate"/>
            </w:r>
            <w:r w:rsidR="000A41CA" w:rsidRPr="009C4E4B">
              <w:rPr>
                <w:webHidden/>
              </w:rPr>
              <w:t>180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1" w:history="1">
            <w:r w:rsidR="000A41CA" w:rsidRPr="009C4E4B">
              <w:rPr>
                <w:rStyle w:val="Lienhypertexte"/>
                <w:lang w:val="en-US"/>
              </w:rPr>
              <w:t>6.1.</w:t>
            </w:r>
            <w:r w:rsidR="00861F90" w:rsidRPr="009C4E4B">
              <w:rPr>
                <w:rFonts w:eastAsiaTheme="minorEastAsia"/>
                <w:kern w:val="2"/>
                <w:lang w:val="en-US" w:eastAsia="fr-FR"/>
                <w14:ligatures w14:val="standardContextual"/>
              </w:rPr>
              <w:t xml:space="preserve"> </w:t>
            </w:r>
            <w:r w:rsidR="000A41CA" w:rsidRPr="009C4E4B">
              <w:rPr>
                <w:rStyle w:val="Lienhypertexte"/>
                <w:lang w:val="en-US"/>
              </w:rPr>
              <w:t>SPSS (Statistical Package for the Social Sciences)</w:t>
            </w:r>
            <w:r w:rsidR="000A41CA" w:rsidRPr="009C4E4B">
              <w:rPr>
                <w:webHidden/>
              </w:rPr>
              <w:tab/>
            </w:r>
            <w:r w:rsidR="000A41CA" w:rsidRPr="009C4E4B">
              <w:rPr>
                <w:b/>
                <w:bCs/>
                <w:webHidden/>
              </w:rPr>
              <w:fldChar w:fldCharType="begin"/>
            </w:r>
            <w:r w:rsidR="000A41CA" w:rsidRPr="009C4E4B">
              <w:rPr>
                <w:webHidden/>
              </w:rPr>
              <w:instrText xml:space="preserve"> PAGEREF _Toc200756121 \h </w:instrText>
            </w:r>
            <w:r w:rsidR="000A41CA" w:rsidRPr="009C4E4B">
              <w:rPr>
                <w:b/>
                <w:bCs/>
                <w:webHidden/>
              </w:rPr>
            </w:r>
            <w:r w:rsidR="000A41CA" w:rsidRPr="009C4E4B">
              <w:rPr>
                <w:b/>
                <w:bCs/>
                <w:webHidden/>
              </w:rPr>
              <w:fldChar w:fldCharType="separate"/>
            </w:r>
            <w:r w:rsidR="000A41CA" w:rsidRPr="009C4E4B">
              <w:rPr>
                <w:webHidden/>
              </w:rPr>
              <w:t>180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2" w:history="1">
            <w:r w:rsidR="000A41CA" w:rsidRPr="009C4E4B">
              <w:rPr>
                <w:rStyle w:val="Lienhypertexte"/>
              </w:rPr>
              <w:t>6.2.</w:t>
            </w:r>
            <w:r w:rsidR="00861F90" w:rsidRPr="009C4E4B">
              <w:rPr>
                <w:rFonts w:eastAsiaTheme="minorEastAsia"/>
                <w:kern w:val="2"/>
                <w:lang w:val="en-US" w:eastAsia="fr-FR"/>
                <w14:ligatures w14:val="standardContextual"/>
              </w:rPr>
              <w:t xml:space="preserve"> </w:t>
            </w:r>
            <w:r w:rsidR="000A41CA" w:rsidRPr="009C4E4B">
              <w:rPr>
                <w:rStyle w:val="Lienhypertexte"/>
              </w:rPr>
              <w:t>SmartPLS</w:t>
            </w:r>
            <w:r w:rsidR="000A41CA" w:rsidRPr="009C4E4B">
              <w:rPr>
                <w:webHidden/>
              </w:rPr>
              <w:tab/>
            </w:r>
            <w:r w:rsidR="000A41CA" w:rsidRPr="009C4E4B">
              <w:rPr>
                <w:b/>
                <w:bCs/>
                <w:webHidden/>
              </w:rPr>
              <w:fldChar w:fldCharType="begin"/>
            </w:r>
            <w:r w:rsidR="000A41CA" w:rsidRPr="009C4E4B">
              <w:rPr>
                <w:webHidden/>
              </w:rPr>
              <w:instrText xml:space="preserve"> PAGEREF _Toc200756122 \h </w:instrText>
            </w:r>
            <w:r w:rsidR="000A41CA" w:rsidRPr="009C4E4B">
              <w:rPr>
                <w:b/>
                <w:bCs/>
                <w:webHidden/>
              </w:rPr>
            </w:r>
            <w:r w:rsidR="000A41CA" w:rsidRPr="009C4E4B">
              <w:rPr>
                <w:b/>
                <w:bCs/>
                <w:webHidden/>
              </w:rPr>
              <w:fldChar w:fldCharType="separate"/>
            </w:r>
            <w:r w:rsidR="000A41CA" w:rsidRPr="009C4E4B">
              <w:rPr>
                <w:webHidden/>
              </w:rPr>
              <w:t>182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3" w:history="1">
            <w:r w:rsidR="000A41CA" w:rsidRPr="009C4E4B">
              <w:rPr>
                <w:rStyle w:val="Lienhypertexte"/>
                <w:lang w:val="en-US"/>
              </w:rPr>
              <w:t>6.3.</w:t>
            </w:r>
            <w:r w:rsidR="00861F90" w:rsidRPr="009C4E4B">
              <w:rPr>
                <w:rFonts w:eastAsiaTheme="minorEastAsia"/>
                <w:kern w:val="2"/>
                <w:lang w:val="en-US" w:eastAsia="fr-FR"/>
                <w14:ligatures w14:val="standardContextual"/>
              </w:rPr>
              <w:t xml:space="preserve"> </w:t>
            </w:r>
            <w:r w:rsidR="000A41CA" w:rsidRPr="009C4E4B">
              <w:rPr>
                <w:rStyle w:val="Lienhypertexte"/>
                <w:lang w:val="en-US"/>
              </w:rPr>
              <w:t>Python (via Jupyter Notebook – Anaconda Navigator 2.6.3)</w:t>
            </w:r>
            <w:r w:rsidR="000A41CA" w:rsidRPr="009C4E4B">
              <w:rPr>
                <w:webHidden/>
              </w:rPr>
              <w:tab/>
            </w:r>
            <w:r w:rsidR="000A41CA" w:rsidRPr="009C4E4B">
              <w:rPr>
                <w:b/>
                <w:bCs/>
                <w:webHidden/>
              </w:rPr>
              <w:fldChar w:fldCharType="begin"/>
            </w:r>
            <w:r w:rsidR="000A41CA" w:rsidRPr="009C4E4B">
              <w:rPr>
                <w:webHidden/>
              </w:rPr>
              <w:instrText xml:space="preserve"> PAGEREF _Toc200756123 \h </w:instrText>
            </w:r>
            <w:r w:rsidR="000A41CA" w:rsidRPr="009C4E4B">
              <w:rPr>
                <w:b/>
                <w:bCs/>
                <w:webHidden/>
              </w:rPr>
            </w:r>
            <w:r w:rsidR="000A41CA" w:rsidRPr="009C4E4B">
              <w:rPr>
                <w:b/>
                <w:bCs/>
                <w:webHidden/>
              </w:rPr>
              <w:fldChar w:fldCharType="separate"/>
            </w:r>
            <w:r w:rsidR="000A41CA" w:rsidRPr="009C4E4B">
              <w:rPr>
                <w:webHidden/>
              </w:rPr>
              <w:t>182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4" w:history="1">
            <w:r w:rsidR="000A41CA" w:rsidRPr="009C4E4B">
              <w:rPr>
                <w:rStyle w:val="Lienhypertexte"/>
                <w:lang w:val="en-US"/>
              </w:rPr>
              <w:t>6.4.</w:t>
            </w:r>
            <w:r w:rsidR="00861F90" w:rsidRPr="009C4E4B">
              <w:rPr>
                <w:rFonts w:eastAsiaTheme="minorEastAsia"/>
                <w:kern w:val="2"/>
                <w:lang w:val="en-US" w:eastAsia="fr-FR"/>
                <w14:ligatures w14:val="standardContextual"/>
              </w:rPr>
              <w:t xml:space="preserve"> </w:t>
            </w:r>
            <w:r w:rsidR="000A41CA" w:rsidRPr="009C4E4B">
              <w:rPr>
                <w:rStyle w:val="Lienhypertexte"/>
                <w:lang w:val="en-US"/>
              </w:rPr>
              <w:t>Extension PROCESS v4.2 (Andrew F. Hayes)</w:t>
            </w:r>
            <w:r w:rsidR="000A41CA" w:rsidRPr="009C4E4B">
              <w:rPr>
                <w:webHidden/>
              </w:rPr>
              <w:tab/>
            </w:r>
            <w:r w:rsidR="000A41CA" w:rsidRPr="009C4E4B">
              <w:rPr>
                <w:b/>
                <w:bCs/>
                <w:webHidden/>
              </w:rPr>
              <w:fldChar w:fldCharType="begin"/>
            </w:r>
            <w:r w:rsidR="000A41CA" w:rsidRPr="009C4E4B">
              <w:rPr>
                <w:webHidden/>
              </w:rPr>
              <w:instrText xml:space="preserve"> PAGEREF _Toc200756124 \h </w:instrText>
            </w:r>
            <w:r w:rsidR="000A41CA" w:rsidRPr="009C4E4B">
              <w:rPr>
                <w:b/>
                <w:bCs/>
                <w:webHidden/>
              </w:rPr>
            </w:r>
            <w:r w:rsidR="000A41CA" w:rsidRPr="009C4E4B">
              <w:rPr>
                <w:b/>
                <w:bCs/>
                <w:webHidden/>
              </w:rPr>
              <w:fldChar w:fldCharType="separate"/>
            </w:r>
            <w:r w:rsidR="000A41CA" w:rsidRPr="009C4E4B">
              <w:rPr>
                <w:webHidden/>
              </w:rPr>
              <w:t>183</w:t>
            </w:r>
            <w:r w:rsidR="000A41CA" w:rsidRPr="009C4E4B">
              <w:rPr>
                <w:b/>
                <w:bCs/>
                <w:webHidden/>
              </w:rPr>
              <w:fldChar w:fldCharType="end"/>
            </w:r>
          </w:hyperlink>
        </w:p>
        <w:p w:rsidR="000A41CA" w:rsidRPr="000C1677" w:rsidRDefault="00000000" w:rsidP="00B26299">
          <w:pPr>
            <w:pStyle w:val="TM3"/>
            <w:rPr>
              <w:rFonts w:eastAsiaTheme="minorEastAsia"/>
              <w:kern w:val="2"/>
              <w:lang w:val="fr-DZ" w:eastAsia="fr-FR"/>
              <w14:ligatures w14:val="standardContextual"/>
            </w:rPr>
          </w:pPr>
          <w:hyperlink w:anchor="_Toc200756125" w:history="1">
            <w:r w:rsidR="000A41CA" w:rsidRPr="000C1677">
              <w:rPr>
                <w:rStyle w:val="Lienhypertexte"/>
                <w:b/>
                <w:bCs/>
              </w:rPr>
              <w:t>Section 3 : Présentation, analyse et interprétation des résultats</w:t>
            </w:r>
            <w:r w:rsidR="000A41CA" w:rsidRPr="00707EE5">
              <w:rPr>
                <w:b/>
                <w:bCs/>
                <w:webHidden/>
              </w:rPr>
              <w:tab/>
            </w:r>
            <w:r w:rsidR="000A41CA" w:rsidRPr="00707EE5">
              <w:rPr>
                <w:b/>
                <w:bCs/>
                <w:webHidden/>
              </w:rPr>
              <w:fldChar w:fldCharType="begin"/>
            </w:r>
            <w:r w:rsidR="000A41CA" w:rsidRPr="00707EE5">
              <w:rPr>
                <w:b/>
                <w:bCs/>
                <w:webHidden/>
              </w:rPr>
              <w:instrText xml:space="preserve"> PAGEREF _Toc200756125 \h </w:instrText>
            </w:r>
            <w:r w:rsidR="000A41CA" w:rsidRPr="00707EE5">
              <w:rPr>
                <w:b/>
                <w:bCs/>
                <w:webHidden/>
              </w:rPr>
            </w:r>
            <w:r w:rsidR="000A41CA" w:rsidRPr="00707EE5">
              <w:rPr>
                <w:b/>
                <w:bCs/>
                <w:webHidden/>
              </w:rPr>
              <w:fldChar w:fldCharType="separate"/>
            </w:r>
            <w:r w:rsidR="000A41CA" w:rsidRPr="00707EE5">
              <w:rPr>
                <w:b/>
                <w:bCs/>
                <w:webHidden/>
              </w:rPr>
              <w:t>185</w:t>
            </w:r>
            <w:r w:rsidR="000A41CA" w:rsidRPr="00707EE5">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6" w:history="1">
            <w:r w:rsidR="000A41CA" w:rsidRPr="009C4E4B">
              <w:rPr>
                <w:rStyle w:val="Lienhypertexte"/>
              </w:rPr>
              <w:t>I.</w:t>
            </w:r>
            <w:r w:rsidR="00861F90" w:rsidRPr="009C4E4B">
              <w:rPr>
                <w:rFonts w:eastAsiaTheme="minorEastAsia"/>
                <w:kern w:val="2"/>
                <w:lang w:val="en-US" w:eastAsia="fr-FR"/>
                <w14:ligatures w14:val="standardContextual"/>
              </w:rPr>
              <w:t xml:space="preserve"> </w:t>
            </w:r>
            <w:r w:rsidR="000A41CA" w:rsidRPr="009C4E4B">
              <w:rPr>
                <w:rStyle w:val="Lienhypertexte"/>
              </w:rPr>
              <w:t>Tests de fiabilités du modèle de mesure de l’étude :</w:t>
            </w:r>
            <w:r w:rsidR="000A41CA" w:rsidRPr="009C4E4B">
              <w:rPr>
                <w:webHidden/>
              </w:rPr>
              <w:tab/>
            </w:r>
            <w:r w:rsidR="000A41CA" w:rsidRPr="009C4E4B">
              <w:rPr>
                <w:b/>
                <w:bCs/>
                <w:webHidden/>
              </w:rPr>
              <w:fldChar w:fldCharType="begin"/>
            </w:r>
            <w:r w:rsidR="000A41CA" w:rsidRPr="009C4E4B">
              <w:rPr>
                <w:webHidden/>
              </w:rPr>
              <w:instrText xml:space="preserve"> PAGEREF _Toc200756126 \h </w:instrText>
            </w:r>
            <w:r w:rsidR="000A41CA" w:rsidRPr="009C4E4B">
              <w:rPr>
                <w:b/>
                <w:bCs/>
                <w:webHidden/>
              </w:rPr>
            </w:r>
            <w:r w:rsidR="000A41CA" w:rsidRPr="009C4E4B">
              <w:rPr>
                <w:b/>
                <w:bCs/>
                <w:webHidden/>
              </w:rPr>
              <w:fldChar w:fldCharType="separate"/>
            </w:r>
            <w:r w:rsidR="000A41CA" w:rsidRPr="009C4E4B">
              <w:rPr>
                <w:webHidden/>
              </w:rPr>
              <w:t>185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7" w:history="1">
            <w:r w:rsidR="000A41CA" w:rsidRPr="009C4E4B">
              <w:rPr>
                <w:rStyle w:val="Lienhypertexte"/>
              </w:rPr>
              <w:t>1.</w:t>
            </w:r>
            <w:r w:rsidR="00861F90" w:rsidRPr="009C4E4B">
              <w:rPr>
                <w:rFonts w:eastAsiaTheme="minorEastAsia"/>
                <w:kern w:val="2"/>
                <w:lang w:val="en-US" w:eastAsia="fr-FR"/>
                <w14:ligatures w14:val="standardContextual"/>
              </w:rPr>
              <w:t xml:space="preserve"> </w:t>
            </w:r>
            <w:r w:rsidR="000A41CA" w:rsidRPr="009C4E4B">
              <w:rPr>
                <w:rStyle w:val="Lienhypertexte"/>
              </w:rPr>
              <w:t>Coefficient de charge / Factor Loading</w:t>
            </w:r>
            <w:r w:rsidR="000A41CA" w:rsidRPr="009C4E4B">
              <w:rPr>
                <w:webHidden/>
              </w:rPr>
              <w:tab/>
            </w:r>
            <w:r w:rsidR="000A41CA" w:rsidRPr="009C4E4B">
              <w:rPr>
                <w:b/>
                <w:bCs/>
                <w:webHidden/>
              </w:rPr>
              <w:fldChar w:fldCharType="begin"/>
            </w:r>
            <w:r w:rsidR="000A41CA" w:rsidRPr="009C4E4B">
              <w:rPr>
                <w:webHidden/>
              </w:rPr>
              <w:instrText xml:space="preserve"> PAGEREF _Toc200756127 \h </w:instrText>
            </w:r>
            <w:r w:rsidR="000A41CA" w:rsidRPr="009C4E4B">
              <w:rPr>
                <w:b/>
                <w:bCs/>
                <w:webHidden/>
              </w:rPr>
            </w:r>
            <w:r w:rsidR="000A41CA" w:rsidRPr="009C4E4B">
              <w:rPr>
                <w:b/>
                <w:bCs/>
                <w:webHidden/>
              </w:rPr>
              <w:fldChar w:fldCharType="separate"/>
            </w:r>
            <w:r w:rsidR="000A41CA" w:rsidRPr="009C4E4B">
              <w:rPr>
                <w:webHidden/>
              </w:rPr>
              <w:t>185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8" w:history="1">
            <w:r w:rsidR="000A41CA" w:rsidRPr="009C4E4B">
              <w:rPr>
                <w:rStyle w:val="Lienhypertexte"/>
              </w:rPr>
              <w:t>1.2.</w:t>
            </w:r>
            <w:r w:rsidR="00861F90" w:rsidRPr="009C4E4B">
              <w:rPr>
                <w:rFonts w:eastAsiaTheme="minorEastAsia"/>
                <w:kern w:val="2"/>
                <w:lang w:val="en-US" w:eastAsia="fr-FR"/>
                <w14:ligatures w14:val="standardContextual"/>
              </w:rPr>
              <w:t xml:space="preserve"> </w:t>
            </w:r>
            <w:r w:rsidR="000A41CA" w:rsidRPr="009C4E4B">
              <w:rPr>
                <w:rStyle w:val="Lienhypertexte"/>
              </w:rPr>
              <w:t>Fiabilité de la Consistance Interne</w:t>
            </w:r>
            <w:r w:rsidR="000A41CA" w:rsidRPr="009C4E4B">
              <w:rPr>
                <w:webHidden/>
              </w:rPr>
              <w:tab/>
            </w:r>
            <w:r w:rsidR="000A41CA" w:rsidRPr="009C4E4B">
              <w:rPr>
                <w:b/>
                <w:bCs/>
                <w:webHidden/>
              </w:rPr>
              <w:fldChar w:fldCharType="begin"/>
            </w:r>
            <w:r w:rsidR="000A41CA" w:rsidRPr="009C4E4B">
              <w:rPr>
                <w:webHidden/>
              </w:rPr>
              <w:instrText xml:space="preserve"> PAGEREF _Toc200756128 \h </w:instrText>
            </w:r>
            <w:r w:rsidR="000A41CA" w:rsidRPr="009C4E4B">
              <w:rPr>
                <w:b/>
                <w:bCs/>
                <w:webHidden/>
              </w:rPr>
            </w:r>
            <w:r w:rsidR="000A41CA" w:rsidRPr="009C4E4B">
              <w:rPr>
                <w:b/>
                <w:bCs/>
                <w:webHidden/>
              </w:rPr>
              <w:fldChar w:fldCharType="separate"/>
            </w:r>
            <w:r w:rsidR="000A41CA" w:rsidRPr="009C4E4B">
              <w:rPr>
                <w:webHidden/>
              </w:rPr>
              <w:t>187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29" w:history="1">
            <w:r w:rsidR="000A41CA" w:rsidRPr="009C4E4B">
              <w:rPr>
                <w:rStyle w:val="Lienhypertexte"/>
              </w:rPr>
              <w:t>1.2.1.</w:t>
            </w:r>
            <w:r w:rsidR="00861F90" w:rsidRPr="009C4E4B">
              <w:rPr>
                <w:rFonts w:eastAsiaTheme="minorEastAsia"/>
                <w:kern w:val="2"/>
                <w:lang w:val="en-US" w:eastAsia="fr-FR"/>
                <w14:ligatures w14:val="standardContextual"/>
              </w:rPr>
              <w:t xml:space="preserve"> </w:t>
            </w:r>
            <w:r w:rsidR="000A41CA" w:rsidRPr="009C4E4B">
              <w:rPr>
                <w:rStyle w:val="Lienhypertexte"/>
              </w:rPr>
              <w:t>Le Coefficient Alpha de Cronbach (Alpha de Cronbach)</w:t>
            </w:r>
            <w:r w:rsidR="000A41CA" w:rsidRPr="009C4E4B">
              <w:rPr>
                <w:webHidden/>
              </w:rPr>
              <w:tab/>
            </w:r>
            <w:r w:rsidR="000A41CA" w:rsidRPr="009C4E4B">
              <w:rPr>
                <w:b/>
                <w:bCs/>
                <w:webHidden/>
              </w:rPr>
              <w:fldChar w:fldCharType="begin"/>
            </w:r>
            <w:r w:rsidR="000A41CA" w:rsidRPr="009C4E4B">
              <w:rPr>
                <w:webHidden/>
              </w:rPr>
              <w:instrText xml:space="preserve"> PAGEREF _Toc200756129 \h </w:instrText>
            </w:r>
            <w:r w:rsidR="000A41CA" w:rsidRPr="009C4E4B">
              <w:rPr>
                <w:b/>
                <w:bCs/>
                <w:webHidden/>
              </w:rPr>
            </w:r>
            <w:r w:rsidR="000A41CA" w:rsidRPr="009C4E4B">
              <w:rPr>
                <w:b/>
                <w:bCs/>
                <w:webHidden/>
              </w:rPr>
              <w:fldChar w:fldCharType="separate"/>
            </w:r>
            <w:r w:rsidR="000A41CA" w:rsidRPr="009C4E4B">
              <w:rPr>
                <w:webHidden/>
              </w:rPr>
              <w:t>187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0" w:history="1">
            <w:r w:rsidR="000A41CA" w:rsidRPr="009C4E4B">
              <w:rPr>
                <w:rStyle w:val="Lienhypertexte"/>
              </w:rPr>
              <w:t>1.2.2.</w:t>
            </w:r>
            <w:r w:rsidR="00861F90" w:rsidRPr="009C4E4B">
              <w:rPr>
                <w:rFonts w:eastAsiaTheme="minorEastAsia"/>
                <w:kern w:val="2"/>
                <w:lang w:val="en-US" w:eastAsia="fr-FR"/>
                <w14:ligatures w14:val="standardContextual"/>
              </w:rPr>
              <w:t xml:space="preserve"> </w:t>
            </w:r>
            <w:r w:rsidR="000A41CA" w:rsidRPr="009C4E4B">
              <w:rPr>
                <w:rStyle w:val="Lienhypertexte"/>
              </w:rPr>
              <w:t>Fiabilité composite / Composite Reliability</w:t>
            </w:r>
            <w:r w:rsidR="000A41CA" w:rsidRPr="009C4E4B">
              <w:rPr>
                <w:webHidden/>
              </w:rPr>
              <w:tab/>
            </w:r>
            <w:r w:rsidR="000A41CA" w:rsidRPr="009C4E4B">
              <w:rPr>
                <w:b/>
                <w:bCs/>
                <w:webHidden/>
              </w:rPr>
              <w:fldChar w:fldCharType="begin"/>
            </w:r>
            <w:r w:rsidR="000A41CA" w:rsidRPr="009C4E4B">
              <w:rPr>
                <w:webHidden/>
              </w:rPr>
              <w:instrText xml:space="preserve"> PAGEREF _Toc200756130 \h </w:instrText>
            </w:r>
            <w:r w:rsidR="000A41CA" w:rsidRPr="009C4E4B">
              <w:rPr>
                <w:b/>
                <w:bCs/>
                <w:webHidden/>
              </w:rPr>
            </w:r>
            <w:r w:rsidR="000A41CA" w:rsidRPr="009C4E4B">
              <w:rPr>
                <w:b/>
                <w:bCs/>
                <w:webHidden/>
              </w:rPr>
              <w:fldChar w:fldCharType="separate"/>
            </w:r>
            <w:r w:rsidR="000A41CA" w:rsidRPr="009C4E4B">
              <w:rPr>
                <w:webHidden/>
              </w:rPr>
              <w:t>188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1" w:history="1">
            <w:r w:rsidR="000A41CA" w:rsidRPr="009C4E4B">
              <w:rPr>
                <w:rStyle w:val="Lienhypertexte"/>
              </w:rPr>
              <w:t>1.3.</w:t>
            </w:r>
            <w:r w:rsidR="00861F90" w:rsidRPr="009C4E4B">
              <w:rPr>
                <w:rFonts w:eastAsiaTheme="minorEastAsia"/>
                <w:kern w:val="2"/>
                <w:lang w:val="en-US" w:eastAsia="fr-FR"/>
                <w14:ligatures w14:val="standardContextual"/>
              </w:rPr>
              <w:t xml:space="preserve"> </w:t>
            </w:r>
            <w:r w:rsidR="000A41CA" w:rsidRPr="009C4E4B">
              <w:rPr>
                <w:rStyle w:val="Lienhypertexte"/>
              </w:rPr>
              <w:t>Variance Moyenne Extraite / Average Variance Extracted (AVE)</w:t>
            </w:r>
            <w:r w:rsidR="000A41CA" w:rsidRPr="009C4E4B">
              <w:rPr>
                <w:webHidden/>
              </w:rPr>
              <w:tab/>
            </w:r>
            <w:r w:rsidR="000A41CA" w:rsidRPr="009C4E4B">
              <w:rPr>
                <w:b/>
                <w:bCs/>
                <w:webHidden/>
              </w:rPr>
              <w:fldChar w:fldCharType="begin"/>
            </w:r>
            <w:r w:rsidR="000A41CA" w:rsidRPr="009C4E4B">
              <w:rPr>
                <w:webHidden/>
              </w:rPr>
              <w:instrText xml:space="preserve"> PAGEREF _Toc200756131 \h </w:instrText>
            </w:r>
            <w:r w:rsidR="000A41CA" w:rsidRPr="009C4E4B">
              <w:rPr>
                <w:b/>
                <w:bCs/>
                <w:webHidden/>
              </w:rPr>
            </w:r>
            <w:r w:rsidR="000A41CA" w:rsidRPr="009C4E4B">
              <w:rPr>
                <w:b/>
                <w:bCs/>
                <w:webHidden/>
              </w:rPr>
              <w:fldChar w:fldCharType="separate"/>
            </w:r>
            <w:r w:rsidR="000A41CA" w:rsidRPr="009C4E4B">
              <w:rPr>
                <w:webHidden/>
              </w:rPr>
              <w:t>189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2" w:history="1">
            <w:r w:rsidR="000A41CA" w:rsidRPr="009C4E4B">
              <w:rPr>
                <w:rStyle w:val="Lienhypertexte"/>
              </w:rPr>
              <w:t>1.4.</w:t>
            </w:r>
            <w:r w:rsidR="00861F90" w:rsidRPr="009C4E4B">
              <w:rPr>
                <w:rFonts w:eastAsiaTheme="minorEastAsia"/>
                <w:kern w:val="2"/>
                <w:lang w:val="en-US" w:eastAsia="fr-FR"/>
                <w14:ligatures w14:val="standardContextual"/>
              </w:rPr>
              <w:t xml:space="preserve"> </w:t>
            </w:r>
            <w:r w:rsidR="000A41CA" w:rsidRPr="009C4E4B">
              <w:rPr>
                <w:rStyle w:val="Lienhypertexte"/>
              </w:rPr>
              <w:t>Évaluation de la colinéarité (Facteur de Gonflement de la Variance / Variance</w:t>
            </w:r>
            <w:r w:rsidR="000A41CA" w:rsidRPr="009C4E4B">
              <w:rPr>
                <w:webHidden/>
              </w:rPr>
              <w:tab/>
            </w:r>
            <w:r w:rsidR="000A41CA" w:rsidRPr="009C4E4B">
              <w:rPr>
                <w:b/>
                <w:bCs/>
                <w:webHidden/>
              </w:rPr>
              <w:fldChar w:fldCharType="begin"/>
            </w:r>
            <w:r w:rsidR="000A41CA" w:rsidRPr="009C4E4B">
              <w:rPr>
                <w:webHidden/>
              </w:rPr>
              <w:instrText xml:space="preserve"> PAGEREF _Toc200756132 \h </w:instrText>
            </w:r>
            <w:r w:rsidR="000A41CA" w:rsidRPr="009C4E4B">
              <w:rPr>
                <w:b/>
                <w:bCs/>
                <w:webHidden/>
              </w:rPr>
            </w:r>
            <w:r w:rsidR="000A41CA" w:rsidRPr="009C4E4B">
              <w:rPr>
                <w:b/>
                <w:bCs/>
                <w:webHidden/>
              </w:rPr>
              <w:fldChar w:fldCharType="separate"/>
            </w:r>
            <w:r w:rsidR="000A41CA" w:rsidRPr="009C4E4B">
              <w:rPr>
                <w:webHidden/>
              </w:rPr>
              <w:t>190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3" w:history="1">
            <w:r w:rsidR="000A41CA" w:rsidRPr="009C4E4B">
              <w:rPr>
                <w:rStyle w:val="Lienhypertexte"/>
              </w:rPr>
              <w:t>1.5.</w:t>
            </w:r>
            <w:r w:rsidR="00861F90" w:rsidRPr="009C4E4B">
              <w:rPr>
                <w:rFonts w:eastAsiaTheme="minorEastAsia"/>
                <w:kern w:val="2"/>
                <w:lang w:val="en-US" w:eastAsia="fr-FR"/>
                <w14:ligatures w14:val="standardContextual"/>
              </w:rPr>
              <w:t xml:space="preserve"> </w:t>
            </w:r>
            <w:r w:rsidR="000A41CA" w:rsidRPr="009C4E4B">
              <w:rPr>
                <w:rStyle w:val="Lienhypertexte"/>
              </w:rPr>
              <w:t>Le Goodness of Fit (GOF) (qualité de l'ajustement) :</w:t>
            </w:r>
            <w:r w:rsidR="000A41CA" w:rsidRPr="009C4E4B">
              <w:rPr>
                <w:webHidden/>
              </w:rPr>
              <w:tab/>
            </w:r>
            <w:r w:rsidR="000A41CA" w:rsidRPr="009C4E4B">
              <w:rPr>
                <w:b/>
                <w:bCs/>
                <w:webHidden/>
              </w:rPr>
              <w:fldChar w:fldCharType="begin"/>
            </w:r>
            <w:r w:rsidR="000A41CA" w:rsidRPr="009C4E4B">
              <w:rPr>
                <w:webHidden/>
              </w:rPr>
              <w:instrText xml:space="preserve"> PAGEREF _Toc200756133 \h </w:instrText>
            </w:r>
            <w:r w:rsidR="000A41CA" w:rsidRPr="009C4E4B">
              <w:rPr>
                <w:b/>
                <w:bCs/>
                <w:webHidden/>
              </w:rPr>
            </w:r>
            <w:r w:rsidR="000A41CA" w:rsidRPr="009C4E4B">
              <w:rPr>
                <w:b/>
                <w:bCs/>
                <w:webHidden/>
              </w:rPr>
              <w:fldChar w:fldCharType="separate"/>
            </w:r>
            <w:r w:rsidR="000A41CA" w:rsidRPr="009C4E4B">
              <w:rPr>
                <w:webHidden/>
              </w:rPr>
              <w:t>190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4" w:history="1">
            <w:r w:rsidR="000A41CA" w:rsidRPr="009C4E4B">
              <w:rPr>
                <w:rStyle w:val="Lienhypertexte"/>
              </w:rPr>
              <w:t>II.</w:t>
            </w:r>
            <w:r w:rsidR="00861F90" w:rsidRPr="009C4E4B">
              <w:rPr>
                <w:rFonts w:eastAsiaTheme="minorEastAsia"/>
                <w:kern w:val="2"/>
                <w:lang w:val="en-US" w:eastAsia="fr-FR"/>
                <w14:ligatures w14:val="standardContextual"/>
              </w:rPr>
              <w:t xml:space="preserve"> </w:t>
            </w:r>
            <w:r w:rsidR="000A41CA" w:rsidRPr="009C4E4B">
              <w:rPr>
                <w:rStyle w:val="Lienhypertexte"/>
              </w:rPr>
              <w:t>Analyse descriptive sociodémographique des interrogés</w:t>
            </w:r>
            <w:r w:rsidR="000A41CA" w:rsidRPr="009C4E4B">
              <w:rPr>
                <w:webHidden/>
              </w:rPr>
              <w:tab/>
            </w:r>
            <w:r w:rsidR="000A41CA" w:rsidRPr="009C4E4B">
              <w:rPr>
                <w:b/>
                <w:bCs/>
                <w:webHidden/>
              </w:rPr>
              <w:fldChar w:fldCharType="begin"/>
            </w:r>
            <w:r w:rsidR="000A41CA" w:rsidRPr="009C4E4B">
              <w:rPr>
                <w:webHidden/>
              </w:rPr>
              <w:instrText xml:space="preserve"> PAGEREF _Toc200756134 \h </w:instrText>
            </w:r>
            <w:r w:rsidR="000A41CA" w:rsidRPr="009C4E4B">
              <w:rPr>
                <w:b/>
                <w:bCs/>
                <w:webHidden/>
              </w:rPr>
            </w:r>
            <w:r w:rsidR="000A41CA" w:rsidRPr="009C4E4B">
              <w:rPr>
                <w:b/>
                <w:bCs/>
                <w:webHidden/>
              </w:rPr>
              <w:fldChar w:fldCharType="separate"/>
            </w:r>
            <w:r w:rsidR="000A41CA" w:rsidRPr="009C4E4B">
              <w:rPr>
                <w:webHidden/>
              </w:rPr>
              <w:t>191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5" w:history="1">
            <w:r w:rsidR="000A41CA" w:rsidRPr="009C4E4B">
              <w:rPr>
                <w:rStyle w:val="Lienhypertexte"/>
              </w:rPr>
              <w:t>1.</w:t>
            </w:r>
            <w:r w:rsidR="00882F77" w:rsidRPr="009C4E4B">
              <w:rPr>
                <w:rFonts w:eastAsiaTheme="minorEastAsia"/>
                <w:kern w:val="2"/>
                <w:lang w:val="en-US" w:eastAsia="fr-FR"/>
                <w14:ligatures w14:val="standardContextual"/>
              </w:rPr>
              <w:t xml:space="preserve"> </w:t>
            </w:r>
            <w:r w:rsidR="000A41CA" w:rsidRPr="009C4E4B">
              <w:rPr>
                <w:rStyle w:val="Lienhypertexte"/>
              </w:rPr>
              <w:t>Niveau de digitalisation RH dans l’entreprise</w:t>
            </w:r>
            <w:r w:rsidR="000A41CA" w:rsidRPr="009C4E4B">
              <w:rPr>
                <w:webHidden/>
              </w:rPr>
              <w:tab/>
            </w:r>
            <w:r w:rsidR="000A41CA" w:rsidRPr="009C4E4B">
              <w:rPr>
                <w:b/>
                <w:bCs/>
                <w:webHidden/>
              </w:rPr>
              <w:fldChar w:fldCharType="begin"/>
            </w:r>
            <w:r w:rsidR="000A41CA" w:rsidRPr="009C4E4B">
              <w:rPr>
                <w:webHidden/>
              </w:rPr>
              <w:instrText xml:space="preserve"> PAGEREF _Toc200756135 \h </w:instrText>
            </w:r>
            <w:r w:rsidR="000A41CA" w:rsidRPr="009C4E4B">
              <w:rPr>
                <w:b/>
                <w:bCs/>
                <w:webHidden/>
              </w:rPr>
            </w:r>
            <w:r w:rsidR="000A41CA" w:rsidRPr="009C4E4B">
              <w:rPr>
                <w:b/>
                <w:bCs/>
                <w:webHidden/>
              </w:rPr>
              <w:fldChar w:fldCharType="separate"/>
            </w:r>
            <w:r w:rsidR="000A41CA" w:rsidRPr="009C4E4B">
              <w:rPr>
                <w:webHidden/>
              </w:rPr>
              <w:t>191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6" w:history="1">
            <w:r w:rsidR="000A41CA" w:rsidRPr="009C4E4B">
              <w:rPr>
                <w:rStyle w:val="Lienhypertexte"/>
              </w:rPr>
              <w:t>2.</w:t>
            </w:r>
            <w:r w:rsidR="00882F77" w:rsidRPr="009C4E4B">
              <w:rPr>
                <w:rFonts w:eastAsiaTheme="minorEastAsia"/>
                <w:kern w:val="2"/>
                <w:lang w:val="en-US" w:eastAsia="fr-FR"/>
                <w14:ligatures w14:val="standardContextual"/>
              </w:rPr>
              <w:t xml:space="preserve"> </w:t>
            </w:r>
            <w:r w:rsidR="000A41CA" w:rsidRPr="009C4E4B">
              <w:rPr>
                <w:rStyle w:val="Lienhypertexte"/>
              </w:rPr>
              <w:t>Profils des participants</w:t>
            </w:r>
            <w:r w:rsidR="000A41CA" w:rsidRPr="009C4E4B">
              <w:rPr>
                <w:webHidden/>
              </w:rPr>
              <w:tab/>
            </w:r>
            <w:r w:rsidR="000A41CA" w:rsidRPr="009C4E4B">
              <w:rPr>
                <w:b/>
                <w:bCs/>
                <w:webHidden/>
              </w:rPr>
              <w:fldChar w:fldCharType="begin"/>
            </w:r>
            <w:r w:rsidR="000A41CA" w:rsidRPr="009C4E4B">
              <w:rPr>
                <w:webHidden/>
              </w:rPr>
              <w:instrText xml:space="preserve"> PAGEREF _Toc200756136 \h </w:instrText>
            </w:r>
            <w:r w:rsidR="000A41CA" w:rsidRPr="009C4E4B">
              <w:rPr>
                <w:b/>
                <w:bCs/>
                <w:webHidden/>
              </w:rPr>
            </w:r>
            <w:r w:rsidR="000A41CA" w:rsidRPr="009C4E4B">
              <w:rPr>
                <w:b/>
                <w:bCs/>
                <w:webHidden/>
              </w:rPr>
              <w:fldChar w:fldCharType="separate"/>
            </w:r>
            <w:r w:rsidR="000A41CA" w:rsidRPr="009C4E4B">
              <w:rPr>
                <w:webHidden/>
              </w:rPr>
              <w:t>195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7" w:history="1">
            <w:r w:rsidR="000A41CA" w:rsidRPr="009C4E4B">
              <w:rPr>
                <w:rStyle w:val="Lienhypertexte"/>
              </w:rPr>
              <w:t>2.1.</w:t>
            </w:r>
            <w:r w:rsidR="00882F77" w:rsidRPr="009C4E4B">
              <w:rPr>
                <w:rFonts w:eastAsiaTheme="minorEastAsia"/>
                <w:kern w:val="2"/>
                <w:lang w:val="en-US" w:eastAsia="fr-FR"/>
                <w14:ligatures w14:val="standardContextual"/>
              </w:rPr>
              <w:t xml:space="preserve"> </w:t>
            </w:r>
            <w:r w:rsidR="000A41CA" w:rsidRPr="009C4E4B">
              <w:rPr>
                <w:rStyle w:val="Lienhypertexte"/>
              </w:rPr>
              <w:t>Le genre (sexe)</w:t>
            </w:r>
            <w:r w:rsidR="000A41CA" w:rsidRPr="009C4E4B">
              <w:rPr>
                <w:webHidden/>
              </w:rPr>
              <w:tab/>
            </w:r>
            <w:r w:rsidR="000A41CA" w:rsidRPr="009C4E4B">
              <w:rPr>
                <w:b/>
                <w:bCs/>
                <w:webHidden/>
              </w:rPr>
              <w:fldChar w:fldCharType="begin"/>
            </w:r>
            <w:r w:rsidR="000A41CA" w:rsidRPr="009C4E4B">
              <w:rPr>
                <w:webHidden/>
              </w:rPr>
              <w:instrText xml:space="preserve"> PAGEREF _Toc200756137 \h </w:instrText>
            </w:r>
            <w:r w:rsidR="000A41CA" w:rsidRPr="009C4E4B">
              <w:rPr>
                <w:b/>
                <w:bCs/>
                <w:webHidden/>
              </w:rPr>
            </w:r>
            <w:r w:rsidR="000A41CA" w:rsidRPr="009C4E4B">
              <w:rPr>
                <w:b/>
                <w:bCs/>
                <w:webHidden/>
              </w:rPr>
              <w:fldChar w:fldCharType="separate"/>
            </w:r>
            <w:r w:rsidR="000A41CA" w:rsidRPr="009C4E4B">
              <w:rPr>
                <w:webHidden/>
              </w:rPr>
              <w:t>195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8" w:history="1">
            <w:r w:rsidR="000A41CA" w:rsidRPr="009C4E4B">
              <w:rPr>
                <w:rStyle w:val="Lienhypertexte"/>
              </w:rPr>
              <w:t>2.2.</w:t>
            </w:r>
            <w:r w:rsidR="00882F77" w:rsidRPr="009C4E4B">
              <w:rPr>
                <w:rFonts w:eastAsiaTheme="minorEastAsia"/>
                <w:kern w:val="2"/>
                <w:lang w:val="en-US" w:eastAsia="fr-FR"/>
                <w14:ligatures w14:val="standardContextual"/>
              </w:rPr>
              <w:t xml:space="preserve"> </w:t>
            </w:r>
            <w:r w:rsidR="000A41CA" w:rsidRPr="009C4E4B">
              <w:rPr>
                <w:rStyle w:val="Lienhypertexte"/>
              </w:rPr>
              <w:t xml:space="preserve">L'âge </w:t>
            </w:r>
            <w:r w:rsidR="000A41CA" w:rsidRPr="009C4E4B">
              <w:rPr>
                <w:webHidden/>
              </w:rPr>
              <w:tab/>
            </w:r>
            <w:r w:rsidR="000A41CA" w:rsidRPr="009C4E4B">
              <w:rPr>
                <w:b/>
                <w:bCs/>
                <w:webHidden/>
              </w:rPr>
              <w:fldChar w:fldCharType="begin"/>
            </w:r>
            <w:r w:rsidR="000A41CA" w:rsidRPr="009C4E4B">
              <w:rPr>
                <w:webHidden/>
              </w:rPr>
              <w:instrText xml:space="preserve"> PAGEREF _Toc200756138 \h </w:instrText>
            </w:r>
            <w:r w:rsidR="000A41CA" w:rsidRPr="009C4E4B">
              <w:rPr>
                <w:b/>
                <w:bCs/>
                <w:webHidden/>
              </w:rPr>
            </w:r>
            <w:r w:rsidR="000A41CA" w:rsidRPr="009C4E4B">
              <w:rPr>
                <w:b/>
                <w:bCs/>
                <w:webHidden/>
              </w:rPr>
              <w:fldChar w:fldCharType="separate"/>
            </w:r>
            <w:r w:rsidR="000A41CA" w:rsidRPr="009C4E4B">
              <w:rPr>
                <w:webHidden/>
              </w:rPr>
              <w:t>197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39" w:history="1">
            <w:r w:rsidR="000A41CA" w:rsidRPr="009C4E4B">
              <w:rPr>
                <w:rStyle w:val="Lienhypertexte"/>
              </w:rPr>
              <w:t>2.3.</w:t>
            </w:r>
            <w:r w:rsidR="00882F77" w:rsidRPr="009C4E4B">
              <w:rPr>
                <w:rFonts w:eastAsiaTheme="minorEastAsia"/>
                <w:kern w:val="2"/>
                <w:lang w:val="en-US" w:eastAsia="fr-FR"/>
                <w14:ligatures w14:val="standardContextual"/>
              </w:rPr>
              <w:t xml:space="preserve"> </w:t>
            </w:r>
            <w:r w:rsidR="000A41CA" w:rsidRPr="009C4E4B">
              <w:rPr>
                <w:rStyle w:val="Lienhypertexte"/>
              </w:rPr>
              <w:t xml:space="preserve">Le niveau d'éducation </w:t>
            </w:r>
            <w:r w:rsidR="000A41CA" w:rsidRPr="009C4E4B">
              <w:rPr>
                <w:webHidden/>
              </w:rPr>
              <w:tab/>
            </w:r>
            <w:r w:rsidR="000A41CA" w:rsidRPr="009C4E4B">
              <w:rPr>
                <w:b/>
                <w:bCs/>
                <w:webHidden/>
              </w:rPr>
              <w:fldChar w:fldCharType="begin"/>
            </w:r>
            <w:r w:rsidR="000A41CA" w:rsidRPr="009C4E4B">
              <w:rPr>
                <w:webHidden/>
              </w:rPr>
              <w:instrText xml:space="preserve"> PAGEREF _Toc200756139 \h </w:instrText>
            </w:r>
            <w:r w:rsidR="000A41CA" w:rsidRPr="009C4E4B">
              <w:rPr>
                <w:b/>
                <w:bCs/>
                <w:webHidden/>
              </w:rPr>
            </w:r>
            <w:r w:rsidR="000A41CA" w:rsidRPr="009C4E4B">
              <w:rPr>
                <w:b/>
                <w:bCs/>
                <w:webHidden/>
              </w:rPr>
              <w:fldChar w:fldCharType="separate"/>
            </w:r>
            <w:r w:rsidR="000A41CA" w:rsidRPr="009C4E4B">
              <w:rPr>
                <w:webHidden/>
              </w:rPr>
              <w:t>198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0" w:history="1">
            <w:r w:rsidR="000A41CA" w:rsidRPr="009C4E4B">
              <w:rPr>
                <w:rStyle w:val="Lienhypertexte"/>
              </w:rPr>
              <w:t>2.4.</w:t>
            </w:r>
            <w:r w:rsidR="00882F77" w:rsidRPr="009C4E4B">
              <w:rPr>
                <w:rFonts w:eastAsiaTheme="minorEastAsia"/>
                <w:kern w:val="2"/>
                <w:lang w:val="en-US" w:eastAsia="fr-FR"/>
                <w14:ligatures w14:val="standardContextual"/>
              </w:rPr>
              <w:t xml:space="preserve"> </w:t>
            </w:r>
            <w:r w:rsidR="000A41CA" w:rsidRPr="009C4E4B">
              <w:rPr>
                <w:rStyle w:val="Lienhypertexte"/>
              </w:rPr>
              <w:t>La catégorie socioprofessionnelle</w:t>
            </w:r>
            <w:r w:rsidR="000A41CA" w:rsidRPr="009C4E4B">
              <w:rPr>
                <w:webHidden/>
              </w:rPr>
              <w:tab/>
            </w:r>
            <w:r w:rsidR="000A41CA" w:rsidRPr="009C4E4B">
              <w:rPr>
                <w:b/>
                <w:bCs/>
                <w:webHidden/>
              </w:rPr>
              <w:fldChar w:fldCharType="begin"/>
            </w:r>
            <w:r w:rsidR="000A41CA" w:rsidRPr="009C4E4B">
              <w:rPr>
                <w:webHidden/>
              </w:rPr>
              <w:instrText xml:space="preserve"> PAGEREF _Toc200756140 \h </w:instrText>
            </w:r>
            <w:r w:rsidR="000A41CA" w:rsidRPr="009C4E4B">
              <w:rPr>
                <w:b/>
                <w:bCs/>
                <w:webHidden/>
              </w:rPr>
            </w:r>
            <w:r w:rsidR="000A41CA" w:rsidRPr="009C4E4B">
              <w:rPr>
                <w:b/>
                <w:bCs/>
                <w:webHidden/>
              </w:rPr>
              <w:fldChar w:fldCharType="separate"/>
            </w:r>
            <w:r w:rsidR="000A41CA" w:rsidRPr="009C4E4B">
              <w:rPr>
                <w:webHidden/>
              </w:rPr>
              <w:t>200</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1" w:history="1">
            <w:r w:rsidR="000A41CA" w:rsidRPr="009C4E4B">
              <w:rPr>
                <w:rStyle w:val="Lienhypertexte"/>
              </w:rPr>
              <w:t>2.5.</w:t>
            </w:r>
            <w:r w:rsidR="00882F77" w:rsidRPr="009C4E4B">
              <w:rPr>
                <w:rFonts w:eastAsiaTheme="minorEastAsia"/>
                <w:kern w:val="2"/>
                <w:lang w:val="en-US" w:eastAsia="fr-FR"/>
                <w14:ligatures w14:val="standardContextual"/>
              </w:rPr>
              <w:t xml:space="preserve"> </w:t>
            </w:r>
            <w:r w:rsidR="000A41CA" w:rsidRPr="009C4E4B">
              <w:rPr>
                <w:rStyle w:val="Lienhypertexte"/>
              </w:rPr>
              <w:t xml:space="preserve">Le département du travail </w:t>
            </w:r>
            <w:r w:rsidR="000A41CA" w:rsidRPr="009C4E4B">
              <w:rPr>
                <w:webHidden/>
              </w:rPr>
              <w:tab/>
            </w:r>
            <w:r w:rsidR="000A41CA" w:rsidRPr="009C4E4B">
              <w:rPr>
                <w:b/>
                <w:bCs/>
                <w:webHidden/>
              </w:rPr>
              <w:fldChar w:fldCharType="begin"/>
            </w:r>
            <w:r w:rsidR="000A41CA" w:rsidRPr="009C4E4B">
              <w:rPr>
                <w:webHidden/>
              </w:rPr>
              <w:instrText xml:space="preserve"> PAGEREF _Toc200756141 \h </w:instrText>
            </w:r>
            <w:r w:rsidR="000A41CA" w:rsidRPr="009C4E4B">
              <w:rPr>
                <w:b/>
                <w:bCs/>
                <w:webHidden/>
              </w:rPr>
            </w:r>
            <w:r w:rsidR="000A41CA" w:rsidRPr="009C4E4B">
              <w:rPr>
                <w:b/>
                <w:bCs/>
                <w:webHidden/>
              </w:rPr>
              <w:fldChar w:fldCharType="separate"/>
            </w:r>
            <w:r w:rsidR="000A41CA" w:rsidRPr="009C4E4B">
              <w:rPr>
                <w:webHidden/>
              </w:rPr>
              <w:t>202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2" w:history="1">
            <w:r w:rsidR="000A41CA" w:rsidRPr="009C4E4B">
              <w:rPr>
                <w:rStyle w:val="Lienhypertexte"/>
              </w:rPr>
              <w:t>2.6.</w:t>
            </w:r>
            <w:r w:rsidR="00882F77" w:rsidRPr="009C4E4B">
              <w:rPr>
                <w:rFonts w:eastAsiaTheme="minorEastAsia"/>
                <w:kern w:val="2"/>
                <w:lang w:val="en-US" w:eastAsia="fr-FR"/>
                <w14:ligatures w14:val="standardContextual"/>
              </w:rPr>
              <w:t xml:space="preserve"> </w:t>
            </w:r>
            <w:r w:rsidR="000A41CA" w:rsidRPr="009C4E4B">
              <w:rPr>
                <w:rStyle w:val="Lienhypertexte"/>
              </w:rPr>
              <w:t>Le secteur d'activité de l'entreprise</w:t>
            </w:r>
            <w:r w:rsidR="000A41CA" w:rsidRPr="009C4E4B">
              <w:rPr>
                <w:webHidden/>
              </w:rPr>
              <w:tab/>
            </w:r>
            <w:r w:rsidR="000A41CA" w:rsidRPr="009C4E4B">
              <w:rPr>
                <w:b/>
                <w:bCs/>
                <w:webHidden/>
              </w:rPr>
              <w:fldChar w:fldCharType="begin"/>
            </w:r>
            <w:r w:rsidR="000A41CA" w:rsidRPr="009C4E4B">
              <w:rPr>
                <w:webHidden/>
              </w:rPr>
              <w:instrText xml:space="preserve"> PAGEREF _Toc200756142 \h </w:instrText>
            </w:r>
            <w:r w:rsidR="000A41CA" w:rsidRPr="009C4E4B">
              <w:rPr>
                <w:b/>
                <w:bCs/>
                <w:webHidden/>
              </w:rPr>
            </w:r>
            <w:r w:rsidR="000A41CA" w:rsidRPr="009C4E4B">
              <w:rPr>
                <w:b/>
                <w:bCs/>
                <w:webHidden/>
              </w:rPr>
              <w:fldChar w:fldCharType="separate"/>
            </w:r>
            <w:r w:rsidR="000A41CA" w:rsidRPr="009C4E4B">
              <w:rPr>
                <w:webHidden/>
              </w:rPr>
              <w:t>204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3" w:history="1">
            <w:r w:rsidR="000A41CA" w:rsidRPr="009C4E4B">
              <w:rPr>
                <w:rStyle w:val="Lienhypertexte"/>
              </w:rPr>
              <w:t>2.7.</w:t>
            </w:r>
            <w:r w:rsidR="00882F77" w:rsidRPr="009C4E4B">
              <w:rPr>
                <w:rFonts w:eastAsiaTheme="minorEastAsia"/>
                <w:kern w:val="2"/>
                <w:lang w:val="en-US" w:eastAsia="fr-FR"/>
                <w14:ligatures w14:val="standardContextual"/>
              </w:rPr>
              <w:t xml:space="preserve"> </w:t>
            </w:r>
            <w:r w:rsidR="000A41CA" w:rsidRPr="009C4E4B">
              <w:rPr>
                <w:rStyle w:val="Lienhypertexte"/>
              </w:rPr>
              <w:t>La taille de l'entreprise</w:t>
            </w:r>
            <w:r w:rsidR="000A41CA" w:rsidRPr="009C4E4B">
              <w:rPr>
                <w:webHidden/>
              </w:rPr>
              <w:tab/>
            </w:r>
            <w:r w:rsidR="000A41CA" w:rsidRPr="009C4E4B">
              <w:rPr>
                <w:b/>
                <w:bCs/>
                <w:webHidden/>
              </w:rPr>
              <w:fldChar w:fldCharType="begin"/>
            </w:r>
            <w:r w:rsidR="000A41CA" w:rsidRPr="009C4E4B">
              <w:rPr>
                <w:webHidden/>
              </w:rPr>
              <w:instrText xml:space="preserve"> PAGEREF _Toc200756143 \h </w:instrText>
            </w:r>
            <w:r w:rsidR="000A41CA" w:rsidRPr="009C4E4B">
              <w:rPr>
                <w:b/>
                <w:bCs/>
                <w:webHidden/>
              </w:rPr>
            </w:r>
            <w:r w:rsidR="000A41CA" w:rsidRPr="009C4E4B">
              <w:rPr>
                <w:b/>
                <w:bCs/>
                <w:webHidden/>
              </w:rPr>
              <w:fldChar w:fldCharType="separate"/>
            </w:r>
            <w:r w:rsidR="000A41CA" w:rsidRPr="009C4E4B">
              <w:rPr>
                <w:webHidden/>
              </w:rPr>
              <w:t>206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4" w:history="1">
            <w:r w:rsidR="000A41CA" w:rsidRPr="009C4E4B">
              <w:rPr>
                <w:rStyle w:val="Lienhypertexte"/>
              </w:rPr>
              <w:t>2.8.</w:t>
            </w:r>
            <w:r w:rsidR="00882F77" w:rsidRPr="009C4E4B">
              <w:rPr>
                <w:rFonts w:eastAsiaTheme="minorEastAsia"/>
                <w:kern w:val="2"/>
                <w:lang w:val="en-US" w:eastAsia="fr-FR"/>
                <w14:ligatures w14:val="standardContextual"/>
              </w:rPr>
              <w:t xml:space="preserve"> </w:t>
            </w:r>
            <w:r w:rsidR="000A41CA" w:rsidRPr="009C4E4B">
              <w:rPr>
                <w:rStyle w:val="Lienhypertexte"/>
              </w:rPr>
              <w:t>La situation de l'entreprise</w:t>
            </w:r>
            <w:r w:rsidR="000A41CA" w:rsidRPr="009C4E4B">
              <w:rPr>
                <w:webHidden/>
              </w:rPr>
              <w:tab/>
            </w:r>
            <w:r w:rsidR="000A41CA" w:rsidRPr="009C4E4B">
              <w:rPr>
                <w:b/>
                <w:bCs/>
                <w:webHidden/>
              </w:rPr>
              <w:fldChar w:fldCharType="begin"/>
            </w:r>
            <w:r w:rsidR="000A41CA" w:rsidRPr="009C4E4B">
              <w:rPr>
                <w:webHidden/>
              </w:rPr>
              <w:instrText xml:space="preserve"> PAGEREF _Toc200756144 \h </w:instrText>
            </w:r>
            <w:r w:rsidR="000A41CA" w:rsidRPr="009C4E4B">
              <w:rPr>
                <w:b/>
                <w:bCs/>
                <w:webHidden/>
              </w:rPr>
            </w:r>
            <w:r w:rsidR="000A41CA" w:rsidRPr="009C4E4B">
              <w:rPr>
                <w:b/>
                <w:bCs/>
                <w:webHidden/>
              </w:rPr>
              <w:fldChar w:fldCharType="separate"/>
            </w:r>
            <w:r w:rsidR="000A41CA" w:rsidRPr="009C4E4B">
              <w:rPr>
                <w:webHidden/>
              </w:rPr>
              <w:t>207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5" w:history="1">
            <w:r w:rsidR="000A41CA" w:rsidRPr="009C4E4B">
              <w:rPr>
                <w:rStyle w:val="Lienhypertexte"/>
              </w:rPr>
              <w:t>2.9.</w:t>
            </w:r>
            <w:r w:rsidR="00882F77" w:rsidRPr="009C4E4B">
              <w:rPr>
                <w:rFonts w:eastAsiaTheme="minorEastAsia"/>
                <w:kern w:val="2"/>
                <w:lang w:val="en-US" w:eastAsia="fr-FR"/>
                <w14:ligatures w14:val="standardContextual"/>
              </w:rPr>
              <w:t xml:space="preserve"> </w:t>
            </w:r>
            <w:r w:rsidR="000A41CA" w:rsidRPr="009C4E4B">
              <w:rPr>
                <w:rStyle w:val="Lienhypertexte"/>
              </w:rPr>
              <w:t>L’expérience professionnelle</w:t>
            </w:r>
            <w:r w:rsidR="000A41CA" w:rsidRPr="009C4E4B">
              <w:rPr>
                <w:webHidden/>
              </w:rPr>
              <w:tab/>
            </w:r>
            <w:r w:rsidR="000A41CA" w:rsidRPr="009C4E4B">
              <w:rPr>
                <w:b/>
                <w:bCs/>
                <w:webHidden/>
              </w:rPr>
              <w:fldChar w:fldCharType="begin"/>
            </w:r>
            <w:r w:rsidR="000A41CA" w:rsidRPr="009C4E4B">
              <w:rPr>
                <w:webHidden/>
              </w:rPr>
              <w:instrText xml:space="preserve"> PAGEREF _Toc200756145 \h </w:instrText>
            </w:r>
            <w:r w:rsidR="000A41CA" w:rsidRPr="009C4E4B">
              <w:rPr>
                <w:b/>
                <w:bCs/>
                <w:webHidden/>
              </w:rPr>
            </w:r>
            <w:r w:rsidR="000A41CA" w:rsidRPr="009C4E4B">
              <w:rPr>
                <w:b/>
                <w:bCs/>
                <w:webHidden/>
              </w:rPr>
              <w:fldChar w:fldCharType="separate"/>
            </w:r>
            <w:r w:rsidR="000A41CA" w:rsidRPr="009C4E4B">
              <w:rPr>
                <w:webHidden/>
              </w:rPr>
              <w:t>209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6" w:history="1">
            <w:r w:rsidR="000A41CA" w:rsidRPr="009C4E4B">
              <w:rPr>
                <w:rStyle w:val="Lienhypertexte"/>
              </w:rPr>
              <w:t>III.</w:t>
            </w:r>
            <w:r w:rsidR="00861F90" w:rsidRPr="009C4E4B">
              <w:rPr>
                <w:rFonts w:eastAsiaTheme="minorEastAsia"/>
                <w:kern w:val="2"/>
                <w:lang w:val="en-US" w:eastAsia="fr-FR"/>
                <w14:ligatures w14:val="standardContextual"/>
              </w:rPr>
              <w:t xml:space="preserve"> </w:t>
            </w:r>
            <w:r w:rsidR="000A41CA" w:rsidRPr="009C4E4B">
              <w:rPr>
                <w:rStyle w:val="Lienhypertexte"/>
              </w:rPr>
              <w:t>L’analyse des axes</w:t>
            </w:r>
            <w:r w:rsidR="000A41CA" w:rsidRPr="009C4E4B">
              <w:rPr>
                <w:webHidden/>
              </w:rPr>
              <w:tab/>
            </w:r>
            <w:r w:rsidR="000A41CA" w:rsidRPr="009C4E4B">
              <w:rPr>
                <w:b/>
                <w:bCs/>
                <w:webHidden/>
              </w:rPr>
              <w:fldChar w:fldCharType="begin"/>
            </w:r>
            <w:r w:rsidR="000A41CA" w:rsidRPr="009C4E4B">
              <w:rPr>
                <w:webHidden/>
              </w:rPr>
              <w:instrText xml:space="preserve"> PAGEREF _Toc200756146 \h </w:instrText>
            </w:r>
            <w:r w:rsidR="000A41CA" w:rsidRPr="009C4E4B">
              <w:rPr>
                <w:b/>
                <w:bCs/>
                <w:webHidden/>
              </w:rPr>
            </w:r>
            <w:r w:rsidR="000A41CA" w:rsidRPr="009C4E4B">
              <w:rPr>
                <w:b/>
                <w:bCs/>
                <w:webHidden/>
              </w:rPr>
              <w:fldChar w:fldCharType="separate"/>
            </w:r>
            <w:r w:rsidR="000A41CA" w:rsidRPr="009C4E4B">
              <w:rPr>
                <w:webHidden/>
              </w:rPr>
              <w:t>211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7" w:history="1">
            <w:r w:rsidR="000A41CA" w:rsidRPr="009C4E4B">
              <w:rPr>
                <w:rStyle w:val="Lienhypertexte"/>
              </w:rPr>
              <w:t>1.</w:t>
            </w:r>
            <w:r w:rsidR="00861F90" w:rsidRPr="009C4E4B">
              <w:rPr>
                <w:rFonts w:eastAsiaTheme="minorEastAsia"/>
                <w:kern w:val="2"/>
                <w:lang w:val="en-US" w:eastAsia="fr-FR"/>
                <w14:ligatures w14:val="standardContextual"/>
              </w:rPr>
              <w:t xml:space="preserve"> </w:t>
            </w:r>
            <w:r w:rsidR="000A41CA" w:rsidRPr="009C4E4B">
              <w:rPr>
                <w:rStyle w:val="Lienhypertexte"/>
              </w:rPr>
              <w:t>L’analyse des axes de la function RH</w:t>
            </w:r>
            <w:r w:rsidR="000A41CA" w:rsidRPr="009C4E4B">
              <w:rPr>
                <w:webHidden/>
              </w:rPr>
              <w:tab/>
            </w:r>
            <w:r w:rsidR="000A41CA" w:rsidRPr="009C4E4B">
              <w:rPr>
                <w:b/>
                <w:bCs/>
                <w:webHidden/>
              </w:rPr>
              <w:fldChar w:fldCharType="begin"/>
            </w:r>
            <w:r w:rsidR="000A41CA" w:rsidRPr="009C4E4B">
              <w:rPr>
                <w:webHidden/>
              </w:rPr>
              <w:instrText xml:space="preserve"> PAGEREF _Toc200756147 \h </w:instrText>
            </w:r>
            <w:r w:rsidR="000A41CA" w:rsidRPr="009C4E4B">
              <w:rPr>
                <w:b/>
                <w:bCs/>
                <w:webHidden/>
              </w:rPr>
            </w:r>
            <w:r w:rsidR="000A41CA" w:rsidRPr="009C4E4B">
              <w:rPr>
                <w:b/>
                <w:bCs/>
                <w:webHidden/>
              </w:rPr>
              <w:fldChar w:fldCharType="separate"/>
            </w:r>
            <w:r w:rsidR="000A41CA" w:rsidRPr="009C4E4B">
              <w:rPr>
                <w:webHidden/>
              </w:rPr>
              <w:t>211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8" w:history="1">
            <w:r w:rsidR="000A41CA" w:rsidRPr="009C4E4B">
              <w:rPr>
                <w:rStyle w:val="Lienhypertexte"/>
              </w:rPr>
              <w:t>1.1.</w:t>
            </w:r>
            <w:r w:rsidR="00861F90" w:rsidRPr="009C4E4B">
              <w:rPr>
                <w:rFonts w:eastAsiaTheme="minorEastAsia"/>
                <w:kern w:val="2"/>
                <w:lang w:val="en-US" w:eastAsia="fr-FR"/>
                <w14:ligatures w14:val="standardContextual"/>
              </w:rPr>
              <w:t xml:space="preserve"> </w:t>
            </w:r>
            <w:r w:rsidR="000A41CA" w:rsidRPr="009C4E4B">
              <w:rPr>
                <w:rStyle w:val="Lienhypertexte"/>
              </w:rPr>
              <w:t>Analyse des résultats de l’axe “Automatisation”</w:t>
            </w:r>
            <w:r w:rsidR="000A41CA" w:rsidRPr="009C4E4B">
              <w:rPr>
                <w:webHidden/>
              </w:rPr>
              <w:tab/>
            </w:r>
            <w:r w:rsidR="000A41CA" w:rsidRPr="009C4E4B">
              <w:rPr>
                <w:b/>
                <w:bCs/>
                <w:webHidden/>
              </w:rPr>
              <w:fldChar w:fldCharType="begin"/>
            </w:r>
            <w:r w:rsidR="000A41CA" w:rsidRPr="009C4E4B">
              <w:rPr>
                <w:webHidden/>
              </w:rPr>
              <w:instrText xml:space="preserve"> PAGEREF _Toc200756148 \h </w:instrText>
            </w:r>
            <w:r w:rsidR="000A41CA" w:rsidRPr="009C4E4B">
              <w:rPr>
                <w:b/>
                <w:bCs/>
                <w:webHidden/>
              </w:rPr>
            </w:r>
            <w:r w:rsidR="000A41CA" w:rsidRPr="009C4E4B">
              <w:rPr>
                <w:b/>
                <w:bCs/>
                <w:webHidden/>
              </w:rPr>
              <w:fldChar w:fldCharType="separate"/>
            </w:r>
            <w:r w:rsidR="000A41CA" w:rsidRPr="009C4E4B">
              <w:rPr>
                <w:webHidden/>
              </w:rPr>
              <w:t>211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49" w:history="1">
            <w:r w:rsidR="000A41CA" w:rsidRPr="009C4E4B">
              <w:rPr>
                <w:rStyle w:val="Lienhypertexte"/>
              </w:rPr>
              <w:t>1.2.</w:t>
            </w:r>
            <w:r w:rsidR="00861F90" w:rsidRPr="009C4E4B">
              <w:rPr>
                <w:rFonts w:eastAsiaTheme="minorEastAsia"/>
                <w:kern w:val="2"/>
                <w:lang w:val="en-US" w:eastAsia="fr-FR"/>
                <w14:ligatures w14:val="standardContextual"/>
              </w:rPr>
              <w:t xml:space="preserve"> </w:t>
            </w:r>
            <w:r w:rsidR="000A41CA" w:rsidRPr="009C4E4B">
              <w:rPr>
                <w:rStyle w:val="Lienhypertexte"/>
              </w:rPr>
              <w:t>Analyse des résultats de l’axe “Numérisation”</w:t>
            </w:r>
            <w:r w:rsidR="000A41CA" w:rsidRPr="009C4E4B">
              <w:rPr>
                <w:webHidden/>
              </w:rPr>
              <w:tab/>
            </w:r>
            <w:r w:rsidR="000A41CA" w:rsidRPr="009C4E4B">
              <w:rPr>
                <w:b/>
                <w:bCs/>
                <w:webHidden/>
              </w:rPr>
              <w:fldChar w:fldCharType="begin"/>
            </w:r>
            <w:r w:rsidR="000A41CA" w:rsidRPr="009C4E4B">
              <w:rPr>
                <w:webHidden/>
              </w:rPr>
              <w:instrText xml:space="preserve"> PAGEREF _Toc200756149 \h </w:instrText>
            </w:r>
            <w:r w:rsidR="000A41CA" w:rsidRPr="009C4E4B">
              <w:rPr>
                <w:b/>
                <w:bCs/>
                <w:webHidden/>
              </w:rPr>
            </w:r>
            <w:r w:rsidR="000A41CA" w:rsidRPr="009C4E4B">
              <w:rPr>
                <w:b/>
                <w:bCs/>
                <w:webHidden/>
              </w:rPr>
              <w:fldChar w:fldCharType="separate"/>
            </w:r>
            <w:r w:rsidR="000A41CA" w:rsidRPr="009C4E4B">
              <w:rPr>
                <w:webHidden/>
              </w:rPr>
              <w:t>213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0" w:history="1">
            <w:r w:rsidR="000A41CA" w:rsidRPr="009C4E4B">
              <w:rPr>
                <w:rStyle w:val="Lienhypertexte"/>
              </w:rPr>
              <w:t>1.3.</w:t>
            </w:r>
            <w:r w:rsidR="00861F90" w:rsidRPr="009C4E4B">
              <w:rPr>
                <w:rFonts w:eastAsiaTheme="minorEastAsia"/>
                <w:kern w:val="2"/>
                <w:lang w:val="en-US" w:eastAsia="fr-FR"/>
                <w14:ligatures w14:val="standardContextual"/>
              </w:rPr>
              <w:t xml:space="preserve"> </w:t>
            </w:r>
            <w:r w:rsidR="000A41CA" w:rsidRPr="009C4E4B">
              <w:rPr>
                <w:rStyle w:val="Lienhypertexte"/>
              </w:rPr>
              <w:t>Analyse des résultats de l’axe “Accessibilité numérique”</w:t>
            </w:r>
            <w:r w:rsidR="000A41CA" w:rsidRPr="009C4E4B">
              <w:rPr>
                <w:webHidden/>
              </w:rPr>
              <w:tab/>
            </w:r>
            <w:r w:rsidR="000A41CA" w:rsidRPr="009C4E4B">
              <w:rPr>
                <w:b/>
                <w:bCs/>
                <w:webHidden/>
              </w:rPr>
              <w:fldChar w:fldCharType="begin"/>
            </w:r>
            <w:r w:rsidR="000A41CA" w:rsidRPr="009C4E4B">
              <w:rPr>
                <w:webHidden/>
              </w:rPr>
              <w:instrText xml:space="preserve"> PAGEREF _Toc200756150 \h </w:instrText>
            </w:r>
            <w:r w:rsidR="000A41CA" w:rsidRPr="009C4E4B">
              <w:rPr>
                <w:b/>
                <w:bCs/>
                <w:webHidden/>
              </w:rPr>
            </w:r>
            <w:r w:rsidR="000A41CA" w:rsidRPr="009C4E4B">
              <w:rPr>
                <w:b/>
                <w:bCs/>
                <w:webHidden/>
              </w:rPr>
              <w:fldChar w:fldCharType="separate"/>
            </w:r>
            <w:r w:rsidR="000A41CA" w:rsidRPr="009C4E4B">
              <w:rPr>
                <w:webHidden/>
              </w:rPr>
              <w:t>215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1" w:history="1">
            <w:r w:rsidR="000A41CA" w:rsidRPr="009C4E4B">
              <w:rPr>
                <w:rStyle w:val="Lienhypertexte"/>
              </w:rPr>
              <w:t>1.4.</w:t>
            </w:r>
            <w:r w:rsidR="00861F90" w:rsidRPr="009C4E4B">
              <w:rPr>
                <w:rFonts w:eastAsiaTheme="minorEastAsia"/>
                <w:kern w:val="2"/>
                <w:lang w:val="en-US" w:eastAsia="fr-FR"/>
                <w14:ligatures w14:val="standardContextual"/>
              </w:rPr>
              <w:t xml:space="preserve"> </w:t>
            </w:r>
            <w:r w:rsidR="000A41CA" w:rsidRPr="009C4E4B">
              <w:rPr>
                <w:rStyle w:val="Lienhypertexte"/>
              </w:rPr>
              <w:t>Analyse des résultats de l’axe “Processus de recrutement digitalisé”</w:t>
            </w:r>
            <w:r w:rsidR="000A41CA" w:rsidRPr="009C4E4B">
              <w:rPr>
                <w:webHidden/>
              </w:rPr>
              <w:tab/>
            </w:r>
            <w:r w:rsidR="000A41CA" w:rsidRPr="009C4E4B">
              <w:rPr>
                <w:b/>
                <w:bCs/>
                <w:webHidden/>
              </w:rPr>
              <w:fldChar w:fldCharType="begin"/>
            </w:r>
            <w:r w:rsidR="000A41CA" w:rsidRPr="009C4E4B">
              <w:rPr>
                <w:webHidden/>
              </w:rPr>
              <w:instrText xml:space="preserve"> PAGEREF _Toc200756151 \h </w:instrText>
            </w:r>
            <w:r w:rsidR="000A41CA" w:rsidRPr="009C4E4B">
              <w:rPr>
                <w:b/>
                <w:bCs/>
                <w:webHidden/>
              </w:rPr>
            </w:r>
            <w:r w:rsidR="000A41CA" w:rsidRPr="009C4E4B">
              <w:rPr>
                <w:b/>
                <w:bCs/>
                <w:webHidden/>
              </w:rPr>
              <w:fldChar w:fldCharType="separate"/>
            </w:r>
            <w:r w:rsidR="000A41CA" w:rsidRPr="009C4E4B">
              <w:rPr>
                <w:webHidden/>
              </w:rPr>
              <w:t>217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2" w:history="1">
            <w:r w:rsidR="000A41CA" w:rsidRPr="009C4E4B">
              <w:rPr>
                <w:rStyle w:val="Lienhypertexte"/>
              </w:rPr>
              <w:t>1.5.</w:t>
            </w:r>
            <w:r w:rsidR="00861F90" w:rsidRPr="009C4E4B">
              <w:rPr>
                <w:rFonts w:eastAsiaTheme="minorEastAsia"/>
                <w:kern w:val="2"/>
                <w:lang w:val="en-US" w:eastAsia="fr-FR"/>
                <w14:ligatures w14:val="standardContextual"/>
              </w:rPr>
              <w:t xml:space="preserve"> </w:t>
            </w:r>
            <w:r w:rsidR="000A41CA" w:rsidRPr="009C4E4B">
              <w:rPr>
                <w:rStyle w:val="Lienhypertexte"/>
              </w:rPr>
              <w:t>Analyse des résultats de l’axe “Processus de formation digitalisée”</w:t>
            </w:r>
            <w:r w:rsidR="000A41CA" w:rsidRPr="009C4E4B">
              <w:rPr>
                <w:webHidden/>
              </w:rPr>
              <w:tab/>
            </w:r>
            <w:r w:rsidR="000A41CA" w:rsidRPr="009C4E4B">
              <w:rPr>
                <w:b/>
                <w:bCs/>
                <w:webHidden/>
              </w:rPr>
              <w:fldChar w:fldCharType="begin"/>
            </w:r>
            <w:r w:rsidR="000A41CA" w:rsidRPr="009C4E4B">
              <w:rPr>
                <w:webHidden/>
              </w:rPr>
              <w:instrText xml:space="preserve"> PAGEREF _Toc200756152 \h </w:instrText>
            </w:r>
            <w:r w:rsidR="000A41CA" w:rsidRPr="009C4E4B">
              <w:rPr>
                <w:b/>
                <w:bCs/>
                <w:webHidden/>
              </w:rPr>
            </w:r>
            <w:r w:rsidR="000A41CA" w:rsidRPr="009C4E4B">
              <w:rPr>
                <w:b/>
                <w:bCs/>
                <w:webHidden/>
              </w:rPr>
              <w:fldChar w:fldCharType="separate"/>
            </w:r>
            <w:r w:rsidR="000A41CA" w:rsidRPr="009C4E4B">
              <w:rPr>
                <w:webHidden/>
              </w:rPr>
              <w:t>219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3" w:history="1">
            <w:r w:rsidR="000A41CA" w:rsidRPr="009C4E4B">
              <w:rPr>
                <w:rStyle w:val="Lienhypertexte"/>
              </w:rPr>
              <w:t>1.6.</w:t>
            </w:r>
            <w:r w:rsidR="00861F90" w:rsidRPr="009C4E4B">
              <w:rPr>
                <w:rFonts w:eastAsiaTheme="minorEastAsia"/>
                <w:kern w:val="2"/>
                <w:lang w:val="en-US" w:eastAsia="fr-FR"/>
                <w14:ligatures w14:val="standardContextual"/>
              </w:rPr>
              <w:t xml:space="preserve"> </w:t>
            </w:r>
            <w:r w:rsidR="000A41CA" w:rsidRPr="009C4E4B">
              <w:rPr>
                <w:rStyle w:val="Lienhypertexte"/>
              </w:rPr>
              <w:t>Analyse des résultats de l’axe “Performance des RH”</w:t>
            </w:r>
            <w:r w:rsidR="000A41CA" w:rsidRPr="009C4E4B">
              <w:rPr>
                <w:webHidden/>
              </w:rPr>
              <w:tab/>
            </w:r>
            <w:r w:rsidR="000A41CA" w:rsidRPr="009C4E4B">
              <w:rPr>
                <w:b/>
                <w:bCs/>
                <w:webHidden/>
              </w:rPr>
              <w:fldChar w:fldCharType="begin"/>
            </w:r>
            <w:r w:rsidR="000A41CA" w:rsidRPr="009C4E4B">
              <w:rPr>
                <w:webHidden/>
              </w:rPr>
              <w:instrText xml:space="preserve"> PAGEREF _Toc200756153 \h </w:instrText>
            </w:r>
            <w:r w:rsidR="000A41CA" w:rsidRPr="009C4E4B">
              <w:rPr>
                <w:b/>
                <w:bCs/>
                <w:webHidden/>
              </w:rPr>
            </w:r>
            <w:r w:rsidR="000A41CA" w:rsidRPr="009C4E4B">
              <w:rPr>
                <w:b/>
                <w:bCs/>
                <w:webHidden/>
              </w:rPr>
              <w:fldChar w:fldCharType="separate"/>
            </w:r>
            <w:r w:rsidR="000A41CA" w:rsidRPr="009C4E4B">
              <w:rPr>
                <w:webHidden/>
              </w:rPr>
              <w:t>221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4" w:history="1">
            <w:r w:rsidR="000A41CA" w:rsidRPr="009C4E4B">
              <w:rPr>
                <w:rStyle w:val="Lienhypertexte"/>
              </w:rPr>
              <w:t>IV.</w:t>
            </w:r>
            <w:r w:rsidR="00861F90" w:rsidRPr="009C4E4B">
              <w:rPr>
                <w:rFonts w:eastAsiaTheme="minorEastAsia"/>
                <w:kern w:val="2"/>
                <w:lang w:val="en-US" w:eastAsia="fr-FR"/>
                <w14:ligatures w14:val="standardContextual"/>
              </w:rPr>
              <w:t xml:space="preserve"> </w:t>
            </w:r>
            <w:r w:rsidR="000A41CA" w:rsidRPr="009C4E4B">
              <w:rPr>
                <w:rStyle w:val="Lienhypertexte"/>
              </w:rPr>
              <w:t>Test des hypothèses:</w:t>
            </w:r>
            <w:r w:rsidR="000A41CA" w:rsidRPr="009C4E4B">
              <w:rPr>
                <w:webHidden/>
              </w:rPr>
              <w:tab/>
            </w:r>
            <w:r w:rsidR="000A41CA" w:rsidRPr="009C4E4B">
              <w:rPr>
                <w:b/>
                <w:bCs/>
                <w:webHidden/>
              </w:rPr>
              <w:fldChar w:fldCharType="begin"/>
            </w:r>
            <w:r w:rsidR="000A41CA" w:rsidRPr="009C4E4B">
              <w:rPr>
                <w:webHidden/>
              </w:rPr>
              <w:instrText xml:space="preserve"> PAGEREF _Toc200756154 \h </w:instrText>
            </w:r>
            <w:r w:rsidR="000A41CA" w:rsidRPr="009C4E4B">
              <w:rPr>
                <w:b/>
                <w:bCs/>
                <w:webHidden/>
              </w:rPr>
            </w:r>
            <w:r w:rsidR="000A41CA" w:rsidRPr="009C4E4B">
              <w:rPr>
                <w:b/>
                <w:bCs/>
                <w:webHidden/>
              </w:rPr>
              <w:fldChar w:fldCharType="separate"/>
            </w:r>
            <w:r w:rsidR="000A41CA" w:rsidRPr="009C4E4B">
              <w:rPr>
                <w:webHidden/>
              </w:rPr>
              <w:t>223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5" w:history="1">
            <w:r w:rsidR="000A41CA" w:rsidRPr="009C4E4B">
              <w:rPr>
                <w:rStyle w:val="Lienhypertexte"/>
              </w:rPr>
              <w:t>1.</w:t>
            </w:r>
            <w:r w:rsidR="00861F90" w:rsidRPr="009C4E4B">
              <w:rPr>
                <w:rFonts w:eastAsiaTheme="minorEastAsia"/>
                <w:kern w:val="2"/>
                <w:lang w:val="en-US" w:eastAsia="fr-FR"/>
                <w14:ligatures w14:val="standardContextual"/>
              </w:rPr>
              <w:t xml:space="preserve"> </w:t>
            </w:r>
            <w:r w:rsidR="000A41CA" w:rsidRPr="009C4E4B">
              <w:rPr>
                <w:rStyle w:val="Lienhypertexte"/>
              </w:rPr>
              <w:t>Test de la première hypothèse</w:t>
            </w:r>
            <w:r w:rsidR="000A41CA" w:rsidRPr="009C4E4B">
              <w:rPr>
                <w:webHidden/>
              </w:rPr>
              <w:tab/>
            </w:r>
            <w:r w:rsidR="000A41CA" w:rsidRPr="009C4E4B">
              <w:rPr>
                <w:b/>
                <w:bCs/>
                <w:webHidden/>
              </w:rPr>
              <w:fldChar w:fldCharType="begin"/>
            </w:r>
            <w:r w:rsidR="000A41CA" w:rsidRPr="009C4E4B">
              <w:rPr>
                <w:webHidden/>
              </w:rPr>
              <w:instrText xml:space="preserve"> PAGEREF _Toc200756155 \h </w:instrText>
            </w:r>
            <w:r w:rsidR="000A41CA" w:rsidRPr="009C4E4B">
              <w:rPr>
                <w:b/>
                <w:bCs/>
                <w:webHidden/>
              </w:rPr>
            </w:r>
            <w:r w:rsidR="000A41CA" w:rsidRPr="009C4E4B">
              <w:rPr>
                <w:b/>
                <w:bCs/>
                <w:webHidden/>
              </w:rPr>
              <w:fldChar w:fldCharType="separate"/>
            </w:r>
            <w:r w:rsidR="000A41CA" w:rsidRPr="009C4E4B">
              <w:rPr>
                <w:webHidden/>
              </w:rPr>
              <w:t>224</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6" w:history="1">
            <w:r w:rsidR="000A41CA" w:rsidRPr="009C4E4B">
              <w:rPr>
                <w:rStyle w:val="Lienhypertexte"/>
              </w:rPr>
              <w:t>1.1.</w:t>
            </w:r>
            <w:r w:rsidR="00861F90" w:rsidRPr="009C4E4B">
              <w:rPr>
                <w:rFonts w:eastAsiaTheme="minorEastAsia"/>
                <w:kern w:val="2"/>
                <w:lang w:val="en-US" w:eastAsia="fr-FR"/>
                <w14:ligatures w14:val="standardContextual"/>
              </w:rPr>
              <w:t xml:space="preserve"> </w:t>
            </w:r>
            <w:r w:rsidR="000A41CA" w:rsidRPr="009C4E4B">
              <w:rPr>
                <w:rStyle w:val="Lienhypertexte"/>
              </w:rPr>
              <w:t>Test de la première sous-hypothèse</w:t>
            </w:r>
            <w:r w:rsidR="000A41CA" w:rsidRPr="009C4E4B">
              <w:rPr>
                <w:webHidden/>
              </w:rPr>
              <w:tab/>
            </w:r>
            <w:r w:rsidR="000A41CA" w:rsidRPr="009C4E4B">
              <w:rPr>
                <w:b/>
                <w:bCs/>
                <w:webHidden/>
              </w:rPr>
              <w:fldChar w:fldCharType="begin"/>
            </w:r>
            <w:r w:rsidR="000A41CA" w:rsidRPr="009C4E4B">
              <w:rPr>
                <w:webHidden/>
              </w:rPr>
              <w:instrText xml:space="preserve"> PAGEREF _Toc200756156 \h </w:instrText>
            </w:r>
            <w:r w:rsidR="000A41CA" w:rsidRPr="009C4E4B">
              <w:rPr>
                <w:b/>
                <w:bCs/>
                <w:webHidden/>
              </w:rPr>
            </w:r>
            <w:r w:rsidR="000A41CA" w:rsidRPr="009C4E4B">
              <w:rPr>
                <w:b/>
                <w:bCs/>
                <w:webHidden/>
              </w:rPr>
              <w:fldChar w:fldCharType="separate"/>
            </w:r>
            <w:r w:rsidR="000A41CA" w:rsidRPr="009C4E4B">
              <w:rPr>
                <w:webHidden/>
              </w:rPr>
              <w:t>225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7" w:history="1">
            <w:r w:rsidR="000A41CA" w:rsidRPr="009C4E4B">
              <w:rPr>
                <w:rStyle w:val="Lienhypertexte"/>
              </w:rPr>
              <w:t>1.2.</w:t>
            </w:r>
            <w:r w:rsidR="00861F90" w:rsidRPr="009C4E4B">
              <w:rPr>
                <w:rFonts w:eastAsiaTheme="minorEastAsia"/>
                <w:kern w:val="2"/>
                <w:lang w:val="en-US" w:eastAsia="fr-FR"/>
                <w14:ligatures w14:val="standardContextual"/>
              </w:rPr>
              <w:t xml:space="preserve"> </w:t>
            </w:r>
            <w:r w:rsidR="000A41CA" w:rsidRPr="009C4E4B">
              <w:rPr>
                <w:rStyle w:val="Lienhypertexte"/>
              </w:rPr>
              <w:t>Test de la deuxième sous-hypothèse</w:t>
            </w:r>
            <w:r w:rsidR="000A41CA" w:rsidRPr="009C4E4B">
              <w:rPr>
                <w:webHidden/>
              </w:rPr>
              <w:tab/>
            </w:r>
            <w:r w:rsidR="000A41CA" w:rsidRPr="009C4E4B">
              <w:rPr>
                <w:b/>
                <w:bCs/>
                <w:webHidden/>
              </w:rPr>
              <w:fldChar w:fldCharType="begin"/>
            </w:r>
            <w:r w:rsidR="000A41CA" w:rsidRPr="009C4E4B">
              <w:rPr>
                <w:webHidden/>
              </w:rPr>
              <w:instrText xml:space="preserve"> PAGEREF _Toc200756157 \h </w:instrText>
            </w:r>
            <w:r w:rsidR="000A41CA" w:rsidRPr="009C4E4B">
              <w:rPr>
                <w:b/>
                <w:bCs/>
                <w:webHidden/>
              </w:rPr>
            </w:r>
            <w:r w:rsidR="000A41CA" w:rsidRPr="009C4E4B">
              <w:rPr>
                <w:b/>
                <w:bCs/>
                <w:webHidden/>
              </w:rPr>
              <w:fldChar w:fldCharType="separate"/>
            </w:r>
            <w:r w:rsidR="000A41CA" w:rsidRPr="009C4E4B">
              <w:rPr>
                <w:webHidden/>
              </w:rPr>
              <w:t>227</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8" w:history="1">
            <w:r w:rsidR="000A41CA" w:rsidRPr="009C4E4B">
              <w:rPr>
                <w:rStyle w:val="Lienhypertexte"/>
              </w:rPr>
              <w:t>1.3.</w:t>
            </w:r>
            <w:r w:rsidR="00861F90" w:rsidRPr="009C4E4B">
              <w:rPr>
                <w:rFonts w:eastAsiaTheme="minorEastAsia"/>
                <w:kern w:val="2"/>
                <w:lang w:val="en-US" w:eastAsia="fr-FR"/>
                <w14:ligatures w14:val="standardContextual"/>
              </w:rPr>
              <w:t xml:space="preserve"> </w:t>
            </w:r>
            <w:r w:rsidR="000A41CA" w:rsidRPr="009C4E4B">
              <w:rPr>
                <w:rStyle w:val="Lienhypertexte"/>
              </w:rPr>
              <w:t>Test de la troisième sous-hypothèse</w:t>
            </w:r>
            <w:r w:rsidR="000A41CA" w:rsidRPr="009C4E4B">
              <w:rPr>
                <w:webHidden/>
              </w:rPr>
              <w:tab/>
            </w:r>
            <w:r w:rsidR="000A41CA" w:rsidRPr="009C4E4B">
              <w:rPr>
                <w:b/>
                <w:bCs/>
                <w:webHidden/>
              </w:rPr>
              <w:fldChar w:fldCharType="begin"/>
            </w:r>
            <w:r w:rsidR="000A41CA" w:rsidRPr="009C4E4B">
              <w:rPr>
                <w:webHidden/>
              </w:rPr>
              <w:instrText xml:space="preserve"> PAGEREF _Toc200756158 \h </w:instrText>
            </w:r>
            <w:r w:rsidR="000A41CA" w:rsidRPr="009C4E4B">
              <w:rPr>
                <w:b/>
                <w:bCs/>
                <w:webHidden/>
              </w:rPr>
            </w:r>
            <w:r w:rsidR="000A41CA" w:rsidRPr="009C4E4B">
              <w:rPr>
                <w:b/>
                <w:bCs/>
                <w:webHidden/>
              </w:rPr>
              <w:fldChar w:fldCharType="separate"/>
            </w:r>
            <w:r w:rsidR="000A41CA" w:rsidRPr="009C4E4B">
              <w:rPr>
                <w:webHidden/>
              </w:rPr>
              <w:t>228</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59" w:history="1">
            <w:r w:rsidR="000A41CA" w:rsidRPr="009C4E4B">
              <w:rPr>
                <w:rStyle w:val="Lienhypertexte"/>
              </w:rPr>
              <w:t>2.</w:t>
            </w:r>
            <w:r w:rsidR="00861F90" w:rsidRPr="009C4E4B">
              <w:rPr>
                <w:rFonts w:eastAsiaTheme="minorEastAsia"/>
                <w:kern w:val="2"/>
                <w:lang w:val="en-US" w:eastAsia="fr-FR"/>
                <w14:ligatures w14:val="standardContextual"/>
              </w:rPr>
              <w:t xml:space="preserve"> </w:t>
            </w:r>
            <w:r w:rsidR="000A41CA" w:rsidRPr="009C4E4B">
              <w:rPr>
                <w:rStyle w:val="Lienhypertexte"/>
              </w:rPr>
              <w:t>Test de la deuxième hypothèse</w:t>
            </w:r>
            <w:r w:rsidR="000A41CA" w:rsidRPr="009C4E4B">
              <w:rPr>
                <w:webHidden/>
              </w:rPr>
              <w:tab/>
            </w:r>
            <w:r w:rsidR="000A41CA" w:rsidRPr="009C4E4B">
              <w:rPr>
                <w:b/>
                <w:bCs/>
                <w:webHidden/>
              </w:rPr>
              <w:fldChar w:fldCharType="begin"/>
            </w:r>
            <w:r w:rsidR="000A41CA" w:rsidRPr="009C4E4B">
              <w:rPr>
                <w:webHidden/>
              </w:rPr>
              <w:instrText xml:space="preserve"> PAGEREF _Toc200756159 \h </w:instrText>
            </w:r>
            <w:r w:rsidR="000A41CA" w:rsidRPr="009C4E4B">
              <w:rPr>
                <w:b/>
                <w:bCs/>
                <w:webHidden/>
              </w:rPr>
            </w:r>
            <w:r w:rsidR="000A41CA" w:rsidRPr="009C4E4B">
              <w:rPr>
                <w:b/>
                <w:bCs/>
                <w:webHidden/>
              </w:rPr>
              <w:fldChar w:fldCharType="separate"/>
            </w:r>
            <w:r w:rsidR="000A41CA" w:rsidRPr="009C4E4B">
              <w:rPr>
                <w:webHidden/>
              </w:rPr>
              <w:t>229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0" w:history="1">
            <w:r w:rsidR="000A41CA" w:rsidRPr="009C4E4B">
              <w:rPr>
                <w:rStyle w:val="Lienhypertexte"/>
              </w:rPr>
              <w:t>2.1.</w:t>
            </w:r>
            <w:r w:rsidR="00861F90" w:rsidRPr="009C4E4B">
              <w:rPr>
                <w:rFonts w:eastAsiaTheme="minorEastAsia"/>
                <w:kern w:val="2"/>
                <w:lang w:val="en-US" w:eastAsia="fr-FR"/>
                <w14:ligatures w14:val="standardContextual"/>
              </w:rPr>
              <w:t xml:space="preserve"> </w:t>
            </w:r>
            <w:r w:rsidR="000A41CA" w:rsidRPr="009C4E4B">
              <w:rPr>
                <w:rStyle w:val="Lienhypertexte"/>
              </w:rPr>
              <w:t>Test de la première sous-hypothèse</w:t>
            </w:r>
            <w:r w:rsidR="000A41CA" w:rsidRPr="009C4E4B">
              <w:rPr>
                <w:webHidden/>
              </w:rPr>
              <w:tab/>
            </w:r>
            <w:r w:rsidR="000A41CA" w:rsidRPr="009C4E4B">
              <w:rPr>
                <w:b/>
                <w:bCs/>
                <w:webHidden/>
              </w:rPr>
              <w:fldChar w:fldCharType="begin"/>
            </w:r>
            <w:r w:rsidR="000A41CA" w:rsidRPr="009C4E4B">
              <w:rPr>
                <w:webHidden/>
              </w:rPr>
              <w:instrText xml:space="preserve"> PAGEREF _Toc200756160 \h </w:instrText>
            </w:r>
            <w:r w:rsidR="000A41CA" w:rsidRPr="009C4E4B">
              <w:rPr>
                <w:b/>
                <w:bCs/>
                <w:webHidden/>
              </w:rPr>
            </w:r>
            <w:r w:rsidR="000A41CA" w:rsidRPr="009C4E4B">
              <w:rPr>
                <w:b/>
                <w:bCs/>
                <w:webHidden/>
              </w:rPr>
              <w:fldChar w:fldCharType="separate"/>
            </w:r>
            <w:r w:rsidR="000A41CA" w:rsidRPr="009C4E4B">
              <w:rPr>
                <w:webHidden/>
              </w:rPr>
              <w:t>231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1" w:history="1">
            <w:r w:rsidR="000A41CA" w:rsidRPr="009C4E4B">
              <w:rPr>
                <w:rStyle w:val="Lienhypertexte"/>
              </w:rPr>
              <w:t>2.2.</w:t>
            </w:r>
            <w:r w:rsidR="00861F90" w:rsidRPr="009C4E4B">
              <w:rPr>
                <w:rFonts w:eastAsiaTheme="minorEastAsia"/>
                <w:kern w:val="2"/>
                <w:lang w:val="en-US" w:eastAsia="fr-FR"/>
                <w14:ligatures w14:val="standardContextual"/>
              </w:rPr>
              <w:t xml:space="preserve"> </w:t>
            </w:r>
            <w:r w:rsidR="000A41CA" w:rsidRPr="009C4E4B">
              <w:rPr>
                <w:rStyle w:val="Lienhypertexte"/>
              </w:rPr>
              <w:t xml:space="preserve">Test de la deuxième sous-hypothèse </w:t>
            </w:r>
            <w:r w:rsidR="000A41CA" w:rsidRPr="009C4E4B">
              <w:rPr>
                <w:webHidden/>
              </w:rPr>
              <w:tab/>
            </w:r>
            <w:r w:rsidR="000A41CA" w:rsidRPr="009C4E4B">
              <w:rPr>
                <w:b/>
                <w:bCs/>
                <w:webHidden/>
              </w:rPr>
              <w:fldChar w:fldCharType="begin"/>
            </w:r>
            <w:r w:rsidR="000A41CA" w:rsidRPr="009C4E4B">
              <w:rPr>
                <w:webHidden/>
              </w:rPr>
              <w:instrText xml:space="preserve"> PAGEREF _Toc200756161 \h </w:instrText>
            </w:r>
            <w:r w:rsidR="000A41CA" w:rsidRPr="009C4E4B">
              <w:rPr>
                <w:b/>
                <w:bCs/>
                <w:webHidden/>
              </w:rPr>
            </w:r>
            <w:r w:rsidR="000A41CA" w:rsidRPr="009C4E4B">
              <w:rPr>
                <w:b/>
                <w:bCs/>
                <w:webHidden/>
              </w:rPr>
              <w:fldChar w:fldCharType="separate"/>
            </w:r>
            <w:r w:rsidR="000A41CA" w:rsidRPr="009C4E4B">
              <w:rPr>
                <w:webHidden/>
              </w:rPr>
              <w:t>232</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2" w:history="1">
            <w:r w:rsidR="000A41CA" w:rsidRPr="009C4E4B">
              <w:rPr>
                <w:rStyle w:val="Lienhypertexte"/>
              </w:rPr>
              <w:t>2.3.</w:t>
            </w:r>
            <w:r w:rsidR="00861F90" w:rsidRPr="009C4E4B">
              <w:rPr>
                <w:rFonts w:eastAsiaTheme="minorEastAsia"/>
                <w:kern w:val="2"/>
                <w:lang w:val="en-US" w:eastAsia="fr-FR"/>
                <w14:ligatures w14:val="standardContextual"/>
              </w:rPr>
              <w:t xml:space="preserve"> </w:t>
            </w:r>
            <w:r w:rsidR="000A41CA" w:rsidRPr="009C4E4B">
              <w:rPr>
                <w:rStyle w:val="Lienhypertexte"/>
              </w:rPr>
              <w:t>Test de la troisième sous-hypothèse</w:t>
            </w:r>
            <w:r w:rsidR="000A41CA" w:rsidRPr="009C4E4B">
              <w:rPr>
                <w:webHidden/>
              </w:rPr>
              <w:tab/>
            </w:r>
            <w:r w:rsidR="000A41CA" w:rsidRPr="009C4E4B">
              <w:rPr>
                <w:b/>
                <w:bCs/>
                <w:webHidden/>
              </w:rPr>
              <w:fldChar w:fldCharType="begin"/>
            </w:r>
            <w:r w:rsidR="000A41CA" w:rsidRPr="009C4E4B">
              <w:rPr>
                <w:webHidden/>
              </w:rPr>
              <w:instrText xml:space="preserve"> PAGEREF _Toc200756162 \h </w:instrText>
            </w:r>
            <w:r w:rsidR="000A41CA" w:rsidRPr="009C4E4B">
              <w:rPr>
                <w:b/>
                <w:bCs/>
                <w:webHidden/>
              </w:rPr>
            </w:r>
            <w:r w:rsidR="000A41CA" w:rsidRPr="009C4E4B">
              <w:rPr>
                <w:b/>
                <w:bCs/>
                <w:webHidden/>
              </w:rPr>
              <w:fldChar w:fldCharType="separate"/>
            </w:r>
            <w:r w:rsidR="000A41CA" w:rsidRPr="009C4E4B">
              <w:rPr>
                <w:webHidden/>
              </w:rPr>
              <w:t>233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3" w:history="1">
            <w:r w:rsidR="000A41CA" w:rsidRPr="009C4E4B">
              <w:rPr>
                <w:rStyle w:val="Lienhypertexte"/>
              </w:rPr>
              <w:t>3.</w:t>
            </w:r>
            <w:r w:rsidR="00861F90" w:rsidRPr="009C4E4B">
              <w:rPr>
                <w:rFonts w:eastAsiaTheme="minorEastAsia"/>
                <w:kern w:val="2"/>
                <w:lang w:val="en-US" w:eastAsia="fr-FR"/>
                <w14:ligatures w14:val="standardContextual"/>
              </w:rPr>
              <w:t xml:space="preserve"> </w:t>
            </w:r>
            <w:r w:rsidR="000A41CA" w:rsidRPr="009C4E4B">
              <w:rPr>
                <w:rStyle w:val="Lienhypertexte"/>
              </w:rPr>
              <w:t xml:space="preserve">Test de la troisième hypothèse </w:t>
            </w:r>
            <w:r w:rsidR="000A41CA" w:rsidRPr="009C4E4B">
              <w:rPr>
                <w:webHidden/>
              </w:rPr>
              <w:tab/>
            </w:r>
            <w:r w:rsidR="000A41CA" w:rsidRPr="009C4E4B">
              <w:rPr>
                <w:b/>
                <w:bCs/>
                <w:webHidden/>
              </w:rPr>
              <w:fldChar w:fldCharType="begin"/>
            </w:r>
            <w:r w:rsidR="000A41CA" w:rsidRPr="009C4E4B">
              <w:rPr>
                <w:webHidden/>
              </w:rPr>
              <w:instrText xml:space="preserve"> PAGEREF _Toc200756163 \h </w:instrText>
            </w:r>
            <w:r w:rsidR="000A41CA" w:rsidRPr="009C4E4B">
              <w:rPr>
                <w:b/>
                <w:bCs/>
                <w:webHidden/>
              </w:rPr>
            </w:r>
            <w:r w:rsidR="000A41CA" w:rsidRPr="009C4E4B">
              <w:rPr>
                <w:b/>
                <w:bCs/>
                <w:webHidden/>
              </w:rPr>
              <w:fldChar w:fldCharType="separate"/>
            </w:r>
            <w:r w:rsidR="000A41CA" w:rsidRPr="009C4E4B">
              <w:rPr>
                <w:webHidden/>
              </w:rPr>
              <w:t>235</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4" w:history="1">
            <w:r w:rsidR="000A41CA" w:rsidRPr="009C4E4B">
              <w:rPr>
                <w:rStyle w:val="Lienhypertexte"/>
              </w:rPr>
              <w:t>4.</w:t>
            </w:r>
            <w:r w:rsidR="00861F90" w:rsidRPr="009C4E4B">
              <w:rPr>
                <w:rFonts w:eastAsiaTheme="minorEastAsia"/>
                <w:kern w:val="2"/>
                <w:lang w:val="en-US" w:eastAsia="fr-FR"/>
                <w14:ligatures w14:val="standardContextual"/>
              </w:rPr>
              <w:t xml:space="preserve"> </w:t>
            </w:r>
            <w:r w:rsidR="000A41CA" w:rsidRPr="009C4E4B">
              <w:rPr>
                <w:rStyle w:val="Lienhypertexte"/>
              </w:rPr>
              <w:t>Test de la quatrième hypothèse (Variable médiatrice)</w:t>
            </w:r>
            <w:r w:rsidR="000A41CA" w:rsidRPr="009C4E4B">
              <w:rPr>
                <w:webHidden/>
              </w:rPr>
              <w:tab/>
            </w:r>
            <w:r w:rsidR="000A41CA" w:rsidRPr="009C4E4B">
              <w:rPr>
                <w:b/>
                <w:bCs/>
                <w:webHidden/>
              </w:rPr>
              <w:fldChar w:fldCharType="begin"/>
            </w:r>
            <w:r w:rsidR="000A41CA" w:rsidRPr="009C4E4B">
              <w:rPr>
                <w:webHidden/>
              </w:rPr>
              <w:instrText xml:space="preserve"> PAGEREF _Toc200756164 \h </w:instrText>
            </w:r>
            <w:r w:rsidR="000A41CA" w:rsidRPr="009C4E4B">
              <w:rPr>
                <w:b/>
                <w:bCs/>
                <w:webHidden/>
              </w:rPr>
            </w:r>
            <w:r w:rsidR="000A41CA" w:rsidRPr="009C4E4B">
              <w:rPr>
                <w:b/>
                <w:bCs/>
                <w:webHidden/>
              </w:rPr>
              <w:fldChar w:fldCharType="separate"/>
            </w:r>
            <w:r w:rsidR="000A41CA" w:rsidRPr="009C4E4B">
              <w:rPr>
                <w:webHidden/>
              </w:rPr>
              <w:t>236</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5" w:history="1">
            <w:r w:rsidR="000A41CA" w:rsidRPr="009C4E4B">
              <w:rPr>
                <w:rStyle w:val="Lienhypertexte"/>
              </w:rPr>
              <w:t>5.</w:t>
            </w:r>
            <w:r w:rsidR="00861F90" w:rsidRPr="009C4E4B">
              <w:rPr>
                <w:rFonts w:eastAsiaTheme="minorEastAsia"/>
                <w:kern w:val="2"/>
                <w:lang w:val="en-US" w:eastAsia="fr-FR"/>
                <w14:ligatures w14:val="standardContextual"/>
              </w:rPr>
              <w:t xml:space="preserve"> </w:t>
            </w:r>
            <w:r w:rsidR="000A41CA" w:rsidRPr="009C4E4B">
              <w:rPr>
                <w:rStyle w:val="Lienhypertexte"/>
              </w:rPr>
              <w:t>Test de la cinquième hypothèse (variable médiatrice)</w:t>
            </w:r>
            <w:r w:rsidR="000A41CA" w:rsidRPr="009C4E4B">
              <w:rPr>
                <w:webHidden/>
              </w:rPr>
              <w:tab/>
            </w:r>
            <w:r w:rsidR="000A41CA" w:rsidRPr="009C4E4B">
              <w:rPr>
                <w:b/>
                <w:bCs/>
                <w:webHidden/>
              </w:rPr>
              <w:fldChar w:fldCharType="begin"/>
            </w:r>
            <w:r w:rsidR="000A41CA" w:rsidRPr="009C4E4B">
              <w:rPr>
                <w:webHidden/>
              </w:rPr>
              <w:instrText xml:space="preserve"> PAGEREF _Toc200756165 \h </w:instrText>
            </w:r>
            <w:r w:rsidR="000A41CA" w:rsidRPr="009C4E4B">
              <w:rPr>
                <w:b/>
                <w:bCs/>
                <w:webHidden/>
              </w:rPr>
            </w:r>
            <w:r w:rsidR="000A41CA" w:rsidRPr="009C4E4B">
              <w:rPr>
                <w:b/>
                <w:bCs/>
                <w:webHidden/>
              </w:rPr>
              <w:fldChar w:fldCharType="separate"/>
            </w:r>
            <w:r w:rsidR="000A41CA" w:rsidRPr="009C4E4B">
              <w:rPr>
                <w:webHidden/>
              </w:rPr>
              <w:t>239</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6" w:history="1">
            <w:r w:rsidR="000A41CA" w:rsidRPr="009C4E4B">
              <w:rPr>
                <w:rStyle w:val="Lienhypertexte"/>
              </w:rPr>
              <w:t>V.</w:t>
            </w:r>
            <w:r w:rsidR="00861F90" w:rsidRPr="009C4E4B">
              <w:rPr>
                <w:rFonts w:eastAsiaTheme="minorEastAsia"/>
                <w:kern w:val="2"/>
                <w:lang w:val="en-US" w:eastAsia="fr-FR"/>
                <w14:ligatures w14:val="standardContextual"/>
              </w:rPr>
              <w:t xml:space="preserve"> </w:t>
            </w:r>
            <w:r w:rsidR="000A41CA" w:rsidRPr="009C4E4B">
              <w:rPr>
                <w:rStyle w:val="Lienhypertexte"/>
              </w:rPr>
              <w:t>Modèle structurel de l’étude</w:t>
            </w:r>
            <w:r w:rsidR="000A41CA" w:rsidRPr="009C4E4B">
              <w:rPr>
                <w:webHidden/>
              </w:rPr>
              <w:tab/>
            </w:r>
            <w:r w:rsidR="000A41CA" w:rsidRPr="009C4E4B">
              <w:rPr>
                <w:b/>
                <w:bCs/>
                <w:webHidden/>
              </w:rPr>
              <w:fldChar w:fldCharType="begin"/>
            </w:r>
            <w:r w:rsidR="000A41CA" w:rsidRPr="009C4E4B">
              <w:rPr>
                <w:webHidden/>
              </w:rPr>
              <w:instrText xml:space="preserve"> PAGEREF _Toc200756166 \h </w:instrText>
            </w:r>
            <w:r w:rsidR="000A41CA" w:rsidRPr="009C4E4B">
              <w:rPr>
                <w:b/>
                <w:bCs/>
                <w:webHidden/>
              </w:rPr>
            </w:r>
            <w:r w:rsidR="000A41CA" w:rsidRPr="009C4E4B">
              <w:rPr>
                <w:b/>
                <w:bCs/>
                <w:webHidden/>
              </w:rPr>
              <w:fldChar w:fldCharType="separate"/>
            </w:r>
            <w:r w:rsidR="000A41CA" w:rsidRPr="009C4E4B">
              <w:rPr>
                <w:webHidden/>
              </w:rPr>
              <w:t>241</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7" w:history="1">
            <w:r w:rsidR="000A41CA" w:rsidRPr="009C4E4B">
              <w:rPr>
                <w:rStyle w:val="Lienhypertexte"/>
              </w:rPr>
              <w:t>VI.</w:t>
            </w:r>
            <w:r w:rsidR="00861F90" w:rsidRPr="009C4E4B">
              <w:rPr>
                <w:rFonts w:eastAsiaTheme="minorEastAsia"/>
                <w:kern w:val="2"/>
                <w:lang w:val="en-US" w:eastAsia="fr-FR"/>
                <w14:ligatures w14:val="standardContextual"/>
              </w:rPr>
              <w:t xml:space="preserve"> </w:t>
            </w:r>
            <w:r w:rsidR="000A41CA" w:rsidRPr="009C4E4B">
              <w:rPr>
                <w:rStyle w:val="Lienhypertexte"/>
              </w:rPr>
              <w:t>Discussion des résultats de l’étude</w:t>
            </w:r>
            <w:r w:rsidR="000A41CA" w:rsidRPr="009C4E4B">
              <w:rPr>
                <w:webHidden/>
              </w:rPr>
              <w:tab/>
            </w:r>
            <w:r w:rsidR="000A41CA" w:rsidRPr="009C4E4B">
              <w:rPr>
                <w:b/>
                <w:bCs/>
                <w:webHidden/>
              </w:rPr>
              <w:fldChar w:fldCharType="begin"/>
            </w:r>
            <w:r w:rsidR="000A41CA" w:rsidRPr="009C4E4B">
              <w:rPr>
                <w:webHidden/>
              </w:rPr>
              <w:instrText xml:space="preserve"> PAGEREF _Toc200756167 \h </w:instrText>
            </w:r>
            <w:r w:rsidR="000A41CA" w:rsidRPr="009C4E4B">
              <w:rPr>
                <w:b/>
                <w:bCs/>
                <w:webHidden/>
              </w:rPr>
            </w:r>
            <w:r w:rsidR="000A41CA" w:rsidRPr="009C4E4B">
              <w:rPr>
                <w:b/>
                <w:bCs/>
                <w:webHidden/>
              </w:rPr>
              <w:fldChar w:fldCharType="separate"/>
            </w:r>
            <w:r w:rsidR="000A41CA" w:rsidRPr="009C4E4B">
              <w:rPr>
                <w:webHidden/>
              </w:rPr>
              <w:t>243</w:t>
            </w:r>
            <w:r w:rsidR="000A41CA" w:rsidRPr="009C4E4B">
              <w:rPr>
                <w:b/>
                <w:bCs/>
                <w:webHidden/>
              </w:rPr>
              <w:fldChar w:fldCharType="end"/>
            </w:r>
          </w:hyperlink>
        </w:p>
        <w:p w:rsidR="000A41CA" w:rsidRPr="009C4E4B" w:rsidRDefault="00000000" w:rsidP="00B26299">
          <w:pPr>
            <w:pStyle w:val="TM3"/>
            <w:rPr>
              <w:rFonts w:eastAsiaTheme="minorEastAsia"/>
              <w:b/>
              <w:bCs/>
              <w:kern w:val="2"/>
              <w:lang w:val="fr-DZ" w:eastAsia="fr-FR"/>
              <w14:ligatures w14:val="standardContextual"/>
            </w:rPr>
          </w:pPr>
          <w:hyperlink w:anchor="_Toc200756168" w:history="1">
            <w:r w:rsidR="000A41CA" w:rsidRPr="009C4E4B">
              <w:rPr>
                <w:rStyle w:val="Lienhypertexte"/>
              </w:rPr>
              <w:t>1.</w:t>
            </w:r>
            <w:r w:rsidR="00861F90" w:rsidRPr="009C4E4B">
              <w:rPr>
                <w:rFonts w:eastAsiaTheme="minorEastAsia"/>
                <w:kern w:val="2"/>
                <w:lang w:val="en-US" w:eastAsia="fr-FR"/>
                <w14:ligatures w14:val="standardContextual"/>
              </w:rPr>
              <w:t xml:space="preserve"> </w:t>
            </w:r>
            <w:r w:rsidR="000A41CA" w:rsidRPr="009C4E4B">
              <w:rPr>
                <w:rStyle w:val="Lienhypertexte"/>
              </w:rPr>
              <w:t xml:space="preserve">Les résultats de la première partie (donnée générale de l’entreprise et des employées) </w:t>
            </w:r>
            <w:r w:rsidR="000A41CA" w:rsidRPr="009C4E4B">
              <w:rPr>
                <w:webHidden/>
              </w:rPr>
              <w:tab/>
            </w:r>
            <w:r w:rsidR="000A41CA" w:rsidRPr="009C4E4B">
              <w:rPr>
                <w:b/>
                <w:bCs/>
                <w:webHidden/>
              </w:rPr>
              <w:fldChar w:fldCharType="begin"/>
            </w:r>
            <w:r w:rsidR="000A41CA" w:rsidRPr="009C4E4B">
              <w:rPr>
                <w:webHidden/>
              </w:rPr>
              <w:instrText xml:space="preserve"> PAGEREF _Toc200756168 \h </w:instrText>
            </w:r>
            <w:r w:rsidR="000A41CA" w:rsidRPr="009C4E4B">
              <w:rPr>
                <w:b/>
                <w:bCs/>
                <w:webHidden/>
              </w:rPr>
            </w:r>
            <w:r w:rsidR="000A41CA" w:rsidRPr="009C4E4B">
              <w:rPr>
                <w:b/>
                <w:bCs/>
                <w:webHidden/>
              </w:rPr>
              <w:fldChar w:fldCharType="separate"/>
            </w:r>
            <w:r w:rsidR="000A41CA" w:rsidRPr="009C4E4B">
              <w:rPr>
                <w:webHidden/>
              </w:rPr>
              <w:t>243</w:t>
            </w:r>
            <w:r w:rsidR="000A41CA" w:rsidRPr="009C4E4B">
              <w:rPr>
                <w:b/>
                <w:bCs/>
                <w:webHidden/>
              </w:rPr>
              <w:fldChar w:fldCharType="end"/>
            </w:r>
          </w:hyperlink>
        </w:p>
        <w:p w:rsidR="000A41CA" w:rsidRPr="00861F90" w:rsidRDefault="00000000" w:rsidP="00B26299">
          <w:pPr>
            <w:pStyle w:val="TM3"/>
            <w:rPr>
              <w:rFonts w:eastAsiaTheme="minorEastAsia"/>
              <w:kern w:val="2"/>
              <w:lang w:val="fr-DZ" w:eastAsia="fr-FR"/>
              <w14:ligatures w14:val="standardContextual"/>
            </w:rPr>
          </w:pPr>
          <w:hyperlink w:anchor="_Toc200756169" w:history="1">
            <w:r w:rsidR="000A41CA" w:rsidRPr="009C4E4B">
              <w:rPr>
                <w:rStyle w:val="Lienhypertexte"/>
              </w:rPr>
              <w:t>2.</w:t>
            </w:r>
            <w:r w:rsidR="00861F90" w:rsidRPr="009C4E4B">
              <w:rPr>
                <w:rFonts w:eastAsiaTheme="minorEastAsia"/>
                <w:kern w:val="2"/>
                <w:lang w:val="en-US" w:eastAsia="fr-FR"/>
                <w14:ligatures w14:val="standardContextual"/>
              </w:rPr>
              <w:t xml:space="preserve"> </w:t>
            </w:r>
            <w:r w:rsidR="000A41CA" w:rsidRPr="009C4E4B">
              <w:rPr>
                <w:rStyle w:val="Lienhypertexte"/>
              </w:rPr>
              <w:t xml:space="preserve">Les résultats de la deuxième partie (Test des hypothèses) </w:t>
            </w:r>
            <w:r w:rsidR="000A41CA" w:rsidRPr="009C4E4B">
              <w:rPr>
                <w:webHidden/>
              </w:rPr>
              <w:tab/>
            </w:r>
            <w:r w:rsidR="000A41CA" w:rsidRPr="009C4E4B">
              <w:rPr>
                <w:b/>
                <w:bCs/>
                <w:webHidden/>
              </w:rPr>
              <w:fldChar w:fldCharType="begin"/>
            </w:r>
            <w:r w:rsidR="000A41CA" w:rsidRPr="009C4E4B">
              <w:rPr>
                <w:webHidden/>
              </w:rPr>
              <w:instrText xml:space="preserve"> PAGEREF _Toc200756169 \h </w:instrText>
            </w:r>
            <w:r w:rsidR="000A41CA" w:rsidRPr="009C4E4B">
              <w:rPr>
                <w:b/>
                <w:bCs/>
                <w:webHidden/>
              </w:rPr>
            </w:r>
            <w:r w:rsidR="000A41CA" w:rsidRPr="009C4E4B">
              <w:rPr>
                <w:b/>
                <w:bCs/>
                <w:webHidden/>
              </w:rPr>
              <w:fldChar w:fldCharType="separate"/>
            </w:r>
            <w:r w:rsidR="000A41CA" w:rsidRPr="009C4E4B">
              <w:rPr>
                <w:webHidden/>
              </w:rPr>
              <w:t>246</w:t>
            </w:r>
            <w:r w:rsidR="000A41CA" w:rsidRPr="009C4E4B">
              <w:rPr>
                <w:b/>
                <w:bCs/>
                <w:webHidden/>
              </w:rPr>
              <w:fldChar w:fldCharType="end"/>
            </w:r>
          </w:hyperlink>
        </w:p>
        <w:p w:rsidR="000A41CA" w:rsidRPr="00B26299" w:rsidRDefault="00000000" w:rsidP="00EE2288">
          <w:pPr>
            <w:pStyle w:val="TM3"/>
            <w:spacing w:after="240"/>
            <w:rPr>
              <w:rFonts w:eastAsiaTheme="minorEastAsia"/>
              <w:b/>
              <w:bCs/>
              <w:kern w:val="2"/>
              <w:lang w:val="fr-DZ" w:eastAsia="fr-FR"/>
              <w14:ligatures w14:val="standardContextual"/>
            </w:rPr>
          </w:pPr>
          <w:hyperlink w:anchor="_Toc200756170" w:history="1">
            <w:r w:rsidR="000A41CA" w:rsidRPr="00B26299">
              <w:rPr>
                <w:rStyle w:val="Lienhypertexte"/>
                <w:b/>
                <w:bCs/>
              </w:rPr>
              <w:t>Conclusion du chapitre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_Toc200756170 \h </w:instrText>
            </w:r>
            <w:r w:rsidR="000A41CA" w:rsidRPr="00B26299">
              <w:rPr>
                <w:b/>
                <w:bCs/>
                <w:webHidden/>
              </w:rPr>
            </w:r>
            <w:r w:rsidR="000A41CA" w:rsidRPr="00B26299">
              <w:rPr>
                <w:b/>
                <w:bCs/>
                <w:webHidden/>
              </w:rPr>
              <w:fldChar w:fldCharType="separate"/>
            </w:r>
            <w:r w:rsidR="000A41CA" w:rsidRPr="00B26299">
              <w:rPr>
                <w:b/>
                <w:bCs/>
                <w:webHidden/>
              </w:rPr>
              <w:t>249</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6171" w:history="1">
            <w:r w:rsidR="000A41CA" w:rsidRPr="00B26299">
              <w:rPr>
                <w:rStyle w:val="Lienhypertexte"/>
                <w:b/>
                <w:bCs/>
              </w:rPr>
              <w:t>C</w:t>
            </w:r>
            <w:r w:rsidR="00C54B27" w:rsidRPr="00B26299">
              <w:rPr>
                <w:rStyle w:val="Lienhypertexte"/>
                <w:b/>
                <w:bCs/>
              </w:rPr>
              <w:t>onclusion générale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_Toc200756171 \h </w:instrText>
            </w:r>
            <w:r w:rsidR="000A41CA" w:rsidRPr="00B26299">
              <w:rPr>
                <w:b/>
                <w:bCs/>
                <w:webHidden/>
              </w:rPr>
            </w:r>
            <w:r w:rsidR="000A41CA" w:rsidRPr="00B26299">
              <w:rPr>
                <w:b/>
                <w:bCs/>
                <w:webHidden/>
              </w:rPr>
              <w:fldChar w:fldCharType="separate"/>
            </w:r>
            <w:r w:rsidR="000A41CA" w:rsidRPr="00B26299">
              <w:rPr>
                <w:b/>
                <w:bCs/>
                <w:webHidden/>
              </w:rPr>
              <w:t>250</w:t>
            </w:r>
            <w:r w:rsidR="000A41CA" w:rsidRPr="00B26299">
              <w:rPr>
                <w:b/>
                <w:bCs/>
                <w:webHidden/>
              </w:rPr>
              <w:fldChar w:fldCharType="end"/>
            </w:r>
          </w:hyperlink>
        </w:p>
        <w:p w:rsidR="000A41CA" w:rsidRPr="00B26299" w:rsidRDefault="00000000" w:rsidP="00B26299">
          <w:pPr>
            <w:pStyle w:val="TM3"/>
            <w:rPr>
              <w:rFonts w:eastAsiaTheme="minorEastAsia"/>
              <w:b/>
              <w:bCs/>
              <w:kern w:val="2"/>
              <w:lang w:val="fr-DZ" w:eastAsia="fr-FR"/>
              <w14:ligatures w14:val="standardContextual"/>
            </w:rPr>
          </w:pPr>
          <w:hyperlink w:anchor="_Toc200756172" w:history="1">
            <w:r w:rsidR="000A41CA" w:rsidRPr="00B26299">
              <w:rPr>
                <w:rStyle w:val="Lienhypertexte"/>
                <w:b/>
                <w:bCs/>
              </w:rPr>
              <w:t>B</w:t>
            </w:r>
            <w:r w:rsidR="00C54B27" w:rsidRPr="00B26299">
              <w:rPr>
                <w:rStyle w:val="Lienhypertexte"/>
                <w:b/>
                <w:bCs/>
              </w:rPr>
              <w:t>ibliographie</w:t>
            </w:r>
            <w:r w:rsidR="000A41CA" w:rsidRPr="00B26299">
              <w:rPr>
                <w:b/>
                <w:bCs/>
                <w:webHidden/>
              </w:rPr>
              <w:tab/>
            </w:r>
            <w:r w:rsidR="000A41CA" w:rsidRPr="00B26299">
              <w:rPr>
                <w:b/>
                <w:bCs/>
                <w:webHidden/>
              </w:rPr>
              <w:fldChar w:fldCharType="begin"/>
            </w:r>
            <w:r w:rsidR="000A41CA" w:rsidRPr="00B26299">
              <w:rPr>
                <w:b/>
                <w:bCs/>
                <w:webHidden/>
              </w:rPr>
              <w:instrText xml:space="preserve"> PAGEREF _Toc200756172 \h </w:instrText>
            </w:r>
            <w:r w:rsidR="000A41CA" w:rsidRPr="00B26299">
              <w:rPr>
                <w:b/>
                <w:bCs/>
                <w:webHidden/>
              </w:rPr>
            </w:r>
            <w:r w:rsidR="000A41CA" w:rsidRPr="00B26299">
              <w:rPr>
                <w:b/>
                <w:bCs/>
                <w:webHidden/>
              </w:rPr>
              <w:fldChar w:fldCharType="separate"/>
            </w:r>
            <w:r w:rsidR="000A41CA" w:rsidRPr="00B26299">
              <w:rPr>
                <w:b/>
                <w:bCs/>
                <w:webHidden/>
              </w:rPr>
              <w:t>257</w:t>
            </w:r>
            <w:r w:rsidR="000A41CA" w:rsidRPr="00B26299">
              <w:rPr>
                <w:b/>
                <w:bCs/>
                <w:webHidden/>
              </w:rPr>
              <w:fldChar w:fldCharType="end"/>
            </w:r>
          </w:hyperlink>
        </w:p>
        <w:p w:rsidR="000A41CA" w:rsidRPr="00B26299" w:rsidRDefault="00000000" w:rsidP="00B26299">
          <w:pPr>
            <w:pStyle w:val="TM3"/>
            <w:rPr>
              <w:rStyle w:val="Lienhypertexte"/>
              <w:b/>
              <w:bCs/>
            </w:rPr>
          </w:pPr>
          <w:hyperlink w:anchor="_Toc200756179" w:history="1">
            <w:r w:rsidR="000A41CA" w:rsidRPr="00B26299">
              <w:rPr>
                <w:rStyle w:val="Lienhypertexte"/>
                <w:b/>
                <w:bCs/>
              </w:rPr>
              <w:t>A</w:t>
            </w:r>
            <w:r w:rsidR="00C54B27" w:rsidRPr="00B26299">
              <w:rPr>
                <w:rStyle w:val="Lienhypertexte"/>
                <w:b/>
                <w:bCs/>
              </w:rPr>
              <w:t>nnexes</w:t>
            </w:r>
            <w:r w:rsidR="00C54B27" w:rsidRPr="00B26299">
              <w:rPr>
                <w:b/>
                <w:bCs/>
                <w:webHidden/>
              </w:rPr>
              <w:t>…………………………………………………………………………………….</w:t>
            </w:r>
            <w:r w:rsidR="000A41CA" w:rsidRPr="00B26299">
              <w:rPr>
                <w:b/>
                <w:bCs/>
                <w:webHidden/>
              </w:rPr>
              <w:fldChar w:fldCharType="begin"/>
            </w:r>
            <w:r w:rsidR="000A41CA" w:rsidRPr="00B26299">
              <w:rPr>
                <w:b/>
                <w:bCs/>
                <w:webHidden/>
              </w:rPr>
              <w:instrText xml:space="preserve"> PAGEREF _Toc200756179 \h </w:instrText>
            </w:r>
            <w:r w:rsidR="000A41CA" w:rsidRPr="00B26299">
              <w:rPr>
                <w:b/>
                <w:bCs/>
                <w:webHidden/>
              </w:rPr>
            </w:r>
            <w:r w:rsidR="000A41CA" w:rsidRPr="00B26299">
              <w:rPr>
                <w:b/>
                <w:bCs/>
                <w:webHidden/>
              </w:rPr>
              <w:fldChar w:fldCharType="separate"/>
            </w:r>
            <w:r w:rsidR="000A41CA" w:rsidRPr="00B26299">
              <w:rPr>
                <w:b/>
                <w:bCs/>
                <w:webHidden/>
              </w:rPr>
              <w:t>2</w:t>
            </w:r>
            <w:r w:rsidR="00180BD7" w:rsidRPr="00B26299">
              <w:rPr>
                <w:b/>
                <w:bCs/>
                <w:webHidden/>
              </w:rPr>
              <w:t>6</w:t>
            </w:r>
            <w:r w:rsidR="000A41CA" w:rsidRPr="00B26299">
              <w:rPr>
                <w:b/>
                <w:bCs/>
                <w:webHidden/>
              </w:rPr>
              <w:t>9</w:t>
            </w:r>
            <w:r w:rsidR="000A41CA" w:rsidRPr="00B26299">
              <w:rPr>
                <w:b/>
                <w:bCs/>
                <w:webHidden/>
              </w:rPr>
              <w:fldChar w:fldCharType="end"/>
            </w:r>
          </w:hyperlink>
        </w:p>
        <w:p w:rsidR="00180BD7" w:rsidRPr="00B26299" w:rsidRDefault="00180BD7" w:rsidP="000C1677">
          <w:pPr>
            <w:spacing w:line="360" w:lineRule="auto"/>
            <w:rPr>
              <w:rFonts w:eastAsiaTheme="minorEastAsia"/>
              <w:b/>
              <w:bCs/>
              <w:lang w:val="fr-FR"/>
            </w:rPr>
          </w:pPr>
          <w:r w:rsidRPr="00B26299">
            <w:rPr>
              <w:rFonts w:eastAsiaTheme="minorEastAsia"/>
              <w:b/>
              <w:bCs/>
              <w:lang w:val="fr-FR"/>
            </w:rPr>
            <w:t>Table des matières…………………………………………………………..……………..295</w:t>
          </w:r>
        </w:p>
        <w:p w:rsidR="000A41CA" w:rsidRPr="00B26299" w:rsidRDefault="00000000" w:rsidP="00B26299">
          <w:pPr>
            <w:pStyle w:val="TM3"/>
            <w:rPr>
              <w:rFonts w:eastAsiaTheme="minorEastAsia"/>
              <w:b/>
              <w:bCs/>
              <w:kern w:val="2"/>
              <w:lang w:val="fr-DZ" w:eastAsia="fr-FR"/>
              <w14:ligatures w14:val="standardContextual"/>
            </w:rPr>
          </w:pPr>
          <w:hyperlink w:anchor="_Toc200756180" w:history="1">
            <w:r w:rsidR="000A41CA" w:rsidRPr="00B26299">
              <w:rPr>
                <w:rStyle w:val="Lienhypertexte"/>
                <w:b/>
                <w:bCs/>
              </w:rPr>
              <w:t>Résumé</w:t>
            </w:r>
            <w:r w:rsidR="00861F90" w:rsidRPr="00B26299">
              <w:rPr>
                <w:rStyle w:val="Lienhypertexte"/>
                <w:b/>
                <w:bCs/>
                <w:lang w:val="en-US"/>
              </w:rPr>
              <w:t>……………………………………………………………………………………..</w:t>
            </w:r>
            <w:r w:rsidR="00861F90" w:rsidRPr="00B26299">
              <w:rPr>
                <w:b/>
                <w:bCs/>
                <w:webHidden/>
              </w:rPr>
              <w:t>305</w:t>
            </w:r>
          </w:hyperlink>
        </w:p>
        <w:p w:rsidR="00EE167F" w:rsidRDefault="00EE167F" w:rsidP="00861F90">
          <w:pPr>
            <w:spacing w:line="360" w:lineRule="auto"/>
          </w:pPr>
          <w:r w:rsidRPr="00861F90">
            <w:rPr>
              <w:rFonts w:asciiTheme="majorBidi" w:hAnsiTheme="majorBidi" w:cstheme="majorBidi"/>
              <w:noProof/>
            </w:rPr>
            <w:fldChar w:fldCharType="end"/>
          </w:r>
        </w:p>
      </w:sdtContent>
    </w:sdt>
    <w:p w:rsidR="00D77B02" w:rsidRPr="00D77B02" w:rsidRDefault="00D77B02" w:rsidP="00D77B02">
      <w:pPr>
        <w:pStyle w:val="Titre3"/>
        <w:spacing w:before="0" w:beforeAutospacing="0"/>
        <w:rPr>
          <w:rStyle w:val="Lienhypertexte"/>
          <w:b w:val="0"/>
          <w:bCs w:val="0"/>
          <w:color w:val="000000" w:themeColor="text1"/>
          <w:u w:val="none"/>
        </w:rPr>
        <w:sectPr w:rsidR="00D77B02" w:rsidRPr="00D77B02" w:rsidSect="00D91E89">
          <w:headerReference w:type="default" r:id="rId187"/>
          <w:pgSz w:w="11900" w:h="16840"/>
          <w:pgMar w:top="1440" w:right="1440" w:bottom="1440" w:left="1440" w:header="708" w:footer="708" w:gutter="0"/>
          <w:cols w:space="708"/>
          <w:docGrid w:linePitch="360"/>
        </w:sectPr>
      </w:pPr>
    </w:p>
    <w:p w:rsidR="00AB1358" w:rsidRPr="00C4652C" w:rsidRDefault="00AB1358" w:rsidP="00495CDE">
      <w:pPr>
        <w:pStyle w:val="Titre3"/>
        <w:spacing w:after="0" w:afterAutospacing="0"/>
        <w:rPr>
          <w:b w:val="0"/>
          <w:bCs w:val="0"/>
          <w:sz w:val="24"/>
          <w:szCs w:val="24"/>
          <w:lang w:val="fr-FR"/>
        </w:rPr>
      </w:pPr>
      <w:bookmarkStart w:id="2492" w:name="_Toc200486884"/>
      <w:bookmarkStart w:id="2493" w:name="_Toc200635663"/>
      <w:bookmarkStart w:id="2494" w:name="_Toc200636051"/>
      <w:bookmarkStart w:id="2495" w:name="_Toc200636440"/>
      <w:bookmarkStart w:id="2496" w:name="_Toc200756180"/>
      <w:r w:rsidRPr="006D3178">
        <w:rPr>
          <w:sz w:val="24"/>
          <w:szCs w:val="24"/>
        </w:rPr>
        <w:lastRenderedPageBreak/>
        <w:t>Résumé</w:t>
      </w:r>
      <w:r w:rsidR="008C4785" w:rsidRPr="006D3178">
        <w:rPr>
          <w:sz w:val="24"/>
          <w:szCs w:val="24"/>
        </w:rPr>
        <w:t> </w:t>
      </w:r>
      <w:r w:rsidR="008C4785" w:rsidRPr="006D3178">
        <w:rPr>
          <w:sz w:val="24"/>
          <w:szCs w:val="24"/>
          <w:lang w:val="fr-FR"/>
        </w:rPr>
        <w:t>:</w:t>
      </w:r>
      <w:bookmarkEnd w:id="2492"/>
      <w:bookmarkEnd w:id="2493"/>
      <w:bookmarkEnd w:id="2494"/>
      <w:bookmarkEnd w:id="2495"/>
      <w:bookmarkEnd w:id="2496"/>
    </w:p>
    <w:p w:rsidR="00AB1358" w:rsidRDefault="00AB1358" w:rsidP="00005B33">
      <w:pPr>
        <w:jc w:val="both"/>
        <w:rPr>
          <w:rFonts w:asciiTheme="majorBidi" w:hAnsiTheme="majorBidi" w:cstheme="majorBidi"/>
          <w:color w:val="000000"/>
        </w:rPr>
      </w:pPr>
      <w:r w:rsidRPr="008D6578">
        <w:rPr>
          <w:rFonts w:asciiTheme="majorBidi" w:hAnsiTheme="majorBidi" w:cstheme="majorBidi"/>
          <w:color w:val="000000"/>
        </w:rPr>
        <w:t>Dans un contexte de transformation numérique croissante, la fonction Ressources Humaines est amenée à évoluer pour répondre aux nouvelles exigences des organisations. Ce mémoire étudie l’impact de la digitalisation des processus RH sur la performance globale des ressources humaines, en analysant le rôle des pratiques de recrutement et de formation digitalisées. Une étude quantitative a été menée auprès d’un échantillon de professionnels RH issus de divers secteurs d’activité. Les résultats montrent que l’usage d’outils numériques tels que les SIRH, ERP ou plateformes e-learning contribue globalement à l’amélioration des performances RH. Le recrutement digitalisé joue un rôle médiateur significatif dans cette relation, renforçant l’impact positif de la digitalisation sur la performance RH. En revanche, l’effet médiateur de la formation digitalisée n’a pas été confirmé. Cette recherche met en évidence que la digitalisation constitue un levier stratégique, bien que ses effets varient selon les dimensions des processus RH concernés.</w:t>
      </w:r>
    </w:p>
    <w:p w:rsidR="00005B33" w:rsidRPr="008D6578" w:rsidRDefault="00005B33" w:rsidP="00005B33">
      <w:pPr>
        <w:jc w:val="both"/>
        <w:rPr>
          <w:rFonts w:asciiTheme="majorBidi" w:hAnsiTheme="majorBidi" w:cstheme="majorBidi"/>
          <w:color w:val="000000"/>
        </w:rPr>
      </w:pPr>
    </w:p>
    <w:p w:rsidR="00AB1358" w:rsidRPr="008D6578" w:rsidRDefault="00AB1358" w:rsidP="00005B33">
      <w:pPr>
        <w:jc w:val="both"/>
        <w:rPr>
          <w:rFonts w:asciiTheme="majorBidi" w:hAnsiTheme="majorBidi" w:cstheme="majorBidi"/>
          <w:b/>
          <w:bCs/>
          <w:color w:val="000000"/>
        </w:rPr>
      </w:pPr>
      <w:r w:rsidRPr="008D6578">
        <w:rPr>
          <w:rFonts w:asciiTheme="majorBidi" w:hAnsiTheme="majorBidi" w:cstheme="majorBidi"/>
          <w:b/>
          <w:bCs/>
          <w:color w:val="000000"/>
        </w:rPr>
        <w:t>Mots clés :</w:t>
      </w:r>
    </w:p>
    <w:p w:rsidR="00AB1358" w:rsidRPr="008D6578" w:rsidRDefault="00AB1358" w:rsidP="00005B33">
      <w:pPr>
        <w:jc w:val="both"/>
        <w:rPr>
          <w:rFonts w:asciiTheme="majorBidi" w:hAnsiTheme="majorBidi" w:cstheme="majorBidi"/>
          <w:color w:val="000000"/>
        </w:rPr>
      </w:pPr>
      <w:r w:rsidRPr="008D6578">
        <w:rPr>
          <w:rFonts w:asciiTheme="majorBidi" w:hAnsiTheme="majorBidi" w:cstheme="majorBidi"/>
          <w:color w:val="000000"/>
        </w:rPr>
        <w:t>Digitalisation, Ressources humaines, Recrutement digitalisé, Formation digitalisée, Performance RH, SIRH, ERP, E-learning.</w:t>
      </w:r>
    </w:p>
    <w:p w:rsidR="00AB1358" w:rsidRPr="008D6578" w:rsidRDefault="00AB1358" w:rsidP="00005B33">
      <w:pPr>
        <w:bidi/>
        <w:jc w:val="both"/>
        <w:rPr>
          <w:rFonts w:asciiTheme="majorBidi" w:hAnsiTheme="majorBidi" w:cstheme="majorBidi"/>
          <w:color w:val="000000"/>
        </w:rPr>
      </w:pPr>
    </w:p>
    <w:p w:rsidR="00AB1358" w:rsidRPr="00465127" w:rsidRDefault="00AB1358" w:rsidP="00005B33">
      <w:pPr>
        <w:bidi/>
        <w:jc w:val="both"/>
        <w:rPr>
          <w:rFonts w:asciiTheme="majorBidi" w:hAnsiTheme="majorBidi" w:cstheme="majorBidi"/>
          <w:b/>
          <w:bCs/>
          <w:color w:val="000000"/>
          <w:lang w:val="fr-FR"/>
        </w:rPr>
      </w:pPr>
      <w:r w:rsidRPr="008D6578">
        <w:rPr>
          <w:rFonts w:asciiTheme="majorBidi" w:hAnsiTheme="majorBidi" w:cstheme="majorBidi"/>
          <w:b/>
          <w:bCs/>
          <w:color w:val="000000"/>
          <w:rtl/>
        </w:rPr>
        <w:t>الملخص</w:t>
      </w:r>
      <w:r w:rsidR="008C4785" w:rsidRPr="008D6578">
        <w:rPr>
          <w:rFonts w:asciiTheme="majorBidi" w:hAnsiTheme="majorBidi" w:cstheme="majorBidi"/>
          <w:b/>
          <w:bCs/>
          <w:color w:val="000000"/>
          <w:lang w:val="fr-FR"/>
        </w:rPr>
        <w:t>:</w:t>
      </w:r>
    </w:p>
    <w:p w:rsidR="00465127" w:rsidRPr="008D6578" w:rsidRDefault="00AB1358" w:rsidP="00005B33">
      <w:pPr>
        <w:bidi/>
        <w:jc w:val="both"/>
        <w:rPr>
          <w:rFonts w:asciiTheme="majorBidi" w:hAnsiTheme="majorBidi" w:cstheme="majorBidi"/>
          <w:color w:val="000000"/>
        </w:rPr>
      </w:pPr>
      <w:r w:rsidRPr="008D6578">
        <w:rPr>
          <w:rFonts w:asciiTheme="majorBidi" w:hAnsiTheme="majorBidi" w:cstheme="majorBidi"/>
          <w:color w:val="000000"/>
          <w:rtl/>
        </w:rPr>
        <w:t xml:space="preserve">في ظل التحول الرقمي المتسارع، أصبحت وظيفة الموارد البشرية مطالبة بالتطور لمواكبة متطلبات المؤسسات الحديثة. يهدف هذا البحث إلى دراسة تأثير </w:t>
      </w:r>
      <w:proofErr w:type="spellStart"/>
      <w:r w:rsidRPr="008D6578">
        <w:rPr>
          <w:rFonts w:asciiTheme="majorBidi" w:hAnsiTheme="majorBidi" w:cstheme="majorBidi"/>
          <w:color w:val="000000"/>
          <w:rtl/>
        </w:rPr>
        <w:t>رقمنة</w:t>
      </w:r>
      <w:proofErr w:type="spellEnd"/>
      <w:r w:rsidRPr="008D6578">
        <w:rPr>
          <w:rFonts w:asciiTheme="majorBidi" w:hAnsiTheme="majorBidi" w:cstheme="majorBidi"/>
          <w:color w:val="000000"/>
          <w:rtl/>
        </w:rPr>
        <w:t xml:space="preserve"> عمليات الموارد البشرية على الأداء العام للموارد البشرية، مع تحليل دور ممارسات التوظيف والتكوين الرقمية. تم إجراء دراسة كمية شملت عينة من مختصي الموارد البشرية من قطاعات مختلفة. وأظهرت النتائج أن استخدام الأدوات الرقمية مثل نظام معلومات الموارد البشرية</w:t>
      </w:r>
      <w:r w:rsidRPr="008D6578">
        <w:rPr>
          <w:rFonts w:asciiTheme="majorBidi" w:hAnsiTheme="majorBidi" w:cstheme="majorBidi"/>
          <w:color w:val="000000"/>
        </w:rPr>
        <w:t xml:space="preserve"> (SIRH)</w:t>
      </w:r>
      <w:r w:rsidRPr="008D6578">
        <w:rPr>
          <w:rFonts w:asciiTheme="majorBidi" w:hAnsiTheme="majorBidi" w:cstheme="majorBidi"/>
          <w:color w:val="000000"/>
          <w:rtl/>
        </w:rPr>
        <w:t>، وبرامج</w:t>
      </w:r>
      <w:r w:rsidRPr="008D6578">
        <w:rPr>
          <w:rFonts w:asciiTheme="majorBidi" w:hAnsiTheme="majorBidi" w:cstheme="majorBidi"/>
          <w:color w:val="000000"/>
        </w:rPr>
        <w:t xml:space="preserve"> ERP</w:t>
      </w:r>
      <w:r w:rsidRPr="008D6578">
        <w:rPr>
          <w:rFonts w:asciiTheme="majorBidi" w:hAnsiTheme="majorBidi" w:cstheme="majorBidi"/>
          <w:color w:val="000000"/>
          <w:rtl/>
        </w:rPr>
        <w:t xml:space="preserve">، ومنصات التعلم الإلكتروني، يساهم في تحسين الأداء بشكل عام. وقد تبيّن أن التوظيف الرقمي يلعب دورًا وسيطًا هامًا في العلاقة بين </w:t>
      </w:r>
      <w:proofErr w:type="spellStart"/>
      <w:r w:rsidRPr="008D6578">
        <w:rPr>
          <w:rFonts w:asciiTheme="majorBidi" w:hAnsiTheme="majorBidi" w:cstheme="majorBidi"/>
          <w:color w:val="000000"/>
          <w:rtl/>
        </w:rPr>
        <w:t>الرقمنة</w:t>
      </w:r>
      <w:proofErr w:type="spellEnd"/>
      <w:r w:rsidRPr="008D6578">
        <w:rPr>
          <w:rFonts w:asciiTheme="majorBidi" w:hAnsiTheme="majorBidi" w:cstheme="majorBidi"/>
          <w:color w:val="000000"/>
          <w:rtl/>
        </w:rPr>
        <w:t xml:space="preserve"> والأداء، بينما لم يتم تأكيد الدور الوسيط للتكوين الرقمي. وتُبرز هذه الدراسة أن </w:t>
      </w:r>
      <w:proofErr w:type="spellStart"/>
      <w:r w:rsidRPr="008D6578">
        <w:rPr>
          <w:rFonts w:asciiTheme="majorBidi" w:hAnsiTheme="majorBidi" w:cstheme="majorBidi"/>
          <w:color w:val="000000"/>
          <w:rtl/>
        </w:rPr>
        <w:t>الرقمنة</w:t>
      </w:r>
      <w:proofErr w:type="spellEnd"/>
      <w:r w:rsidRPr="008D6578">
        <w:rPr>
          <w:rFonts w:asciiTheme="majorBidi" w:hAnsiTheme="majorBidi" w:cstheme="majorBidi"/>
          <w:color w:val="000000"/>
          <w:rtl/>
        </w:rPr>
        <w:t xml:space="preserve"> تمثل رافعة استراتيجية لتحسين الموارد البشرية، رغم تفاوت أثرها حسب كل وظيفة</w:t>
      </w:r>
      <w:r w:rsidRPr="008D6578">
        <w:rPr>
          <w:rFonts w:asciiTheme="majorBidi" w:hAnsiTheme="majorBidi" w:cstheme="majorBidi"/>
          <w:color w:val="000000"/>
        </w:rPr>
        <w:t>.</w:t>
      </w:r>
    </w:p>
    <w:p w:rsidR="00005B33" w:rsidRDefault="00005B33" w:rsidP="00005B33">
      <w:pPr>
        <w:bidi/>
        <w:jc w:val="both"/>
        <w:rPr>
          <w:rFonts w:asciiTheme="majorBidi" w:hAnsiTheme="majorBidi" w:cstheme="majorBidi"/>
          <w:b/>
          <w:bCs/>
          <w:color w:val="000000"/>
        </w:rPr>
      </w:pPr>
    </w:p>
    <w:p w:rsidR="00AB1358" w:rsidRPr="008D6578" w:rsidRDefault="00AB1358" w:rsidP="00005B33">
      <w:pPr>
        <w:bidi/>
        <w:jc w:val="both"/>
        <w:rPr>
          <w:rFonts w:asciiTheme="majorBidi" w:hAnsiTheme="majorBidi" w:cstheme="majorBidi"/>
          <w:b/>
          <w:bCs/>
          <w:color w:val="000000"/>
        </w:rPr>
      </w:pPr>
      <w:r w:rsidRPr="008D6578">
        <w:rPr>
          <w:rFonts w:asciiTheme="majorBidi" w:hAnsiTheme="majorBidi" w:cstheme="majorBidi"/>
          <w:b/>
          <w:bCs/>
          <w:color w:val="000000"/>
          <w:rtl/>
        </w:rPr>
        <w:t>الكلمات المفتاحية</w:t>
      </w:r>
      <w:r w:rsidRPr="008D6578">
        <w:rPr>
          <w:rFonts w:asciiTheme="majorBidi" w:hAnsiTheme="majorBidi" w:cstheme="majorBidi"/>
          <w:b/>
          <w:bCs/>
          <w:color w:val="000000"/>
        </w:rPr>
        <w:t>:</w:t>
      </w:r>
    </w:p>
    <w:p w:rsidR="00AB1358" w:rsidRPr="008D6578" w:rsidRDefault="00AB1358" w:rsidP="00005B33">
      <w:pPr>
        <w:bidi/>
        <w:jc w:val="both"/>
        <w:rPr>
          <w:rFonts w:asciiTheme="majorBidi" w:hAnsiTheme="majorBidi" w:cstheme="majorBidi"/>
          <w:color w:val="000000"/>
        </w:rPr>
      </w:pPr>
      <w:proofErr w:type="spellStart"/>
      <w:r w:rsidRPr="008D6578">
        <w:rPr>
          <w:rFonts w:asciiTheme="majorBidi" w:hAnsiTheme="majorBidi" w:cstheme="majorBidi"/>
          <w:color w:val="000000"/>
          <w:rtl/>
        </w:rPr>
        <w:t>الرقمنة</w:t>
      </w:r>
      <w:proofErr w:type="spellEnd"/>
      <w:r w:rsidRPr="008D6578">
        <w:rPr>
          <w:rFonts w:asciiTheme="majorBidi" w:hAnsiTheme="majorBidi" w:cstheme="majorBidi"/>
          <w:color w:val="000000"/>
          <w:rtl/>
        </w:rPr>
        <w:t xml:space="preserve">، الموارد البشرية، التوظيف الرقمي، التكوين الرقمي، الأداء، نظام معلومات الموارد البشرية، </w:t>
      </w:r>
      <w:r w:rsidRPr="008D6578">
        <w:rPr>
          <w:rFonts w:asciiTheme="majorBidi" w:hAnsiTheme="majorBidi" w:cstheme="majorBidi"/>
          <w:color w:val="000000"/>
        </w:rPr>
        <w:t>ERP</w:t>
      </w:r>
      <w:r w:rsidRPr="008D6578">
        <w:rPr>
          <w:rFonts w:asciiTheme="majorBidi" w:hAnsiTheme="majorBidi" w:cstheme="majorBidi"/>
          <w:color w:val="000000"/>
          <w:rtl/>
        </w:rPr>
        <w:t>، التعلم الإلكتروني</w:t>
      </w:r>
      <w:r w:rsidRPr="008D6578">
        <w:rPr>
          <w:rFonts w:asciiTheme="majorBidi" w:hAnsiTheme="majorBidi" w:cstheme="majorBidi"/>
          <w:color w:val="000000"/>
        </w:rPr>
        <w:t>.</w:t>
      </w:r>
    </w:p>
    <w:p w:rsidR="00AB1358" w:rsidRDefault="00AB1358" w:rsidP="00005B33">
      <w:pPr>
        <w:bidi/>
        <w:jc w:val="both"/>
        <w:rPr>
          <w:rFonts w:asciiTheme="majorBidi" w:hAnsiTheme="majorBidi" w:cstheme="majorBidi"/>
          <w:color w:val="000000"/>
        </w:rPr>
      </w:pPr>
    </w:p>
    <w:p w:rsidR="00465127" w:rsidRDefault="00465127" w:rsidP="00005B33">
      <w:pPr>
        <w:bidi/>
        <w:jc w:val="both"/>
        <w:rPr>
          <w:rFonts w:asciiTheme="majorBidi" w:hAnsiTheme="majorBidi" w:cstheme="majorBidi"/>
          <w:color w:val="000000"/>
        </w:rPr>
      </w:pPr>
    </w:p>
    <w:p w:rsidR="00465127" w:rsidRPr="008D6578" w:rsidRDefault="00465127" w:rsidP="00005B33">
      <w:pPr>
        <w:bidi/>
        <w:jc w:val="both"/>
        <w:rPr>
          <w:rFonts w:asciiTheme="majorBidi" w:hAnsiTheme="majorBidi" w:cstheme="majorBidi"/>
          <w:color w:val="000000"/>
        </w:rPr>
      </w:pPr>
    </w:p>
    <w:p w:rsidR="00AB1358" w:rsidRPr="00465127" w:rsidRDefault="00AB1358" w:rsidP="00005B33">
      <w:pPr>
        <w:jc w:val="both"/>
        <w:rPr>
          <w:rFonts w:asciiTheme="majorBidi" w:hAnsiTheme="majorBidi" w:cstheme="majorBidi"/>
          <w:b/>
          <w:bCs/>
          <w:color w:val="000000"/>
          <w:lang w:val="en-US"/>
        </w:rPr>
      </w:pPr>
      <w:r w:rsidRPr="008D6578">
        <w:rPr>
          <w:rFonts w:asciiTheme="majorBidi" w:hAnsiTheme="majorBidi" w:cstheme="majorBidi"/>
          <w:b/>
          <w:bCs/>
          <w:color w:val="000000"/>
        </w:rPr>
        <w:t>Abstract</w:t>
      </w:r>
      <w:r w:rsidR="008C4785" w:rsidRPr="008D6578">
        <w:rPr>
          <w:rFonts w:asciiTheme="majorBidi" w:hAnsiTheme="majorBidi" w:cstheme="majorBidi"/>
          <w:b/>
          <w:bCs/>
          <w:color w:val="000000"/>
        </w:rPr>
        <w:t> </w:t>
      </w:r>
      <w:r w:rsidR="008C4785" w:rsidRPr="008D6578">
        <w:rPr>
          <w:rFonts w:asciiTheme="majorBidi" w:hAnsiTheme="majorBidi" w:cstheme="majorBidi"/>
          <w:b/>
          <w:bCs/>
          <w:color w:val="000000"/>
          <w:lang w:val="en-US"/>
        </w:rPr>
        <w:t>:</w:t>
      </w:r>
    </w:p>
    <w:p w:rsidR="00AB1358" w:rsidRPr="008D6578" w:rsidRDefault="00AB1358" w:rsidP="00005B33">
      <w:pPr>
        <w:jc w:val="both"/>
        <w:rPr>
          <w:rFonts w:asciiTheme="majorBidi" w:hAnsiTheme="majorBidi" w:cstheme="majorBidi"/>
          <w:color w:val="000000"/>
        </w:rPr>
      </w:pPr>
      <w:r w:rsidRPr="008D6578">
        <w:rPr>
          <w:rFonts w:asciiTheme="majorBidi" w:hAnsiTheme="majorBidi" w:cstheme="majorBidi"/>
          <w:color w:val="000000"/>
        </w:rPr>
        <w:t>As digital transformation accelerates, the Human Resources function is evolving to meet the changing demands of modern organizations. This thesis investigates the impact of HR process digitalization on overall HR performance, with a focus on digital recruitment and training practices. A quantitative study was conducted with a sample of HR professionals from various sectors. The results show that digital tools such as HRIS, ERP systems, and e-learning platforms generally contribute to improving HR performance. Digital recruitment plays a significant mediating role in this relationship, strengthening the impact of digitalization on HR outcomes. However, the mediating effect of digital training was not confirmed. This study highlights that digital transformation is a strategic lever for HR optimization, although its effects vary depending on the process dimension.</w:t>
      </w:r>
    </w:p>
    <w:p w:rsidR="00005B33" w:rsidRDefault="00005B33" w:rsidP="00005B33">
      <w:pPr>
        <w:jc w:val="both"/>
        <w:rPr>
          <w:rFonts w:asciiTheme="majorBidi" w:hAnsiTheme="majorBidi" w:cstheme="majorBidi"/>
          <w:b/>
          <w:bCs/>
          <w:color w:val="000000"/>
        </w:rPr>
      </w:pPr>
    </w:p>
    <w:p w:rsidR="00AB1358" w:rsidRPr="008D6578" w:rsidRDefault="00AB1358" w:rsidP="00005B33">
      <w:pPr>
        <w:jc w:val="both"/>
        <w:rPr>
          <w:rFonts w:asciiTheme="majorBidi" w:hAnsiTheme="majorBidi" w:cstheme="majorBidi"/>
          <w:b/>
          <w:bCs/>
          <w:color w:val="000000"/>
        </w:rPr>
      </w:pPr>
      <w:r w:rsidRPr="008D6578">
        <w:rPr>
          <w:rFonts w:asciiTheme="majorBidi" w:hAnsiTheme="majorBidi" w:cstheme="majorBidi"/>
          <w:b/>
          <w:bCs/>
          <w:color w:val="000000"/>
        </w:rPr>
        <w:t>Keywords:</w:t>
      </w:r>
    </w:p>
    <w:p w:rsidR="00131B8E" w:rsidRPr="008D6578" w:rsidRDefault="00AB1358" w:rsidP="00005B33">
      <w:pPr>
        <w:jc w:val="both"/>
        <w:rPr>
          <w:rFonts w:asciiTheme="majorBidi" w:hAnsiTheme="majorBidi" w:cstheme="majorBidi"/>
          <w:color w:val="000000"/>
        </w:rPr>
      </w:pPr>
      <w:r w:rsidRPr="008D6578">
        <w:rPr>
          <w:rFonts w:asciiTheme="majorBidi" w:hAnsiTheme="majorBidi" w:cstheme="majorBidi"/>
          <w:color w:val="000000"/>
        </w:rPr>
        <w:t>Digitalization, Human Resources, Digital Recruitment, Digital Training, HR Performance, HRIS, ERP, E-learning.</w:t>
      </w:r>
    </w:p>
    <w:sectPr w:rsidR="00131B8E" w:rsidRPr="008D6578" w:rsidSect="00D91E89">
      <w:headerReference w:type="default" r:id="rId18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050D" w:rsidRDefault="00DC050D" w:rsidP="008B5596">
      <w:r>
        <w:separator/>
      </w:r>
    </w:p>
  </w:endnote>
  <w:endnote w:type="continuationSeparator" w:id="0">
    <w:p w:rsidR="00DC050D" w:rsidRDefault="00DC050D" w:rsidP="008B5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Lucida Calligraphy">
    <w:panose1 w:val="03010101010101010101"/>
    <w:charset w:val="4D"/>
    <w:family w:val="script"/>
    <w:pitch w:val="variable"/>
    <w:sig w:usb0="00000003" w:usb1="00000000" w:usb2="00000000" w:usb3="00000000" w:csb0="00000001" w:csb1="00000000"/>
  </w:font>
  <w:font w:name="var(--jp-code-font-family)">
    <w:altName w:val="Cambria"/>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webkit-standard">
    <w:altName w:val="Cambria"/>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685971186"/>
      <w:docPartObj>
        <w:docPartGallery w:val="Page Numbers (Bottom of Page)"/>
        <w:docPartUnique/>
      </w:docPartObj>
    </w:sdtPr>
    <w:sdtContent>
      <w:p w:rsidR="00352F66" w:rsidRDefault="00352F66" w:rsidP="00B90DF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352F66" w:rsidRDefault="00352F66" w:rsidP="00352F6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77E9" w:rsidRPr="00352F66" w:rsidRDefault="00B877E9" w:rsidP="00352F66">
    <w:pPr>
      <w:pStyle w:val="Pieddepage"/>
      <w:ind w:right="360"/>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90DFC" w:rsidRDefault="00B90DFC" w:rsidP="00B90DFC">
    <w:pPr>
      <w:pStyle w:val="Pieddepage"/>
      <w:tabs>
        <w:tab w:val="clear" w:pos="4680"/>
        <w:tab w:val="clear" w:pos="9360"/>
      </w:tabs>
      <w:ind w:right="360"/>
      <w:jc w:val="center"/>
      <w:rPr>
        <w:caps/>
        <w:color w:val="4472C4" w:themeColor="accent1"/>
      </w:rPr>
    </w:pPr>
  </w:p>
  <w:p w:rsidR="007D1A12" w:rsidRPr="00352F66" w:rsidRDefault="007D1A12" w:rsidP="00352F66">
    <w:pPr>
      <w:pStyle w:val="Pieddepage"/>
      <w:ind w:right="360"/>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color w:val="000000" w:themeColor="text1"/>
      </w:rPr>
      <w:id w:val="686183569"/>
      <w:docPartObj>
        <w:docPartGallery w:val="Page Numbers (Bottom of Page)"/>
        <w:docPartUnique/>
      </w:docPartObj>
    </w:sdtPr>
    <w:sdtContent>
      <w:p w:rsidR="00B90DFC" w:rsidRPr="00604AF1" w:rsidRDefault="00B90DFC" w:rsidP="00D92872">
        <w:pPr>
          <w:pStyle w:val="Pieddepage"/>
          <w:framePr w:wrap="none" w:vAnchor="text" w:hAnchor="margin" w:xAlign="right" w:y="1"/>
          <w:rPr>
            <w:rStyle w:val="Numrodepage"/>
            <w:color w:val="000000" w:themeColor="text1"/>
          </w:rPr>
        </w:pPr>
        <w:r w:rsidRPr="00604AF1">
          <w:rPr>
            <w:rStyle w:val="Numrodepage"/>
            <w:color w:val="000000" w:themeColor="text1"/>
          </w:rPr>
          <w:fldChar w:fldCharType="begin"/>
        </w:r>
        <w:r w:rsidRPr="00604AF1">
          <w:rPr>
            <w:rStyle w:val="Numrodepage"/>
            <w:color w:val="000000" w:themeColor="text1"/>
          </w:rPr>
          <w:instrText xml:space="preserve"> PAGE </w:instrText>
        </w:r>
        <w:r w:rsidRPr="00604AF1">
          <w:rPr>
            <w:rStyle w:val="Numrodepage"/>
            <w:color w:val="000000" w:themeColor="text1"/>
          </w:rPr>
          <w:fldChar w:fldCharType="separate"/>
        </w:r>
        <w:r w:rsidRPr="00604AF1">
          <w:rPr>
            <w:rStyle w:val="Numrodepage"/>
            <w:noProof/>
            <w:color w:val="000000" w:themeColor="text1"/>
          </w:rPr>
          <w:t>I</w:t>
        </w:r>
        <w:r w:rsidRPr="00604AF1">
          <w:rPr>
            <w:rStyle w:val="Numrodepage"/>
            <w:color w:val="000000" w:themeColor="text1"/>
          </w:rPr>
          <w:fldChar w:fldCharType="end"/>
        </w:r>
      </w:p>
    </w:sdtContent>
  </w:sdt>
  <w:p w:rsidR="00B90DFC" w:rsidRDefault="00B90DFC" w:rsidP="00B90DFC">
    <w:pPr>
      <w:pStyle w:val="Pieddepage"/>
      <w:tabs>
        <w:tab w:val="clear" w:pos="4680"/>
        <w:tab w:val="clear" w:pos="9360"/>
      </w:tabs>
      <w:ind w:right="360"/>
      <w:jc w:val="center"/>
      <w:rPr>
        <w:caps/>
        <w:color w:val="4472C4" w:themeColor="accent1"/>
      </w:rPr>
    </w:pPr>
  </w:p>
  <w:p w:rsidR="00B90DFC" w:rsidRPr="00352F66" w:rsidRDefault="00B90DFC" w:rsidP="00352F66">
    <w:pPr>
      <w:pStyle w:val="Pieddepage"/>
      <w:ind w:right="360"/>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27462853"/>
      <w:docPartObj>
        <w:docPartGallery w:val="Page Numbers (Bottom of Page)"/>
        <w:docPartUnique/>
      </w:docPartObj>
    </w:sdtPr>
    <w:sdtContent>
      <w:p w:rsidR="00AB7C41" w:rsidRDefault="00AB7C41" w:rsidP="002D7F6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47</w:t>
        </w:r>
        <w:r>
          <w:rPr>
            <w:rStyle w:val="Numrodepage"/>
          </w:rPr>
          <w:fldChar w:fldCharType="end"/>
        </w:r>
      </w:p>
    </w:sdtContent>
  </w:sdt>
  <w:p w:rsidR="00AB7C41" w:rsidRDefault="00AB7C41" w:rsidP="00AB7C41">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13907891"/>
      <w:docPartObj>
        <w:docPartGallery w:val="Page Numbers (Bottom of Page)"/>
        <w:docPartUnique/>
      </w:docPartObj>
    </w:sdtPr>
    <w:sdtContent>
      <w:p w:rsidR="00D200FC" w:rsidRDefault="00D200FC" w:rsidP="002D7F6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47</w:t>
        </w:r>
        <w:r>
          <w:rPr>
            <w:rStyle w:val="Numrodepage"/>
          </w:rPr>
          <w:fldChar w:fldCharType="end"/>
        </w:r>
      </w:p>
    </w:sdtContent>
  </w:sdt>
  <w:p w:rsidR="00D200FC" w:rsidRDefault="00D200FC" w:rsidP="00AB7C41">
    <w:pPr>
      <w:pStyle w:val="Pieddepage"/>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205598380"/>
      <w:docPartObj>
        <w:docPartGallery w:val="Page Numbers (Bottom of Page)"/>
        <w:docPartUnique/>
      </w:docPartObj>
    </w:sdtPr>
    <w:sdtContent>
      <w:p w:rsidR="002E6982" w:rsidRDefault="002E6982" w:rsidP="002D7F6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47</w:t>
        </w:r>
        <w:r>
          <w:rPr>
            <w:rStyle w:val="Numrodepage"/>
          </w:rPr>
          <w:fldChar w:fldCharType="end"/>
        </w:r>
      </w:p>
    </w:sdtContent>
  </w:sdt>
  <w:p w:rsidR="002E6982" w:rsidRDefault="002E6982" w:rsidP="00AB7C4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050D" w:rsidRDefault="00DC050D" w:rsidP="008B5596">
      <w:r>
        <w:separator/>
      </w:r>
    </w:p>
  </w:footnote>
  <w:footnote w:type="continuationSeparator" w:id="0">
    <w:p w:rsidR="00DC050D" w:rsidRDefault="00DC050D" w:rsidP="008B5596">
      <w:r>
        <w:continuationSeparator/>
      </w:r>
    </w:p>
  </w:footnote>
  <w:footnote w:id="1">
    <w:p w:rsidR="008B5596" w:rsidRPr="0045362C" w:rsidRDefault="008B5596">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Parry, E., &amp; Strohmeier, S. (2014). HRM in the digital age – digital changes and challenges of the HR profession. The International Journal of Human Resource Management, 25(5), 605–620</w:t>
      </w:r>
      <w:r w:rsidRPr="0045362C">
        <w:rPr>
          <w:rFonts w:asciiTheme="majorBidi" w:hAnsiTheme="majorBidi" w:cstheme="majorBidi"/>
          <w:lang w:val="en-US"/>
        </w:rPr>
        <w:t xml:space="preserve">, </w:t>
      </w:r>
      <w:r w:rsidRPr="0045362C">
        <w:rPr>
          <w:rFonts w:asciiTheme="majorBidi" w:hAnsiTheme="majorBidi" w:cstheme="majorBidi"/>
        </w:rPr>
        <w:t>p. 608.</w:t>
      </w:r>
    </w:p>
  </w:footnote>
  <w:footnote w:id="2">
    <w:p w:rsidR="008B5596" w:rsidRPr="0045362C" w:rsidRDefault="008B5596">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De Grip, A., &amp; Sauermann, J. (2013). The effects of training on productivity: The transfer of on-the-job training from the perspective of economics. Educational Research Review, 8, 28–36</w:t>
      </w:r>
      <w:r w:rsidRPr="0045362C">
        <w:rPr>
          <w:rFonts w:asciiTheme="majorBidi" w:hAnsiTheme="majorBidi" w:cstheme="majorBidi"/>
          <w:lang w:val="en-US"/>
        </w:rPr>
        <w:t>,</w:t>
      </w:r>
      <w:r w:rsidRPr="0045362C">
        <w:rPr>
          <w:rFonts w:asciiTheme="majorBidi" w:hAnsiTheme="majorBidi" w:cstheme="majorBidi"/>
        </w:rPr>
        <w:t xml:space="preserve"> p. 29.</w:t>
      </w:r>
    </w:p>
  </w:footnote>
  <w:footnote w:id="3">
    <w:p w:rsidR="008B5596" w:rsidRPr="0045362C" w:rsidRDefault="008B5596">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Strohmeier, S. (2020). Digital human resource management: A conceptual clarification. German Journal of Human Resource Management, 34(3), 345–365</w:t>
      </w:r>
      <w:r w:rsidRPr="0045362C">
        <w:rPr>
          <w:rFonts w:asciiTheme="majorBidi" w:hAnsiTheme="majorBidi" w:cstheme="majorBidi"/>
          <w:lang w:val="fr-FR"/>
        </w:rPr>
        <w:t xml:space="preserve">, </w:t>
      </w:r>
      <w:r w:rsidRPr="0045362C">
        <w:rPr>
          <w:rFonts w:asciiTheme="majorBidi" w:hAnsiTheme="majorBidi" w:cstheme="majorBidi"/>
        </w:rPr>
        <w:t>p. 349.</w:t>
      </w:r>
    </w:p>
  </w:footnote>
  <w:footnote w:id="4">
    <w:p w:rsidR="008B5596" w:rsidRPr="0045362C" w:rsidRDefault="008B5596" w:rsidP="008B5596">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Benyoucef, A. (2022). La transformation digitale des RH dans les entreprises algériennes : enjeux, pratiques et perspectives (Thèse de doctorat, Université Abderrahmane Mira – Bejaia)</w:t>
      </w:r>
      <w:r w:rsidRPr="0045362C">
        <w:rPr>
          <w:rFonts w:asciiTheme="majorBidi" w:hAnsiTheme="majorBidi" w:cstheme="majorBidi"/>
          <w:lang w:val="fr-FR"/>
        </w:rPr>
        <w:t xml:space="preserve">, </w:t>
      </w:r>
      <w:r w:rsidRPr="0045362C">
        <w:rPr>
          <w:rFonts w:asciiTheme="majorBidi" w:hAnsiTheme="majorBidi" w:cstheme="majorBidi"/>
        </w:rPr>
        <w:t>p. 73–74.</w:t>
      </w:r>
    </w:p>
  </w:footnote>
  <w:footnote w:id="5">
    <w:p w:rsidR="0077132C" w:rsidRPr="0045362C" w:rsidRDefault="0077132C" w:rsidP="0077132C">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L’Écuyer, F. (2016). Les technologies de l’information en tant que vecteur de performance de la gestion stratégique des ressources humaines dans les PME [Thèse de doctorat, Université du Québec à Trois-Rivières].</w:t>
      </w:r>
    </w:p>
  </w:footnote>
  <w:footnote w:id="6">
    <w:p w:rsidR="0077132C" w:rsidRPr="0045362C" w:rsidRDefault="0077132C" w:rsidP="0077132C">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Galindo, G., Garbe, E., &amp; Vignal, J. (2019). Des idéaux à la réalité de l’accompagnement de la GRH dans la digitalisation : le cas d’une entreprise industrielle. @GRH, 30(1), 11–46. </w:t>
      </w:r>
      <w:hyperlink r:id="rId1" w:history="1">
        <w:r w:rsidRPr="0045362C">
          <w:rPr>
            <w:rStyle w:val="Lienhypertexte"/>
            <w:rFonts w:asciiTheme="majorBidi" w:hAnsiTheme="majorBidi" w:cstheme="majorBidi"/>
          </w:rPr>
          <w:t>https://doi.org/10.3917/grh.191.0011</w:t>
        </w:r>
      </w:hyperlink>
    </w:p>
    <w:p w:rsidR="0077132C" w:rsidRPr="0045362C" w:rsidRDefault="0077132C" w:rsidP="0077132C">
      <w:pPr>
        <w:pStyle w:val="Notedebasdepage"/>
        <w:rPr>
          <w:rFonts w:asciiTheme="majorBidi" w:hAnsiTheme="majorBidi" w:cstheme="majorBidi"/>
          <w:lang w:val="fr-FR"/>
        </w:rPr>
      </w:pPr>
    </w:p>
  </w:footnote>
  <w:footnote w:id="7">
    <w:p w:rsidR="0077132C" w:rsidRPr="0045362C" w:rsidRDefault="0077132C" w:rsidP="0077132C">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Jarachi, W., Lamsaadi, S., Belakhmima, M., &amp; Khatori, Y. (2022). Transformation digitale et développement de la gestion des ressources humaines. International Journal of Accounting, Finance, Auditing, Management and Economics, 3(6-1), 152–165. </w:t>
      </w:r>
      <w:hyperlink r:id="rId2" w:history="1">
        <w:r w:rsidRPr="0045362C">
          <w:rPr>
            <w:rStyle w:val="Lienhypertexte"/>
            <w:rFonts w:asciiTheme="majorBidi" w:hAnsiTheme="majorBidi" w:cstheme="majorBidi"/>
          </w:rPr>
          <w:t>https://ijafame.org/index.php/ijafame/article/view/733</w:t>
        </w:r>
      </w:hyperlink>
    </w:p>
  </w:footnote>
  <w:footnote w:id="8">
    <w:p w:rsidR="0077132C" w:rsidRPr="0045362C" w:rsidRDefault="0077132C" w:rsidP="0077132C">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Berrefas, I. (2023). Transformation digitale, changement organisationnel et pratiques de la gestion des ressources humaines en Algérie [Thèse de doctorat, Université de Tlemcen].</w:t>
      </w:r>
    </w:p>
  </w:footnote>
  <w:footnote w:id="9">
    <w:p w:rsidR="00D4129D" w:rsidRPr="0045362C" w:rsidRDefault="00D4129D" w:rsidP="0040109B">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Gampine, I. (2023). La digitalisation des pratiques de ressources humaines et la performance des entreprises dans un environnement dynamique [Thèse de doctorat, Université Paul Valéry - Montpellier III]. TEL Archives ouvertes. </w:t>
      </w:r>
      <w:hyperlink r:id="rId3" w:history="1">
        <w:r w:rsidRPr="0045362C">
          <w:rPr>
            <w:rStyle w:val="Lienhypertexte"/>
            <w:rFonts w:asciiTheme="majorBidi" w:hAnsiTheme="majorBidi" w:cstheme="majorBidi"/>
          </w:rPr>
          <w:t>https://theses.hal.science/tel-04626272</w:t>
        </w:r>
      </w:hyperlink>
    </w:p>
  </w:footnote>
  <w:footnote w:id="10">
    <w:p w:rsidR="00D4129D" w:rsidRPr="0045362C" w:rsidRDefault="00D4129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El Oumami, R., &amp; El Haddad, M. Y. (2024). Impact de la digitalisation sur les Ressources Humaines : Étude de Cas dans le Secteur Bancaire. IJAFAME, 5(2), 209–222.</w:t>
      </w:r>
    </w:p>
  </w:footnote>
  <w:footnote w:id="1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w:t>
      </w:r>
      <w:bookmarkStart w:id="72" w:name="OLE_LINK8"/>
      <w:bookmarkStart w:id="73" w:name="OLE_LINK1"/>
      <w:r w:rsidRPr="0045362C">
        <w:rPr>
          <w:rFonts w:asciiTheme="majorBidi" w:hAnsiTheme="majorBidi" w:cstheme="majorBidi"/>
          <w:color w:val="000000"/>
          <w:lang w:val="fr-FR"/>
        </w:rPr>
        <w:t>Peretti, J.-M. (2015). Gestion des ressources humaines </w:t>
      </w:r>
      <w:bookmarkEnd w:id="72"/>
      <w:r w:rsidRPr="0045362C">
        <w:rPr>
          <w:rFonts w:asciiTheme="majorBidi" w:hAnsiTheme="majorBidi" w:cstheme="majorBidi"/>
          <w:color w:val="000000"/>
          <w:lang w:val="fr-FR"/>
        </w:rPr>
        <w:t xml:space="preserve">(7e éd., pp. 25-27). </w:t>
      </w:r>
      <w:r w:rsidRPr="0045362C">
        <w:rPr>
          <w:rFonts w:asciiTheme="majorBidi" w:hAnsiTheme="majorBidi" w:cstheme="majorBidi"/>
          <w:color w:val="000000"/>
          <w:lang w:val="en-US"/>
        </w:rPr>
        <w:t>Vuibert.</w:t>
      </w:r>
      <w:bookmarkEnd w:id="73"/>
    </w:p>
  </w:footnote>
  <w:footnote w:id="1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80" w:name="OLE_LINK3"/>
      <w:r w:rsidRPr="0045362C">
        <w:rPr>
          <w:rFonts w:asciiTheme="majorBidi" w:hAnsiTheme="majorBidi" w:cstheme="majorBidi"/>
          <w:color w:val="000000"/>
          <w:lang w:val="en-US"/>
        </w:rPr>
        <w:t>Taylor, F. W. (1911). The Principles of Scientific Management </w:t>
      </w:r>
      <w:bookmarkEnd w:id="80"/>
      <w:r w:rsidRPr="0045362C">
        <w:rPr>
          <w:rFonts w:asciiTheme="majorBidi" w:hAnsiTheme="majorBidi" w:cstheme="majorBidi"/>
          <w:color w:val="000000"/>
          <w:lang w:val="en-US"/>
        </w:rPr>
        <w:t>(pp. 10-15). Harper &amp; Brothers.</w:t>
      </w:r>
    </w:p>
  </w:footnote>
  <w:footnote w:id="13">
    <w:p w:rsidR="00E772DD" w:rsidRPr="0045362C" w:rsidRDefault="00E772DD" w:rsidP="003D3FA7">
      <w:pPr>
        <w:pStyle w:val="Notedebasdepage"/>
        <w:rPr>
          <w:rFonts w:asciiTheme="majorBidi" w:hAnsiTheme="majorBidi" w:cstheme="majorBidi"/>
          <w:color w:val="000000"/>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Ibid., pp. 10-30.</w:t>
      </w:r>
    </w:p>
  </w:footnote>
  <w:footnote w:id="1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93" w:name="OLE_LINK5"/>
      <w:bookmarkStart w:id="94" w:name="OLE_LINK4"/>
      <w:r w:rsidRPr="0045362C">
        <w:rPr>
          <w:rFonts w:asciiTheme="majorBidi" w:hAnsiTheme="majorBidi" w:cstheme="majorBidi"/>
          <w:color w:val="000000"/>
          <w:lang w:val="en-US"/>
        </w:rPr>
        <w:t>Herzberg, F. (1966). Work and the Nature of Man </w:t>
      </w:r>
      <w:bookmarkEnd w:id="93"/>
      <w:r w:rsidRPr="0045362C">
        <w:rPr>
          <w:rFonts w:asciiTheme="majorBidi" w:hAnsiTheme="majorBidi" w:cstheme="majorBidi"/>
          <w:color w:val="000000"/>
          <w:lang w:val="en-US"/>
        </w:rPr>
        <w:t>(pp. 65-70). World Publishing.</w:t>
      </w:r>
      <w:bookmarkEnd w:id="94"/>
    </w:p>
  </w:footnote>
  <w:footnote w:id="1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03" w:name="OLE_LINK6"/>
      <w:r w:rsidRPr="0045362C">
        <w:rPr>
          <w:rFonts w:asciiTheme="majorBidi" w:hAnsiTheme="majorBidi" w:cstheme="majorBidi"/>
          <w:color w:val="000000"/>
          <w:lang w:val="en-US"/>
        </w:rPr>
        <w:t xml:space="preserve">Ulrich, D. (1997). Human Resource Champions: The Next Agenda for Adding Value and Delivering Results </w:t>
      </w:r>
      <w:bookmarkEnd w:id="103"/>
      <w:r w:rsidRPr="0045362C">
        <w:rPr>
          <w:rFonts w:asciiTheme="majorBidi" w:hAnsiTheme="majorBidi" w:cstheme="majorBidi"/>
          <w:color w:val="000000"/>
          <w:lang w:val="en-US"/>
        </w:rPr>
        <w:t>(pp. 80-85). Harvard Business Review Press.</w:t>
      </w:r>
    </w:p>
  </w:footnote>
  <w:footnote w:id="1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Baudoin, E., Diard, C., Benabid, M., &amp; Cherif, K. (2019). </w:t>
      </w:r>
      <w:r w:rsidRPr="0045362C">
        <w:rPr>
          <w:rFonts w:asciiTheme="majorBidi" w:hAnsiTheme="majorBidi" w:cstheme="majorBidi"/>
          <w:color w:val="000000"/>
          <w:lang w:val="fr-FR"/>
        </w:rPr>
        <w:t xml:space="preserve">Transformation digitale de la fonction RH (pp. 5-9). </w:t>
      </w:r>
      <w:r w:rsidRPr="0045362C">
        <w:rPr>
          <w:rFonts w:asciiTheme="majorBidi" w:hAnsiTheme="majorBidi" w:cstheme="majorBidi"/>
          <w:color w:val="000000"/>
          <w:lang w:val="en-US"/>
        </w:rPr>
        <w:t>Dunod.</w:t>
      </w:r>
    </w:p>
  </w:footnote>
  <w:footnote w:id="1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18" w:name="OLE_LINK54"/>
      <w:r w:rsidRPr="0045362C">
        <w:rPr>
          <w:rFonts w:asciiTheme="majorBidi" w:hAnsiTheme="majorBidi" w:cstheme="majorBidi"/>
          <w:color w:val="000000"/>
          <w:lang w:val="en-US"/>
        </w:rPr>
        <w:t xml:space="preserve">Armstrong, M., &amp; Taylor, S. (2014). Human Resource Management Practice </w:t>
      </w:r>
      <w:bookmarkEnd w:id="118"/>
      <w:r w:rsidRPr="0045362C">
        <w:rPr>
          <w:rFonts w:asciiTheme="majorBidi" w:hAnsiTheme="majorBidi" w:cstheme="majorBidi"/>
          <w:color w:val="000000"/>
          <w:lang w:val="en-US"/>
        </w:rPr>
        <w:t>(13e éd., p. 4). Kogan Page.</w:t>
      </w:r>
    </w:p>
  </w:footnote>
  <w:footnote w:id="1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19" w:name="OLE_LINK11"/>
      <w:r w:rsidRPr="0045362C">
        <w:rPr>
          <w:rFonts w:asciiTheme="majorBidi" w:hAnsiTheme="majorBidi" w:cstheme="majorBidi"/>
          <w:color w:val="000000"/>
          <w:lang w:val="en-US"/>
        </w:rPr>
        <w:t>Lepak, D. P., &amp; Snell, S. A. (2002). Examining the human resource architecture: The relationships among human capital, employment, and human resource configurations</w:t>
      </w:r>
      <w:bookmarkEnd w:id="119"/>
      <w:r w:rsidRPr="0045362C">
        <w:rPr>
          <w:rFonts w:asciiTheme="majorBidi" w:hAnsiTheme="majorBidi" w:cstheme="majorBidi"/>
          <w:color w:val="000000"/>
          <w:lang w:val="en-US"/>
        </w:rPr>
        <w:t>.</w:t>
      </w:r>
      <w:r w:rsidRPr="0045362C">
        <w:rPr>
          <w:rStyle w:val="apple-converted-space"/>
          <w:rFonts w:asciiTheme="majorBidi" w:hAnsiTheme="majorBidi" w:cstheme="majorBidi"/>
          <w:color w:val="000000"/>
          <w:lang w:val="en-US"/>
        </w:rPr>
        <w:t> </w:t>
      </w:r>
      <w:r w:rsidRPr="0045362C">
        <w:rPr>
          <w:rStyle w:val="Accentuation"/>
          <w:rFonts w:asciiTheme="majorBidi" w:hAnsiTheme="majorBidi" w:cstheme="majorBidi"/>
          <w:i w:val="0"/>
          <w:iCs w:val="0"/>
          <w:color w:val="000000"/>
          <w:lang w:val="en-US"/>
        </w:rPr>
        <w:t>Journal of Management, 28</w:t>
      </w:r>
      <w:r w:rsidRPr="0045362C">
        <w:rPr>
          <w:rFonts w:asciiTheme="majorBidi" w:hAnsiTheme="majorBidi" w:cstheme="majorBidi"/>
          <w:color w:val="000000"/>
          <w:lang w:val="en-US"/>
        </w:rPr>
        <w:t>(4), 517-543. p. 518.</w:t>
      </w:r>
    </w:p>
  </w:footnote>
  <w:footnote w:id="1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Legge, K. (2005). Human Resource Management: Rhetorics and Realities (Anniversary Edition, p. 101). Palgrave Macmillan.</w:t>
      </w:r>
    </w:p>
  </w:footnote>
  <w:footnote w:id="2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20" w:name="OLE_LINK13"/>
      <w:r w:rsidRPr="0045362C">
        <w:rPr>
          <w:rFonts w:asciiTheme="majorBidi" w:hAnsiTheme="majorBidi" w:cstheme="majorBidi"/>
        </w:rPr>
        <w:t xml:space="preserve">Becker, B. E., &amp; Huselid, M. A. (2006). Strategic human resources management: Where do we go from here? Journal of Management, </w:t>
      </w:r>
      <w:bookmarkEnd w:id="120"/>
      <w:r w:rsidRPr="0045362C">
        <w:rPr>
          <w:rFonts w:asciiTheme="majorBidi" w:hAnsiTheme="majorBidi" w:cstheme="majorBidi"/>
        </w:rPr>
        <w:t>32(6), 898-925, p. 898.</w:t>
      </w:r>
    </w:p>
  </w:footnote>
  <w:footnote w:id="2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21" w:name="OLE_LINK14"/>
      <w:r w:rsidRPr="0045362C">
        <w:rPr>
          <w:rFonts w:asciiTheme="majorBidi" w:hAnsiTheme="majorBidi" w:cstheme="majorBidi"/>
          <w:color w:val="000000"/>
          <w:lang w:val="en-US"/>
        </w:rPr>
        <w:t>Stone, D. L., Deadrick, D. L., Lukaszewski, K. M., &amp; Johnson, R. (2015). The influence of technology on the future of human resource management.</w:t>
      </w:r>
      <w:r w:rsidRPr="0045362C">
        <w:rPr>
          <w:rStyle w:val="apple-converted-space"/>
          <w:rFonts w:asciiTheme="majorBidi" w:hAnsiTheme="majorBidi" w:cstheme="majorBidi"/>
          <w:color w:val="000000"/>
          <w:lang w:val="en-US"/>
        </w:rPr>
        <w:t> </w:t>
      </w:r>
      <w:r w:rsidRPr="0045362C">
        <w:rPr>
          <w:rStyle w:val="Accentuation"/>
          <w:rFonts w:asciiTheme="majorBidi" w:hAnsiTheme="majorBidi" w:cstheme="majorBidi"/>
          <w:i w:val="0"/>
          <w:iCs w:val="0"/>
          <w:color w:val="000000"/>
          <w:lang w:val="en-US"/>
        </w:rPr>
        <w:t xml:space="preserve">Human Resource Management Review, </w:t>
      </w:r>
      <w:bookmarkEnd w:id="121"/>
      <w:r w:rsidRPr="0045362C">
        <w:rPr>
          <w:rStyle w:val="Accentuation"/>
          <w:rFonts w:asciiTheme="majorBidi" w:hAnsiTheme="majorBidi" w:cstheme="majorBidi"/>
          <w:i w:val="0"/>
          <w:iCs w:val="0"/>
          <w:color w:val="000000"/>
          <w:lang w:val="en-US"/>
        </w:rPr>
        <w:t>25</w:t>
      </w:r>
      <w:r w:rsidRPr="0045362C">
        <w:rPr>
          <w:rFonts w:asciiTheme="majorBidi" w:hAnsiTheme="majorBidi" w:cstheme="majorBidi"/>
          <w:color w:val="000000"/>
          <w:lang w:val="en-US"/>
        </w:rPr>
        <w:t>(2), 216-231. p. 220.</w:t>
      </w:r>
    </w:p>
  </w:footnote>
  <w:footnote w:id="2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Dessler, G. (2020). Human Resource Management (16e éd., p. 25). </w:t>
      </w:r>
      <w:r w:rsidRPr="0045362C">
        <w:rPr>
          <w:rFonts w:asciiTheme="majorBidi" w:hAnsiTheme="majorBidi" w:cstheme="majorBidi"/>
          <w:color w:val="000000"/>
          <w:lang w:val="fr-FR"/>
        </w:rPr>
        <w:t>Pearson.</w:t>
      </w:r>
    </w:p>
  </w:footnote>
  <w:footnote w:id="23">
    <w:p w:rsidR="00E772DD" w:rsidRPr="0045362C" w:rsidRDefault="00E772DD" w:rsidP="003D3F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w:t>
      </w:r>
      <w:r w:rsidRPr="0045362C">
        <w:rPr>
          <w:rFonts w:asciiTheme="majorBidi" w:hAnsiTheme="majorBidi" w:cstheme="majorBidi"/>
          <w:color w:val="000000"/>
          <w:sz w:val="20"/>
          <w:szCs w:val="20"/>
          <w:lang w:val="fr-FR"/>
        </w:rPr>
        <w:t>Dejoux, C., et al. (2020). Fonctions RH (5e éd., p. 5). Pearson France.</w:t>
      </w:r>
    </w:p>
  </w:footnote>
  <w:footnote w:id="24">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 xml:space="preserve">Dejoux, C., et al. (2020). Fonctions RH (5e éd., p. 7-8). </w:t>
      </w:r>
      <w:r w:rsidRPr="0045362C">
        <w:rPr>
          <w:rFonts w:asciiTheme="majorBidi" w:hAnsiTheme="majorBidi" w:cstheme="majorBidi"/>
          <w:color w:val="000000"/>
        </w:rPr>
        <w:t>Pearson France.</w:t>
      </w:r>
    </w:p>
  </w:footnote>
  <w:footnote w:id="2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46" w:name="OLE_LINK16"/>
      <w:r w:rsidRPr="0045362C">
        <w:rPr>
          <w:rFonts w:asciiTheme="majorBidi" w:hAnsiTheme="majorBidi" w:cstheme="majorBidi"/>
        </w:rPr>
        <w:t xml:space="preserve">Armstrong, M. (2017). Armstrong's Handbook of Human Resource Management </w:t>
      </w:r>
      <w:bookmarkEnd w:id="146"/>
      <w:r w:rsidRPr="0045362C">
        <w:rPr>
          <w:rFonts w:asciiTheme="majorBidi" w:hAnsiTheme="majorBidi" w:cstheme="majorBidi"/>
        </w:rPr>
        <w:t>Practice (14th ed., p. 20). Kogan Page.</w:t>
      </w:r>
    </w:p>
  </w:footnote>
  <w:footnote w:id="2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47" w:name="OLE_LINK17"/>
      <w:r w:rsidRPr="0045362C">
        <w:rPr>
          <w:rFonts w:asciiTheme="majorBidi" w:hAnsiTheme="majorBidi" w:cstheme="majorBidi"/>
        </w:rPr>
        <w:t>Schneider, B. (2000). The Psychological and Organizational Bases of Customer Satisfaction (</w:t>
      </w:r>
      <w:bookmarkEnd w:id="147"/>
      <w:r w:rsidRPr="0045362C">
        <w:rPr>
          <w:rFonts w:asciiTheme="majorBidi" w:hAnsiTheme="majorBidi" w:cstheme="majorBidi"/>
        </w:rPr>
        <w:t>p. 45). The Psychology of Work and Organization.</w:t>
      </w:r>
    </w:p>
  </w:footnote>
  <w:footnote w:id="2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48" w:name="OLE_LINK18"/>
      <w:r w:rsidRPr="0045362C">
        <w:rPr>
          <w:rFonts w:asciiTheme="majorBidi" w:hAnsiTheme="majorBidi" w:cstheme="majorBidi"/>
        </w:rPr>
        <w:t xml:space="preserve">Herzberg, F. (1966). Work and the Nature of Man </w:t>
      </w:r>
      <w:bookmarkEnd w:id="148"/>
      <w:r w:rsidRPr="0045362C">
        <w:rPr>
          <w:rFonts w:asciiTheme="majorBidi" w:hAnsiTheme="majorBidi" w:cstheme="majorBidi"/>
        </w:rPr>
        <w:t>(p. 58). World Publishing.</w:t>
      </w:r>
    </w:p>
  </w:footnote>
  <w:footnote w:id="2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49" w:name="OLE_LINK19"/>
      <w:r w:rsidRPr="0045362C">
        <w:rPr>
          <w:rFonts w:asciiTheme="majorBidi" w:hAnsiTheme="majorBidi" w:cstheme="majorBidi"/>
        </w:rPr>
        <w:t xml:space="preserve">Barney, J. B. (1991). Firm Resources and Sustained Competitive Advantage. Journal of Management, </w:t>
      </w:r>
      <w:bookmarkEnd w:id="149"/>
      <w:r w:rsidRPr="0045362C">
        <w:rPr>
          <w:rFonts w:asciiTheme="majorBidi" w:hAnsiTheme="majorBidi" w:cstheme="majorBidi"/>
        </w:rPr>
        <w:t>17(1), 99–120.</w:t>
      </w:r>
    </w:p>
  </w:footnote>
  <w:footnote w:id="2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50" w:name="OLE_LINK20"/>
      <w:r w:rsidRPr="0045362C">
        <w:rPr>
          <w:rFonts w:asciiTheme="majorBidi" w:hAnsiTheme="majorBidi" w:cstheme="majorBidi"/>
        </w:rPr>
        <w:t xml:space="preserve">Kotter, J. P. (1996). Leading Change </w:t>
      </w:r>
      <w:bookmarkEnd w:id="150"/>
      <w:r w:rsidRPr="0045362C">
        <w:rPr>
          <w:rFonts w:asciiTheme="majorBidi" w:hAnsiTheme="majorBidi" w:cstheme="majorBidi"/>
        </w:rPr>
        <w:t>(p. 72). Harvard Business Review Press.</w:t>
      </w:r>
    </w:p>
  </w:footnote>
  <w:footnote w:id="3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57" w:name="OLE_LINK21"/>
      <w:r w:rsidRPr="0045362C">
        <w:rPr>
          <w:rFonts w:asciiTheme="majorBidi" w:hAnsiTheme="majorBidi" w:cstheme="majorBidi"/>
        </w:rPr>
        <w:t xml:space="preserve">Taylor, F. W. (1911). The Principles of Scientific Management </w:t>
      </w:r>
      <w:bookmarkEnd w:id="157"/>
      <w:r w:rsidRPr="0045362C">
        <w:rPr>
          <w:rFonts w:asciiTheme="majorBidi" w:hAnsiTheme="majorBidi" w:cstheme="majorBidi"/>
        </w:rPr>
        <w:t>(p. 43). Harper &amp; Row.</w:t>
      </w:r>
    </w:p>
  </w:footnote>
  <w:footnote w:id="3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58" w:name="OLE_LINK22"/>
      <w:r w:rsidRPr="0045362C">
        <w:rPr>
          <w:rFonts w:asciiTheme="majorBidi" w:hAnsiTheme="majorBidi" w:cstheme="majorBidi"/>
        </w:rPr>
        <w:t xml:space="preserve">Mayo, E. (1933). The Human Problems of an Industrial Civilization </w:t>
      </w:r>
      <w:bookmarkEnd w:id="158"/>
      <w:r w:rsidRPr="0045362C">
        <w:rPr>
          <w:rFonts w:asciiTheme="majorBidi" w:hAnsiTheme="majorBidi" w:cstheme="majorBidi"/>
        </w:rPr>
        <w:t>(p. 17). Macmillan.</w:t>
      </w:r>
    </w:p>
  </w:footnote>
  <w:footnote w:id="3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59" w:name="OLE_LINK23"/>
      <w:r w:rsidRPr="0045362C">
        <w:rPr>
          <w:rFonts w:asciiTheme="majorBidi" w:hAnsiTheme="majorBidi" w:cstheme="majorBidi"/>
        </w:rPr>
        <w:t xml:space="preserve">McGregor, D. (1960). The Human Side of Enterprise </w:t>
      </w:r>
      <w:bookmarkEnd w:id="159"/>
      <w:r w:rsidRPr="0045362C">
        <w:rPr>
          <w:rFonts w:asciiTheme="majorBidi" w:hAnsiTheme="majorBidi" w:cstheme="majorBidi"/>
        </w:rPr>
        <w:t>(p. 88). McGraw-Hill.</w:t>
      </w:r>
    </w:p>
  </w:footnote>
  <w:footnote w:id="3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66" w:name="OLE_LINK24"/>
      <w:r w:rsidRPr="0045362C">
        <w:rPr>
          <w:rFonts w:asciiTheme="majorBidi" w:hAnsiTheme="majorBidi" w:cstheme="majorBidi"/>
        </w:rPr>
        <w:t xml:space="preserve">Maslow, A. H. (1943). A Theory of Human Motivation. Psychological Review, </w:t>
      </w:r>
      <w:bookmarkEnd w:id="166"/>
      <w:r w:rsidRPr="0045362C">
        <w:rPr>
          <w:rFonts w:asciiTheme="majorBidi" w:hAnsiTheme="majorBidi" w:cstheme="majorBidi"/>
        </w:rPr>
        <w:t>50(4), 370–39.</w:t>
      </w:r>
    </w:p>
  </w:footnote>
  <w:footnote w:id="3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67" w:name="OLE_LINK25"/>
      <w:r w:rsidRPr="0045362C">
        <w:rPr>
          <w:rFonts w:asciiTheme="majorBidi" w:hAnsiTheme="majorBidi" w:cstheme="majorBidi"/>
        </w:rPr>
        <w:t xml:space="preserve">Herzberg, F. (1966). Work and the Nature of Man </w:t>
      </w:r>
      <w:bookmarkEnd w:id="167"/>
      <w:r w:rsidRPr="0045362C">
        <w:rPr>
          <w:rFonts w:asciiTheme="majorBidi" w:hAnsiTheme="majorBidi" w:cstheme="majorBidi"/>
        </w:rPr>
        <w:t>(p. 55). World Publishing.</w:t>
      </w:r>
    </w:p>
  </w:footnote>
  <w:footnote w:id="3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68" w:name="OLE_LINK26"/>
      <w:r w:rsidRPr="0045362C">
        <w:rPr>
          <w:rFonts w:asciiTheme="majorBidi" w:hAnsiTheme="majorBidi" w:cstheme="majorBidi"/>
        </w:rPr>
        <w:t xml:space="preserve">Appelbaum, E. (2000). The AMO Model of HRM: A Guide to Better Performance (p. 120). </w:t>
      </w:r>
      <w:bookmarkEnd w:id="168"/>
    </w:p>
  </w:footnote>
  <w:footnote w:id="3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75" w:name="OLE_LINK27"/>
      <w:r w:rsidRPr="0045362C">
        <w:rPr>
          <w:rFonts w:asciiTheme="majorBidi" w:hAnsiTheme="majorBidi" w:cstheme="majorBidi"/>
        </w:rPr>
        <w:t xml:space="preserve">Becker, B. E., &amp; Huselid, M. A. (2006). Strategic Human Resources Management: Where Do We Go From Here? </w:t>
      </w:r>
      <w:bookmarkEnd w:id="175"/>
      <w:r w:rsidRPr="0045362C">
        <w:rPr>
          <w:rFonts w:asciiTheme="majorBidi" w:hAnsiTheme="majorBidi" w:cstheme="majorBidi"/>
        </w:rPr>
        <w:t>Journal of Management, 32(2), 65–88.</w:t>
      </w:r>
    </w:p>
  </w:footnote>
  <w:footnote w:id="3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82" w:name="OLE_LINK28"/>
      <w:r w:rsidRPr="0045362C">
        <w:rPr>
          <w:rFonts w:asciiTheme="majorBidi" w:hAnsiTheme="majorBidi" w:cstheme="majorBidi"/>
        </w:rPr>
        <w:t xml:space="preserve">Becker, G. S. (1964). Human Capital: A Theoretical and Empirical Analysis, with Special Reference to Education </w:t>
      </w:r>
      <w:bookmarkEnd w:id="182"/>
      <w:r w:rsidRPr="0045362C">
        <w:rPr>
          <w:rFonts w:asciiTheme="majorBidi" w:hAnsiTheme="majorBidi" w:cstheme="majorBidi"/>
        </w:rPr>
        <w:t>(p. 112). University of Chicago Press.</w:t>
      </w:r>
    </w:p>
  </w:footnote>
  <w:footnote w:id="3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83" w:name="OLE_LINK29"/>
      <w:r w:rsidRPr="0045362C">
        <w:rPr>
          <w:rFonts w:asciiTheme="majorBidi" w:hAnsiTheme="majorBidi" w:cstheme="majorBidi"/>
        </w:rPr>
        <w:t xml:space="preserve">Barney, J. B. (1991). Firm Resources and Sustained Competitive Advantage. Journal of Management, </w:t>
      </w:r>
      <w:bookmarkEnd w:id="183"/>
      <w:r w:rsidRPr="0045362C">
        <w:rPr>
          <w:rFonts w:asciiTheme="majorBidi" w:hAnsiTheme="majorBidi" w:cstheme="majorBidi"/>
        </w:rPr>
        <w:t>17(1), 99–120.</w:t>
      </w:r>
    </w:p>
  </w:footnote>
  <w:footnote w:id="3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190" w:name="OLE_LINK30"/>
      <w:r w:rsidRPr="0045362C">
        <w:rPr>
          <w:rFonts w:asciiTheme="majorBidi" w:hAnsiTheme="majorBidi" w:cstheme="majorBidi"/>
        </w:rPr>
        <w:t xml:space="preserve">Bertalanffy, L. von. (1968). General System Theory: Foundations, Development, Applications </w:t>
      </w:r>
      <w:bookmarkEnd w:id="190"/>
      <w:r w:rsidRPr="0045362C">
        <w:rPr>
          <w:rFonts w:asciiTheme="majorBidi" w:hAnsiTheme="majorBidi" w:cstheme="majorBidi"/>
        </w:rPr>
        <w:t>(p. 102). George Braziller.</w:t>
      </w:r>
    </w:p>
  </w:footnote>
  <w:footnote w:id="4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bookmarkStart w:id="191" w:name="OLE_LINK31"/>
      <w:r w:rsidRPr="0045362C">
        <w:rPr>
          <w:rFonts w:asciiTheme="majorBidi" w:hAnsiTheme="majorBidi" w:cstheme="majorBidi"/>
        </w:rPr>
        <w:t xml:space="preserve">Fiedler, F. E. (1964). A Contingency Model of Leadership Effectiveness. </w:t>
      </w:r>
      <w:r w:rsidRPr="0045362C">
        <w:rPr>
          <w:rFonts w:asciiTheme="majorBidi" w:hAnsiTheme="majorBidi" w:cstheme="majorBidi"/>
          <w:lang w:val="fr-FR"/>
        </w:rPr>
        <w:t>Advances in Experimental Social Psychology</w:t>
      </w:r>
      <w:bookmarkEnd w:id="191"/>
      <w:r w:rsidRPr="0045362C">
        <w:rPr>
          <w:rFonts w:asciiTheme="majorBidi" w:hAnsiTheme="majorBidi" w:cstheme="majorBidi"/>
          <w:lang w:val="fr-FR"/>
        </w:rPr>
        <w:t>, 1, 68–138.</w:t>
      </w:r>
    </w:p>
  </w:footnote>
  <w:footnote w:id="4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Peretti, J.-M. (2020). Gestion des ressources humaines (18</w:t>
      </w:r>
      <w:r w:rsidRPr="0045362C">
        <w:rPr>
          <w:rFonts w:asciiTheme="majorBidi" w:hAnsiTheme="majorBidi" w:cstheme="majorBidi"/>
        </w:rPr>
        <w:t>ᵉ</w:t>
      </w:r>
      <w:r w:rsidRPr="0045362C">
        <w:rPr>
          <w:rFonts w:asciiTheme="majorBidi" w:hAnsiTheme="majorBidi" w:cstheme="majorBidi"/>
          <w:lang w:val="fr-FR"/>
        </w:rPr>
        <w:t xml:space="preserve"> éd., pp. 45-52). </w:t>
      </w:r>
      <w:r w:rsidRPr="0045362C">
        <w:rPr>
          <w:rFonts w:asciiTheme="majorBidi" w:hAnsiTheme="majorBidi" w:cstheme="majorBidi"/>
        </w:rPr>
        <w:t>Vuibert.</w:t>
      </w:r>
    </w:p>
  </w:footnote>
  <w:footnote w:id="4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16" w:name="OLE_LINK32"/>
      <w:r w:rsidRPr="0045362C">
        <w:rPr>
          <w:rFonts w:asciiTheme="majorBidi" w:hAnsiTheme="majorBidi" w:cstheme="majorBidi"/>
        </w:rPr>
        <w:t xml:space="preserve">Goleman, D. (1995). Emotional Intelligence: Why It Can Matter More </w:t>
      </w:r>
      <w:bookmarkEnd w:id="216"/>
      <w:r w:rsidRPr="0045362C">
        <w:rPr>
          <w:rFonts w:asciiTheme="majorBidi" w:hAnsiTheme="majorBidi" w:cstheme="majorBidi"/>
        </w:rPr>
        <w:t>Than IQ (pp. 143-155). Bantam Books.</w:t>
      </w:r>
    </w:p>
  </w:footnote>
  <w:footnote w:id="4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23" w:name="OLE_LINK33"/>
      <w:r w:rsidRPr="0045362C">
        <w:rPr>
          <w:rFonts w:asciiTheme="majorBidi" w:hAnsiTheme="majorBidi" w:cstheme="majorBidi"/>
        </w:rPr>
        <w:t xml:space="preserve">Kotter, J. P. (1996). Leading Change </w:t>
      </w:r>
      <w:bookmarkEnd w:id="223"/>
      <w:r w:rsidRPr="0045362C">
        <w:rPr>
          <w:rFonts w:asciiTheme="majorBidi" w:hAnsiTheme="majorBidi" w:cstheme="majorBidi"/>
        </w:rPr>
        <w:t>(pp. 98-110). Harvard Business Review Press.</w:t>
      </w:r>
    </w:p>
  </w:footnote>
  <w:footnote w:id="4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PeopleSpheres. (n.d.). Top 5 des astuces pour optimiser votre stratégie RH. Consulté le 10 février 2025, depuis https://peoplespheres.com/fr/top-5-des-astuces-pour-optimiser-votre-strategie-rh/</w:t>
      </w:r>
    </w:p>
  </w:footnote>
  <w:footnote w:id="4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36" w:name="OLE_LINK35"/>
      <w:r w:rsidRPr="0045362C">
        <w:rPr>
          <w:rFonts w:asciiTheme="majorBidi" w:hAnsiTheme="majorBidi" w:cstheme="majorBidi"/>
        </w:rPr>
        <w:t xml:space="preserve">Dessler, G. (2020). Human resource management </w:t>
      </w:r>
      <w:bookmarkEnd w:id="236"/>
      <w:r w:rsidRPr="0045362C">
        <w:rPr>
          <w:rFonts w:asciiTheme="majorBidi" w:hAnsiTheme="majorBidi" w:cstheme="majorBidi"/>
        </w:rPr>
        <w:t>(15th ed., p. 45). Pearson.</w:t>
      </w:r>
    </w:p>
  </w:footnote>
  <w:footnote w:id="4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Delaney, J. T., &amp; Huselid, M. A. (1996). The Impact of Human Resource Management Practices on Perceptions of Organizational Performance. </w:t>
      </w:r>
      <w:r w:rsidRPr="0045362C">
        <w:rPr>
          <w:rFonts w:asciiTheme="majorBidi" w:hAnsiTheme="majorBidi" w:cstheme="majorBidi"/>
          <w:lang w:val="fr-FR"/>
        </w:rPr>
        <w:t>Academy of Management Journal, 39(4), 949-969.</w:t>
      </w:r>
    </w:p>
  </w:footnote>
  <w:footnote w:id="47">
    <w:p w:rsidR="00E772DD" w:rsidRPr="0045362C" w:rsidRDefault="00E772DD" w:rsidP="003D3FA7">
      <w:pPr>
        <w:pStyle w:val="NormalWeb"/>
        <w:rPr>
          <w:rFonts w:asciiTheme="majorBidi" w:hAnsiTheme="majorBidi" w:cstheme="majorBidi"/>
          <w:color w:val="000000"/>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w:t>
      </w:r>
      <w:bookmarkStart w:id="243" w:name="OLE_LINK36"/>
      <w:r w:rsidRPr="0045362C">
        <w:rPr>
          <w:rFonts w:asciiTheme="majorBidi" w:hAnsiTheme="majorBidi" w:cstheme="majorBidi"/>
          <w:color w:val="000000"/>
          <w:sz w:val="20"/>
          <w:szCs w:val="20"/>
          <w:lang w:val="fr-FR"/>
        </w:rPr>
        <w:t>Taïeb, J.-P. (2016). L'impact de la GRH sur la performance de l'entreprise : les courants de la recherche empirique. Dans</w:t>
      </w:r>
      <w:r w:rsidRPr="0045362C">
        <w:rPr>
          <w:rStyle w:val="apple-converted-space"/>
          <w:rFonts w:asciiTheme="majorBidi" w:hAnsiTheme="majorBidi" w:cstheme="majorBidi"/>
          <w:color w:val="000000"/>
          <w:sz w:val="20"/>
          <w:szCs w:val="20"/>
          <w:lang w:val="fr-FR"/>
        </w:rPr>
        <w:t> </w:t>
      </w:r>
      <w:r w:rsidRPr="0045362C">
        <w:rPr>
          <w:rStyle w:val="Accentuation"/>
          <w:rFonts w:asciiTheme="majorBidi" w:hAnsiTheme="majorBidi" w:cstheme="majorBidi"/>
          <w:i w:val="0"/>
          <w:iCs w:val="0"/>
          <w:color w:val="000000"/>
          <w:sz w:val="20"/>
          <w:szCs w:val="20"/>
          <w:lang w:val="fr-FR"/>
        </w:rPr>
        <w:t>Valoriser la performance RH</w:t>
      </w:r>
      <w:r w:rsidRPr="0045362C">
        <w:rPr>
          <w:rStyle w:val="apple-converted-space"/>
          <w:rFonts w:asciiTheme="majorBidi" w:hAnsiTheme="majorBidi" w:cstheme="majorBidi"/>
          <w:color w:val="000000"/>
          <w:sz w:val="20"/>
          <w:szCs w:val="20"/>
          <w:lang w:val="fr-FR"/>
        </w:rPr>
        <w:t> </w:t>
      </w:r>
      <w:bookmarkEnd w:id="243"/>
      <w:r w:rsidRPr="0045362C">
        <w:rPr>
          <w:rFonts w:asciiTheme="majorBidi" w:hAnsiTheme="majorBidi" w:cstheme="majorBidi"/>
          <w:color w:val="000000"/>
          <w:sz w:val="20"/>
          <w:szCs w:val="20"/>
          <w:lang w:val="fr-FR"/>
        </w:rPr>
        <w:t>(pp. 73-95). Dunod.</w:t>
      </w:r>
    </w:p>
  </w:footnote>
  <w:footnote w:id="4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w:t>
      </w:r>
      <w:bookmarkStart w:id="250" w:name="OLE_LINK37"/>
      <w:r w:rsidRPr="0045362C">
        <w:rPr>
          <w:rFonts w:asciiTheme="majorBidi" w:hAnsiTheme="majorBidi" w:cstheme="majorBidi"/>
          <w:lang w:val="fr-FR"/>
        </w:rPr>
        <w:t xml:space="preserve">Jackson, S. E., &amp; Schuler, R. S. (2003). </w:t>
      </w:r>
      <w:r w:rsidRPr="0045362C">
        <w:rPr>
          <w:rFonts w:asciiTheme="majorBidi" w:hAnsiTheme="majorBidi" w:cstheme="majorBidi"/>
        </w:rPr>
        <w:t xml:space="preserve">Managing human resources: A partnership perspective </w:t>
      </w:r>
      <w:bookmarkEnd w:id="250"/>
      <w:r w:rsidRPr="0045362C">
        <w:rPr>
          <w:rFonts w:asciiTheme="majorBidi" w:hAnsiTheme="majorBidi" w:cstheme="majorBidi"/>
        </w:rPr>
        <w:t>(3e éd.). Thomson Learning.</w:t>
      </w:r>
    </w:p>
  </w:footnote>
  <w:footnote w:id="4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51" w:name="OLE_LINK38"/>
      <w:r w:rsidRPr="0045362C">
        <w:rPr>
          <w:rFonts w:asciiTheme="majorBidi" w:hAnsiTheme="majorBidi" w:cstheme="majorBidi"/>
        </w:rPr>
        <w:t xml:space="preserve">Boxall, P., &amp; Purcell, J. (2016). Strategy and human resource management </w:t>
      </w:r>
      <w:bookmarkEnd w:id="251"/>
      <w:r w:rsidRPr="0045362C">
        <w:rPr>
          <w:rFonts w:asciiTheme="majorBidi" w:hAnsiTheme="majorBidi" w:cstheme="majorBidi"/>
        </w:rPr>
        <w:t>(4e éd.). Palgrave Macmillan.</w:t>
      </w:r>
    </w:p>
  </w:footnote>
  <w:footnote w:id="50">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w:t>
      </w:r>
      <w:bookmarkStart w:id="252" w:name="OLE_LINK39"/>
      <w:r w:rsidRPr="0045362C">
        <w:rPr>
          <w:rFonts w:asciiTheme="majorBidi" w:hAnsiTheme="majorBidi" w:cstheme="majorBidi"/>
        </w:rPr>
        <w:t xml:space="preserve">Torrington, D., Hall, L., &amp; Taylor, S. (2014). Human resource management </w:t>
      </w:r>
      <w:bookmarkEnd w:id="252"/>
      <w:r w:rsidRPr="0045362C">
        <w:rPr>
          <w:rFonts w:asciiTheme="majorBidi" w:hAnsiTheme="majorBidi" w:cstheme="majorBidi"/>
        </w:rPr>
        <w:t xml:space="preserve">(9e éd.). Pearson Education. Page </w:t>
      </w:r>
    </w:p>
  </w:footnote>
  <w:footnote w:id="5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53" w:name="OLE_LINK40"/>
      <w:r w:rsidRPr="0045362C">
        <w:rPr>
          <w:rFonts w:asciiTheme="majorBidi" w:hAnsiTheme="majorBidi" w:cstheme="majorBidi"/>
        </w:rPr>
        <w:t xml:space="preserve">Becker, B. E., &amp; Huselid, M. A. (2006). Strategic human resources management: Where do we go from here? </w:t>
      </w:r>
      <w:bookmarkEnd w:id="253"/>
      <w:r w:rsidRPr="0045362C">
        <w:rPr>
          <w:rFonts w:asciiTheme="majorBidi" w:hAnsiTheme="majorBidi" w:cstheme="majorBidi"/>
        </w:rPr>
        <w:t>Journal of Management, 32(6), 898-925.</w:t>
      </w:r>
    </w:p>
  </w:footnote>
  <w:footnote w:id="52">
    <w:p w:rsidR="00E772DD" w:rsidRPr="007B209A"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7B209A">
        <w:rPr>
          <w:rFonts w:asciiTheme="majorBidi" w:hAnsiTheme="majorBidi" w:cstheme="majorBidi"/>
          <w:lang w:val="en-US"/>
        </w:rPr>
        <w:t xml:space="preserve"> </w:t>
      </w:r>
      <w:bookmarkStart w:id="254" w:name="OLE_LINK41"/>
      <w:r w:rsidRPr="007B209A">
        <w:rPr>
          <w:rFonts w:asciiTheme="majorBidi" w:hAnsiTheme="majorBidi" w:cstheme="majorBidi"/>
          <w:lang w:val="en-US"/>
        </w:rPr>
        <w:t xml:space="preserve">Laroche, P., Guery, L., Moulin, Y., Salesina, M., &amp; Stévenot, A. (2018). </w:t>
      </w:r>
      <w:r w:rsidRPr="0045362C">
        <w:rPr>
          <w:rFonts w:asciiTheme="majorBidi" w:hAnsiTheme="majorBidi" w:cstheme="majorBidi"/>
          <w:lang w:val="fr-FR"/>
        </w:rPr>
        <w:t xml:space="preserve">GRH: Théories et nouvelles pratiques de la fonction RH. </w:t>
      </w:r>
      <w:r w:rsidRPr="007B209A">
        <w:rPr>
          <w:rFonts w:asciiTheme="majorBidi" w:hAnsiTheme="majorBidi" w:cstheme="majorBidi"/>
          <w:lang w:val="fr-FR"/>
        </w:rPr>
        <w:t>De Boeck Supérieur.</w:t>
      </w:r>
      <w:bookmarkEnd w:id="254"/>
    </w:p>
  </w:footnote>
  <w:footnote w:id="5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67" w:name="OLE_LINK42"/>
      <w:r w:rsidRPr="0045362C">
        <w:rPr>
          <w:rFonts w:asciiTheme="majorBidi" w:hAnsiTheme="majorBidi" w:cstheme="majorBidi"/>
        </w:rPr>
        <w:t xml:space="preserve">Kaufman, B. E. (2018). Theoretical perspectives on work and the employment relationship </w:t>
      </w:r>
      <w:bookmarkEnd w:id="267"/>
      <w:r w:rsidRPr="0045362C">
        <w:rPr>
          <w:rFonts w:asciiTheme="majorBidi" w:hAnsiTheme="majorBidi" w:cstheme="majorBidi"/>
        </w:rPr>
        <w:t>(6e éd., p. 42). ILR Press.</w:t>
      </w:r>
    </w:p>
  </w:footnote>
  <w:footnote w:id="5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74" w:name="OLE_LINK43"/>
      <w:r w:rsidRPr="0045362C">
        <w:rPr>
          <w:rFonts w:asciiTheme="majorBidi" w:hAnsiTheme="majorBidi" w:cstheme="majorBidi"/>
        </w:rPr>
        <w:t xml:space="preserve">Cox, T. H., &amp; Blake, S. (1991). Managing cultural diversity: Implications for organizational competitiveness. Academy of Management Perspectives, </w:t>
      </w:r>
      <w:bookmarkEnd w:id="274"/>
      <w:r w:rsidRPr="0045362C">
        <w:rPr>
          <w:rFonts w:asciiTheme="majorBidi" w:hAnsiTheme="majorBidi" w:cstheme="majorBidi"/>
        </w:rPr>
        <w:t>5(3), 45-56.</w:t>
      </w:r>
    </w:p>
  </w:footnote>
  <w:footnote w:id="5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81" w:name="OLE_LINK44"/>
      <w:r w:rsidRPr="0045362C">
        <w:rPr>
          <w:rFonts w:asciiTheme="majorBidi" w:hAnsiTheme="majorBidi" w:cstheme="majorBidi"/>
        </w:rPr>
        <w:t>Stone, D. L., Deadrick, D. L., Lukaszewski, K. M., &amp; Johnson, R. B. (2015). The influence of technology on the future of human resource management</w:t>
      </w:r>
      <w:bookmarkEnd w:id="281"/>
      <w:r w:rsidRPr="0045362C">
        <w:rPr>
          <w:rFonts w:asciiTheme="majorBidi" w:hAnsiTheme="majorBidi" w:cstheme="majorBidi"/>
        </w:rPr>
        <w:t>. Human Resource Management Review, 25(2), 78-92.</w:t>
      </w:r>
    </w:p>
  </w:footnote>
  <w:footnote w:id="5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288" w:name="OLE_LINK45"/>
      <w:r w:rsidRPr="0045362C">
        <w:rPr>
          <w:rFonts w:asciiTheme="majorBidi" w:hAnsiTheme="majorBidi" w:cstheme="majorBidi"/>
        </w:rPr>
        <w:t>Noe, R. A. (2017). Employee training and development (7e éd., p. 112). McGraw-Hill Education.</w:t>
      </w:r>
      <w:bookmarkEnd w:id="288"/>
    </w:p>
  </w:footnote>
  <w:footnote w:id="5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bookmarkStart w:id="295" w:name="OLE_LINK46"/>
      <w:r w:rsidRPr="0045362C">
        <w:rPr>
          <w:rFonts w:asciiTheme="majorBidi" w:hAnsiTheme="majorBidi" w:cstheme="majorBidi"/>
        </w:rPr>
        <w:t>Locke, E. A., &amp; Latham, G. P. (2002). Building a practically useful theory of goal setting and task motivation. American Psychologist</w:t>
      </w:r>
      <w:bookmarkEnd w:id="295"/>
      <w:r w:rsidRPr="0045362C">
        <w:rPr>
          <w:rFonts w:asciiTheme="majorBidi" w:hAnsiTheme="majorBidi" w:cstheme="majorBidi"/>
        </w:rPr>
        <w:t>, 57(9), 185-191.</w:t>
      </w:r>
    </w:p>
  </w:footnote>
  <w:footnote w:id="5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w:t>
      </w:r>
      <w:bookmarkStart w:id="302" w:name="OLE_LINK47"/>
      <w:r w:rsidRPr="0045362C">
        <w:rPr>
          <w:rFonts w:asciiTheme="majorBidi" w:hAnsiTheme="majorBidi" w:cstheme="majorBidi"/>
          <w:color w:val="000000"/>
          <w:lang w:val="fr-FR"/>
        </w:rPr>
        <w:t>Lelarge, G. (2003).</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lang w:val="fr-FR"/>
        </w:rPr>
        <w:t>Gestion des ressources humaines : Nouveaux enjeux, nouveaux outils</w:t>
      </w:r>
      <w:r w:rsidRPr="0045362C">
        <w:rPr>
          <w:rFonts w:asciiTheme="majorBidi" w:hAnsiTheme="majorBidi" w:cstheme="majorBidi"/>
          <w:color w:val="000000"/>
          <w:lang w:val="fr-FR"/>
        </w:rPr>
        <w:t>.</w:t>
      </w:r>
      <w:bookmarkEnd w:id="302"/>
      <w:r w:rsidRPr="0045362C">
        <w:rPr>
          <w:rFonts w:asciiTheme="majorBidi" w:hAnsiTheme="majorBidi" w:cstheme="majorBidi"/>
          <w:color w:val="000000"/>
          <w:lang w:val="fr-FR"/>
        </w:rPr>
        <w:t xml:space="preserve">. </w:t>
      </w:r>
      <w:r w:rsidRPr="0045362C">
        <w:rPr>
          <w:rFonts w:asciiTheme="majorBidi" w:hAnsiTheme="majorBidi" w:cstheme="majorBidi"/>
          <w:color w:val="000000"/>
        </w:rPr>
        <w:t>Page 112</w:t>
      </w:r>
    </w:p>
  </w:footnote>
  <w:footnote w:id="5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315" w:name="OLE_LINK48"/>
      <w:r w:rsidRPr="0045362C">
        <w:rPr>
          <w:rFonts w:asciiTheme="majorBidi" w:hAnsiTheme="majorBidi" w:cstheme="majorBidi"/>
        </w:rPr>
        <w:t>Beardwell, J., &amp; Thompson, A. (2017). Human resource management: A contemporary approach (8th ed.). Pearson</w:t>
      </w:r>
      <w:bookmarkEnd w:id="315"/>
    </w:p>
  </w:footnote>
  <w:footnote w:id="6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322" w:name="OLE_LINK50"/>
      <w:r w:rsidRPr="0045362C">
        <w:rPr>
          <w:rFonts w:asciiTheme="majorBidi" w:hAnsiTheme="majorBidi" w:cstheme="majorBidi"/>
        </w:rPr>
        <w:t xml:space="preserve">Jackson, S. E., &amp; Schuler, R. S. (2003). Managing human resources: A partnership </w:t>
      </w:r>
      <w:bookmarkEnd w:id="322"/>
      <w:r w:rsidRPr="0045362C">
        <w:rPr>
          <w:rFonts w:asciiTheme="majorBidi" w:hAnsiTheme="majorBidi" w:cstheme="majorBidi"/>
        </w:rPr>
        <w:t>perspective (3e éd., p. 42). Thomson Learning.</w:t>
      </w:r>
    </w:p>
  </w:footnote>
  <w:footnote w:id="6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Becker, B. E., &amp; Huselid, M. A. (2006). Strategic human resources management: Where do we go from here? Journal of Management, 32(6), 898-925.</w:t>
      </w:r>
    </w:p>
  </w:footnote>
  <w:footnote w:id="6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bookmarkStart w:id="329" w:name="OLE_LINK51"/>
      <w:r w:rsidRPr="0045362C">
        <w:rPr>
          <w:rFonts w:asciiTheme="majorBidi" w:hAnsiTheme="majorBidi" w:cstheme="majorBidi"/>
        </w:rPr>
        <w:t xml:space="preserve">Carroll, A. B., &amp; Shabana, K. M. (2010). The business case for corporate social responsibility: A review of concepts, research and practice. International Journal of Management Reviews, </w:t>
      </w:r>
      <w:bookmarkEnd w:id="329"/>
      <w:r w:rsidRPr="0045362C">
        <w:rPr>
          <w:rFonts w:asciiTheme="majorBidi" w:hAnsiTheme="majorBidi" w:cstheme="majorBidi"/>
        </w:rPr>
        <w:t>12(1), 85-105.</w:t>
      </w:r>
    </w:p>
  </w:footnote>
  <w:footnote w:id="6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Becker, B. E., &amp; Huselid, M. A. (2006). Strategic human resources management: Where do we go from here? Journal of Management, 32(6), 898-925.</w:t>
      </w:r>
    </w:p>
  </w:footnote>
  <w:footnote w:id="6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bookmarkStart w:id="330" w:name="OLE_LINK49"/>
      <w:r w:rsidRPr="0045362C">
        <w:rPr>
          <w:rFonts w:asciiTheme="majorBidi" w:hAnsiTheme="majorBidi" w:cstheme="majorBidi"/>
        </w:rPr>
        <w:t xml:space="preserve">Freeman, R. E., Harrison, J. S., &amp; Zyglidopoulos, S. C. (2018). </w:t>
      </w:r>
      <w:r w:rsidRPr="0045362C">
        <w:rPr>
          <w:rFonts w:asciiTheme="majorBidi" w:hAnsiTheme="majorBidi" w:cstheme="majorBidi"/>
          <w:lang w:val="fr-FR"/>
        </w:rPr>
        <w:t xml:space="preserve">Stakeholder theory: Concepts and strategies. </w:t>
      </w:r>
      <w:bookmarkEnd w:id="330"/>
      <w:r w:rsidRPr="0045362C">
        <w:rPr>
          <w:rFonts w:asciiTheme="majorBidi" w:hAnsiTheme="majorBidi" w:cstheme="majorBidi"/>
          <w:lang w:val="fr-FR"/>
        </w:rPr>
        <w:t>Cambridge University Press.</w:t>
      </w:r>
    </w:p>
  </w:footnote>
  <w:footnote w:id="65">
    <w:p w:rsidR="00E772DD" w:rsidRPr="0045362C" w:rsidRDefault="00E772DD" w:rsidP="003D3FA7">
      <w:pPr>
        <w:rPr>
          <w:rFonts w:asciiTheme="majorBidi" w:hAnsiTheme="majorBidi" w:cstheme="majorBidi"/>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CARDIN L. et al., Gestion des ressources humaines : pratique et éléments de théorie, édition Dunod, Paris, 2000, p. 288-289.</w:t>
      </w:r>
    </w:p>
  </w:footnote>
  <w:footnote w:id="66">
    <w:p w:rsidR="00E772DD" w:rsidRPr="0045362C" w:rsidRDefault="00E772DD" w:rsidP="003D3FA7">
      <w:pPr>
        <w:rPr>
          <w:rFonts w:asciiTheme="majorBidi" w:hAnsiTheme="majorBidi" w:cstheme="majorBidi"/>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LACONO G., Gestion des ressources humaines, Vuibert, France, 1998, p. 15.</w:t>
      </w:r>
    </w:p>
  </w:footnote>
  <w:footnote w:id="6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ALAIN GAVAND, Le recrutement : enjeux, outils, meilleures pratiques et nouveaux standards, Groupe Eyrolles, France, 2013, p. 34.</w:t>
      </w:r>
    </w:p>
  </w:footnote>
  <w:footnote w:id="6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Pierre Jean, La formation dans les entreprises industrielles et commerciales, Dunod, Paris, 2008, p. 50.</w:t>
      </w:r>
    </w:p>
  </w:footnote>
  <w:footnote w:id="6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COHEN Annick, Toute la fonction ressources humaines, Dunod, Paris, 2006, p. 132.</w:t>
      </w:r>
    </w:p>
  </w:footnote>
  <w:footnote w:id="7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Boudiaf, A. (2013). Gestion prévisionnelle des emplois et des compétences (GPEC). Revue des Sciences Humaines, 1(1), 86-100. </w:t>
      </w:r>
    </w:p>
  </w:footnote>
  <w:footnote w:id="7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JobPhoning. (2021). GPEC. https://jobphoning.com/dictionnaire/gpec (Consulté le 24 février 2025).</w:t>
      </w:r>
    </w:p>
  </w:footnote>
  <w:footnote w:id="7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Eurecia. (2023). Quelles étapes pour une GPEC efficace ? https://www.eurecia.com/logiciel-competences/dossier/quelles-etapes-pour-la-gpec</w:t>
      </w:r>
    </w:p>
  </w:footnote>
  <w:footnote w:id="7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Ministère du Travail. (2023). La gestion prévisionnelle de l'emploi et des compétences (GPEC). https://travail-emploi.gouv.fr/la-gestion-previsionnelle-de-lemploi-et-des-competences-gpec</w:t>
      </w:r>
    </w:p>
  </w:footnote>
  <w:footnote w:id="7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Appvizer. (2022). Outils GPEC : tout savoir sur la gestion des compétences. https://www.appvizer.fr/magazine/ressources-humaines/gestion-competences/outils-gpec</w:t>
      </w:r>
    </w:p>
  </w:footnote>
  <w:footnote w:id="7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Elamp. (2020). Focus sur les outils innovants pour réussir sa GPEC. https://www.elamp.fr/outils-gpec/</w:t>
      </w:r>
    </w:p>
  </w:footnote>
  <w:footnote w:id="7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Sekiou, L., Peretti, J. M., Chevalier, F., &amp; Bayad, M. (2001). La gestion des ressources humaines (p. 156). De Boeck Université.</w:t>
      </w:r>
    </w:p>
  </w:footnote>
  <w:footnote w:id="7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DeJoux, C., Thévenet, M., Marbot, E., &amp; Bender, A. (2015). Fonction RH (p. 258). Pearson Education.</w:t>
      </w:r>
    </w:p>
  </w:footnote>
  <w:footnote w:id="78">
    <w:p w:rsidR="00E772DD" w:rsidRPr="0045362C" w:rsidRDefault="00E772DD" w:rsidP="00610EDA">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w:t>
      </w:r>
      <w:r w:rsidR="00610EDA" w:rsidRPr="00610EDA">
        <w:rPr>
          <w:rFonts w:asciiTheme="majorBidi" w:hAnsiTheme="majorBidi" w:cstheme="majorBidi"/>
          <w:b/>
          <w:bCs/>
        </w:rPr>
        <w:t>Benabderrahmane, Y. (2020).</w:t>
      </w:r>
      <w:r w:rsidR="00610EDA" w:rsidRPr="00610EDA">
        <w:rPr>
          <w:rFonts w:asciiTheme="majorBidi" w:hAnsiTheme="majorBidi" w:cstheme="majorBidi"/>
        </w:rPr>
        <w:t> Impact des TIC sur la performance des ressources humaines. </w:t>
      </w:r>
      <w:r w:rsidR="00610EDA" w:rsidRPr="00610EDA">
        <w:rPr>
          <w:rFonts w:asciiTheme="majorBidi" w:hAnsiTheme="majorBidi" w:cstheme="majorBidi"/>
          <w:i/>
          <w:iCs/>
        </w:rPr>
        <w:t>Algerian Journal of Human and Social Sciences</w:t>
      </w:r>
      <w:r w:rsidR="00610EDA" w:rsidRPr="00610EDA">
        <w:rPr>
          <w:rFonts w:asciiTheme="majorBidi" w:hAnsiTheme="majorBidi" w:cstheme="majorBidi"/>
        </w:rPr>
        <w:t>, 4(2), 41–54.</w:t>
      </w:r>
    </w:p>
  </w:footnote>
  <w:footnote w:id="7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Dessler, G. (2020). Human Resource Management (16th ed.). Pearson.</w:t>
      </w:r>
    </w:p>
  </w:footnote>
  <w:footnote w:id="80">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Noe, R. A., Hollenbeck, J. R., Gerhart, B., &amp; Wright, P. M. (2020). Fundamentals of Human Resource Management (8th ed.). McGraw-Hill.</w:t>
      </w:r>
    </w:p>
  </w:footnote>
  <w:footnote w:id="8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en-US"/>
        </w:rPr>
        <w:t xml:space="preserve"> Ekip. </w:t>
      </w:r>
      <w:r w:rsidRPr="0045362C">
        <w:rPr>
          <w:rFonts w:asciiTheme="majorBidi" w:hAnsiTheme="majorBidi" w:cstheme="majorBidi"/>
          <w:lang w:val="fr-FR"/>
        </w:rPr>
        <w:t>(2025, février). Avantages financiers : primes, augmentations, épargne salariale. Récupéré de https://blog.ekip.app/avantages-financiers/</w:t>
      </w:r>
    </w:p>
  </w:footnote>
  <w:footnote w:id="8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Combohr.com. (2024, décembre). Avantages salariaux : avantages pour l'entreprise et les salariés. Récupéré de https://combohr.com/fr/blog/avantages-salariaux.</w:t>
      </w:r>
    </w:p>
  </w:footnote>
  <w:footnote w:id="8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Kaplan, R., &amp; Norton, D. (2016). </w:t>
      </w:r>
      <w:r w:rsidRPr="0045362C">
        <w:rPr>
          <w:rFonts w:asciiTheme="majorBidi" w:hAnsiTheme="majorBidi" w:cstheme="majorBidi"/>
        </w:rPr>
        <w:t xml:space="preserve">The Balanced Scorecard: Translating Strategy into Action. </w:t>
      </w:r>
      <w:r w:rsidRPr="0045362C">
        <w:rPr>
          <w:rFonts w:asciiTheme="majorBidi" w:hAnsiTheme="majorBidi" w:cstheme="majorBidi"/>
          <w:lang w:val="fr-FR"/>
        </w:rPr>
        <w:t>Harvard Business Press.</w:t>
      </w:r>
    </w:p>
  </w:footnote>
  <w:footnote w:id="8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Urssaf.fr. (2025, janvier). Les avantages en nature. Récupéré de https://www.urssaf.fr/accueil/employeur/cotisations/avantages-en-nature.html</w:t>
      </w:r>
    </w:p>
  </w:footnote>
  <w:footnote w:id="8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Reducbox. (2023, juin). Prime ou subvention : quels avantages pour les salariés ? Récupéré de https://www.reducbox.com/blog/aides-et-avantages-aux-salaries-que-choisir-entre-prime-et-subvention/</w:t>
      </w:r>
    </w:p>
  </w:footnote>
  <w:footnote w:id="8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Harvard Business Review. (2022). The future of work: Flexible schedules and productivity. HBR Press.</w:t>
      </w:r>
    </w:p>
  </w:footnote>
  <w:footnote w:id="8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Schmidt, E., &amp; Rosenberg, J. (2014). How Google Works. Grand Central Publishing.</w:t>
      </w:r>
    </w:p>
  </w:footnote>
  <w:footnote w:id="8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Edenred France. (2024, avril). Avantages sociaux en entreprise : le point sur la liste. Récupéré de https://www.edenred.fr/magazine/anticiper-les-tendances/avantages-salaries/avantages-sociaux-en-entreprise-le-point-sur-la-liste</w:t>
      </w:r>
    </w:p>
  </w:footnote>
  <w:footnote w:id="8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Terralaboris asbl. (s.d.). Rémunération / Avantages / Frais. Récupéré de https://www.terralaboris.be/spip.php?id_rubrique=3024&amp;page=decisions</w:t>
      </w:r>
    </w:p>
  </w:footnote>
  <w:footnote w:id="9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Pailhé, A., &amp; Solaz, A. (2013). Les dispositifs d'entreprise en direction des familles. </w:t>
      </w:r>
      <w:r w:rsidRPr="0045362C">
        <w:rPr>
          <w:rFonts w:asciiTheme="majorBidi" w:hAnsiTheme="majorBidi" w:cstheme="majorBidi"/>
          <w:lang w:val="en-US"/>
        </w:rPr>
        <w:t>Récupéré de https://hal.science/hal-00977580/file/Rapport_final.pdf</w:t>
      </w:r>
    </w:p>
  </w:footnote>
  <w:footnote w:id="9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Harvard Business Review. (2022). The future of work: Flexible schedules and productivity. </w:t>
      </w:r>
      <w:r w:rsidRPr="0045362C">
        <w:rPr>
          <w:rFonts w:asciiTheme="majorBidi" w:hAnsiTheme="majorBidi" w:cstheme="majorBidi"/>
          <w:lang w:val="fr-FR"/>
        </w:rPr>
        <w:t>HBR Press.</w:t>
      </w:r>
    </w:p>
  </w:footnote>
  <w:footnote w:id="9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Edenred France. (2024, mai). Les meilleurs avantages salariés pour fidéliser vos équipes. Récupéré de https://www.edenred.fr/magazine/anticiper-les-tendances/avantages-salaries/entreprise-tous-les-avantages-salaries-voici-tout-ce-quil-faut-savoir</w:t>
      </w:r>
    </w:p>
  </w:footnote>
  <w:footnote w:id="9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en-US"/>
        </w:rPr>
        <w:t>Gerhart, B., Rynes, S. L., &amp; Fulmer, I. S. (2021). Pay and performance: Foundations and trends. Now Publishers.</w:t>
      </w:r>
    </w:p>
  </w:footnote>
  <w:footnote w:id="9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Schmidt, E., &amp; Rosenberg, J. (2014). How Google Works. Grand Central Publishing.</w:t>
      </w:r>
    </w:p>
  </w:footnote>
  <w:footnote w:id="9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Baumard, P. (2021). Le bien-être au travail et la performance des entreprises. </w:t>
      </w:r>
      <w:r w:rsidRPr="0045362C">
        <w:rPr>
          <w:rFonts w:asciiTheme="majorBidi" w:hAnsiTheme="majorBidi" w:cstheme="majorBidi"/>
        </w:rPr>
        <w:t>Dunod.</w:t>
      </w:r>
    </w:p>
  </w:footnote>
  <w:footnote w:id="9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Armstrong, M. (2019). Handbook of Human Resource Management Practice (15th ed.). </w:t>
      </w:r>
      <w:r w:rsidRPr="0045362C">
        <w:rPr>
          <w:rFonts w:asciiTheme="majorBidi" w:hAnsiTheme="majorBidi" w:cstheme="majorBidi"/>
          <w:lang w:val="fr-FR"/>
        </w:rPr>
        <w:t>Kogan Page.</w:t>
      </w:r>
    </w:p>
  </w:footnote>
  <w:footnote w:id="9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Mekkioui, S., &amp; Ziani, N. (2015). La rémunération : un outil de développement des ressources humaines. Algerian Review of Economic Development (ARED), 5(2), 11-20.</w:t>
      </w:r>
    </w:p>
  </w:footnote>
  <w:footnote w:id="9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Latioui, I. (2021). Analyse de la mise en place d’un nouveau système de rémunérations par l’application d’une démarche d’audit des rémunérations au sein de l’entreprise publique algérienne. Revue Afak de Sciences de Gestion et Économie, 7(1), 45-60.</w:t>
      </w:r>
    </w:p>
  </w:footnote>
  <w:footnote w:id="9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PERETTI, J.M. (2001). Dictionnaire des ressources humaines. Paris : Vuibert, p. 185.</w:t>
      </w:r>
    </w:p>
  </w:footnote>
  <w:footnote w:id="10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ST-ONGE, S., GUERRERO, S., HAINES, V. et BRUN, J.P. (2013). Relever les défis de la gestion des ressources humaines (5e éd.). Montréal : CHENELIÈRE ÉDUCATION, p. 237.</w:t>
      </w:r>
    </w:p>
  </w:footnote>
  <w:footnote w:id="10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CERDIN, J.L. (2015). La cogestion des carrières. Paris : EMS Management &amp; Société, p. 64.</w:t>
      </w:r>
    </w:p>
  </w:footnote>
  <w:footnote w:id="102">
    <w:p w:rsidR="00E772DD" w:rsidRPr="0045362C" w:rsidRDefault="00E772DD" w:rsidP="00294FE2">
      <w:pPr>
        <w:pStyle w:val="Notedebasdepage"/>
        <w:rPr>
          <w:rFonts w:asciiTheme="majorBidi" w:hAnsiTheme="majorBidi" w:cstheme="majorBidi"/>
          <w:lang w:val="fr-FR"/>
        </w:rPr>
      </w:pPr>
      <w:r w:rsidRPr="0045362C">
        <w:rPr>
          <w:rStyle w:val="Appelnotedebasdep"/>
          <w:rFonts w:cstheme="majorBidi"/>
        </w:rPr>
        <w:footnoteRef/>
      </w:r>
      <w:r w:rsidR="00294FE2" w:rsidRPr="00993196">
        <w:rPr>
          <w:rFonts w:asciiTheme="majorBidi" w:hAnsiTheme="majorBidi" w:cstheme="majorBidi"/>
        </w:rPr>
        <w:t>El Ouardi, A. &amp; Moutaouakil, K. (2021).</w:t>
      </w:r>
      <w:r w:rsidR="00294FE2" w:rsidRPr="00294FE2">
        <w:rPr>
          <w:rFonts w:asciiTheme="majorBidi" w:hAnsiTheme="majorBidi" w:cstheme="majorBidi"/>
        </w:rPr>
        <w:t> L’impact des technologies de l'information et de la communication sur la gestion des ressources humaines dans les entreprises marocaines. </w:t>
      </w:r>
      <w:r w:rsidR="00294FE2" w:rsidRPr="00294FE2">
        <w:rPr>
          <w:rFonts w:asciiTheme="majorBidi" w:hAnsiTheme="majorBidi" w:cstheme="majorBidi"/>
          <w:i/>
          <w:iCs/>
        </w:rPr>
        <w:t>Revue Marocaine de Recherche en Management et Marketing</w:t>
      </w:r>
      <w:r w:rsidR="00294FE2" w:rsidRPr="00294FE2">
        <w:rPr>
          <w:rFonts w:asciiTheme="majorBidi" w:hAnsiTheme="majorBidi" w:cstheme="majorBidi"/>
        </w:rPr>
        <w:t>, n°24, 65–84.</w:t>
      </w:r>
      <w:r w:rsidRPr="0045362C">
        <w:rPr>
          <w:rFonts w:asciiTheme="majorBidi" w:hAnsiTheme="majorBidi" w:cstheme="majorBidi"/>
          <w:lang w:val="fr-FR"/>
        </w:rPr>
        <w:t>.</w:t>
      </w:r>
    </w:p>
  </w:footnote>
  <w:footnote w:id="10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Boudraa, B. (2019). Le rôle de la gestion des carrières dans le développement des ressources humaines. Revue des Sciences Humaines, 2(2), 104-126. </w:t>
      </w:r>
    </w:p>
  </w:footnote>
  <w:footnote w:id="10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Bouffartigue, P., &amp; Bouteiller, J. (2016). Les relations sociales en entreprise : enjeux et perspectives </w:t>
      </w:r>
    </w:p>
    <w:p w:rsidR="00E772DD" w:rsidRPr="0045362C" w:rsidRDefault="00E772DD" w:rsidP="003D3FA7">
      <w:pPr>
        <w:pStyle w:val="Notedebasdepage"/>
        <w:rPr>
          <w:rFonts w:asciiTheme="majorBidi" w:hAnsiTheme="majorBidi" w:cstheme="majorBidi"/>
          <w:lang w:val="fr-FR"/>
        </w:rPr>
      </w:pPr>
      <w:r w:rsidRPr="0045362C">
        <w:rPr>
          <w:rFonts w:asciiTheme="majorBidi" w:hAnsiTheme="majorBidi" w:cstheme="majorBidi"/>
          <w:lang w:val="fr-FR"/>
        </w:rPr>
        <w:t>(pp. 45-62). La Découverte.</w:t>
      </w:r>
    </w:p>
  </w:footnote>
  <w:footnote w:id="10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Reynaud, J.-D. (2019). Les règles du jeu : L’action collective et la régulation sociale (pp. 58-74). Presses de Sciences Po.</w:t>
      </w:r>
    </w:p>
  </w:footnote>
  <w:footnote w:id="10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Laroche, P., &amp; Salesina, G. (2018). Gérer les relations sociales dans l’entreprise (pp. 78-95). Eyrolles.</w:t>
      </w:r>
    </w:p>
  </w:footnote>
  <w:footnote w:id="107">
    <w:p w:rsidR="00E772DD" w:rsidRPr="0045362C" w:rsidRDefault="00E772DD" w:rsidP="003D3FA7">
      <w:pPr>
        <w:rPr>
          <w:rFonts w:asciiTheme="majorBidi" w:hAnsiTheme="majorBidi" w:cstheme="majorBidi"/>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Marchal, E. (2017). Le pilotage des relations sociales en entreprise (pp. 112-130). Lamy Liaisons.</w:t>
      </w:r>
    </w:p>
  </w:footnote>
  <w:footnote w:id="10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Peretti, J. M. (2020). Gestion des ressources humaines (pp. 210-225). </w:t>
      </w:r>
      <w:r w:rsidRPr="0045362C">
        <w:rPr>
          <w:rFonts w:asciiTheme="majorBidi" w:hAnsiTheme="majorBidi" w:cstheme="majorBidi"/>
        </w:rPr>
        <w:t>Vuibert.</w:t>
      </w:r>
    </w:p>
  </w:footnote>
  <w:footnote w:id="109">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Ulrich, D. (2019). HR Transformation: Building Human Resources From the Outside In. Harvard Business Press.</w:t>
      </w:r>
    </w:p>
  </w:footnote>
  <w:footnote w:id="11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en-US"/>
        </w:rPr>
        <w:t>Deloitte. (2021). The Future of Work: Redefining Workforce Strategies. Deloitte Insights.</w:t>
      </w:r>
    </w:p>
  </w:footnote>
  <w:footnote w:id="11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Bersin, J. (2020). Employee Experience: The New HR Imperative. Josh Bersin Academy.</w:t>
      </w:r>
    </w:p>
  </w:footnote>
  <w:footnote w:id="11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McKinsey. (2022). The Talent Imperative: Strengthening Workforce Resilience. McKinsey &amp; Company.</w:t>
      </w:r>
    </w:p>
  </w:footnote>
  <w:footnote w:id="113">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Korn Ferry. (2020). Talent Strategy and Corporate Responsibility. Korn Ferry Institute.</w:t>
      </w:r>
    </w:p>
  </w:footnote>
  <w:footnote w:id="114">
    <w:p w:rsidR="00E772DD" w:rsidRPr="0045362C" w:rsidRDefault="00E772DD" w:rsidP="003D3FA7">
      <w:pPr>
        <w:rPr>
          <w:rFonts w:asciiTheme="majorBidi" w:hAnsiTheme="majorBidi" w:cstheme="majorBidi"/>
          <w:sz w:val="20"/>
          <w:szCs w:val="20"/>
        </w:rPr>
      </w:pPr>
      <w:r w:rsidRPr="0045362C">
        <w:rPr>
          <w:rStyle w:val="Appelnotedebasdep"/>
          <w:rFonts w:cstheme="majorBidi"/>
          <w:szCs w:val="20"/>
        </w:rPr>
        <w:footnoteRef/>
      </w:r>
      <w:r w:rsidRPr="0045362C">
        <w:rPr>
          <w:rFonts w:asciiTheme="majorBidi" w:hAnsiTheme="majorBidi" w:cstheme="majorBidi"/>
          <w:sz w:val="20"/>
          <w:szCs w:val="20"/>
        </w:rPr>
        <w:t>SHRM. (2021). Workplace Well-being and Productivity Trends. Society for Human Resource Management.</w:t>
      </w:r>
    </w:p>
  </w:footnote>
  <w:footnote w:id="11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Gallup. (2021). State of the Global Workplace Report. Gallup Press.</w:t>
      </w:r>
    </w:p>
  </w:footnote>
  <w:footnote w:id="11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en-US"/>
        </w:rPr>
        <w:t>Mercer. (2020). Employee Benefits and Workplace Satisfaction Trends. Mercer Consulting.</w:t>
      </w:r>
    </w:p>
  </w:footnote>
  <w:footnote w:id="117">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WEF. (2022). The Future of Jobs Report. World Economic Forum.</w:t>
      </w:r>
    </w:p>
  </w:footnote>
  <w:footnote w:id="118">
    <w:p w:rsidR="00E772DD" w:rsidRPr="0045362C" w:rsidRDefault="00E772DD" w:rsidP="003D3FA7">
      <w:pPr>
        <w:rPr>
          <w:rFonts w:asciiTheme="majorBidi" w:hAnsiTheme="majorBidi" w:cstheme="majorBidi"/>
          <w:sz w:val="20"/>
          <w:szCs w:val="20"/>
        </w:rPr>
      </w:pPr>
      <w:r w:rsidRPr="0045362C">
        <w:rPr>
          <w:rStyle w:val="Appelnotedebasdep"/>
          <w:rFonts w:cstheme="majorBidi"/>
          <w:szCs w:val="20"/>
        </w:rPr>
        <w:footnoteRef/>
      </w:r>
      <w:r w:rsidRPr="0045362C">
        <w:rPr>
          <w:rFonts w:asciiTheme="majorBidi" w:hAnsiTheme="majorBidi" w:cstheme="majorBidi"/>
          <w:sz w:val="20"/>
          <w:szCs w:val="20"/>
        </w:rPr>
        <w:t xml:space="preserve"> PwC. (2021). Mental Health and Workforce Sustainability. PricewaterhouseCoopers.</w:t>
      </w:r>
    </w:p>
    <w:p w:rsidR="00E772DD" w:rsidRPr="0045362C" w:rsidRDefault="00E772DD" w:rsidP="003D3FA7">
      <w:pPr>
        <w:rPr>
          <w:rFonts w:asciiTheme="majorBidi" w:hAnsiTheme="majorBidi" w:cstheme="majorBidi"/>
          <w:sz w:val="20"/>
          <w:szCs w:val="20"/>
        </w:rPr>
      </w:pPr>
    </w:p>
    <w:p w:rsidR="00E772DD" w:rsidRPr="0045362C" w:rsidRDefault="00E772DD" w:rsidP="003D3FA7">
      <w:pPr>
        <w:pStyle w:val="Notedebasdepage"/>
        <w:rPr>
          <w:rFonts w:asciiTheme="majorBidi" w:hAnsiTheme="majorBidi" w:cstheme="majorBidi"/>
          <w:lang w:val="en-US"/>
        </w:rPr>
      </w:pPr>
    </w:p>
  </w:footnote>
  <w:footnote w:id="119">
    <w:p w:rsidR="00E772DD" w:rsidRPr="0045362C" w:rsidRDefault="00E772DD" w:rsidP="003D3FA7">
      <w:pPr>
        <w:rPr>
          <w:rFonts w:asciiTheme="majorBidi" w:hAnsiTheme="majorBidi" w:cstheme="majorBidi"/>
          <w:sz w:val="20"/>
          <w:szCs w:val="20"/>
        </w:rPr>
      </w:pPr>
      <w:r w:rsidRPr="0045362C">
        <w:rPr>
          <w:rStyle w:val="Appelnotedebasdep"/>
          <w:rFonts w:cstheme="majorBidi"/>
          <w:szCs w:val="20"/>
        </w:rPr>
        <w:footnoteRef/>
      </w:r>
      <w:r w:rsidRPr="0045362C">
        <w:rPr>
          <w:rFonts w:asciiTheme="majorBidi" w:hAnsiTheme="majorBidi" w:cstheme="majorBidi"/>
          <w:sz w:val="20"/>
          <w:szCs w:val="20"/>
        </w:rPr>
        <w:t xml:space="preserve"> Kaplan, R., &amp; Norton, D. (2016). The Balanced Scorecard: Translating Strategy into Action. Harvard Business Press.</w:t>
      </w:r>
    </w:p>
  </w:footnote>
  <w:footnote w:id="120">
    <w:p w:rsidR="00E772DD" w:rsidRPr="0045362C" w:rsidRDefault="00E772DD" w:rsidP="003D3FA7">
      <w:pPr>
        <w:rPr>
          <w:rFonts w:asciiTheme="majorBidi" w:hAnsiTheme="majorBidi" w:cstheme="majorBidi"/>
          <w:sz w:val="20"/>
          <w:szCs w:val="20"/>
        </w:rPr>
      </w:pPr>
      <w:r w:rsidRPr="0045362C">
        <w:rPr>
          <w:rStyle w:val="Appelnotedebasdep"/>
          <w:rFonts w:cstheme="majorBidi"/>
          <w:szCs w:val="20"/>
        </w:rPr>
        <w:footnoteRef/>
      </w:r>
      <w:r w:rsidRPr="0045362C">
        <w:rPr>
          <w:rFonts w:asciiTheme="majorBidi" w:hAnsiTheme="majorBidi" w:cstheme="majorBidi"/>
          <w:sz w:val="20"/>
          <w:szCs w:val="20"/>
        </w:rPr>
        <w:t xml:space="preserve"> Armstrong, M. (2019). Handbook of Human Resource Management Practice (15th ed.). Kogan Page.</w:t>
      </w:r>
    </w:p>
  </w:footnote>
  <w:footnote w:id="12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Harvard Business Review. (2022). The future of work: Flexible schedules and productivity. </w:t>
      </w:r>
      <w:r w:rsidRPr="0045362C">
        <w:rPr>
          <w:rFonts w:asciiTheme="majorBidi" w:hAnsiTheme="majorBidi" w:cstheme="majorBidi"/>
          <w:lang w:val="fr-FR"/>
        </w:rPr>
        <w:t>HBR Press.</w:t>
      </w:r>
    </w:p>
  </w:footnote>
  <w:footnote w:id="12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Baumard, P. (2021). Le bien-être au travail et la performance des entreprises. </w:t>
      </w:r>
      <w:r w:rsidRPr="0045362C">
        <w:rPr>
          <w:rFonts w:asciiTheme="majorBidi" w:hAnsiTheme="majorBidi" w:cstheme="majorBidi"/>
        </w:rPr>
        <w:t>Dunod.</w:t>
      </w:r>
    </w:p>
  </w:footnote>
  <w:footnote w:id="123">
    <w:p w:rsidR="00E772DD" w:rsidRPr="0045362C" w:rsidRDefault="00E772DD" w:rsidP="003D3FA7">
      <w:pPr>
        <w:rPr>
          <w:rFonts w:asciiTheme="majorBidi" w:hAnsiTheme="majorBidi" w:cstheme="majorBidi"/>
          <w:sz w:val="20"/>
          <w:szCs w:val="20"/>
        </w:rPr>
      </w:pPr>
      <w:r w:rsidRPr="0045362C">
        <w:rPr>
          <w:rStyle w:val="Appelnotedebasdep"/>
          <w:rFonts w:cstheme="majorBidi"/>
          <w:szCs w:val="20"/>
        </w:rPr>
        <w:footnoteRef/>
      </w:r>
      <w:r w:rsidRPr="0045362C">
        <w:rPr>
          <w:rFonts w:asciiTheme="majorBidi" w:hAnsiTheme="majorBidi" w:cstheme="majorBidi"/>
          <w:sz w:val="20"/>
          <w:szCs w:val="20"/>
        </w:rPr>
        <w:t xml:space="preserve"> Drucker, P. (2008). Management: Tasks, Responsibilities, Practices. HarperBusiness.</w:t>
      </w:r>
    </w:p>
  </w:footnote>
  <w:footnote w:id="124">
    <w:p w:rsidR="00E772DD" w:rsidRPr="0045362C" w:rsidRDefault="00E772DD" w:rsidP="003D3FA7">
      <w:pPr>
        <w:rPr>
          <w:rFonts w:asciiTheme="majorBidi" w:hAnsiTheme="majorBidi" w:cstheme="majorBidi"/>
          <w:sz w:val="20"/>
          <w:szCs w:val="20"/>
        </w:rPr>
      </w:pPr>
      <w:r w:rsidRPr="0045362C">
        <w:rPr>
          <w:rStyle w:val="Appelnotedebasdep"/>
          <w:rFonts w:cstheme="majorBidi"/>
          <w:szCs w:val="20"/>
        </w:rPr>
        <w:footnoteRef/>
      </w:r>
      <w:r w:rsidRPr="0045362C">
        <w:rPr>
          <w:rFonts w:asciiTheme="majorBidi" w:hAnsiTheme="majorBidi" w:cstheme="majorBidi"/>
          <w:sz w:val="20"/>
          <w:szCs w:val="20"/>
        </w:rPr>
        <w:t xml:space="preserve"> Robbins, S. P., &amp; Judge, T. A. (2022). Organizational Behavior (19th ed.). Pearson.</w:t>
      </w:r>
    </w:p>
  </w:footnote>
  <w:footnote w:id="12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Kaplan, R., &amp; Norton, D. (2016). The Balanced Scorecard: Translating Strategy into Action. Harvard Business Press.</w:t>
      </w:r>
    </w:p>
  </w:footnote>
  <w:footnote w:id="12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Armstrong, M. (2019). Handbook of Human Resource Management Practice (15th ed.). </w:t>
      </w:r>
      <w:r w:rsidRPr="0045362C">
        <w:rPr>
          <w:rFonts w:asciiTheme="majorBidi" w:hAnsiTheme="majorBidi" w:cstheme="majorBidi"/>
          <w:lang w:val="fr-FR"/>
        </w:rPr>
        <w:t>Kogan Page.</w:t>
      </w:r>
    </w:p>
  </w:footnote>
  <w:footnote w:id="12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Cardin, L., et al. (2000). Gestion des ressources humaines : pratique et éléments de théorie (pp. 288-289). Dunod.</w:t>
      </w:r>
    </w:p>
  </w:footnote>
  <w:footnote w:id="12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Peretti, J.-M. (2001).</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lang w:val="fr-FR"/>
        </w:rPr>
        <w:t>Dictionnaire des ressources humaines</w:t>
      </w:r>
      <w:r w:rsidRPr="0045362C">
        <w:rPr>
          <w:rStyle w:val="apple-converted-space"/>
          <w:rFonts w:asciiTheme="majorBidi" w:hAnsiTheme="majorBidi" w:cstheme="majorBidi"/>
          <w:color w:val="000000"/>
          <w:lang w:val="fr-FR"/>
        </w:rPr>
        <w:t> </w:t>
      </w:r>
      <w:r w:rsidRPr="0045362C">
        <w:rPr>
          <w:rFonts w:asciiTheme="majorBidi" w:hAnsiTheme="majorBidi" w:cstheme="majorBidi"/>
          <w:color w:val="000000"/>
          <w:lang w:val="fr-FR"/>
        </w:rPr>
        <w:t>(p. 185). Vuibert.</w:t>
      </w:r>
    </w:p>
  </w:footnote>
  <w:footnote w:id="12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Martory, B., &amp; Crozet, D. (1984).</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lang w:val="fr-FR"/>
        </w:rPr>
        <w:t>Gestion des ressources humaines</w:t>
      </w:r>
      <w:r w:rsidRPr="0045362C">
        <w:rPr>
          <w:rStyle w:val="apple-converted-space"/>
          <w:rFonts w:asciiTheme="majorBidi" w:hAnsiTheme="majorBidi" w:cstheme="majorBidi"/>
          <w:color w:val="000000"/>
          <w:lang w:val="fr-FR"/>
        </w:rPr>
        <w:t> </w:t>
      </w:r>
      <w:r w:rsidRPr="0045362C">
        <w:rPr>
          <w:rFonts w:asciiTheme="majorBidi" w:hAnsiTheme="majorBidi" w:cstheme="majorBidi"/>
          <w:color w:val="000000"/>
          <w:lang w:val="fr-FR"/>
        </w:rPr>
        <w:t>(p. 36). Fernand Nathan.</w:t>
      </w:r>
      <w:r w:rsidRPr="0045362C">
        <w:rPr>
          <w:rFonts w:asciiTheme="majorBidi" w:hAnsiTheme="majorBidi" w:cstheme="majorBidi"/>
          <w:color w:val="000000"/>
          <w:lang w:val="fr-FR"/>
        </w:rPr>
        <w:br/>
      </w:r>
    </w:p>
  </w:footnote>
  <w:footnote w:id="130">
    <w:p w:rsidR="00E772DD" w:rsidRPr="0045362C" w:rsidRDefault="00E772DD" w:rsidP="003D3FA7">
      <w:pPr>
        <w:rPr>
          <w:rFonts w:asciiTheme="majorBidi" w:hAnsiTheme="majorBidi" w:cstheme="majorBidi"/>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Isafo, J. R. (1996). La gestion des ressources humaines : un nouveau défi pour l’entreprise zaïroise (p. 96). ED Cadicec.</w:t>
      </w:r>
    </w:p>
    <w:p w:rsidR="00E772DD" w:rsidRPr="0045362C" w:rsidRDefault="00E772DD" w:rsidP="003D3FA7">
      <w:pPr>
        <w:pStyle w:val="Notedebasdepage"/>
        <w:rPr>
          <w:rFonts w:asciiTheme="majorBidi" w:hAnsiTheme="majorBidi" w:cstheme="majorBidi"/>
          <w:lang w:val="fr-FR"/>
        </w:rPr>
      </w:pPr>
    </w:p>
  </w:footnote>
  <w:footnote w:id="131">
    <w:p w:rsidR="00E772DD" w:rsidRPr="0045362C" w:rsidRDefault="00E772DD" w:rsidP="003D3FA7">
      <w:pPr>
        <w:pStyle w:val="p1"/>
        <w:rPr>
          <w:rFonts w:asciiTheme="majorBidi" w:hAnsiTheme="majorBidi" w:cstheme="majorBidi"/>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St-Onge, S., Audet, M., Haines, V. III, &amp; Petit, A. (2004). Relever les défis de la gestion des ressources humaines (p. 196). Gaëtan Morin éditeur/Chenelière Éducation.</w:t>
      </w:r>
    </w:p>
    <w:p w:rsidR="00E772DD" w:rsidRPr="0045362C" w:rsidRDefault="00E772DD" w:rsidP="003D3FA7">
      <w:pPr>
        <w:pStyle w:val="Notedebasdepage"/>
        <w:rPr>
          <w:rFonts w:asciiTheme="majorBidi" w:hAnsiTheme="majorBidi" w:cstheme="majorBidi"/>
          <w:lang w:val="fr-FR"/>
        </w:rPr>
      </w:pPr>
    </w:p>
  </w:footnote>
  <w:footnote w:id="13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Boyer, A. (1997). Panorama de la gestion (pp. 232, 243). Les Éditions de l’Organisation, Algérie</w:t>
      </w:r>
    </w:p>
  </w:footnote>
  <w:footnote w:id="13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Peretti, J.-M. (2008). Gestion des ressources humaines (15</w:t>
      </w:r>
      <w:r w:rsidRPr="0045362C">
        <w:rPr>
          <w:rFonts w:asciiTheme="majorBidi" w:hAnsiTheme="majorBidi" w:cstheme="majorBidi"/>
        </w:rPr>
        <w:t>ᵉ</w:t>
      </w:r>
      <w:r w:rsidRPr="0045362C">
        <w:rPr>
          <w:rFonts w:asciiTheme="majorBidi" w:hAnsiTheme="majorBidi" w:cstheme="majorBidi"/>
          <w:lang w:val="fr-FR"/>
        </w:rPr>
        <w:t xml:space="preserve"> éd., p. 69). Vuibert.</w:t>
      </w:r>
    </w:p>
  </w:footnote>
  <w:footnote w:id="13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Citeau, J.-P. (2001). Gestion des ressources humaines (3</w:t>
      </w:r>
      <w:r w:rsidRPr="0045362C">
        <w:rPr>
          <w:rFonts w:asciiTheme="majorBidi" w:hAnsiTheme="majorBidi" w:cstheme="majorBidi"/>
        </w:rPr>
        <w:t>ᵉ</w:t>
      </w:r>
      <w:r w:rsidRPr="0045362C">
        <w:rPr>
          <w:rFonts w:asciiTheme="majorBidi" w:hAnsiTheme="majorBidi" w:cstheme="majorBidi"/>
          <w:lang w:val="fr-FR"/>
        </w:rPr>
        <w:t xml:space="preserve"> éd., p. 138). Paris</w:t>
      </w:r>
    </w:p>
  </w:footnote>
  <w:footnote w:id="13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PERETTI, J.-M. (2005). Ressources humaines et gestion des personnes (5</w:t>
      </w:r>
      <w:r w:rsidRPr="0045362C">
        <w:rPr>
          <w:rFonts w:asciiTheme="majorBidi" w:hAnsiTheme="majorBidi" w:cstheme="majorBidi"/>
        </w:rPr>
        <w:t>ᵉ</w:t>
      </w:r>
      <w:r w:rsidRPr="0045362C">
        <w:rPr>
          <w:rFonts w:asciiTheme="majorBidi" w:hAnsiTheme="majorBidi" w:cstheme="majorBidi"/>
          <w:lang w:val="fr-FR"/>
        </w:rPr>
        <w:t xml:space="preserve"> éd., p. 78). Paris : Vuibert.</w:t>
      </w:r>
    </w:p>
  </w:footnote>
  <w:footnote w:id="13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TURGEON, B., &amp; MILLER, M. (1992). Superviseur et gestion des ressources humaines (p. 197). Montréal : McGraw-Hill.</w:t>
      </w:r>
    </w:p>
  </w:footnote>
  <w:footnote w:id="13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Peretti, J. M. (2003). Gestion des ressources humaines (11e éd.). Vuibert, Paris, p. 89.</w:t>
      </w:r>
    </w:p>
  </w:footnote>
  <w:footnote w:id="13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Hélène de Falco, Maîtriser ses recrutements, 2</w:t>
      </w:r>
      <w:r w:rsidRPr="0045362C">
        <w:rPr>
          <w:rFonts w:asciiTheme="majorBidi" w:hAnsiTheme="majorBidi" w:cstheme="majorBidi"/>
        </w:rPr>
        <w:t>ᵉ</w:t>
      </w:r>
      <w:r w:rsidRPr="0045362C">
        <w:rPr>
          <w:rFonts w:asciiTheme="majorBidi" w:hAnsiTheme="majorBidi" w:cstheme="majorBidi"/>
          <w:lang w:val="fr-FR"/>
        </w:rPr>
        <w:t xml:space="preserve"> édition, Dunod, Paris, 2002, p. 02.</w:t>
      </w:r>
    </w:p>
  </w:footnote>
  <w:footnote w:id="13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Sekiou, L., Blondin, F., Bayad, P., Peretti, A., Alis, A., &amp; Chevalier, J. (2001). Gestion des ressources humaines (p. 232). De Boeck.</w:t>
      </w:r>
    </w:p>
  </w:footnote>
  <w:footnote w:id="14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De Falco, H. (2016). Maîtriser ses recrutements (5e éd.). Éditions Dunod.</w:t>
      </w:r>
    </w:p>
  </w:footnote>
  <w:footnote w:id="14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de Falco, H. (2016). Maîtriser ses recrutements (5e éd., p. 4). Dunod.</w:t>
      </w:r>
    </w:p>
  </w:footnote>
  <w:footnote w:id="142">
    <w:p w:rsidR="00E16D29" w:rsidRPr="0045362C" w:rsidRDefault="00E16D29" w:rsidP="00E16D29">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de Falco, H. (2016). Maîtriser ses recrutements (5e éd.). Dunod.</w:t>
      </w:r>
      <w:r w:rsidR="002C7523">
        <w:rPr>
          <w:rFonts w:asciiTheme="majorBidi" w:hAnsiTheme="majorBidi" w:cstheme="majorBidi"/>
          <w:lang w:val="fr-FR"/>
        </w:rPr>
        <w:t xml:space="preserve"> p. 3.</w:t>
      </w:r>
    </w:p>
  </w:footnote>
  <w:footnote w:id="14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de Falco, H. (2016). Maîtriser ses recrutements (5e éd.). Dunod. p. 4.</w:t>
      </w:r>
    </w:p>
  </w:footnote>
  <w:footnote w:id="14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de Falco, H. (2016). Maîtriser ses recrutements (5e éd.). Dunod. p. 168.</w:t>
      </w:r>
    </w:p>
  </w:footnote>
  <w:footnote w:id="14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de Falco, H. (2016). Maîtriser ses recrutements (5e éd.). Dunod. p. 170-171.</w:t>
      </w:r>
    </w:p>
  </w:footnote>
  <w:footnote w:id="14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GHIRARDELLO Ariane, « De l’évaluation des compétences à la discrimination : une analyse conventionnaliste des pratiques de recrutement », Revue de Gestion des Ressources Humaines, 2005, éd. 56, p.8</w:t>
      </w:r>
    </w:p>
  </w:footnote>
  <w:footnote w:id="14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Eymard-Duvernay, F., &amp; Marchal, E. (2000). Qui calcule trop finit par déraisonner : les experts du marché du travail. Sociologie du travail, 42(4), 427-447.</w:t>
      </w:r>
    </w:p>
  </w:footnote>
  <w:footnote w:id="14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Larquier, G., &amp; Marchal, E. (2012). La légitimité des épreuves de sélection : apports d’une enquête statistique auprès des entreprises. In F. Eymard-Duvernay (Ed.), Épreuves d’évaluation et chômage (p. 53). Toulouse : Octarès Éditions.</w:t>
      </w:r>
    </w:p>
  </w:footnote>
  <w:footnote w:id="14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Louart, P. (1994). Gestion des ressources humaines. Éditions Eyralles, Paris, p. 130.</w:t>
      </w:r>
    </w:p>
  </w:footnote>
  <w:footnote w:id="15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Sekiou, M., Bloudin, J., Peretti, J. M., &amp; autres. (2001). Gestion des ressources humaines. Éditions Debeck Université, Bruxelles, p. 336.</w:t>
      </w:r>
    </w:p>
  </w:footnote>
  <w:footnote w:id="15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Belaid, M. C. (2009). Guide pratique pour la gestion des ressources humaines. Éditions Les Pages Bleues, Algérie, p. 78.</w:t>
      </w:r>
    </w:p>
  </w:footnote>
  <w:footnote w:id="15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Peretti, J. M. (2018). Gestion des ressources humaines (20</w:t>
      </w:r>
      <w:r w:rsidRPr="0045362C">
        <w:rPr>
          <w:rFonts w:asciiTheme="majorBidi" w:hAnsiTheme="majorBidi" w:cstheme="majorBidi"/>
        </w:rPr>
        <w:t>ᵉ</w:t>
      </w:r>
      <w:r w:rsidRPr="0045362C">
        <w:rPr>
          <w:rFonts w:asciiTheme="majorBidi" w:hAnsiTheme="majorBidi" w:cstheme="majorBidi"/>
          <w:lang w:val="fr-FR"/>
        </w:rPr>
        <w:t xml:space="preserve"> éd.). </w:t>
      </w:r>
      <w:r w:rsidRPr="0045362C">
        <w:rPr>
          <w:rFonts w:asciiTheme="majorBidi" w:hAnsiTheme="majorBidi" w:cstheme="majorBidi"/>
        </w:rPr>
        <w:t>Vuibert.</w:t>
      </w:r>
    </w:p>
  </w:footnote>
  <w:footnote w:id="153">
    <w:p w:rsidR="00E772DD" w:rsidRPr="0045362C" w:rsidRDefault="00E772DD" w:rsidP="003D3FA7">
      <w:pPr>
        <w:rPr>
          <w:rFonts w:asciiTheme="majorBidi" w:hAnsiTheme="majorBidi" w:cstheme="majorBidi"/>
          <w:sz w:val="20"/>
          <w:szCs w:val="20"/>
        </w:rPr>
      </w:pPr>
      <w:r w:rsidRPr="0045362C">
        <w:rPr>
          <w:rStyle w:val="Appelnotedebasdep"/>
          <w:rFonts w:cstheme="majorBidi"/>
          <w:szCs w:val="20"/>
        </w:rPr>
        <w:footnoteRef/>
      </w:r>
      <w:r w:rsidRPr="0045362C">
        <w:rPr>
          <w:rFonts w:asciiTheme="majorBidi" w:hAnsiTheme="majorBidi" w:cstheme="majorBidi"/>
          <w:sz w:val="20"/>
          <w:szCs w:val="20"/>
        </w:rPr>
        <w:t xml:space="preserve"> Dessler, G. (2020). Human Resource Management (16th ed.). Pearson.</w:t>
      </w:r>
    </w:p>
    <w:p w:rsidR="00E772DD" w:rsidRPr="0045362C" w:rsidRDefault="00E772DD" w:rsidP="003D3FA7">
      <w:pPr>
        <w:pStyle w:val="Notedebasdepage"/>
        <w:rPr>
          <w:rFonts w:asciiTheme="majorBidi" w:hAnsiTheme="majorBidi" w:cstheme="majorBidi"/>
          <w:lang w:val="en-US"/>
        </w:rPr>
      </w:pPr>
    </w:p>
  </w:footnote>
  <w:footnote w:id="154">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Aguinis, H., &amp; Kraiger, K. (2009). Benefits of Training and Development for Individuals and Teams, Organizations, and Society. Annual Review of Psychology, 60(1), 451-474.</w:t>
      </w:r>
    </w:p>
  </w:footnote>
  <w:footnote w:id="15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Salas, E., Tannenbaum, S. I., Kraiger, K., &amp; Smith-Jentsch, K. A. (2012). The Science of Training and Development in Organizations: What Matters in Practice. Psychological Science in the Public Interest, 13(2), 74-101.</w:t>
      </w:r>
    </w:p>
  </w:footnote>
  <w:footnote w:id="15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Noe, R. A., Hollenbeck, J. R., Gerhart, B., &amp; Wright, P. M. (2019). Fundamentals of Human Resource Management (7th ed.). McGraw-Hill Education.</w:t>
      </w:r>
    </w:p>
  </w:footnote>
  <w:footnote w:id="15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Garavan, T. N., Carbery, R., &amp; Rock, A. (2016). Handbook of International Human Resource Development. Edward Elgar Publishing.</w:t>
      </w:r>
    </w:p>
  </w:footnote>
  <w:footnote w:id="15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Aguinis, H., &amp; Kraiger, K. (2009). Benefits of Training and Development for Individuals and Teams, Organizations, and Society. Annual Review of Psychology, 60(1), 451-474.</w:t>
      </w:r>
    </w:p>
  </w:footnote>
  <w:footnote w:id="159">
    <w:p w:rsidR="00E772DD" w:rsidRPr="0045362C" w:rsidRDefault="00E772DD" w:rsidP="003D3FA7">
      <w:pPr>
        <w:rPr>
          <w:rFonts w:asciiTheme="majorBidi" w:hAnsiTheme="majorBidi" w:cstheme="majorBidi"/>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rPr>
        <w:t xml:space="preserve"> Salas, E., Tannenbaum, S. I., Kraiger, K., &amp; Smith-Jentsch, K. A. (2012). The Science of Training and Development in Organizations: What Matters in Practice. </w:t>
      </w:r>
      <w:r w:rsidRPr="0045362C">
        <w:rPr>
          <w:rFonts w:asciiTheme="majorBidi" w:hAnsiTheme="majorBidi" w:cstheme="majorBidi"/>
          <w:sz w:val="20"/>
          <w:szCs w:val="20"/>
          <w:lang w:val="fr-FR"/>
        </w:rPr>
        <w:t>Psychological Science in the Public Interest, 13(2), 74-101.</w:t>
      </w:r>
    </w:p>
    <w:p w:rsidR="00E772DD" w:rsidRPr="0045362C" w:rsidRDefault="00E772DD" w:rsidP="003D3FA7">
      <w:pPr>
        <w:pStyle w:val="Notedebasdepage"/>
        <w:rPr>
          <w:rFonts w:asciiTheme="majorBidi" w:hAnsiTheme="majorBidi" w:cstheme="majorBidi"/>
          <w:lang w:val="fr-FR"/>
        </w:rPr>
      </w:pPr>
    </w:p>
  </w:footnote>
  <w:footnote w:id="16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Ouchen, N., &amp; Zair, W. (2009). La qualification du personnel au cœur de la Total Quality Management (TQM). Colloque international de l’Université de Saïda, p. 6.</w:t>
      </w:r>
    </w:p>
  </w:footnote>
  <w:footnote w:id="161">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Peretti, J. M. (2018).</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lang w:val="fr-FR"/>
        </w:rPr>
        <w:t>Gestion des ressources humaines</w:t>
      </w:r>
      <w:r w:rsidRPr="0045362C">
        <w:rPr>
          <w:rStyle w:val="apple-converted-space"/>
          <w:rFonts w:asciiTheme="majorBidi" w:hAnsiTheme="majorBidi" w:cstheme="majorBidi"/>
          <w:color w:val="000000"/>
          <w:lang w:val="fr-FR"/>
        </w:rPr>
        <w:t> </w:t>
      </w:r>
      <w:r w:rsidRPr="0045362C">
        <w:rPr>
          <w:rFonts w:asciiTheme="majorBidi" w:hAnsiTheme="majorBidi" w:cstheme="majorBidi"/>
          <w:color w:val="000000"/>
          <w:lang w:val="fr-FR"/>
        </w:rPr>
        <w:t>(20</w:t>
      </w:r>
      <w:r w:rsidRPr="0045362C">
        <w:rPr>
          <w:rFonts w:asciiTheme="majorBidi" w:hAnsiTheme="majorBidi" w:cstheme="majorBidi"/>
          <w:color w:val="000000"/>
        </w:rPr>
        <w:t>ᵉ</w:t>
      </w:r>
      <w:r w:rsidRPr="0045362C">
        <w:rPr>
          <w:rFonts w:asciiTheme="majorBidi" w:hAnsiTheme="majorBidi" w:cstheme="majorBidi"/>
          <w:color w:val="000000"/>
          <w:lang w:val="fr-FR"/>
        </w:rPr>
        <w:t xml:space="preserve"> éd.). </w:t>
      </w:r>
      <w:r w:rsidRPr="0045362C">
        <w:rPr>
          <w:rFonts w:asciiTheme="majorBidi" w:hAnsiTheme="majorBidi" w:cstheme="majorBidi"/>
          <w:color w:val="000000"/>
        </w:rPr>
        <w:t>Vuibert.</w:t>
      </w:r>
    </w:p>
  </w:footnote>
  <w:footnote w:id="162">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Noe, R. A., Hollenbeck, J. R., Gerhart, B., &amp; Wright, P. M. (2019). Fundamentals of Human Resource Management(7th ed.). McGraw-Hill Education.</w:t>
      </w:r>
    </w:p>
  </w:footnote>
  <w:footnote w:id="16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Garavan, T. N., Carbery, R., &amp; Rock, A. (2016). Handbook of International Human Resource Development. Edward Elgar Publishing.</w:t>
      </w:r>
    </w:p>
  </w:footnote>
  <w:footnote w:id="16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Dessler, G. (2020).</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Human Resource Management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(16th ed.). Pearson.</w:t>
      </w:r>
    </w:p>
  </w:footnote>
  <w:footnote w:id="16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Aguinis, H., &amp; Kraiger, K. (2009). Benefits of Training and Development for Individuals and Teams, Organizations, and Society. Annual Review of Psychology, 60(1), 451-474.</w:t>
      </w:r>
    </w:p>
  </w:footnote>
  <w:footnote w:id="166">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Salas, E., Tannenbaum, S. I., Kraiger, K., &amp; Smith-Jentsch, K. A. (2012). The Science of Training and Development in Organizations: What Matters in Practice. Psychological Science in the Public Interest, 13(2), 74-101.</w:t>
      </w:r>
    </w:p>
  </w:footnote>
  <w:footnote w:id="167">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Peretti, J. M. (2018). Gestion des ressources humaines (20ᵉ éd.). Vuibert.</w:t>
      </w:r>
    </w:p>
  </w:footnote>
  <w:footnote w:id="16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Garavan, T. N., Carbery, R., &amp; Rock, A. (2016). Handbook of International Human Resource Development. Edward Elgar Publishing.</w:t>
      </w:r>
    </w:p>
  </w:footnote>
  <w:footnote w:id="16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Dessler, G. (2020).</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Human Resource Management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(16th ed.). Pearson.</w:t>
      </w:r>
    </w:p>
  </w:footnote>
  <w:footnote w:id="17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Salas, E., Tannenbaum, S. I., Kraiger, K., &amp; Smith-Jentsch, K. A. (2012). The Science of Training and Development in Organizations: What Matters in Practice. Psychological Science in the Public Interest, 13(2), 74-101.</w:t>
      </w:r>
    </w:p>
  </w:footnote>
  <w:footnote w:id="17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Aguinis, H., &amp; Kraiger, K. (2009). Benefits of Training and Development for Individuals and Teams, Organizations, and Society. </w:t>
      </w:r>
      <w:r w:rsidRPr="0045362C">
        <w:rPr>
          <w:rFonts w:asciiTheme="majorBidi" w:hAnsiTheme="majorBidi" w:cstheme="majorBidi"/>
          <w:lang w:val="fr-FR"/>
        </w:rPr>
        <w:t>Annual Review of Psychology, 60(1), 451-474.</w:t>
      </w:r>
    </w:p>
  </w:footnote>
  <w:footnote w:id="17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Peretti, J. M. (2018).</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lang w:val="fr-FR"/>
        </w:rPr>
        <w:t>Gestion des ressources humaines</w:t>
      </w:r>
      <w:r w:rsidRPr="0045362C">
        <w:rPr>
          <w:rStyle w:val="apple-converted-space"/>
          <w:rFonts w:asciiTheme="majorBidi" w:hAnsiTheme="majorBidi" w:cstheme="majorBidi"/>
          <w:color w:val="000000"/>
          <w:lang w:val="fr-FR"/>
        </w:rPr>
        <w:t> </w:t>
      </w:r>
      <w:r w:rsidRPr="0045362C">
        <w:rPr>
          <w:rFonts w:asciiTheme="majorBidi" w:hAnsiTheme="majorBidi" w:cstheme="majorBidi"/>
          <w:color w:val="000000"/>
          <w:lang w:val="fr-FR"/>
        </w:rPr>
        <w:t>(20</w:t>
      </w:r>
      <w:r w:rsidRPr="0045362C">
        <w:rPr>
          <w:rFonts w:asciiTheme="majorBidi" w:hAnsiTheme="majorBidi" w:cstheme="majorBidi"/>
          <w:color w:val="000000"/>
        </w:rPr>
        <w:t>ᵉ</w:t>
      </w:r>
      <w:r w:rsidRPr="0045362C">
        <w:rPr>
          <w:rFonts w:asciiTheme="majorBidi" w:hAnsiTheme="majorBidi" w:cstheme="majorBidi"/>
          <w:color w:val="000000"/>
          <w:lang w:val="fr-FR"/>
        </w:rPr>
        <w:t xml:space="preserve"> éd.). Vuibert.</w:t>
      </w:r>
    </w:p>
  </w:footnote>
  <w:footnote w:id="17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Meignant, A. (2003). Manager la formation. Éditions Liaison, Paris, p. 132.</w:t>
      </w:r>
    </w:p>
  </w:footnote>
  <w:footnote w:id="174">
    <w:p w:rsidR="00430A10" w:rsidRPr="00847F4A" w:rsidRDefault="00430A10">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lang w:val="fr-FR"/>
        </w:rPr>
        <w:t>Belaid, M. C. (2009). Guide pratique pour la gestion des ressources humaines. Les Pages Bleues, Algérie, p. 80.</w:t>
      </w:r>
    </w:p>
  </w:footnote>
  <w:footnote w:id="17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Meignant, A. (2003). Manager la formation. Éditions Liaison, Paris, p. 191.</w:t>
      </w:r>
    </w:p>
  </w:footnote>
  <w:footnote w:id="17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Gilbert, J-Y., &amp; Gilbert, P. (2001). Les ressources humaines. Éditions d’Organisation, Paris, p. 442.</w:t>
      </w:r>
    </w:p>
  </w:footnote>
  <w:footnote w:id="17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Réhayem, G-P. (2008). Supervision et direction des ressources humaines. Éditions Valérie Côtier, Québec, Canada, pp. 93-103.</w:t>
      </w:r>
    </w:p>
  </w:footnote>
  <w:footnote w:id="17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Meignant, A. (2003). Manager la formation. Éditions Liaison, Paris, p. 191.</w:t>
      </w:r>
    </w:p>
  </w:footnote>
  <w:footnote w:id="17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Peretti, J. M. (2018). Gestion des ressources humaines (20</w:t>
      </w:r>
      <w:r w:rsidRPr="0045362C">
        <w:rPr>
          <w:rFonts w:asciiTheme="majorBidi" w:hAnsiTheme="majorBidi" w:cstheme="majorBidi"/>
        </w:rPr>
        <w:t>ᵉ</w:t>
      </w:r>
      <w:r w:rsidRPr="0045362C">
        <w:rPr>
          <w:rFonts w:asciiTheme="majorBidi" w:hAnsiTheme="majorBidi" w:cstheme="majorBidi"/>
          <w:lang w:val="fr-FR"/>
        </w:rPr>
        <w:t xml:space="preserve"> éd.). </w:t>
      </w:r>
      <w:r w:rsidRPr="0045362C">
        <w:rPr>
          <w:rFonts w:asciiTheme="majorBidi" w:hAnsiTheme="majorBidi" w:cstheme="majorBidi"/>
        </w:rPr>
        <w:t>Vuibert.</w:t>
      </w:r>
    </w:p>
  </w:footnote>
  <w:footnote w:id="180">
    <w:p w:rsidR="00430A10" w:rsidRPr="0045362C" w:rsidRDefault="00430A10">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Noe, R. A., Hollenbeck, J. R., Gerhart, B., &amp; Wright, P. M. (2019). Fundamentals of Human Resource Management (7th ed.). McGraw-Hill Education.</w:t>
      </w:r>
    </w:p>
  </w:footnote>
  <w:footnote w:id="18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Salas, E., Tannenbaum, S. I., Kraiger, K., &amp; Smith-Jentsch, K. A. (2012). The Science of Training and Development in Organizations: What Matters in Practice. Psychological Science in the Public Interest, 13(2), 74-101.</w:t>
      </w:r>
    </w:p>
  </w:footnote>
  <w:footnote w:id="182">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Tannenbaum, S. I., &amp; Yukl, G. (1992). Training and Development in Work Organizations. Annual Review of Psychology, 43(1), 399-441.</w:t>
      </w:r>
    </w:p>
  </w:footnote>
  <w:footnote w:id="18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Garavan, T. N., Carbery, R., &amp; Rock, A. (2016). Handbook of International Human Resource Development. Edward Elgar Publishing.</w:t>
      </w:r>
    </w:p>
  </w:footnote>
  <w:footnote w:id="18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Aguinis, H., &amp; Kraiger, K. (2009). Benefits of Training and Development for Individuals and Teams, Organizations, and Society. Annual Review of Psychology, 60(1), 451-474.</w:t>
      </w:r>
    </w:p>
  </w:footnote>
  <w:footnote w:id="18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Noe, R. A., Hollenbeck, J. R., Gerhart, B., &amp; Wright, P. M. (2019). Fundamentals of Human Resource Management (7th ed.). McGraw-Hill Education.</w:t>
      </w:r>
    </w:p>
  </w:footnote>
  <w:footnote w:id="18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Tilson, D., Lyytinen, K., &amp; Sørensen, C. (2010). Digital Infrastructures: The Missing IS Research Agenda. Information Systems Research, 21(4), 748-759.</w:t>
      </w:r>
    </w:p>
  </w:footnote>
  <w:footnote w:id="18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Yoo, Y., Boland, R. J., Lyytinen, K., &amp; Majchrzak, A. (2012). Organizing for Innovation in the Digitized World. Organization Science, 23(5), 1398-1408.</w:t>
      </w:r>
    </w:p>
  </w:footnote>
  <w:footnote w:id="18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Bharadwaj, A., El Sawy, O. A., Pavlou, P. A., &amp; Venkatraman, N. (2013). Digital Business Strategy: Toward a Next Generation of Insights. MIS Quarterly, 37(2), 471-482.</w:t>
      </w:r>
    </w:p>
  </w:footnote>
  <w:footnote w:id="189">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Henfridsson, O., &amp; Bygstad, B. (2013). The Generative Mechanisms of Digital Infrastructure Evolution. MIS Quarterly, 37(3), 907-931.</w:t>
      </w:r>
    </w:p>
    <w:p w:rsidR="00E772DD" w:rsidRPr="0045362C" w:rsidRDefault="00E772DD" w:rsidP="003D3FA7">
      <w:pPr>
        <w:pStyle w:val="Notedebasdepage"/>
        <w:rPr>
          <w:rFonts w:asciiTheme="majorBidi" w:hAnsiTheme="majorBidi" w:cstheme="majorBidi"/>
          <w:lang w:val="en-US"/>
        </w:rPr>
      </w:pPr>
    </w:p>
  </w:footnote>
  <w:footnote w:id="19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Brynjolfsson, E., &amp; McAfee, A. (2014). The Second Machine Age: Work, Progress, and Prosperity in a Time of Brilliant Technologies. W.W. Norton &amp; Company, p. 17-38.</w:t>
      </w:r>
    </w:p>
  </w:footnote>
  <w:footnote w:id="19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Castells, M. (2009). The Rise of the Network Society. Blackwell, p. 89-112.</w:t>
      </w:r>
    </w:p>
  </w:footnote>
  <w:footnote w:id="19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Westerman, G., Bonnet, D., &amp; McAfee, A. (2014). Leading Digital: Turning Technology into Business Transformation. Harvard Business Review Press, p. 45-67.</w:t>
      </w:r>
    </w:p>
  </w:footnote>
  <w:footnote w:id="19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Mell, P., &amp; Grance, T. (2011). The NIST Definition of Cloud Computing. National Institute of Standards and Technology, p. 21-30.</w:t>
      </w:r>
    </w:p>
  </w:footnote>
  <w:footnote w:id="19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en-US"/>
        </w:rPr>
        <w:t xml:space="preserve"> Kaplan, A. M., &amp; Haenlein, M. (2010). </w:t>
      </w:r>
      <w:r w:rsidRPr="0045362C">
        <w:rPr>
          <w:rFonts w:asciiTheme="majorBidi" w:hAnsiTheme="majorBidi" w:cstheme="majorBidi"/>
        </w:rPr>
        <w:t>Users of the world, unite! The challenges and opportunities of Social Media. Business Horizons, 53(1), 59-68.</w:t>
      </w:r>
    </w:p>
  </w:footnote>
  <w:footnote w:id="19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Brynjolfsson, E., &amp; McElheran, K. (2016). The Rapid Adoption of Data-Driven Decision-Making. American Economic Association, p. 34-49.</w:t>
      </w:r>
    </w:p>
  </w:footnote>
  <w:footnote w:id="196">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Schwab, K. (2020). The Great Reset: A New Path for Digitalization and Globalization. World Economic Forum, p. 112-128.</w:t>
      </w:r>
    </w:p>
  </w:footnote>
  <w:footnote w:id="19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Gartner. (2024). Top Strategic Technology Trends for 2024. Gartner Research, p. 76-89.</w:t>
      </w:r>
    </w:p>
  </w:footnote>
  <w:footnote w:id="19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Davenport, T. H., &amp; Short, J. E. (2020). The New Industrial Engineering: Information Technology and Business Process Redesign (p. 55). </w:t>
      </w:r>
      <w:r w:rsidRPr="0045362C">
        <w:rPr>
          <w:rFonts w:asciiTheme="majorBidi" w:hAnsiTheme="majorBidi" w:cstheme="majorBidi"/>
          <w:color w:val="000000"/>
          <w:lang w:val="fr-FR"/>
        </w:rPr>
        <w:t>MIT Sloan Management Review.</w:t>
      </w:r>
    </w:p>
  </w:footnote>
  <w:footnote w:id="19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LeMagIT. (s.d.). Les 4 types de transformation digitale. Consulté le [3 mars 2025], sur https://www.lemagit.fr/conseil/Les-4-types-de-transformation-digitale</w:t>
      </w:r>
    </w:p>
  </w:footnote>
  <w:footnote w:id="20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 xml:space="preserve">Kim, W. C., &amp; Mauborgne, R. (2017). </w:t>
      </w:r>
      <w:r w:rsidRPr="0045362C">
        <w:rPr>
          <w:rFonts w:asciiTheme="majorBidi" w:hAnsiTheme="majorBidi" w:cstheme="majorBidi"/>
          <w:color w:val="000000"/>
          <w:lang w:val="en-US"/>
        </w:rPr>
        <w:t>Blue Ocean Shift: Beyond Competing (p. 140). Hachette Books.</w:t>
      </w:r>
    </w:p>
  </w:footnote>
  <w:footnote w:id="20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Kotter, J. P. (2019). Leading Change (p. 78). Harvard Business Review Press.</w:t>
      </w:r>
    </w:p>
  </w:footnote>
  <w:footnote w:id="20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Tuleap. (s.d.). La transformation digitale des entreprises. consulté le 1 mars 2025 , à partir de https://www.tuleap.org/fr/transformation-numerique-agile/la-transformation-digitale-des-entreprises</w:t>
      </w:r>
    </w:p>
  </w:footnote>
  <w:footnote w:id="20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Westerman, G., Bonnet, D., &amp; McAfee, A. (2014). Leading Digital: Turning Technology Into Business Transformation (p. 3-6). Harvard Business Review Press.</w:t>
      </w:r>
    </w:p>
  </w:footnote>
  <w:footnote w:id="20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Chaffey, D., &amp; Ellis-Chadwick, F. (2022). Digital Marketing (p. 78). Pearson Education.</w:t>
      </w:r>
    </w:p>
  </w:footnote>
  <w:footnote w:id="20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Kotler, P., Kartajaya, H., &amp; Setiawan, I. (2021). Marketing 5.0: Technology for Humanity (p. 112). Wiley.</w:t>
      </w:r>
    </w:p>
  </w:footnote>
  <w:footnote w:id="20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Davenport, T. H., &amp; Ronanki, R. (2018). "Artificial Intelligence for the Real World." Harvard Business Review, 96(1), 110-124.</w:t>
      </w:r>
    </w:p>
  </w:footnote>
  <w:footnote w:id="20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Parry, E., &amp; Strohmeier, S. (2014). "HRM in the Digital Age." Human Resource Management Review, 24(3), 255-258.</w:t>
      </w:r>
    </w:p>
  </w:footnote>
  <w:footnote w:id="20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Willcocks, L. P., &amp; Lacity, M. C. (2016). Service Automation: Robots and the Future of Work (p. 134). </w:t>
      </w:r>
      <w:r w:rsidRPr="0045362C">
        <w:rPr>
          <w:rFonts w:asciiTheme="majorBidi" w:hAnsiTheme="majorBidi" w:cstheme="majorBidi"/>
          <w:lang w:val="fr-FR"/>
        </w:rPr>
        <w:t>SB Publishing.</w:t>
      </w:r>
    </w:p>
  </w:footnote>
  <w:footnote w:id="20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Fayon, D., &amp; Tartar, M. (2014). Transformation digitale: 5 leviers pour l'entreprise (p. 61). </w:t>
      </w:r>
      <w:r w:rsidRPr="0045362C">
        <w:rPr>
          <w:rFonts w:asciiTheme="majorBidi" w:hAnsiTheme="majorBidi" w:cstheme="majorBidi"/>
        </w:rPr>
        <w:t>Pearson. ISBN 9782744066078.</w:t>
      </w:r>
    </w:p>
  </w:footnote>
  <w:footnote w:id="21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Rogers, D. L. (2016). The Digital Transformation Playbook (p. 152). Columbia Business School Publishing.</w:t>
      </w:r>
    </w:p>
  </w:footnote>
  <w:footnote w:id="21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Stallings, W. (2016). Foundations of Modern Networking: SDN, NFV, QoE, IoT, and Cloud (p. 215). </w:t>
      </w:r>
      <w:r w:rsidRPr="0045362C">
        <w:rPr>
          <w:rFonts w:asciiTheme="majorBidi" w:hAnsiTheme="majorBidi" w:cstheme="majorBidi"/>
          <w:lang w:val="fr-FR"/>
        </w:rPr>
        <w:t>Pearson Education.</w:t>
      </w:r>
    </w:p>
  </w:footnote>
  <w:footnote w:id="21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OVHCloud. (2023). Solutions de serveurs dédiés et cloud computing. Consulté le [7 mars 2025], sur https://www.ovhcloud.com.</w:t>
      </w:r>
    </w:p>
  </w:footnote>
  <w:footnote w:id="21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McWherter, J., &amp; Gowell, S. (2012). Professional Mobile Application Development (p. 142). Wiley.</w:t>
      </w:r>
    </w:p>
  </w:footnote>
  <w:footnote w:id="21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OVHCloud. (2023). Solutions de serveurs dédiés et cloud computing. Consulté le [8 mars 2025], sur https://www.ovhcloud.com.</w:t>
      </w:r>
    </w:p>
  </w:footnote>
  <w:footnote w:id="21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 xml:space="preserve">Chaffey, D., &amp; Smith, P. R. (2022). </w:t>
      </w:r>
      <w:r w:rsidRPr="0045362C">
        <w:rPr>
          <w:rFonts w:asciiTheme="majorBidi" w:hAnsiTheme="majorBidi" w:cstheme="majorBidi"/>
          <w:color w:val="000000"/>
          <w:lang w:val="en-US"/>
        </w:rPr>
        <w:t xml:space="preserve">Digital Marketing Excellence: Planning, Optimizing and Integrating Online Marketing (p. 84). </w:t>
      </w:r>
      <w:r w:rsidRPr="0045362C">
        <w:rPr>
          <w:rFonts w:asciiTheme="majorBidi" w:hAnsiTheme="majorBidi" w:cstheme="majorBidi"/>
          <w:color w:val="000000"/>
          <w:lang w:val="fr-FR"/>
        </w:rPr>
        <w:t>Routledge.</w:t>
      </w:r>
    </w:p>
  </w:footnote>
  <w:footnote w:id="21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Jumia Algérie. (2023). Site de vente en ligne en Algérie. Consulté le [7 mars 2025], sur https://www.jumia.dz.</w:t>
      </w:r>
    </w:p>
  </w:footnote>
  <w:footnote w:id="217">
    <w:p w:rsidR="00E772DD" w:rsidRPr="0045362C" w:rsidRDefault="00E772DD" w:rsidP="003D3FA7">
      <w:pPr>
        <w:pStyle w:val="Notedebasdepage"/>
        <w:rPr>
          <w:rFonts w:asciiTheme="majorBidi" w:hAnsiTheme="majorBidi" w:cstheme="majorBidi"/>
          <w:color w:val="000000"/>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Laudon, K. C., &amp; Laudon, J. P. (2021). Management Information Systems: Managing the Digital Firm </w:t>
      </w:r>
    </w:p>
    <w:p w:rsidR="00E772DD" w:rsidRPr="0045362C" w:rsidRDefault="00E772DD" w:rsidP="003D3FA7">
      <w:pPr>
        <w:pStyle w:val="Notedebasdepage"/>
        <w:rPr>
          <w:rFonts w:asciiTheme="majorBidi" w:hAnsiTheme="majorBidi" w:cstheme="majorBidi"/>
          <w:lang w:val="fr-FR"/>
        </w:rPr>
      </w:pPr>
      <w:r w:rsidRPr="0045362C">
        <w:rPr>
          <w:rFonts w:asciiTheme="majorBidi" w:hAnsiTheme="majorBidi" w:cstheme="majorBidi"/>
          <w:color w:val="000000"/>
          <w:lang w:val="fr-FR"/>
        </w:rPr>
        <w:t>(p. 187). Pearson.</w:t>
      </w:r>
    </w:p>
  </w:footnote>
  <w:footnote w:id="21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Sage. (2023). Logiciels de gestion pour entreprises. Consulté le [8 mars 2025], sur https://www.sage.com.</w:t>
      </w:r>
    </w:p>
  </w:footnote>
  <w:footnote w:id="21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Kotler, P., Kartajaya, H., &amp; Setiawan, I. (2021). Marketing 5.0: Technology for Humanity (p. 123). </w:t>
      </w:r>
      <w:r w:rsidRPr="0045362C">
        <w:rPr>
          <w:rFonts w:asciiTheme="majorBidi" w:hAnsiTheme="majorBidi" w:cstheme="majorBidi"/>
          <w:color w:val="000000"/>
          <w:lang w:val="fr-FR"/>
        </w:rPr>
        <w:t>Wiley.</w:t>
      </w:r>
    </w:p>
  </w:footnote>
  <w:footnote w:id="22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Référence : Airbnb. (2023). Stratégie de communication et marketing digital. Consulté le [5 mars 2025], sur https://www.airbnb.com.</w:t>
      </w:r>
    </w:p>
  </w:footnote>
  <w:footnote w:id="22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Dumas, M., La Rosa, M., Mendling, J., &amp; Reijers, H. A. (2018). Fundamentals of Business Process Management (p. 485). </w:t>
      </w:r>
      <w:r w:rsidRPr="0045362C">
        <w:rPr>
          <w:rFonts w:asciiTheme="majorBidi" w:hAnsiTheme="majorBidi" w:cstheme="majorBidi"/>
          <w:color w:val="000000"/>
          <w:lang w:val="fr-FR"/>
        </w:rPr>
        <w:t>Springer.</w:t>
      </w:r>
    </w:p>
  </w:footnote>
  <w:footnote w:id="22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IBM. (2023). Optimisation des processus métier grâce au BPM. Consulté le [5 mars 2025], sur https://www.ibm.com.</w:t>
      </w:r>
    </w:p>
  </w:footnote>
  <w:footnote w:id="22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Solomon, M. R., Marshall, G. W., &amp; Stuart, E. W. (2022). Marketing: Real People, Real Choices (p. 258). </w:t>
      </w:r>
      <w:r w:rsidRPr="0045362C">
        <w:rPr>
          <w:rFonts w:asciiTheme="majorBidi" w:hAnsiTheme="majorBidi" w:cstheme="majorBidi"/>
          <w:color w:val="000000"/>
          <w:lang w:val="fr-FR"/>
        </w:rPr>
        <w:t>Pearson.</w:t>
      </w:r>
    </w:p>
  </w:footnote>
  <w:footnote w:id="22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HubSpot. (2023). Automatisation marketing et gestion des campagnes numériques. Consulté le [9 mars 2025], sur https://www.hubspot.com.</w:t>
      </w:r>
    </w:p>
  </w:footnote>
  <w:footnote w:id="22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Turban, E., Pollard, C., &amp; Wood, G. (2018). Information Technology for Management: On-Demand Strategies for Performance, Growth and Sustainability (p. 324). </w:t>
      </w:r>
      <w:r w:rsidRPr="0045362C">
        <w:rPr>
          <w:rFonts w:asciiTheme="majorBidi" w:hAnsiTheme="majorBidi" w:cstheme="majorBidi"/>
          <w:color w:val="000000"/>
          <w:lang w:val="fr-FR"/>
        </w:rPr>
        <w:t>Wiley.</w:t>
      </w:r>
    </w:p>
  </w:footnote>
  <w:footnote w:id="22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Microsoft. (2023). Plateforme de collaboration et gestion documentaire avec SharePoint. Consulté le [5 mars 2025], sur https://www.microsoft.com.</w:t>
      </w:r>
    </w:p>
  </w:footnote>
  <w:footnote w:id="22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 xml:space="preserve">Sommerville, I. (2020). </w:t>
      </w:r>
      <w:r w:rsidRPr="0045362C">
        <w:rPr>
          <w:rFonts w:asciiTheme="majorBidi" w:hAnsiTheme="majorBidi" w:cstheme="majorBidi"/>
          <w:color w:val="000000"/>
          <w:lang w:val="en-US"/>
        </w:rPr>
        <w:t>Software Engineering (p. 91-92). Pearson.</w:t>
      </w:r>
    </w:p>
  </w:footnote>
  <w:footnote w:id="22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Odoo. </w:t>
      </w:r>
      <w:r w:rsidRPr="0045362C">
        <w:rPr>
          <w:rFonts w:asciiTheme="majorBidi" w:hAnsiTheme="majorBidi" w:cstheme="majorBidi"/>
          <w:lang w:val="fr-FR"/>
        </w:rPr>
        <w:t>(2023). Systèmes ERP personnalisables pour la gestion d’entreprise. Consulté le [5 mars 2025], sur https://www.odoo.com.</w:t>
      </w:r>
    </w:p>
  </w:footnote>
  <w:footnote w:id="22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 xml:space="preserve">Russell, S. J., &amp; Norvig, P. (2020). </w:t>
      </w:r>
      <w:r w:rsidRPr="0045362C">
        <w:rPr>
          <w:rFonts w:asciiTheme="majorBidi" w:hAnsiTheme="majorBidi" w:cstheme="majorBidi"/>
          <w:color w:val="000000"/>
          <w:lang w:val="en-US"/>
        </w:rPr>
        <w:t>Artificial Intelligence: A Modern Approach (p. 356). Pearson.</w:t>
      </w:r>
    </w:p>
  </w:footnote>
  <w:footnote w:id="23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OpenAI. (2023). Modèles d’intelligence artificielle pour l’automatisation et la génération de contenu. Consulté le [6 mars 2025], sur https://openai.com/chatgpt.</w:t>
      </w:r>
    </w:p>
  </w:footnote>
  <w:footnote w:id="23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 xml:space="preserve">Sharda, R., Delen, D., &amp; Turban, E. (2022). </w:t>
      </w:r>
      <w:r w:rsidRPr="0045362C">
        <w:rPr>
          <w:rFonts w:asciiTheme="majorBidi" w:hAnsiTheme="majorBidi" w:cstheme="majorBidi"/>
          <w:color w:val="000000"/>
          <w:lang w:val="en-US"/>
        </w:rPr>
        <w:t xml:space="preserve">Business Intelligence and Analytics: Systems for Decision Support (p. 174). </w:t>
      </w:r>
      <w:r w:rsidRPr="0045362C">
        <w:rPr>
          <w:rFonts w:asciiTheme="majorBidi" w:hAnsiTheme="majorBidi" w:cstheme="majorBidi"/>
          <w:color w:val="000000"/>
          <w:lang w:val="fr-FR"/>
        </w:rPr>
        <w:t>Pearson.</w:t>
      </w:r>
    </w:p>
  </w:footnote>
  <w:footnote w:id="23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Google. (2023). Analyse de la performance web avec Google Analytics. Consulté le [5 mars 2025], sur https://analytics.google.com.</w:t>
      </w:r>
    </w:p>
  </w:footnote>
  <w:footnote w:id="233">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w:t>
      </w:r>
      <w:r w:rsidRPr="0045362C">
        <w:rPr>
          <w:rFonts w:asciiTheme="majorBidi" w:hAnsiTheme="majorBidi" w:cstheme="majorBidi"/>
          <w:color w:val="000000"/>
          <w:lang w:val="fr-FR"/>
        </w:rPr>
        <w:t>Laudon, K. C., &amp; Laudon, J. P. (2021).</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rPr>
        <w:t>Management Information Systems: Managing the Digital Firm</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(p. 112). Pearson.</w:t>
      </w:r>
    </w:p>
  </w:footnote>
  <w:footnote w:id="23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Kotler, P., Kartajaya, H., &amp; Setiawan, I. (2021).</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Marketing 5.0: Technology for Humanity</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(p. 87). Wiley.</w:t>
      </w:r>
    </w:p>
  </w:footnote>
  <w:footnote w:id="235">
    <w:p w:rsidR="00E772DD" w:rsidRPr="0045362C" w:rsidRDefault="00E772DD" w:rsidP="003D3FA7">
      <w:pPr>
        <w:pStyle w:val="Notedebasdepage"/>
        <w:rPr>
          <w:rFonts w:asciiTheme="majorBidi" w:hAnsiTheme="majorBidi" w:cstheme="majorBidi"/>
          <w:color w:val="000000"/>
        </w:rPr>
      </w:pPr>
      <w:r w:rsidRPr="0045362C">
        <w:rPr>
          <w:rStyle w:val="Appelnotedebasdep"/>
          <w:rFonts w:cstheme="majorBidi"/>
        </w:rPr>
        <w:footnoteRef/>
      </w:r>
      <w:r w:rsidRPr="0045362C">
        <w:rPr>
          <w:rFonts w:asciiTheme="majorBidi" w:hAnsiTheme="majorBidi" w:cstheme="majorBidi"/>
        </w:rPr>
        <w:t xml:space="preserve"> </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Turban, E., Pollard, C., &amp; Wood, G. (2018).</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Information Technology for Management: On-Demand Strategies for Performance, Growth and Sustainability</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(p. 193). Wiley.</w:t>
      </w:r>
    </w:p>
  </w:footnote>
  <w:footnote w:id="23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Sharda, R., Delen, D., &amp; Turban, E. (2022).</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Business Intelligence and Analytics: Systems for Decision Support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(p. 154). Pearson.</w:t>
      </w:r>
    </w:p>
  </w:footnote>
  <w:footnote w:id="23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Brynjolfsson, E., &amp; McAfee, A. (2017).</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Machine, Platform, Crowd: Harnessing Our Digital Future</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(p. 76). W. W. Norton &amp; Company.</w:t>
      </w:r>
    </w:p>
  </w:footnote>
  <w:footnote w:id="23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Davenport, T. H. (2018).</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The AI Advantage: How to Put the Artificial Intelligence Revolution to Work</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(p. 134). MIT Press.</w:t>
      </w:r>
    </w:p>
  </w:footnote>
  <w:footnote w:id="23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Kwark Education. (s.d.). La digitalisation : Définition, enjeux, avantages et inconvénients. Consulté le [5 mars 2025 ], sur https://kwark.education/blog/la-digitalisation-definition-enjeux-avantages-et-inconvenients</w:t>
      </w:r>
    </w:p>
  </w:footnote>
  <w:footnote w:id="24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Dessler, G. (2020). Human Resource Management (16e éd., p. 112). Pearson.</w:t>
      </w:r>
    </w:p>
  </w:footnote>
  <w:footnote w:id="24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Rodier, A. (2024, octobre 23). Innover au plus près des salariés et avec leur participation. Le Monde. https://www.lemonde.fr/emploi/article/2024/10/23/innover-au-plus-pres-des-salaries-et-avec-leur-participation_6358442_1698637.html</w:t>
      </w:r>
    </w:p>
  </w:footnote>
  <w:footnote w:id="24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Coron, C. (2019). Quantification en ressources humaines: Usages et analyses (p. 131). ISTE Editions Limited.</w:t>
      </w:r>
    </w:p>
  </w:footnote>
  <w:footnote w:id="24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Coron, C., Franquinet, A., &amp; Noël, F. (2019). Digital et RH - Les 4 défis stratégiques : Disruption, Marchandisation, Collaboration, Robotisation (p. 113). Vuibert.</w:t>
      </w:r>
    </w:p>
  </w:footnote>
  <w:footnote w:id="24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Jarachi, W., Lemsaadi, S., Belakhmima, M., &amp; Khatori, Y. (2022). Transformation digitale et développement de la gestion des ressources humaines. </w:t>
      </w:r>
      <w:r w:rsidRPr="0045362C">
        <w:rPr>
          <w:rFonts w:asciiTheme="majorBidi" w:hAnsiTheme="majorBidi" w:cstheme="majorBidi"/>
        </w:rPr>
        <w:t>International Journal of Accounting, Finance, Auditing, Management and Economics, 3(6-1), 155</w:t>
      </w:r>
    </w:p>
  </w:footnote>
  <w:footnote w:id="24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7B209A">
        <w:rPr>
          <w:rFonts w:asciiTheme="majorBidi" w:hAnsiTheme="majorBidi" w:cstheme="majorBidi"/>
          <w:lang w:val="en-US"/>
        </w:rPr>
        <w:t xml:space="preserve"> IGS-RH. </w:t>
      </w:r>
      <w:r w:rsidRPr="0045362C">
        <w:rPr>
          <w:rFonts w:asciiTheme="majorBidi" w:hAnsiTheme="majorBidi" w:cstheme="majorBidi"/>
          <w:lang w:val="fr-FR"/>
        </w:rPr>
        <w:t>(s.d.). La digitalisation des RH, quels impacts ? Consulté le [8 mars 2025], sur https://www.igs-ecoles.com/blogs/digitalisation-fonction-rh</w:t>
      </w:r>
    </w:p>
  </w:footnote>
  <w:footnote w:id="24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Piétrement, G. (2017). Le SIRH : Enjeux, bonnes pratiques et innovation (p. 45). Éditions Vuibert.</w:t>
      </w:r>
    </w:p>
  </w:footnote>
  <w:footnote w:id="24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SAP. (s.d.). Talent management solutions. Consulté le [9 mars 2025], sur https://www.sap.com/products/hcm/talent-management.html</w:t>
      </w:r>
    </w:p>
  </w:footnote>
  <w:footnote w:id="24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en-US"/>
        </w:rPr>
        <w:t xml:space="preserve">Workday. (2017). Why medium enterprises choose Workday. </w:t>
      </w:r>
      <w:r w:rsidRPr="0045362C">
        <w:rPr>
          <w:rFonts w:asciiTheme="majorBidi" w:hAnsiTheme="majorBidi" w:cstheme="majorBidi"/>
          <w:lang w:val="fr-FR"/>
        </w:rPr>
        <w:t>Consulté le [10 mars 2025], sur https://blog.workday.com/fr-fr/why-medium-enterprises-choose-workday.html</w:t>
      </w:r>
    </w:p>
  </w:footnote>
  <w:footnote w:id="24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Storhaye, P. (2016). Transformation, RH &amp; Digital (p. 102). Éditions EMS.</w:t>
      </w:r>
    </w:p>
  </w:footnote>
  <w:footnote w:id="25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Oracle. (s.d.). Taleo – Cloud Talent Acquisition. Consulté le [9 mars 2025], sur https://www.oracle.com/human-capital-management/talent-management/taleo/</w:t>
      </w:r>
    </w:p>
  </w:footnote>
  <w:footnote w:id="25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https://www.icims.com/company/</w:t>
      </w:r>
    </w:p>
  </w:footnote>
  <w:footnote w:id="25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Silva, F. (2008). Être e-DRH : Postmodernité, nouvelles technologies et fonctions (p. 88). Éditions Liaisons.</w:t>
      </w:r>
    </w:p>
  </w:footnote>
  <w:footnote w:id="25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7B209A">
        <w:rPr>
          <w:rFonts w:asciiTheme="majorBidi" w:hAnsiTheme="majorBidi" w:cstheme="majorBidi"/>
          <w:lang w:val="fr-FR"/>
        </w:rPr>
        <w:t xml:space="preserve"> Coursera. (s.d.). Coursera for Business. </w:t>
      </w:r>
      <w:r w:rsidRPr="0045362C">
        <w:rPr>
          <w:rFonts w:asciiTheme="majorBidi" w:hAnsiTheme="majorBidi" w:cstheme="majorBidi"/>
          <w:lang w:val="fr-FR"/>
        </w:rPr>
        <w:t>Consulté le [11 mars 2025], sur https://www.coursera.org/business</w:t>
      </w:r>
    </w:p>
  </w:footnote>
  <w:footnote w:id="25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LinkedIn. (s.d.). LinkedIn Learning. </w:t>
      </w:r>
      <w:r w:rsidRPr="0045362C">
        <w:rPr>
          <w:rFonts w:asciiTheme="majorBidi" w:hAnsiTheme="majorBidi" w:cstheme="majorBidi"/>
          <w:lang w:val="fr-FR"/>
        </w:rPr>
        <w:t>Consulté le [11 mars 2025], sur https://www.linkedin.com/learning</w:t>
      </w:r>
    </w:p>
  </w:footnote>
  <w:footnote w:id="25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Piétrement, G. (2017). Le SIRH : Enjeux, bonnes pratiques et innovation (p. 123). Éditions Vuibert.</w:t>
      </w:r>
    </w:p>
  </w:footnote>
  <w:footnote w:id="25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7B209A">
        <w:rPr>
          <w:rFonts w:asciiTheme="majorBidi" w:hAnsiTheme="majorBidi" w:cstheme="majorBidi"/>
          <w:lang w:val="fr-FR"/>
        </w:rPr>
        <w:t xml:space="preserve"> Cornerstone. (s.d.). Talent Management Platform. </w:t>
      </w:r>
      <w:r w:rsidRPr="0045362C">
        <w:rPr>
          <w:rFonts w:asciiTheme="majorBidi" w:hAnsiTheme="majorBidi" w:cstheme="majorBidi"/>
          <w:lang w:val="fr-FR"/>
        </w:rPr>
        <w:t>Consulté le [9 mars 2025], sur https://www.cornerstoneondemand.com</w:t>
      </w:r>
    </w:p>
  </w:footnote>
  <w:footnote w:id="25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Lattice. (s.d.). Performance Management Software. </w:t>
      </w:r>
      <w:r w:rsidRPr="0045362C">
        <w:rPr>
          <w:rFonts w:asciiTheme="majorBidi" w:hAnsiTheme="majorBidi" w:cstheme="majorBidi"/>
          <w:lang w:val="fr-FR"/>
        </w:rPr>
        <w:t>Consulté le [9 mars 2025], sur https://lattice.com</w:t>
      </w:r>
    </w:p>
  </w:footnote>
  <w:footnote w:id="25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évolution ou révolution passée ou à venir ? (2017). Management &amp; Avenir, 92(2), 15-39.</w:t>
      </w:r>
    </w:p>
  </w:footnote>
  <w:footnote w:id="25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7B209A">
        <w:rPr>
          <w:rFonts w:asciiTheme="majorBidi" w:hAnsiTheme="majorBidi" w:cstheme="majorBidi"/>
          <w:lang w:val="fr-FR"/>
        </w:rPr>
        <w:t xml:space="preserve"> Microsoft. (s.d.). Microsoft Teams. </w:t>
      </w:r>
      <w:r w:rsidRPr="0045362C">
        <w:rPr>
          <w:rFonts w:asciiTheme="majorBidi" w:hAnsiTheme="majorBidi" w:cstheme="majorBidi"/>
          <w:lang w:val="fr-FR"/>
        </w:rPr>
        <w:t>Consulté le [6 mars 2025], sur https://www.microsoft.com/fr-fr/microsoft-teams</w:t>
      </w:r>
    </w:p>
  </w:footnote>
  <w:footnote w:id="26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Slack. (s.d.). Slack pour les entreprises. Consulté le [9 mars 2025], sur https://slack.com/intl/fr-fr/</w:t>
      </w:r>
    </w:p>
  </w:footnote>
  <w:footnote w:id="26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Signaturit. (2024). Les 5 outils indispensables d’un service RH digitalisé. Consulté le [10 mars 2025], sur https://www.signaturit.com/fr/blog/les-5-outils-indispensables-dun-service-rh-digitalise/</w:t>
      </w:r>
    </w:p>
  </w:footnote>
  <w:footnote w:id="26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DocuSign. (s.d.). Signature électronique et gestion des contrats. Consulté le [9 mars 2025], sur https://www.docusign.com</w:t>
      </w:r>
    </w:p>
  </w:footnote>
  <w:footnote w:id="26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7B209A">
        <w:rPr>
          <w:rFonts w:asciiTheme="majorBidi" w:hAnsiTheme="majorBidi" w:cstheme="majorBidi"/>
          <w:lang w:val="fr-FR"/>
        </w:rPr>
        <w:t xml:space="preserve"> TechTarget. (s.d.). Adobe Sign. </w:t>
      </w:r>
      <w:r w:rsidRPr="0045362C">
        <w:rPr>
          <w:rFonts w:asciiTheme="majorBidi" w:hAnsiTheme="majorBidi" w:cstheme="majorBidi"/>
          <w:lang w:val="fr-FR"/>
        </w:rPr>
        <w:t>Consulté le [9 mars 2025], sur https://www.techtarget.com/searchcontentmanagement/definition/Adobe-Sign</w:t>
      </w:r>
    </w:p>
  </w:footnote>
  <w:footnote w:id="26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Les 5 outils indispensables d’un service RH digitalisé. Consulté le [9 mars 2025], sur https://www.signaturit.com/fr/blog/les-5-outils-indispensables-dun-service-rh-digitalise/</w:t>
      </w:r>
    </w:p>
  </w:footnote>
  <w:footnote w:id="26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en-US"/>
        </w:rPr>
        <w:t xml:space="preserve">Leena AI. (s.d.). AI-powered HR Chatbot &amp; Employee Experience Platform. </w:t>
      </w:r>
      <w:r w:rsidRPr="0045362C">
        <w:rPr>
          <w:rFonts w:asciiTheme="majorBidi" w:hAnsiTheme="majorBidi" w:cstheme="majorBidi"/>
          <w:color w:val="000000"/>
          <w:lang w:val="fr-FR"/>
        </w:rPr>
        <w:t>Consulté le [8 mars 2025], sur </w:t>
      </w:r>
      <w:hyperlink r:id="rId4" w:tgtFrame="_new" w:history="1">
        <w:r w:rsidRPr="0045362C">
          <w:rPr>
            <w:rStyle w:val="Lienhypertexte"/>
            <w:rFonts w:asciiTheme="majorBidi" w:eastAsiaTheme="majorEastAsia" w:hAnsiTheme="majorBidi" w:cstheme="majorBidi"/>
            <w:lang w:val="fr-FR"/>
          </w:rPr>
          <w:t>https://leena.ai</w:t>
        </w:r>
      </w:hyperlink>
    </w:p>
  </w:footnote>
  <w:footnote w:id="26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Eightfold AI. (s.d.). Talent Intelligence Platform. Consulté le [9 mars 2025], sur https://eightfold.ai</w:t>
      </w:r>
    </w:p>
  </w:footnote>
  <w:footnote w:id="26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Hassani, N.  (2017) . Chief happiness officers : les nouvelles technologies de l’information et de la communication au service du bonheur au travail. Communication &amp; management, Vol. 14(2), 99-114.</w:t>
      </w:r>
    </w:p>
  </w:footnote>
  <w:footnote w:id="26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Jive Software. (s.d.). Jive – La plateforme de collaboration d’entreprise. Consulté le [10 mars 2025], sur https://www.jivesoftware.com</w:t>
      </w:r>
    </w:p>
  </w:footnote>
  <w:footnote w:id="26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Microsoft. (s.d.). Yammer – Connecter les employés et les équipes. Consulté le [8 mars 2025], sur https://www.microsoft.com/fr-fr/microsoft-365/yammer</w:t>
      </w:r>
    </w:p>
  </w:footnote>
  <w:footnote w:id="27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Signaturit. (2024). Les 5 outils indispensables d’un service RH digitalisé. Consulté le [10 mars 2025], sur https://www.signaturit.com/fr/blog/les-5-outils-indispensables-dun-service-rh-digitalise/</w:t>
      </w:r>
    </w:p>
  </w:footnote>
  <w:footnote w:id="27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MyCrowdConnect. (s.d.). À propos de MyCrowdConnect. Consulté le [10 mars 2025], sur https://www.mycrowdconnect.com/about</w:t>
      </w:r>
    </w:p>
  </w:footnote>
  <w:footnote w:id="272">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Haegel, A.  (2016) . Chapitre 11. Mettre en place les outils de pilotage de la fonction RH. Toute la fonction Ressources Humaines - 3e éd. Savoirs - Savoir-faire - Savoir-être. </w:t>
      </w:r>
      <w:r w:rsidRPr="0045362C">
        <w:rPr>
          <w:rFonts w:asciiTheme="majorBidi" w:hAnsiTheme="majorBidi" w:cstheme="majorBidi"/>
        </w:rPr>
        <w:t>( p. 329 -355 )</w:t>
      </w:r>
    </w:p>
  </w:footnote>
  <w:footnote w:id="27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Bondarouk, T., &amp; Ruël, H. (2009). Electronic HRM in the digital age: A systematic review of the future research agenda. International Journal of Human Resource Management, 30(2), 1-25.</w:t>
      </w:r>
    </w:p>
  </w:footnote>
  <w:footnote w:id="27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Oiry, E.,  Ologeanu-Taddei, R.,  Pascal, A.  et Tchobanian, R.  (2010) . Au delà des individus et des outils, quelle place pour les politiques RH et l'organisation dans l'analyse des usages des TIC ? </w:t>
      </w:r>
      <w:r w:rsidRPr="0045362C">
        <w:rPr>
          <w:rFonts w:asciiTheme="majorBidi" w:hAnsiTheme="majorBidi" w:cstheme="majorBidi"/>
        </w:rPr>
        <w:t>Management &amp; Avenir, n° 37(7), 218-239.</w:t>
      </w:r>
    </w:p>
  </w:footnote>
  <w:footnote w:id="27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Guerrero, S.  (2023) . Chapitre 8. Les outils du pilotage social et de l’analytique RH. Les outils des RH - 5e éd. Les savoir-faire essentiels en GRH. ( p. 211 -244 ). Dunod.</w:t>
      </w:r>
    </w:p>
  </w:footnote>
  <w:footnote w:id="27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Van de Portal, M.  (2014) . Auto-évaluation et management par les compétences Un dispositif dédié à un positionnement managérial spécifique. </w:t>
      </w:r>
      <w:r w:rsidRPr="0045362C">
        <w:rPr>
          <w:rFonts w:asciiTheme="majorBidi" w:hAnsiTheme="majorBidi" w:cstheme="majorBidi"/>
        </w:rPr>
        <w:t>La Revue des Sciences</w:t>
      </w:r>
    </w:p>
  </w:footnote>
  <w:footnote w:id="27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Lévy, M.  (2021) . Chapitre 11. Les métiers de la data. Sortez vos données du frigo Une entreprise performante avec la Data et l'IA. </w:t>
      </w:r>
      <w:r w:rsidRPr="0045362C">
        <w:rPr>
          <w:rFonts w:asciiTheme="majorBidi" w:hAnsiTheme="majorBidi" w:cstheme="majorBidi"/>
        </w:rPr>
        <w:t>( p. 159 -174 ). Dunod.</w:t>
      </w:r>
    </w:p>
  </w:footnote>
  <w:footnote w:id="27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Peretti, J.  (2019) . Chapitre 3. L’organisation de la fonction. Ressources humaines Le manuel de référence - Label Fnege 2018. ( p. 59 -94 ). Vuibert.</w:t>
      </w:r>
    </w:p>
  </w:footnote>
  <w:footnote w:id="27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Brillet, F.  et Gavoille, F.  (2017) . Chapitre 1. De la notion de client au marketing RH : tour d’horizon des notions voisines. Marketing RH Réussir l'orientation marché de la politique RH. ( p. 13 -31 ). </w:t>
      </w:r>
      <w:r w:rsidRPr="0045362C">
        <w:rPr>
          <w:rFonts w:asciiTheme="majorBidi" w:hAnsiTheme="majorBidi" w:cstheme="majorBidi"/>
        </w:rPr>
        <w:t>Dunod.</w:t>
      </w:r>
    </w:p>
  </w:footnote>
  <w:footnote w:id="28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esseyre des Horts, C.  (2018) . Chapitre 3. Pour un management responsable des talents. Dans Peretti, J.,  Plane, J.,  Scouarnec, A.  et Thévenet, M.  (dir.), Une vision des ressources humaines sans frontières Mélanges en l’honneur de Jacques Igalens. </w:t>
      </w:r>
      <w:r w:rsidRPr="0045362C">
        <w:rPr>
          <w:rFonts w:asciiTheme="majorBidi" w:hAnsiTheme="majorBidi" w:cstheme="majorBidi"/>
        </w:rPr>
        <w:t>( p. 39 -49 ). EMS Éditions.</w:t>
      </w:r>
    </w:p>
  </w:footnote>
  <w:footnote w:id="28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IGS-RH. (s.d.). Les métiers RH : tendances de demain. Consulté le [12 mars 2025], sur https://www.igs-ecoles.com/blogs/les-metiers-rh-tendances-de-demain</w:t>
      </w:r>
    </w:p>
  </w:footnote>
  <w:footnote w:id="28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Salez, M.  (2015) . Dossier 16. La performance RH. Dans Besseyre des Horts, C.  (dir.), RH au quotidien - 2e éd. 100 fiches. ( 2e éd., p. 604 -662 ). </w:t>
      </w:r>
      <w:r w:rsidRPr="0045362C">
        <w:rPr>
          <w:rFonts w:asciiTheme="majorBidi" w:hAnsiTheme="majorBidi" w:cstheme="majorBidi"/>
        </w:rPr>
        <w:t>Dunod.</w:t>
      </w:r>
    </w:p>
  </w:footnote>
  <w:footnote w:id="28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Gosselin, A.  et Morvan, D.  (2016) . La gestion des talents : quatre questions à débattre au comité de direction. Gestion, Vol. 41(1), 42-49.</w:t>
      </w:r>
    </w:p>
  </w:footnote>
  <w:footnote w:id="28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Blons, E.  (2023) . Chapitre 1. Un rapide tour d’horizon des RH aujourd’hui. L'IA au cœur de l'entreprise Une alliée pour votre stratégie RH. ( p. 14 -23 ). EMS Éditions.</w:t>
      </w:r>
    </w:p>
  </w:footnote>
  <w:footnote w:id="28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Elidrissi, R.  (2024) . Façonner la GRH algorithmique avec l’IA : la fonction RH face aux tensions paradoxales dans les nouvelles façons de travailler. @GRH, N° 52(3), 13-41.</w:t>
      </w:r>
    </w:p>
  </w:footnote>
  <w:footnote w:id="28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Desmoulins, L.  (2013) . Le travail malmené par les réseaux et les TIC : ce n’est pas du cinéma ! </w:t>
      </w:r>
      <w:r w:rsidRPr="0045362C">
        <w:rPr>
          <w:rFonts w:asciiTheme="majorBidi" w:hAnsiTheme="majorBidi" w:cstheme="majorBidi"/>
        </w:rPr>
        <w:t>Management des technologies organisationnelles, N° 3(1), 127-137.</w:t>
      </w:r>
    </w:p>
  </w:footnote>
  <w:footnote w:id="287">
    <w:p w:rsidR="00E772DD" w:rsidRPr="0045362C" w:rsidRDefault="00E772DD" w:rsidP="003D3FA7">
      <w:pPr>
        <w:rPr>
          <w:rFonts w:asciiTheme="majorBidi" w:hAnsiTheme="majorBidi" w:cstheme="majorBidi"/>
          <w:sz w:val="20"/>
          <w:szCs w:val="20"/>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Entretien avec Charlez, J.  (2014) . 17. Le DRH doit être pragmatique en répondant de maniére efficace aux problématiques du moment. Dans Barabel, M.,  Meier, O. et Perret, A.  (dir.), A quoi ressemblera la fonction RH demain ? </w:t>
      </w:r>
      <w:r w:rsidRPr="0045362C">
        <w:rPr>
          <w:rFonts w:asciiTheme="majorBidi" w:hAnsiTheme="majorBidi" w:cstheme="majorBidi"/>
          <w:sz w:val="20"/>
          <w:szCs w:val="20"/>
        </w:rPr>
        <w:t>( p. 175 -180 ). Dunod.</w:t>
      </w:r>
    </w:p>
    <w:p w:rsidR="00E772DD" w:rsidRPr="0045362C" w:rsidRDefault="00E772DD" w:rsidP="003D3FA7">
      <w:pPr>
        <w:pStyle w:val="Notedebasdepage"/>
        <w:rPr>
          <w:rFonts w:asciiTheme="majorBidi" w:hAnsiTheme="majorBidi" w:cstheme="majorBidi"/>
          <w:lang w:val="fr-FR"/>
        </w:rPr>
      </w:pPr>
    </w:p>
  </w:footnote>
  <w:footnote w:id="28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Barabel, M.,  Lamri, J.,  Meier, O.  et Sirbey, B.  (2017) . Chapitre 9. Fidéliser et anticiper : la gestion des carrières et le management des talents. Innovations RH Passer en mode digital et agile. (p. 295 -321 ). Dunod.</w:t>
      </w:r>
    </w:p>
  </w:footnote>
  <w:footnote w:id="28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Barabel, M.  et Bonetto, T.  (2020) . 21. IA et développement des compétences : vers des « organisations apprenantes augmentées » ? Dans Barabel, M.,  Meier, O., Perret, A.  et Teboul, T.  (dir.), Le Grand Livre de la Formation - 3e éd. Techniques et pratiques des professionnels du développement des compétences. </w:t>
      </w:r>
      <w:r w:rsidRPr="0045362C">
        <w:rPr>
          <w:rFonts w:asciiTheme="majorBidi" w:hAnsiTheme="majorBidi" w:cstheme="majorBidi"/>
        </w:rPr>
        <w:t>(p. 491 -505).</w:t>
      </w:r>
    </w:p>
  </w:footnote>
  <w:footnote w:id="29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Bouvard, P.  (2015) . Troisième partie. Remettre l’entreprise dans le cœur de l’homme. #RHreconnect Idées, pratiques et outils RH pour l’avenir de l’entreprise. </w:t>
      </w:r>
      <w:r w:rsidRPr="0045362C">
        <w:rPr>
          <w:rFonts w:asciiTheme="majorBidi" w:hAnsiTheme="majorBidi" w:cstheme="majorBidi"/>
        </w:rPr>
        <w:t>( p. 79 -118 ). EMS Éditions.</w:t>
      </w:r>
    </w:p>
  </w:footnote>
  <w:footnote w:id="29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Ruiz, S.,  Propos recueillis par Longo, L.  (2019) . Établir une relation de confiance et développer une culture RGPD en entreprise : le rôle du Data Privacy Manager chez Axima Concept (Engie) I2D - Information, données &amp; documents, n° 1(1), 82-86.</w:t>
      </w:r>
    </w:p>
  </w:footnote>
  <w:footnote w:id="29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Fouilleron, A.,  Monteils, J.,  Pissaloux, J.,  Edel, F.,  Supplisson, D.  et Delaunay, B. (2016) . Chronique de l’administration. Revue française d'administration publique, N° 157(1), 239-272.</w:t>
      </w:r>
    </w:p>
  </w:footnote>
  <w:footnote w:id="29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Coulaty, B.  (2024) . Chapitre 24. Développement des compétences stratégiques RH. Engager pour transformer Managers et DRH, coproducteurs d'une nouvelle fonction humaine. </w:t>
      </w:r>
      <w:r w:rsidRPr="0045362C">
        <w:rPr>
          <w:rFonts w:asciiTheme="majorBidi" w:hAnsiTheme="majorBidi" w:cstheme="majorBidi"/>
        </w:rPr>
        <w:t>( p. 391 -414 ). EMS Éditions.</w:t>
      </w:r>
    </w:p>
  </w:footnote>
  <w:footnote w:id="29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Ruiz, S.,  Propos recueillis par Longo, L.  (2019) . Établir une relation de confiance et développer une culture RGPD en entreprise : le rôle du Data Privacy Manager chez Axima Concept (Engie) I2D - Information, données &amp; documents, n° 1(1), 82-86.</w:t>
      </w:r>
    </w:p>
  </w:footnote>
  <w:footnote w:id="29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Barabel, M.  et Meier, O.  (2020) . Introduction. État des lieux pré-Covid-19. Dans Barabel, M.  et Meier, O.  (dir.), Les RH à l'ère du Covid-19 Les bonnes pratiques à retenir. ( p. 16 -27 ). Dunod.</w:t>
      </w:r>
    </w:p>
  </w:footnote>
  <w:footnote w:id="29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Peretti, J.-M. (2013). La gestion des ressources humaines (19e éd., pp. 69-70). Paris : Vuibert.</w:t>
      </w:r>
    </w:p>
  </w:footnote>
  <w:footnote w:id="29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Tilioua, A. (2015). Le point sur le e-recrutement en Algérie. LANCOMNET, 2(2), 200-232. </w:t>
      </w:r>
      <w:hyperlink r:id="rId5" w:history="1">
        <w:r w:rsidRPr="0045362C">
          <w:rPr>
            <w:rStyle w:val="Lienhypertexte"/>
            <w:rFonts w:asciiTheme="majorBidi" w:eastAsiaTheme="majorEastAsia" w:hAnsiTheme="majorBidi" w:cstheme="majorBidi"/>
            <w:lang w:val="fr-FR"/>
          </w:rPr>
          <w:t>https://asjp.cerist.dz/en/article/77096</w:t>
        </w:r>
      </w:hyperlink>
      <w:r w:rsidRPr="0045362C">
        <w:rPr>
          <w:rFonts w:asciiTheme="majorBidi" w:hAnsiTheme="majorBidi" w:cstheme="majorBidi"/>
          <w:lang w:val="fr-FR"/>
        </w:rPr>
        <w:t xml:space="preserve"> </w:t>
      </w:r>
    </w:p>
  </w:footnote>
  <w:footnote w:id="298">
    <w:p w:rsidR="00E772DD" w:rsidRPr="0045362C" w:rsidRDefault="00E772DD" w:rsidP="003D3FA7">
      <w:pPr>
        <w:rPr>
          <w:rFonts w:asciiTheme="majorBidi" w:hAnsiTheme="majorBidi" w:cstheme="majorBidi"/>
          <w:color w:val="000000"/>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w:t>
      </w:r>
      <w:r w:rsidRPr="0045362C">
        <w:rPr>
          <w:rFonts w:asciiTheme="majorBidi" w:hAnsiTheme="majorBidi" w:cstheme="majorBidi"/>
          <w:color w:val="000000"/>
          <w:sz w:val="20"/>
          <w:szCs w:val="20"/>
          <w:lang w:val="fr-FR"/>
        </w:rPr>
        <w:t>ScopTalent. (2023). E-recrutement : Définition, avantages et outils. </w:t>
      </w:r>
      <w:hyperlink r:id="rId6" w:tgtFrame="_blank" w:history="1">
        <w:r w:rsidRPr="0045362C">
          <w:rPr>
            <w:rFonts w:asciiTheme="majorBidi" w:hAnsiTheme="majorBidi" w:cstheme="majorBidi"/>
            <w:color w:val="0000FF"/>
            <w:sz w:val="20"/>
            <w:szCs w:val="20"/>
            <w:u w:val="single"/>
            <w:lang w:val="fr-FR"/>
          </w:rPr>
          <w:t>scoptalent.com</w:t>
        </w:r>
      </w:hyperlink>
    </w:p>
  </w:footnote>
  <w:footnote w:id="299">
    <w:p w:rsidR="00E772DD" w:rsidRPr="0045362C" w:rsidRDefault="00E772DD" w:rsidP="003D3FA7">
      <w:pPr>
        <w:spacing w:before="100" w:beforeAutospacing="1" w:after="100" w:afterAutospacing="1"/>
        <w:jc w:val="both"/>
        <w:rPr>
          <w:rFonts w:asciiTheme="majorBidi" w:hAnsiTheme="majorBidi" w:cstheme="majorBidi"/>
          <w:color w:val="000000"/>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w:t>
      </w:r>
      <w:r w:rsidRPr="0045362C">
        <w:rPr>
          <w:rFonts w:asciiTheme="majorBidi" w:hAnsiTheme="majorBidi" w:cstheme="majorBidi"/>
          <w:color w:val="000000"/>
          <w:sz w:val="20"/>
          <w:szCs w:val="20"/>
          <w:lang w:val="fr-FR"/>
        </w:rPr>
        <w:t>Layan. (2024). Les tendances et outils de l'e-recrutement en 2024. </w:t>
      </w:r>
      <w:hyperlink r:id="rId7" w:tgtFrame="_blank" w:history="1">
        <w:r w:rsidRPr="0045362C">
          <w:rPr>
            <w:rFonts w:asciiTheme="majorBidi" w:hAnsiTheme="majorBidi" w:cstheme="majorBidi"/>
            <w:color w:val="0000FF"/>
            <w:sz w:val="20"/>
            <w:szCs w:val="20"/>
            <w:u w:val="single"/>
            <w:lang w:val="fr-FR"/>
          </w:rPr>
          <w:t>layan.eu</w:t>
        </w:r>
      </w:hyperlink>
    </w:p>
  </w:footnote>
  <w:footnote w:id="300">
    <w:p w:rsidR="00E772DD" w:rsidRPr="0045362C" w:rsidRDefault="00E772DD" w:rsidP="003D3FA7">
      <w:pPr>
        <w:spacing w:before="100" w:beforeAutospacing="1" w:after="100" w:afterAutospacing="1"/>
        <w:jc w:val="both"/>
        <w:rPr>
          <w:rFonts w:asciiTheme="majorBidi" w:hAnsiTheme="majorBidi" w:cstheme="majorBidi"/>
          <w:color w:val="000000"/>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w:t>
      </w:r>
      <w:r w:rsidRPr="0045362C">
        <w:rPr>
          <w:rFonts w:asciiTheme="majorBidi" w:hAnsiTheme="majorBidi" w:cstheme="majorBidi"/>
          <w:color w:val="000000"/>
          <w:sz w:val="20"/>
          <w:szCs w:val="20"/>
          <w:lang w:val="fr-FR"/>
        </w:rPr>
        <w:t>Cegid. (2024). Top 20 des outils de recrutement. </w:t>
      </w:r>
      <w:hyperlink r:id="rId8" w:tgtFrame="_blank" w:history="1">
        <w:r w:rsidRPr="0045362C">
          <w:rPr>
            <w:rFonts w:asciiTheme="majorBidi" w:hAnsiTheme="majorBidi" w:cstheme="majorBidi"/>
            <w:color w:val="0000FF"/>
            <w:sz w:val="20"/>
            <w:szCs w:val="20"/>
            <w:u w:val="single"/>
            <w:lang w:val="fr-FR"/>
          </w:rPr>
          <w:t>cegid.com</w:t>
        </w:r>
      </w:hyperlink>
    </w:p>
  </w:footnote>
  <w:footnote w:id="301">
    <w:p w:rsidR="00E772DD" w:rsidRPr="0045362C" w:rsidRDefault="00E772DD" w:rsidP="003D3FA7">
      <w:pPr>
        <w:spacing w:before="100" w:beforeAutospacing="1" w:after="100" w:afterAutospacing="1"/>
        <w:jc w:val="both"/>
        <w:rPr>
          <w:rFonts w:asciiTheme="majorBidi" w:hAnsiTheme="majorBidi" w:cstheme="majorBidi"/>
          <w:color w:val="000000"/>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w:t>
      </w:r>
      <w:r w:rsidRPr="0045362C">
        <w:rPr>
          <w:rFonts w:asciiTheme="majorBidi" w:hAnsiTheme="majorBidi" w:cstheme="majorBidi"/>
          <w:color w:val="000000"/>
          <w:sz w:val="20"/>
          <w:szCs w:val="20"/>
          <w:lang w:val="fr-FR"/>
        </w:rPr>
        <w:t>Recruitee. (2024). Le top 30 des meilleurs outils de recrutement à adopter. </w:t>
      </w:r>
      <w:hyperlink r:id="rId9" w:tgtFrame="_blank" w:history="1">
        <w:r w:rsidRPr="0045362C">
          <w:rPr>
            <w:rFonts w:asciiTheme="majorBidi" w:hAnsiTheme="majorBidi" w:cstheme="majorBidi"/>
            <w:color w:val="0000FF"/>
            <w:sz w:val="20"/>
            <w:szCs w:val="20"/>
            <w:u w:val="single"/>
            <w:lang w:val="fr-FR"/>
          </w:rPr>
          <w:t>recruitee.com</w:t>
        </w:r>
      </w:hyperlink>
    </w:p>
  </w:footnote>
  <w:footnote w:id="302">
    <w:p w:rsidR="008547A4" w:rsidRPr="00847F4A" w:rsidRDefault="008547A4">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fr-FR"/>
        </w:rPr>
        <w:t>Le Louarn, J.-Y., &amp; Wils, T. (2020).</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lang w:val="fr-FR"/>
        </w:rPr>
        <w:t>Stratégies de recrutement et transformation digitale</w:t>
      </w:r>
      <w:r w:rsidRPr="0045362C">
        <w:rPr>
          <w:rStyle w:val="apple-converted-space"/>
          <w:rFonts w:asciiTheme="majorBidi" w:hAnsiTheme="majorBidi" w:cstheme="majorBidi"/>
          <w:color w:val="000000"/>
          <w:lang w:val="fr-FR"/>
        </w:rPr>
        <w:t> </w:t>
      </w:r>
      <w:r w:rsidRPr="0045362C">
        <w:rPr>
          <w:rFonts w:asciiTheme="majorBidi" w:hAnsiTheme="majorBidi" w:cstheme="majorBidi"/>
          <w:color w:val="000000"/>
          <w:lang w:val="fr-FR"/>
        </w:rPr>
        <w:t>(p. 142). Presses Universitaires de France.</w:t>
      </w:r>
    </w:p>
  </w:footnote>
  <w:footnote w:id="303">
    <w:p w:rsidR="008547A4" w:rsidRPr="00847F4A" w:rsidRDefault="008547A4">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fr-FR"/>
        </w:rPr>
        <w:t>Dufour, M. (2021).</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lang w:val="fr-FR"/>
        </w:rPr>
        <w:t>L’intelligence artificielle appliquée aux RH</w:t>
      </w:r>
      <w:r w:rsidRPr="0045362C">
        <w:rPr>
          <w:rStyle w:val="apple-converted-space"/>
          <w:rFonts w:asciiTheme="majorBidi" w:hAnsiTheme="majorBidi" w:cstheme="majorBidi"/>
          <w:color w:val="000000"/>
          <w:lang w:val="fr-FR"/>
        </w:rPr>
        <w:t> </w:t>
      </w:r>
      <w:r w:rsidRPr="0045362C">
        <w:rPr>
          <w:rFonts w:asciiTheme="majorBidi" w:hAnsiTheme="majorBidi" w:cstheme="majorBidi"/>
          <w:color w:val="000000"/>
          <w:lang w:val="fr-FR"/>
        </w:rPr>
        <w:t>(p. 87). Eyrolles.</w:t>
      </w:r>
    </w:p>
  </w:footnote>
  <w:footnote w:id="304">
    <w:p w:rsidR="00E772DD" w:rsidRPr="0045362C" w:rsidRDefault="00E772DD" w:rsidP="003D3FA7">
      <w:pPr>
        <w:spacing w:before="100" w:beforeAutospacing="1" w:after="100" w:afterAutospacing="1"/>
        <w:jc w:val="both"/>
        <w:rPr>
          <w:rFonts w:asciiTheme="majorBidi" w:hAnsiTheme="majorBidi" w:cstheme="majorBidi"/>
          <w:color w:val="000000"/>
          <w:sz w:val="20"/>
          <w:szCs w:val="20"/>
          <w:lang w:val="fr-FR"/>
        </w:rPr>
      </w:pPr>
      <w:r w:rsidRPr="0045362C">
        <w:rPr>
          <w:rStyle w:val="Appelnotedebasdep"/>
          <w:rFonts w:cstheme="majorBidi"/>
          <w:szCs w:val="20"/>
        </w:rPr>
        <w:footnoteRef/>
      </w:r>
      <w:r w:rsidRPr="0045362C">
        <w:rPr>
          <w:rFonts w:asciiTheme="majorBidi" w:hAnsiTheme="majorBidi" w:cstheme="majorBidi"/>
          <w:sz w:val="20"/>
          <w:szCs w:val="20"/>
          <w:lang w:val="fr-FR"/>
        </w:rPr>
        <w:t xml:space="preserve"> </w:t>
      </w:r>
      <w:r w:rsidRPr="0045362C">
        <w:rPr>
          <w:rFonts w:asciiTheme="majorBidi" w:hAnsiTheme="majorBidi" w:cstheme="majorBidi"/>
          <w:color w:val="000000"/>
          <w:sz w:val="20"/>
          <w:szCs w:val="20"/>
          <w:lang w:val="fr-FR"/>
        </w:rPr>
        <w:t>Kessler, T. (2020).</w:t>
      </w:r>
      <w:r w:rsidRPr="0045362C">
        <w:rPr>
          <w:rStyle w:val="apple-converted-space"/>
          <w:rFonts w:asciiTheme="majorBidi" w:hAnsiTheme="majorBidi" w:cstheme="majorBidi"/>
          <w:color w:val="000000"/>
          <w:sz w:val="20"/>
          <w:szCs w:val="20"/>
          <w:lang w:val="fr-FR"/>
        </w:rPr>
        <w:t> </w:t>
      </w:r>
      <w:r w:rsidRPr="0045362C">
        <w:rPr>
          <w:rStyle w:val="Accentuation"/>
          <w:rFonts w:asciiTheme="majorBidi" w:hAnsiTheme="majorBidi" w:cstheme="majorBidi"/>
          <w:i w:val="0"/>
          <w:iCs w:val="0"/>
          <w:color w:val="000000"/>
          <w:sz w:val="20"/>
          <w:szCs w:val="20"/>
          <w:lang w:val="fr-FR"/>
        </w:rPr>
        <w:t>Freelance et nouveaux modes de travail</w:t>
      </w:r>
      <w:r w:rsidRPr="0045362C">
        <w:rPr>
          <w:rStyle w:val="apple-converted-space"/>
          <w:rFonts w:asciiTheme="majorBidi" w:hAnsiTheme="majorBidi" w:cstheme="majorBidi"/>
          <w:color w:val="000000"/>
          <w:sz w:val="20"/>
          <w:szCs w:val="20"/>
          <w:lang w:val="fr-FR"/>
        </w:rPr>
        <w:t> </w:t>
      </w:r>
      <w:r w:rsidRPr="0045362C">
        <w:rPr>
          <w:rFonts w:asciiTheme="majorBidi" w:hAnsiTheme="majorBidi" w:cstheme="majorBidi"/>
          <w:color w:val="000000"/>
          <w:sz w:val="20"/>
          <w:szCs w:val="20"/>
          <w:lang w:val="fr-FR"/>
        </w:rPr>
        <w:t>(p. 133). Éditions Management.</w:t>
      </w:r>
    </w:p>
  </w:footnote>
  <w:footnote w:id="305">
    <w:p w:rsidR="008547A4" w:rsidRPr="00847F4A" w:rsidRDefault="008547A4">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lang w:val="fr-FR"/>
        </w:rPr>
        <w:t>Bonnet, P. (2022).</w:t>
      </w:r>
      <w:r w:rsidRPr="0045362C">
        <w:rPr>
          <w:rStyle w:val="apple-converted-space"/>
          <w:rFonts w:asciiTheme="majorBidi" w:hAnsiTheme="majorBidi" w:cstheme="majorBidi"/>
          <w:color w:val="000000"/>
          <w:lang w:val="fr-FR"/>
        </w:rPr>
        <w:t> </w:t>
      </w:r>
      <w:r w:rsidRPr="0045362C">
        <w:rPr>
          <w:rStyle w:val="Accentuation"/>
          <w:rFonts w:asciiTheme="majorBidi" w:hAnsiTheme="majorBidi" w:cstheme="majorBidi"/>
          <w:i w:val="0"/>
          <w:iCs w:val="0"/>
          <w:color w:val="000000"/>
          <w:lang w:val="fr-FR"/>
        </w:rPr>
        <w:t>Gestion des talents et digitalisation des RH</w:t>
      </w:r>
      <w:r w:rsidRPr="0045362C">
        <w:rPr>
          <w:rStyle w:val="apple-converted-space"/>
          <w:rFonts w:asciiTheme="majorBidi" w:hAnsiTheme="majorBidi" w:cstheme="majorBidi"/>
          <w:color w:val="000000"/>
          <w:lang w:val="fr-FR"/>
        </w:rPr>
        <w:t> </w:t>
      </w:r>
      <w:r w:rsidRPr="0045362C">
        <w:rPr>
          <w:rFonts w:asciiTheme="majorBidi" w:hAnsiTheme="majorBidi" w:cstheme="majorBidi"/>
          <w:color w:val="000000"/>
          <w:lang w:val="fr-FR"/>
        </w:rPr>
        <w:t>(p. 203). Pearson.</w:t>
      </w:r>
    </w:p>
  </w:footnote>
  <w:footnote w:id="306">
    <w:p w:rsidR="00E772DD" w:rsidRPr="0045362C" w:rsidRDefault="00E772DD" w:rsidP="003D3FA7">
      <w:pPr>
        <w:pStyle w:val="Notedebasdepage"/>
        <w:jc w:val="both"/>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Durand, J. (2021). Le recrutement digital : enjeux et outils (p. 92). </w:t>
      </w:r>
      <w:r w:rsidRPr="0045362C">
        <w:rPr>
          <w:rFonts w:asciiTheme="majorBidi" w:hAnsiTheme="majorBidi" w:cstheme="majorBidi"/>
        </w:rPr>
        <w:t>Dunod.</w:t>
      </w:r>
    </w:p>
  </w:footnote>
  <w:footnote w:id="307">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Dessler, G. (2020). Human Resource Management (16e éd.). Pearson. p. 212.</w:t>
      </w:r>
    </w:p>
  </w:footnote>
  <w:footnote w:id="30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Bratton, J., &amp; Gold, J. (2017). Human Resource Management: Theory and Practice (6e éd.). Palgrave Macmillan. p. 189.</w:t>
      </w:r>
    </w:p>
  </w:footnote>
  <w:footnote w:id="309">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Noe, R. A., Hollenbeck, J. R., Gerhart, B., &amp; Wright, P. M. (2019). Fundamentals of Human Resource Management (8e éd.). McGraw-Hill Education. p. 145.</w:t>
      </w:r>
    </w:p>
  </w:footnote>
  <w:footnote w:id="310">
    <w:p w:rsidR="00A27C55" w:rsidRPr="0045362C" w:rsidRDefault="00A27C55">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Brewster, C., Chung, C., &amp; Sparrow, P. (2016). Globalizing Human Resource Management (2e éd.). Routledge. p. 213.</w:t>
      </w:r>
    </w:p>
  </w:footnote>
  <w:footnote w:id="311">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Armstrong, M., &amp; Taylor, S. (2020). Armstrong's Handbook of Human Resource Management Practice (15e éd.). Kogan Page. p. 286.</w:t>
      </w:r>
    </w:p>
  </w:footnote>
  <w:footnote w:id="31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Lepak, D. P., &amp; Gowan, M. (2017). Human Resource Management: Managing Employees for Competitive Advantage (2e éd.). </w:t>
      </w:r>
      <w:r w:rsidRPr="0045362C">
        <w:rPr>
          <w:rFonts w:asciiTheme="majorBidi" w:hAnsiTheme="majorBidi" w:cstheme="majorBidi"/>
          <w:lang w:val="fr-FR"/>
        </w:rPr>
        <w:t>Pearson. p. 254.</w:t>
      </w:r>
    </w:p>
  </w:footnote>
  <w:footnote w:id="313">
    <w:p w:rsidR="00E772DD" w:rsidRPr="0045362C" w:rsidRDefault="00E772DD" w:rsidP="003D3FA7">
      <w:pPr>
        <w:pStyle w:val="Notedebasdepage"/>
        <w:jc w:val="both"/>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Besson, L., &amp; Digout, J. (2012). E-Recrutement à l'ère du web 2.0 et des réseaux sociaux (pp. 45-67). Vuibert.</w:t>
      </w:r>
    </w:p>
  </w:footnote>
  <w:footnote w:id="31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Tchameni Ngamo, S. (2021). Les nouvelles approches de l’e-learning (p. 45). Éditions Management.</w:t>
      </w:r>
    </w:p>
  </w:footnote>
  <w:footnote w:id="31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Durand, J. (2021). Digitalisation et formation professionnelle (p. 82). Dunod.</w:t>
      </w:r>
    </w:p>
  </w:footnote>
  <w:footnote w:id="31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Bourdet, P. (2020). L’apprentissage à distance : Histoire et perspectives (p. 30). Presses Universitaires de France.</w:t>
      </w:r>
    </w:p>
  </w:footnote>
  <w:footnote w:id="31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Leclercq, B. (2021). Stratégies d’apprentissage en ligne : Théories et pratiques (p. 56). Vuibert.</w:t>
      </w:r>
    </w:p>
  </w:footnote>
  <w:footnote w:id="31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Nguyen, T. (2019). Les MOOCs et la démocratisation du savoir (p. 67). L’Harmattan.</w:t>
      </w:r>
    </w:p>
  </w:footnote>
  <w:footnote w:id="31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Giraud, L. (2022). Intelligence artificielle et formation continue (p. 104). Eyrolles.</w:t>
      </w:r>
    </w:p>
  </w:footnote>
  <w:footnote w:id="32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Céreq. (2015). Recruter et former : un enjeu pour adapter et stabiliser les salariés dans l'entreprise. Centre d'études et de recherches sur les qualifications. p. 45.</w:t>
      </w:r>
    </w:p>
  </w:footnote>
  <w:footnote w:id="321">
    <w:p w:rsidR="00A27C55" w:rsidRPr="00847F4A" w:rsidRDefault="00A27C55">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lang w:val="fr-FR"/>
        </w:rPr>
        <w:t>Locufier, A. (2015). Rôle des pratiques de recrutement et d'intégration et de fidélisation des jeunes diplômés. Université de Lille. p. 89.</w:t>
      </w:r>
    </w:p>
  </w:footnote>
  <w:footnote w:id="322">
    <w:p w:rsidR="00A27C55" w:rsidRPr="0045362C" w:rsidRDefault="00A27C55" w:rsidP="00A27C55">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lang w:val="fr-FR"/>
        </w:rPr>
        <w:t>Cadin, L., Guérin, F., &amp; Pigeyre, F. (2012). Gestion des ressources humaines (12e éd.). Dunod. p. 299.</w:t>
      </w:r>
    </w:p>
  </w:footnote>
  <w:footnote w:id="323">
    <w:p w:rsidR="00A27C55" w:rsidRPr="00847F4A" w:rsidRDefault="00A27C55">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lang w:val="fr-FR"/>
        </w:rPr>
        <w:t>Godin, S. (2014). Enjeux, défis et pratiques de recrutement. Université du Québec en Outaouais. p. 67.</w:t>
      </w:r>
    </w:p>
  </w:footnote>
  <w:footnote w:id="32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Céreq. (2015). Recruter et former : un enjeu pour adapter et stabiliser les salariés dans l'entreprise. </w:t>
      </w:r>
      <w:r w:rsidRPr="0045362C">
        <w:rPr>
          <w:rFonts w:asciiTheme="majorBidi" w:hAnsiTheme="majorBidi" w:cstheme="majorBidi"/>
        </w:rPr>
        <w:t>Centre d'études et de recherches sur les qualifications. p.112.</w:t>
      </w:r>
    </w:p>
  </w:footnote>
  <w:footnote w:id="325">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Louati, F.  et Hikkerova, L.  (2016) . Gestion des connaissances par les ressources humaines : cas du secteur des services en Tunisie. Management &amp; Prospective, Volume 33(1), 33-52</w:t>
      </w:r>
    </w:p>
  </w:footnote>
  <w:footnote w:id="32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Lefebvre, S. (2021). Stratégies d’apprentissage numérique (p. 112). Vuibert.</w:t>
      </w:r>
    </w:p>
  </w:footnote>
  <w:footnote w:id="32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Ricard, N. (2020). Motivation et engagement dans l’apprentissage en ligne (p. 95). Presses Universitaires de France.</w:t>
      </w:r>
    </w:p>
  </w:footnote>
  <w:footnote w:id="32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Tavernier, O. (2021). Les inégalités numériques et l’accès à la formation (p. 104). CNRS Éditions.</w:t>
      </w:r>
    </w:p>
  </w:footnote>
  <w:footnote w:id="32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Simon, H. (2022). Protection des données dans le e-learning (p. 87). Springer.</w:t>
      </w:r>
    </w:p>
  </w:footnote>
  <w:footnote w:id="330">
    <w:p w:rsidR="00A27C55" w:rsidRPr="0045362C" w:rsidRDefault="00A27C55" w:rsidP="00A27C55">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lang w:val="fr-FR"/>
        </w:rPr>
        <w:t>Barthe, P. (2021). L’apprentissage à l’ère du numérique (p. 54). Presses Universitaires de Lyon.</w:t>
      </w:r>
    </w:p>
  </w:footnote>
  <w:footnote w:id="33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Morel, L. (2020). Digitalisation de la formation en entreprise (p. 89). Pearson.</w:t>
      </w:r>
    </w:p>
  </w:footnote>
  <w:footnote w:id="33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Dumont, C. (2022). Intelligence artificielle et formation continue (p. 112). Éditions Management.</w:t>
      </w:r>
    </w:p>
  </w:footnote>
  <w:footnote w:id="33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Martin, J., &amp; Lemoine, F. (2019). Formation et technologies immersives (p. 76). Éditions Eyrolles.</w:t>
      </w:r>
    </w:p>
  </w:footnote>
  <w:footnote w:id="33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Lefebvre, S. (2021). Stratégies d’apprentissage numérique (p. 97). Vuibert.</w:t>
      </w:r>
    </w:p>
  </w:footnote>
  <w:footnote w:id="335">
    <w:p w:rsidR="00297FE5" w:rsidRPr="00847F4A" w:rsidRDefault="00297FE5">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lang w:val="fr-FR"/>
        </w:rPr>
        <w:t>Ricard, N. (2020). Motivation et engagement dans l’apprentissage en ligne (p. 134). Presses Universitaires de France.</w:t>
      </w:r>
    </w:p>
  </w:footnote>
  <w:footnote w:id="336">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Bernard, A. (2018). Les nouvelles méthodes d’apprentissage : Enjeux et défis (p. 102). Dunod.</w:t>
      </w:r>
    </w:p>
  </w:footnote>
  <w:footnote w:id="33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Tavernier, O. (2021). Les inégalités numériques et l’accès à la formation (p. 87). CNRS Éditions.</w:t>
      </w:r>
    </w:p>
  </w:footnote>
  <w:footnote w:id="33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Gauthier, M. (2020). E-learning et digitalisation des compétences (p. 69). L’Harmattan.</w:t>
      </w:r>
    </w:p>
  </w:footnote>
  <w:footnote w:id="339">
    <w:p w:rsidR="00297FE5" w:rsidRPr="0045362C" w:rsidRDefault="00297FE5" w:rsidP="00297FE5">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lang w:val="fr-FR"/>
        </w:rPr>
        <w:t>Simon, H. (2022). Protection des données dans le e-learning (p. 108). Springer.</w:t>
      </w:r>
    </w:p>
  </w:footnote>
  <w:footnote w:id="34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Bellier, P. (2021). La formation digitale en entreprise : Stratégies et pratiques. </w:t>
      </w:r>
      <w:r w:rsidRPr="0045362C">
        <w:rPr>
          <w:rFonts w:asciiTheme="majorBidi" w:hAnsiTheme="majorBidi" w:cstheme="majorBidi"/>
        </w:rPr>
        <w:t>Dunod. p. 102.</w:t>
      </w:r>
    </w:p>
  </w:footnote>
  <w:footnote w:id="34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Brewster, C., Chung, C., &amp; Sparrow, P. (2016). Globalizing Human Resource Management (2e éd.). </w:t>
      </w:r>
      <w:r w:rsidRPr="0045362C">
        <w:rPr>
          <w:rFonts w:asciiTheme="majorBidi" w:hAnsiTheme="majorBidi" w:cstheme="majorBidi"/>
          <w:lang w:val="fr-FR"/>
        </w:rPr>
        <w:t>Routledge. p. 227.</w:t>
      </w:r>
    </w:p>
  </w:footnote>
  <w:footnote w:id="342">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Martin, C., &amp; Petit, S. (2020). Pédagogie numérique : Méthodes et outils pour l’apprentissage en ligne. Presses Universitaires de France. p. 211.</w:t>
      </w:r>
    </w:p>
  </w:footnote>
  <w:footnote w:id="34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Rivière, M. (2021). L’intelligence artificielle au service de la formation professionnelle. Vuibert. p. 179.</w:t>
      </w:r>
    </w:p>
  </w:footnote>
  <w:footnote w:id="344">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Bernard, P. (2021). Les LMS et la digitalisation de la formation. </w:t>
      </w:r>
      <w:r w:rsidRPr="0045362C">
        <w:rPr>
          <w:rFonts w:asciiTheme="majorBidi" w:hAnsiTheme="majorBidi" w:cstheme="majorBidi"/>
        </w:rPr>
        <w:t>Vuibert. p. 167.</w:t>
      </w:r>
    </w:p>
  </w:footnote>
  <w:footnote w:id="345">
    <w:p w:rsidR="003A1F0E" w:rsidRPr="0045362C" w:rsidRDefault="003A1F0E">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Bratton, J., &amp; Gold, J. (2017). Human Resource Management: Theory and Practice (6e éd.). Palgrave Macmillan. p. 265.</w:t>
      </w:r>
    </w:p>
  </w:footnote>
  <w:footnote w:id="346">
    <w:p w:rsidR="003A1F0E" w:rsidRPr="0045362C" w:rsidRDefault="003A1F0E" w:rsidP="003A1F0E">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Lepak, D. P., &amp; Gowan, M. (2017). Human Resource Management: Managing Employees for Competitive Advantage (2e éd.). </w:t>
      </w:r>
      <w:r w:rsidRPr="0045362C">
        <w:rPr>
          <w:rFonts w:asciiTheme="majorBidi" w:hAnsiTheme="majorBidi" w:cstheme="majorBidi"/>
          <w:lang w:val="fr-FR"/>
        </w:rPr>
        <w:t>Pearson. p. 278.</w:t>
      </w:r>
    </w:p>
    <w:p w:rsidR="003A1F0E" w:rsidRPr="00847F4A" w:rsidRDefault="003A1F0E">
      <w:pPr>
        <w:pStyle w:val="Notedebasdepage"/>
        <w:rPr>
          <w:rFonts w:asciiTheme="majorBidi" w:hAnsiTheme="majorBidi" w:cstheme="majorBidi"/>
          <w:lang w:val="fr-FR"/>
        </w:rPr>
      </w:pPr>
    </w:p>
  </w:footnote>
  <w:footnote w:id="347">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Céreq. (2015). Recruter et former : un enjeu pour adapter et stabiliser les salariés dans l'entreprise. Centre d'études et de recherches sur les qualifications. p. 132</w:t>
      </w:r>
    </w:p>
  </w:footnote>
  <w:footnote w:id="348">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Godin, S. (2014). Enjeux, défis et pratiques de recrutement. Université du Québec en Outaouais. p. 92</w:t>
      </w:r>
    </w:p>
  </w:footnote>
  <w:footnote w:id="349">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Locufier, A. (2015). Rôle des pratiques de recrutement et d'intégration et de fidélisation des jeunes diplômés. Université de Lille. p. 115</w:t>
      </w:r>
    </w:p>
  </w:footnote>
  <w:footnote w:id="350">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Cadin, L., Guérin, F., &amp; Pigeyre, F. (2012). Gestion des ressources humaines (12e éd.). Dunod. p. 310</w:t>
      </w:r>
    </w:p>
  </w:footnote>
  <w:footnote w:id="35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Céreq. (2015). Recruter et former : un enjeu pour adapter et stabiliser les salariés dans l'entreprise. Centre d'études et de recherches sur les qualifications. p.140</w:t>
      </w:r>
    </w:p>
  </w:footnote>
  <w:footnote w:id="352">
    <w:p w:rsidR="003A1F0E" w:rsidRPr="00847F4A" w:rsidRDefault="003A1F0E">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lang w:val="fr-FR"/>
        </w:rPr>
        <w:t>Godin, S. (2014). Enjeux, défis et pratiques de recrutement. Université du Québec en Outaouais. p.108.</w:t>
      </w:r>
    </w:p>
  </w:footnote>
  <w:footnote w:id="353">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Locufier, A. (2015). Rôle des pratiques de recrutement et d'intégration et de fidélisation des jeunes diplômés. Université de Lille. p.130.</w:t>
      </w:r>
    </w:p>
  </w:footnote>
  <w:footnote w:id="354">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lang w:val="fr-FR"/>
        </w:rPr>
        <w:t xml:space="preserve"> Céreq. (2015). Recruter et former : un enjeu pour adapter et stabiliser les salariés dans l'entreprise. Centre d'études et de recherches sur les qualifications. p.150.</w:t>
      </w:r>
    </w:p>
  </w:footnote>
  <w:footnote w:id="355">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lang w:val="fr-FR"/>
        </w:rPr>
        <w:t xml:space="preserve"> Cadin, L., Guérin, F., &amp; Pigeyre, F. (2012). Gestion des ressources humaines (12e éd.). </w:t>
      </w:r>
      <w:r w:rsidRPr="0045362C">
        <w:rPr>
          <w:rFonts w:asciiTheme="majorBidi" w:hAnsiTheme="majorBidi" w:cstheme="majorBidi"/>
        </w:rPr>
        <w:t>Dunod. p.320.</w:t>
      </w:r>
    </w:p>
  </w:footnote>
  <w:footnote w:id="356">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Lepak, D. P., &amp; Gowan, M. (2017). Human Resource Management: Managing Employees for Competitive Advantage (2e éd.). Pearson. p. 218.</w:t>
      </w:r>
    </w:p>
  </w:footnote>
  <w:footnote w:id="357">
    <w:p w:rsidR="00E772DD" w:rsidRPr="0045362C" w:rsidRDefault="00E772DD" w:rsidP="003D3FA7">
      <w:pPr>
        <w:pStyle w:val="Notedebasdepage"/>
        <w:rPr>
          <w:rFonts w:asciiTheme="majorBidi" w:hAnsiTheme="majorBidi" w:cstheme="majorBidi"/>
        </w:rPr>
      </w:pPr>
      <w:r w:rsidRPr="0045362C">
        <w:rPr>
          <w:rStyle w:val="Appelnotedebasdep"/>
          <w:rFonts w:cstheme="majorBidi"/>
        </w:rPr>
        <w:footnoteRef/>
      </w:r>
      <w:r w:rsidRPr="0045362C">
        <w:rPr>
          <w:rFonts w:asciiTheme="majorBidi" w:hAnsiTheme="majorBidi" w:cstheme="majorBidi"/>
        </w:rPr>
        <w:t xml:space="preserve"> Dessler, G. (2020). Human Resource Management (16e éd.). Pearson. p. 312.</w:t>
      </w:r>
    </w:p>
  </w:footnote>
  <w:footnote w:id="358">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Bratton, J., &amp; Gold, J. (2017). Human Resource Management: Theory and Practice (6e éd.). Palgrave Macmillan. p. 275.</w:t>
      </w:r>
    </w:p>
  </w:footnote>
  <w:footnote w:id="359">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Noe, R. A., Hollenbeck, J. R., Gerhart, B., &amp; Wright, P. M. (2019). Fundamentals of Human Resource Management (8e éd.). McGraw-Hill Education. p. 190.</w:t>
      </w:r>
    </w:p>
  </w:footnote>
  <w:footnote w:id="360">
    <w:p w:rsidR="00E772DD" w:rsidRPr="0045362C" w:rsidRDefault="00E772DD" w:rsidP="003D3FA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Armstrong, M., &amp; Taylor, S. (2020). Armstrong's Handbook of Human Resource Management Practice (15e éd.). Kogan Page. p. 340.</w:t>
      </w:r>
    </w:p>
  </w:footnote>
  <w:footnote w:id="361">
    <w:p w:rsidR="00E772DD" w:rsidRPr="0045362C" w:rsidRDefault="00E772DD" w:rsidP="003D3FA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Brewster, C., Chung, C., &amp; Sparrow, P. (2016). Globalizing Human Resource Management (2e éd.). Routledge. p. 255.</w:t>
      </w:r>
    </w:p>
  </w:footnote>
  <w:footnote w:id="362">
    <w:p w:rsidR="00E772DD" w:rsidRPr="0045362C" w:rsidRDefault="00E772DD" w:rsidP="007B7267">
      <w:pPr>
        <w:jc w:val="both"/>
        <w:rPr>
          <w:rFonts w:asciiTheme="majorBidi" w:eastAsiaTheme="minorHAnsi" w:hAnsiTheme="majorBidi" w:cstheme="majorBidi"/>
          <w:kern w:val="2"/>
          <w:sz w:val="20"/>
          <w:szCs w:val="20"/>
          <w14:ligatures w14:val="standardContextual"/>
        </w:rPr>
      </w:pPr>
      <w:r w:rsidRPr="0045362C">
        <w:rPr>
          <w:rStyle w:val="Appelnotedebasdep"/>
          <w:rFonts w:cstheme="majorBidi"/>
          <w:szCs w:val="20"/>
        </w:rPr>
        <w:footnoteRef/>
      </w:r>
      <w:r w:rsidRPr="0045362C">
        <w:rPr>
          <w:rFonts w:asciiTheme="majorBidi" w:hAnsiTheme="majorBidi" w:cstheme="majorBidi"/>
          <w:sz w:val="20"/>
          <w:szCs w:val="20"/>
        </w:rPr>
        <w:t xml:space="preserve"> </w:t>
      </w:r>
      <w:r w:rsidRPr="0045362C">
        <w:rPr>
          <w:rFonts w:asciiTheme="majorBidi" w:eastAsiaTheme="minorHAnsi" w:hAnsiTheme="majorBidi" w:cstheme="majorBidi"/>
          <w:kern w:val="2"/>
          <w:sz w:val="20"/>
          <w:szCs w:val="20"/>
          <w14:ligatures w14:val="standardContextual"/>
        </w:rPr>
        <w:t>Thiétart, R. A. (2007). Méthodes de recherche en management (3e éd.). Dunod. p. 109</w:t>
      </w:r>
    </w:p>
  </w:footnote>
  <w:footnote w:id="363">
    <w:p w:rsidR="00E772DD" w:rsidRPr="0045362C" w:rsidRDefault="00E772DD" w:rsidP="007B7267">
      <w:pPr>
        <w:pStyle w:val="Notedebasdepage"/>
        <w:jc w:val="both"/>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Quivy, R., &amp; Van Campenhoudt, L. (2011). Manuel de recherche en sciences sociales (5e éd.). Dunod. p. 100</w:t>
      </w:r>
    </w:p>
  </w:footnote>
  <w:footnote w:id="364">
    <w:p w:rsidR="00E772DD" w:rsidRPr="0045362C" w:rsidRDefault="00E772DD" w:rsidP="007B7267">
      <w:pPr>
        <w:pStyle w:val="Notedebasdepage"/>
        <w:jc w:val="both"/>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Ghiglione, R., &amp; Matalon, B. (1998). Les enquêtes sociologiques : Théories et pratique (5e éd.). Armand Colin. p. 83</w:t>
      </w:r>
    </w:p>
  </w:footnote>
  <w:footnote w:id="365">
    <w:p w:rsidR="00E772DD" w:rsidRPr="0045362C" w:rsidRDefault="00E772DD" w:rsidP="007B7267">
      <w:pPr>
        <w:pStyle w:val="Notedebasdepage"/>
        <w:jc w:val="both"/>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Babbie, E. (2013). The Practice of Social Research (13e éd.). Belmont, CA : Wadsworth. p. 102</w:t>
      </w:r>
    </w:p>
  </w:footnote>
  <w:footnote w:id="366">
    <w:p w:rsidR="00E772DD" w:rsidRPr="0045362C" w:rsidRDefault="00E772DD" w:rsidP="006870F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 xml:space="preserve">Jarachi, </w:t>
      </w:r>
      <w:r w:rsidRPr="0045362C">
        <w:rPr>
          <w:rFonts w:asciiTheme="majorBidi" w:hAnsiTheme="majorBidi" w:cstheme="majorBidi"/>
          <w:color w:val="000000"/>
          <w:lang w:val="fr-FR"/>
        </w:rPr>
        <w:t>W</w:t>
      </w:r>
      <w:r w:rsidRPr="0045362C">
        <w:rPr>
          <w:rFonts w:asciiTheme="majorBidi" w:hAnsiTheme="majorBidi" w:cstheme="majorBidi"/>
          <w:color w:val="000000"/>
        </w:rPr>
        <w:t>., et al. (2022).</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lang w:val="fr-FR"/>
        </w:rPr>
        <w:t>T</w:t>
      </w:r>
      <w:r w:rsidRPr="0045362C">
        <w:rPr>
          <w:rStyle w:val="Accentuation"/>
          <w:rFonts w:asciiTheme="majorBidi" w:hAnsiTheme="majorBidi" w:cstheme="majorBidi"/>
          <w:i w:val="0"/>
          <w:iCs w:val="0"/>
          <w:color w:val="000000"/>
        </w:rPr>
        <w:t xml:space="preserve">ransformation digitale </w:t>
      </w:r>
      <w:r w:rsidRPr="0045362C">
        <w:rPr>
          <w:rStyle w:val="Accentuation"/>
          <w:rFonts w:asciiTheme="majorBidi" w:hAnsiTheme="majorBidi" w:cstheme="majorBidi"/>
          <w:i w:val="0"/>
          <w:iCs w:val="0"/>
          <w:color w:val="000000"/>
          <w:lang w:val="fr-FR"/>
        </w:rPr>
        <w:t xml:space="preserve">et développement de </w:t>
      </w:r>
      <w:r w:rsidRPr="0045362C">
        <w:rPr>
          <w:rStyle w:val="Accentuation"/>
          <w:rFonts w:asciiTheme="majorBidi" w:hAnsiTheme="majorBidi" w:cstheme="majorBidi"/>
          <w:i w:val="0"/>
          <w:iCs w:val="0"/>
          <w:color w:val="000000"/>
        </w:rPr>
        <w:t>la gestion des ressources humaines</w:t>
      </w:r>
      <w:r w:rsidRPr="0045362C">
        <w:rPr>
          <w:rFonts w:asciiTheme="majorBidi" w:hAnsiTheme="majorBidi" w:cstheme="majorBidi"/>
          <w:color w:val="000000"/>
        </w:rPr>
        <w:t>.</w:t>
      </w:r>
      <w:r w:rsidRPr="0045362C">
        <w:rPr>
          <w:rStyle w:val="apple-converted-space"/>
          <w:rFonts w:asciiTheme="majorBidi" w:hAnsiTheme="majorBidi" w:cstheme="majorBidi"/>
          <w:color w:val="000000"/>
        </w:rPr>
        <w:t> </w:t>
      </w:r>
      <w:r w:rsidRPr="0045362C">
        <w:rPr>
          <w:rStyle w:val="lev"/>
          <w:rFonts w:asciiTheme="majorBidi" w:hAnsiTheme="majorBidi" w:cstheme="majorBidi"/>
          <w:b w:val="0"/>
          <w:bCs w:val="0"/>
          <w:color w:val="000000"/>
        </w:rPr>
        <w:t xml:space="preserve"> pp. 6–7</w:t>
      </w:r>
      <w:r w:rsidRPr="0045362C">
        <w:rPr>
          <w:rFonts w:asciiTheme="majorBidi" w:hAnsiTheme="majorBidi" w:cstheme="majorBidi"/>
          <w:color w:val="000000"/>
        </w:rPr>
        <w:t>.</w:t>
      </w:r>
    </w:p>
  </w:footnote>
  <w:footnote w:id="367">
    <w:p w:rsidR="00E772DD" w:rsidRPr="0045362C" w:rsidRDefault="00E772DD" w:rsidP="006870F7">
      <w:pPr>
        <w:pStyle w:val="p1"/>
        <w:rPr>
          <w:rFonts w:asciiTheme="majorBidi" w:hAnsiTheme="majorBidi" w:cstheme="majorBidi"/>
          <w:sz w:val="20"/>
          <w:szCs w:val="20"/>
        </w:rPr>
      </w:pPr>
      <w:r w:rsidRPr="0045362C">
        <w:rPr>
          <w:rStyle w:val="Appelnotedebasdep"/>
          <w:rFonts w:eastAsiaTheme="majorEastAsia" w:cstheme="majorBidi"/>
          <w:szCs w:val="20"/>
        </w:rPr>
        <w:footnoteRef/>
      </w:r>
      <w:r w:rsidRPr="0045362C">
        <w:rPr>
          <w:rFonts w:asciiTheme="majorBidi" w:hAnsiTheme="majorBidi" w:cstheme="majorBidi"/>
          <w:sz w:val="20"/>
          <w:szCs w:val="20"/>
        </w:rPr>
        <w:t xml:space="preserve"> </w:t>
      </w:r>
      <w:r w:rsidRPr="0045362C">
        <w:rPr>
          <w:rStyle w:val="lev"/>
          <w:rFonts w:asciiTheme="majorBidi" w:hAnsiTheme="majorBidi" w:cstheme="majorBidi"/>
          <w:b w:val="0"/>
          <w:bCs w:val="0"/>
          <w:sz w:val="20"/>
          <w:szCs w:val="20"/>
        </w:rPr>
        <w:t>Gampine, I.</w:t>
      </w:r>
      <w:r w:rsidRPr="0045362C">
        <w:rPr>
          <w:rStyle w:val="apple-converted-space"/>
          <w:rFonts w:asciiTheme="majorBidi" w:hAnsiTheme="majorBidi" w:cstheme="majorBidi"/>
          <w:sz w:val="20"/>
          <w:szCs w:val="20"/>
        </w:rPr>
        <w:t> </w:t>
      </w:r>
      <w:r w:rsidRPr="0045362C">
        <w:rPr>
          <w:rFonts w:asciiTheme="majorBidi" w:hAnsiTheme="majorBidi" w:cstheme="majorBidi"/>
          <w:sz w:val="20"/>
          <w:szCs w:val="20"/>
        </w:rPr>
        <w:t>(2023).</w:t>
      </w:r>
      <w:r w:rsidRPr="0045362C">
        <w:rPr>
          <w:rStyle w:val="apple-converted-space"/>
          <w:rFonts w:asciiTheme="majorBidi" w:hAnsiTheme="majorBidi" w:cstheme="majorBidi"/>
          <w:sz w:val="20"/>
          <w:szCs w:val="20"/>
        </w:rPr>
        <w:t> </w:t>
      </w:r>
      <w:r w:rsidRPr="0045362C">
        <w:rPr>
          <w:rFonts w:asciiTheme="majorBidi" w:hAnsiTheme="majorBidi" w:cstheme="majorBidi"/>
          <w:sz w:val="20"/>
          <w:szCs w:val="20"/>
        </w:rPr>
        <w:t xml:space="preserve">La Digitalisation des Pratiques de Ressources Humaines et la Performance des Entreprises dans un Environnement Dynamique. </w:t>
      </w:r>
      <w:r w:rsidRPr="0045362C">
        <w:rPr>
          <w:rStyle w:val="lev"/>
          <w:rFonts w:asciiTheme="majorBidi" w:hAnsiTheme="majorBidi" w:cstheme="majorBidi"/>
          <w:b w:val="0"/>
          <w:bCs w:val="0"/>
          <w:sz w:val="20"/>
          <w:szCs w:val="20"/>
        </w:rPr>
        <w:t>pp. 6–7</w:t>
      </w:r>
      <w:r w:rsidRPr="0045362C">
        <w:rPr>
          <w:rFonts w:asciiTheme="majorBidi" w:hAnsiTheme="majorBidi" w:cstheme="majorBidi"/>
          <w:sz w:val="20"/>
          <w:szCs w:val="20"/>
        </w:rPr>
        <w:t>.</w:t>
      </w:r>
    </w:p>
  </w:footnote>
  <w:footnote w:id="368">
    <w:p w:rsidR="00E772DD" w:rsidRPr="0045362C" w:rsidRDefault="00E772DD" w:rsidP="002918A9">
      <w:pPr>
        <w:pStyle w:val="Notedebasdepage"/>
        <w:rPr>
          <w:rFonts w:asciiTheme="majorBidi" w:hAnsiTheme="majorBidi" w:cstheme="majorBidi"/>
          <w:color w:val="000000"/>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El Oumami, </w:t>
      </w:r>
      <w:r w:rsidRPr="0045362C">
        <w:rPr>
          <w:rStyle w:val="lev"/>
          <w:rFonts w:asciiTheme="majorBidi" w:hAnsiTheme="majorBidi" w:cstheme="majorBidi"/>
          <w:b w:val="0"/>
          <w:bCs w:val="0"/>
          <w:color w:val="000000"/>
          <w:lang w:val="en-US"/>
        </w:rPr>
        <w:t>R</w:t>
      </w:r>
      <w:r w:rsidRPr="0045362C">
        <w:rPr>
          <w:rStyle w:val="lev"/>
          <w:rFonts w:asciiTheme="majorBidi" w:hAnsiTheme="majorBidi" w:cstheme="majorBidi"/>
          <w:b w:val="0"/>
          <w:bCs w:val="0"/>
          <w:color w:val="000000"/>
        </w:rPr>
        <w:t xml:space="preserve">., &amp; El Haddad, </w:t>
      </w:r>
      <w:r w:rsidRPr="0045362C">
        <w:rPr>
          <w:rStyle w:val="lev"/>
          <w:rFonts w:asciiTheme="majorBidi" w:hAnsiTheme="majorBidi" w:cstheme="majorBidi"/>
          <w:b w:val="0"/>
          <w:bCs w:val="0"/>
          <w:color w:val="000000"/>
          <w:lang w:val="en-US"/>
        </w:rPr>
        <w:t>M</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(2024).</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Impact de la digitalisation sur les Ressources Humaines : Étude de</w:t>
      </w:r>
      <w:r w:rsidRPr="0045362C">
        <w:rPr>
          <w:rStyle w:val="Accentuation"/>
          <w:rFonts w:asciiTheme="majorBidi" w:hAnsiTheme="majorBidi" w:cstheme="majorBidi"/>
          <w:i w:val="0"/>
          <w:iCs w:val="0"/>
          <w:color w:val="000000"/>
          <w:lang w:val="fr-FR"/>
        </w:rPr>
        <w:t xml:space="preserve"> </w:t>
      </w:r>
      <w:r w:rsidRPr="0045362C">
        <w:rPr>
          <w:rStyle w:val="Accentuation"/>
          <w:rFonts w:asciiTheme="majorBidi" w:hAnsiTheme="majorBidi" w:cstheme="majorBidi"/>
          <w:i w:val="0"/>
          <w:iCs w:val="0"/>
          <w:color w:val="000000"/>
        </w:rPr>
        <w:t>Cas dans le Secteur Bancaire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211–213</w:t>
      </w:r>
      <w:r w:rsidRPr="0045362C">
        <w:rPr>
          <w:rStyle w:val="lev"/>
          <w:rFonts w:asciiTheme="majorBidi" w:hAnsiTheme="majorBidi" w:cstheme="majorBidi"/>
          <w:b w:val="0"/>
          <w:bCs w:val="0"/>
          <w:color w:val="000000"/>
          <w:lang w:val="fr-FR"/>
        </w:rPr>
        <w:t>.</w:t>
      </w:r>
    </w:p>
  </w:footnote>
  <w:footnote w:id="369">
    <w:p w:rsidR="00E772DD" w:rsidRPr="0045362C" w:rsidRDefault="00E772DD" w:rsidP="006870F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L’Écuyer, R.</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(2016).</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Technologies de l’information et performance RH dans les PME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4–5</w:t>
      </w:r>
      <w:r w:rsidRPr="0045362C">
        <w:rPr>
          <w:rFonts w:asciiTheme="majorBidi" w:hAnsiTheme="majorBidi" w:cstheme="majorBidi"/>
          <w:color w:val="000000"/>
          <w:lang w:val="fr-FR"/>
        </w:rPr>
        <w:t>.</w:t>
      </w:r>
    </w:p>
  </w:footnote>
  <w:footnote w:id="370">
    <w:p w:rsidR="00E772DD" w:rsidRPr="0045362C" w:rsidRDefault="00E772DD" w:rsidP="006870F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L’Écuyer, R.</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(2016).</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Technologies de l’information et performance RH dans les PME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3–4</w:t>
      </w:r>
      <w:r w:rsidRPr="0045362C">
        <w:rPr>
          <w:rStyle w:val="lev"/>
          <w:rFonts w:asciiTheme="majorBidi" w:hAnsiTheme="majorBidi" w:cstheme="majorBidi"/>
          <w:b w:val="0"/>
          <w:bCs w:val="0"/>
          <w:color w:val="000000"/>
          <w:lang w:val="fr-FR"/>
        </w:rPr>
        <w:t>.</w:t>
      </w:r>
    </w:p>
  </w:footnote>
  <w:footnote w:id="371">
    <w:p w:rsidR="00E772DD" w:rsidRPr="0045362C" w:rsidRDefault="00E772DD" w:rsidP="006870F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Berrefas, </w:t>
      </w:r>
      <w:r w:rsidRPr="0045362C">
        <w:rPr>
          <w:rStyle w:val="lev"/>
          <w:rFonts w:asciiTheme="majorBidi" w:hAnsiTheme="majorBidi" w:cstheme="majorBidi"/>
          <w:b w:val="0"/>
          <w:bCs w:val="0"/>
          <w:color w:val="000000"/>
          <w:lang w:val="fr-FR"/>
        </w:rPr>
        <w:t>I</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(2023).</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Transformation digitale et pratiques de GRH en Algérie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121–124</w:t>
      </w:r>
      <w:r w:rsidRPr="0045362C">
        <w:rPr>
          <w:rFonts w:asciiTheme="majorBidi" w:hAnsiTheme="majorBidi" w:cstheme="majorBidi"/>
          <w:color w:val="000000"/>
        </w:rPr>
        <w:t>.</w:t>
      </w:r>
    </w:p>
  </w:footnote>
  <w:footnote w:id="372">
    <w:p w:rsidR="00E772DD" w:rsidRPr="0045362C" w:rsidRDefault="00E772DD" w:rsidP="006870F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Gampine, </w:t>
      </w:r>
      <w:r w:rsidRPr="0045362C">
        <w:rPr>
          <w:rStyle w:val="lev"/>
          <w:rFonts w:asciiTheme="majorBidi" w:hAnsiTheme="majorBidi" w:cstheme="majorBidi"/>
          <w:b w:val="0"/>
          <w:bCs w:val="0"/>
          <w:color w:val="000000"/>
          <w:lang w:val="fr-FR"/>
        </w:rPr>
        <w:t>I</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(2023).</w:t>
      </w:r>
      <w:r w:rsidRPr="0045362C">
        <w:rPr>
          <w:rStyle w:val="apple-converted-space"/>
          <w:rFonts w:asciiTheme="majorBidi" w:hAnsiTheme="majorBidi" w:cstheme="majorBidi"/>
          <w:color w:val="000000"/>
        </w:rPr>
        <w:t> </w:t>
      </w:r>
      <w:r w:rsidRPr="0045362C">
        <w:rPr>
          <w:rFonts w:asciiTheme="majorBidi" w:hAnsiTheme="majorBidi" w:cstheme="majorBidi"/>
        </w:rPr>
        <w:t>La Digitalisation des Pratiques de Ressources Humaines et la Performance des Entreprises dans un</w:t>
      </w:r>
      <w:r w:rsidRPr="0045362C">
        <w:rPr>
          <w:rFonts w:asciiTheme="majorBidi" w:hAnsiTheme="majorBidi" w:cstheme="majorBidi"/>
          <w:lang w:val="fr-FR"/>
        </w:rPr>
        <w:t xml:space="preserve"> </w:t>
      </w:r>
      <w:r w:rsidRPr="0045362C">
        <w:rPr>
          <w:rFonts w:asciiTheme="majorBidi" w:hAnsiTheme="majorBidi" w:cstheme="majorBidi"/>
        </w:rPr>
        <w:t>Environnement Dynamique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10–12</w:t>
      </w:r>
      <w:r w:rsidRPr="0045362C">
        <w:rPr>
          <w:rFonts w:asciiTheme="majorBidi" w:hAnsiTheme="majorBidi" w:cstheme="majorBidi"/>
          <w:color w:val="000000"/>
          <w:lang w:val="fr-FR"/>
        </w:rPr>
        <w:t>.</w:t>
      </w:r>
    </w:p>
  </w:footnote>
  <w:footnote w:id="373">
    <w:p w:rsidR="00E772DD" w:rsidRPr="0045362C" w:rsidRDefault="00E772DD" w:rsidP="006C1D08">
      <w:pPr>
        <w:pStyle w:val="Notedebasdepage"/>
        <w:rPr>
          <w:rFonts w:asciiTheme="majorBidi" w:hAnsiTheme="majorBidi" w:cstheme="majorBidi"/>
          <w:color w:val="000000"/>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El Oumami, </w:t>
      </w:r>
      <w:r w:rsidRPr="0045362C">
        <w:rPr>
          <w:rStyle w:val="lev"/>
          <w:rFonts w:asciiTheme="majorBidi" w:hAnsiTheme="majorBidi" w:cstheme="majorBidi"/>
          <w:b w:val="0"/>
          <w:bCs w:val="0"/>
          <w:color w:val="000000"/>
          <w:lang w:val="en-US"/>
        </w:rPr>
        <w:t>R</w:t>
      </w:r>
      <w:r w:rsidRPr="0045362C">
        <w:rPr>
          <w:rStyle w:val="lev"/>
          <w:rFonts w:asciiTheme="majorBidi" w:hAnsiTheme="majorBidi" w:cstheme="majorBidi"/>
          <w:b w:val="0"/>
          <w:bCs w:val="0"/>
          <w:color w:val="000000"/>
        </w:rPr>
        <w:t xml:space="preserve">., &amp; El Haddad, </w:t>
      </w:r>
      <w:r w:rsidRPr="0045362C">
        <w:rPr>
          <w:rStyle w:val="lev"/>
          <w:rFonts w:asciiTheme="majorBidi" w:hAnsiTheme="majorBidi" w:cstheme="majorBidi"/>
          <w:b w:val="0"/>
          <w:bCs w:val="0"/>
          <w:color w:val="000000"/>
          <w:lang w:val="en-US"/>
        </w:rPr>
        <w:t>M</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(2024).</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Impact de la digitalisation sur les Ressources Humaines : Étude de</w:t>
      </w:r>
      <w:r w:rsidRPr="0045362C">
        <w:rPr>
          <w:rStyle w:val="Accentuation"/>
          <w:rFonts w:asciiTheme="majorBidi" w:hAnsiTheme="majorBidi" w:cstheme="majorBidi"/>
          <w:i w:val="0"/>
          <w:iCs w:val="0"/>
          <w:color w:val="000000"/>
          <w:rtl/>
        </w:rPr>
        <w:t xml:space="preserve"> </w:t>
      </w:r>
      <w:r w:rsidRPr="0045362C">
        <w:rPr>
          <w:rStyle w:val="Accentuation"/>
          <w:rFonts w:asciiTheme="majorBidi" w:hAnsiTheme="majorBidi" w:cstheme="majorBidi"/>
          <w:i w:val="0"/>
          <w:iCs w:val="0"/>
          <w:color w:val="000000"/>
        </w:rPr>
        <w:t>Cas dans le Secteur Bancaire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214–216</w:t>
      </w:r>
      <w:r w:rsidRPr="0045362C">
        <w:rPr>
          <w:rFonts w:asciiTheme="majorBidi" w:hAnsiTheme="majorBidi" w:cstheme="majorBidi"/>
          <w:color w:val="000000"/>
        </w:rPr>
        <w:t>.</w:t>
      </w:r>
    </w:p>
  </w:footnote>
  <w:footnote w:id="374">
    <w:p w:rsidR="00E772DD" w:rsidRPr="0045362C" w:rsidRDefault="00E772DD" w:rsidP="006870F7">
      <w:pPr>
        <w:pStyle w:val="Notedebasdepage"/>
        <w:rPr>
          <w:rStyle w:val="Accentuation"/>
          <w:rFonts w:asciiTheme="majorBidi" w:hAnsiTheme="majorBidi" w:cstheme="majorBidi"/>
          <w:i w:val="0"/>
          <w:iCs w:val="0"/>
          <w:color w:val="000000"/>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L’Écuyer, </w:t>
      </w:r>
      <w:r w:rsidRPr="0045362C">
        <w:rPr>
          <w:rStyle w:val="lev"/>
          <w:rFonts w:asciiTheme="majorBidi" w:hAnsiTheme="majorBidi" w:cstheme="majorBidi"/>
          <w:b w:val="0"/>
          <w:bCs w:val="0"/>
          <w:color w:val="000000"/>
          <w:lang w:val="fr-FR"/>
        </w:rPr>
        <w:t>F</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(2016).</w:t>
      </w:r>
      <w:r w:rsidRPr="0045362C">
        <w:rPr>
          <w:rStyle w:val="Accentuation"/>
          <w:rFonts w:asciiTheme="majorBidi" w:hAnsiTheme="majorBidi" w:cstheme="majorBidi"/>
          <w:i w:val="0"/>
          <w:iCs w:val="0"/>
          <w:color w:val="000000"/>
        </w:rPr>
        <w:t xml:space="preserve"> </w:t>
      </w:r>
      <w:r w:rsidRPr="0045362C">
        <w:rPr>
          <w:rStyle w:val="Accentuation"/>
          <w:rFonts w:asciiTheme="majorBidi" w:hAnsiTheme="majorBidi" w:cstheme="majorBidi"/>
          <w:i w:val="0"/>
          <w:iCs w:val="0"/>
          <w:color w:val="000000"/>
          <w:lang w:val="fr-FR"/>
        </w:rPr>
        <w:t>L</w:t>
      </w:r>
      <w:r w:rsidRPr="0045362C">
        <w:rPr>
          <w:rStyle w:val="Accentuation"/>
          <w:rFonts w:asciiTheme="majorBidi" w:hAnsiTheme="majorBidi" w:cstheme="majorBidi"/>
          <w:i w:val="0"/>
          <w:iCs w:val="0"/>
          <w:color w:val="000000"/>
        </w:rPr>
        <w:t>es technologies de l'information en tant que vecteur de</w:t>
      </w:r>
    </w:p>
    <w:p w:rsidR="00E772DD" w:rsidRPr="0045362C" w:rsidRDefault="00E772DD" w:rsidP="006870F7">
      <w:pPr>
        <w:pStyle w:val="Notedebasdepage"/>
        <w:rPr>
          <w:rFonts w:asciiTheme="majorBidi" w:hAnsiTheme="majorBidi" w:cstheme="majorBidi"/>
          <w:color w:val="000000"/>
        </w:rPr>
      </w:pPr>
      <w:r w:rsidRPr="0045362C">
        <w:rPr>
          <w:rStyle w:val="Accentuation"/>
          <w:rFonts w:asciiTheme="majorBidi" w:hAnsiTheme="majorBidi" w:cstheme="majorBidi"/>
          <w:i w:val="0"/>
          <w:iCs w:val="0"/>
          <w:color w:val="000000"/>
        </w:rPr>
        <w:t>performance de la gestion stratégique des ressources</w:t>
      </w:r>
      <w:r w:rsidRPr="0045362C">
        <w:rPr>
          <w:rStyle w:val="Accentuation"/>
          <w:rFonts w:asciiTheme="majorBidi" w:hAnsiTheme="majorBidi" w:cstheme="majorBidi"/>
          <w:i w:val="0"/>
          <w:iCs w:val="0"/>
          <w:color w:val="000000"/>
          <w:lang w:val="fr-FR"/>
        </w:rPr>
        <w:t xml:space="preserve"> </w:t>
      </w:r>
      <w:r w:rsidRPr="0045362C">
        <w:rPr>
          <w:rStyle w:val="Accentuation"/>
          <w:rFonts w:asciiTheme="majorBidi" w:hAnsiTheme="majorBidi" w:cstheme="majorBidi"/>
          <w:i w:val="0"/>
          <w:iCs w:val="0"/>
          <w:color w:val="000000"/>
        </w:rPr>
        <w:t xml:space="preserve">humaines dans les </w:t>
      </w:r>
      <w:r w:rsidRPr="0045362C">
        <w:rPr>
          <w:rStyle w:val="Accentuation"/>
          <w:rFonts w:asciiTheme="majorBidi" w:hAnsiTheme="majorBidi" w:cstheme="majorBidi"/>
          <w:i w:val="0"/>
          <w:iCs w:val="0"/>
          <w:color w:val="000000"/>
          <w:lang w:val="fr-FR"/>
        </w:rPr>
        <w:t>PME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 5</w:t>
      </w:r>
      <w:r w:rsidRPr="0045362C">
        <w:rPr>
          <w:rFonts w:asciiTheme="majorBidi" w:hAnsiTheme="majorBidi" w:cstheme="majorBidi"/>
          <w:color w:val="000000"/>
        </w:rPr>
        <w:t>.</w:t>
      </w:r>
    </w:p>
  </w:footnote>
  <w:footnote w:id="375">
    <w:p w:rsidR="00E772DD" w:rsidRPr="0045362C" w:rsidRDefault="00E772DD" w:rsidP="006870F7">
      <w:pPr>
        <w:pStyle w:val="Notedebasdepage"/>
        <w:rPr>
          <w:rFonts w:asciiTheme="majorBidi" w:hAnsiTheme="majorBidi" w:cstheme="majorBidi"/>
          <w:color w:val="000000"/>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Galindo, G., Garbe, </w:t>
      </w:r>
      <w:r w:rsidRPr="0045362C">
        <w:rPr>
          <w:rStyle w:val="lev"/>
          <w:rFonts w:asciiTheme="majorBidi" w:hAnsiTheme="majorBidi" w:cstheme="majorBidi"/>
          <w:b w:val="0"/>
          <w:bCs w:val="0"/>
          <w:color w:val="000000"/>
          <w:lang w:val="fr-FR"/>
        </w:rPr>
        <w:t>E</w:t>
      </w:r>
      <w:r w:rsidRPr="0045362C">
        <w:rPr>
          <w:rStyle w:val="lev"/>
          <w:rFonts w:asciiTheme="majorBidi" w:hAnsiTheme="majorBidi" w:cstheme="majorBidi"/>
          <w:b w:val="0"/>
          <w:bCs w:val="0"/>
          <w:color w:val="000000"/>
        </w:rPr>
        <w:t xml:space="preserve">., &amp; Vignal, </w:t>
      </w:r>
      <w:r w:rsidRPr="0045362C">
        <w:rPr>
          <w:rStyle w:val="lev"/>
          <w:rFonts w:asciiTheme="majorBidi" w:hAnsiTheme="majorBidi" w:cstheme="majorBidi"/>
          <w:b w:val="0"/>
          <w:bCs w:val="0"/>
          <w:color w:val="000000"/>
          <w:lang w:val="fr-FR"/>
        </w:rPr>
        <w:t>J</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(2019).</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lang w:val="fr-FR"/>
        </w:rPr>
        <w:t>D</w:t>
      </w:r>
      <w:r w:rsidRPr="0045362C">
        <w:rPr>
          <w:rStyle w:val="Accentuation"/>
          <w:rFonts w:asciiTheme="majorBidi" w:hAnsiTheme="majorBidi" w:cstheme="majorBidi"/>
          <w:i w:val="0"/>
          <w:iCs w:val="0"/>
          <w:color w:val="000000"/>
        </w:rPr>
        <w:t>es idéaux à la réalité</w:t>
      </w:r>
      <w:r w:rsidRPr="0045362C">
        <w:rPr>
          <w:rStyle w:val="Accentuation"/>
          <w:rFonts w:asciiTheme="majorBidi" w:hAnsiTheme="majorBidi" w:cstheme="majorBidi"/>
          <w:i w:val="0"/>
          <w:iCs w:val="0"/>
          <w:color w:val="000000"/>
          <w:lang w:val="fr-FR"/>
        </w:rPr>
        <w:t xml:space="preserve"> </w:t>
      </w:r>
      <w:r w:rsidRPr="0045362C">
        <w:rPr>
          <w:rStyle w:val="Accentuation"/>
          <w:rFonts w:asciiTheme="majorBidi" w:hAnsiTheme="majorBidi" w:cstheme="majorBidi"/>
          <w:i w:val="0"/>
          <w:iCs w:val="0"/>
          <w:color w:val="000000"/>
        </w:rPr>
        <w:t>de l’accompagnement de la</w:t>
      </w:r>
      <w:r w:rsidRPr="0045362C">
        <w:rPr>
          <w:rStyle w:val="Accentuation"/>
          <w:rFonts w:asciiTheme="majorBidi" w:hAnsiTheme="majorBidi" w:cstheme="majorBidi"/>
          <w:i w:val="0"/>
          <w:iCs w:val="0"/>
          <w:color w:val="000000"/>
          <w:lang w:val="fr-FR"/>
        </w:rPr>
        <w:t xml:space="preserve"> GRH </w:t>
      </w:r>
      <w:r w:rsidRPr="0045362C">
        <w:rPr>
          <w:rStyle w:val="Accentuation"/>
          <w:rFonts w:asciiTheme="majorBidi" w:hAnsiTheme="majorBidi" w:cstheme="majorBidi"/>
          <w:i w:val="0"/>
          <w:iCs w:val="0"/>
          <w:color w:val="000000"/>
        </w:rPr>
        <w:t>dans la digitalisation : le cas</w:t>
      </w:r>
      <w:r w:rsidRPr="0045362C">
        <w:rPr>
          <w:rStyle w:val="Accentuation"/>
          <w:rFonts w:asciiTheme="majorBidi" w:hAnsiTheme="majorBidi" w:cstheme="majorBidi"/>
          <w:i w:val="0"/>
          <w:iCs w:val="0"/>
          <w:color w:val="000000"/>
          <w:lang w:val="fr-FR"/>
        </w:rPr>
        <w:t xml:space="preserve"> </w:t>
      </w:r>
      <w:r w:rsidRPr="0045362C">
        <w:rPr>
          <w:rStyle w:val="Accentuation"/>
          <w:rFonts w:asciiTheme="majorBidi" w:hAnsiTheme="majorBidi" w:cstheme="majorBidi"/>
          <w:i w:val="0"/>
          <w:iCs w:val="0"/>
          <w:color w:val="000000"/>
        </w:rPr>
        <w:t>d’une entreprise industrielle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33–36</w:t>
      </w:r>
      <w:r w:rsidRPr="0045362C">
        <w:rPr>
          <w:rFonts w:asciiTheme="majorBidi" w:hAnsiTheme="majorBidi" w:cstheme="majorBidi"/>
          <w:color w:val="000000"/>
        </w:rPr>
        <w:t>.</w:t>
      </w:r>
    </w:p>
  </w:footnote>
  <w:footnote w:id="376">
    <w:p w:rsidR="00E772DD" w:rsidRPr="0045362C" w:rsidRDefault="00E772DD" w:rsidP="006870F7">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Gampine, </w:t>
      </w:r>
      <w:r w:rsidRPr="0045362C">
        <w:rPr>
          <w:rStyle w:val="lev"/>
          <w:rFonts w:asciiTheme="majorBidi" w:hAnsiTheme="majorBidi" w:cstheme="majorBidi"/>
          <w:b w:val="0"/>
          <w:bCs w:val="0"/>
          <w:color w:val="000000"/>
          <w:lang w:val="fr-FR"/>
        </w:rPr>
        <w:t>I</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(2023).</w:t>
      </w:r>
      <w:r w:rsidRPr="0045362C">
        <w:rPr>
          <w:rStyle w:val="apple-converted-space"/>
          <w:rFonts w:asciiTheme="majorBidi" w:hAnsiTheme="majorBidi" w:cstheme="majorBidi"/>
          <w:color w:val="000000"/>
        </w:rPr>
        <w:t> </w:t>
      </w:r>
      <w:r w:rsidRPr="0045362C">
        <w:rPr>
          <w:rFonts w:asciiTheme="majorBidi" w:hAnsiTheme="majorBidi" w:cstheme="majorBidi"/>
        </w:rPr>
        <w:t>La Digitalisation des Pratiques de Ressources Humaines et la Performance des Entreprises dans un</w:t>
      </w:r>
      <w:r w:rsidRPr="0045362C">
        <w:rPr>
          <w:rFonts w:asciiTheme="majorBidi" w:hAnsiTheme="majorBidi" w:cstheme="majorBidi"/>
          <w:lang w:val="fr-FR"/>
        </w:rPr>
        <w:t xml:space="preserve"> </w:t>
      </w:r>
      <w:r w:rsidRPr="0045362C">
        <w:rPr>
          <w:rFonts w:asciiTheme="majorBidi" w:hAnsiTheme="majorBidi" w:cstheme="majorBidi"/>
        </w:rPr>
        <w:t>Environnement Dynamique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13–15</w:t>
      </w:r>
      <w:r w:rsidRPr="0045362C">
        <w:rPr>
          <w:rFonts w:asciiTheme="majorBidi" w:hAnsiTheme="majorBidi" w:cstheme="majorBidi"/>
          <w:color w:val="000000"/>
        </w:rPr>
        <w:t>.</w:t>
      </w:r>
    </w:p>
  </w:footnote>
  <w:footnote w:id="377">
    <w:p w:rsidR="00E772DD" w:rsidRPr="0045362C" w:rsidRDefault="00E772D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Thiétart, R. A. (2007). Méthodes de recherche en management (3e éd.). Dunod. p. 143</w:t>
      </w:r>
    </w:p>
  </w:footnote>
  <w:footnote w:id="378">
    <w:p w:rsidR="00E772DD" w:rsidRPr="0045362C" w:rsidRDefault="00E772D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Quivy, R., &amp; Van Campenhoudt, L. (2011). Manuel de recherche en sciences sociales (5e éd.). Dunod. p. 124</w:t>
      </w:r>
    </w:p>
  </w:footnote>
  <w:footnote w:id="379">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Ghiglione, R., &amp; Matalon, B. (1998). Les enquêtes sociologiques : Théories et pratique (5e éd.). Armand Colin. p. 89</w:t>
      </w:r>
    </w:p>
  </w:footnote>
  <w:footnote w:id="380">
    <w:p w:rsidR="00E772DD" w:rsidRPr="0045362C" w:rsidRDefault="00E772D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Babbie, E. (2013). The Practice of Social Research (13e éd.). Belmont, CA : Wadsworth. p. 193</w:t>
      </w:r>
    </w:p>
  </w:footnote>
  <w:footnote w:id="381">
    <w:p w:rsidR="00E772DD" w:rsidRPr="0045362C" w:rsidRDefault="00E772DD" w:rsidP="008D5C1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 xml:space="preserve">Jarachi, </w:t>
      </w:r>
      <w:r w:rsidRPr="0045362C">
        <w:rPr>
          <w:rFonts w:asciiTheme="majorBidi" w:hAnsiTheme="majorBidi" w:cstheme="majorBidi"/>
          <w:color w:val="000000"/>
          <w:lang w:val="fr-FR"/>
        </w:rPr>
        <w:t>W</w:t>
      </w:r>
      <w:r w:rsidRPr="0045362C">
        <w:rPr>
          <w:rFonts w:asciiTheme="majorBidi" w:hAnsiTheme="majorBidi" w:cstheme="majorBidi"/>
          <w:color w:val="000000"/>
        </w:rPr>
        <w:t>., et al. (2022).</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lang w:val="fr-FR"/>
        </w:rPr>
        <w:t>T</w:t>
      </w:r>
      <w:r w:rsidRPr="0045362C">
        <w:rPr>
          <w:rStyle w:val="Accentuation"/>
          <w:rFonts w:asciiTheme="majorBidi" w:hAnsiTheme="majorBidi" w:cstheme="majorBidi"/>
          <w:i w:val="0"/>
          <w:iCs w:val="0"/>
          <w:color w:val="000000"/>
        </w:rPr>
        <w:t xml:space="preserve">ransformation digitale </w:t>
      </w:r>
      <w:r w:rsidRPr="0045362C">
        <w:rPr>
          <w:rStyle w:val="Accentuation"/>
          <w:rFonts w:asciiTheme="majorBidi" w:hAnsiTheme="majorBidi" w:cstheme="majorBidi"/>
          <w:i w:val="0"/>
          <w:iCs w:val="0"/>
          <w:color w:val="000000"/>
          <w:lang w:val="fr-FR"/>
        </w:rPr>
        <w:t xml:space="preserve">et développement de </w:t>
      </w:r>
      <w:r w:rsidRPr="0045362C">
        <w:rPr>
          <w:rStyle w:val="Accentuation"/>
          <w:rFonts w:asciiTheme="majorBidi" w:hAnsiTheme="majorBidi" w:cstheme="majorBidi"/>
          <w:i w:val="0"/>
          <w:iCs w:val="0"/>
          <w:color w:val="000000"/>
        </w:rPr>
        <w:t>la gestion des ressources humaines</w:t>
      </w:r>
      <w:r w:rsidRPr="0045362C">
        <w:rPr>
          <w:rFonts w:asciiTheme="majorBidi" w:hAnsiTheme="majorBidi" w:cstheme="majorBidi"/>
          <w:color w:val="000000"/>
        </w:rPr>
        <w:t>.</w:t>
      </w:r>
      <w:r w:rsidRPr="0045362C">
        <w:rPr>
          <w:rStyle w:val="apple-converted-space"/>
          <w:rFonts w:asciiTheme="majorBidi" w:hAnsiTheme="majorBidi" w:cstheme="majorBidi"/>
          <w:color w:val="000000"/>
        </w:rPr>
        <w:t> </w:t>
      </w:r>
      <w:r w:rsidRPr="0045362C">
        <w:rPr>
          <w:rStyle w:val="lev"/>
          <w:rFonts w:asciiTheme="majorBidi" w:hAnsiTheme="majorBidi" w:cstheme="majorBidi"/>
          <w:b w:val="0"/>
          <w:bCs w:val="0"/>
          <w:color w:val="000000"/>
        </w:rPr>
        <w:t xml:space="preserve"> pp. </w:t>
      </w:r>
      <w:r w:rsidRPr="0045362C">
        <w:rPr>
          <w:rStyle w:val="lev"/>
          <w:rFonts w:asciiTheme="majorBidi" w:hAnsiTheme="majorBidi" w:cstheme="majorBidi"/>
          <w:b w:val="0"/>
          <w:bCs w:val="0"/>
          <w:color w:val="000000"/>
          <w:lang w:val="fr-FR"/>
        </w:rPr>
        <w:t>154-155</w:t>
      </w:r>
      <w:r w:rsidRPr="0045362C">
        <w:rPr>
          <w:rFonts w:asciiTheme="majorBidi" w:hAnsiTheme="majorBidi" w:cstheme="majorBidi"/>
          <w:color w:val="000000"/>
        </w:rPr>
        <w:t>.</w:t>
      </w:r>
    </w:p>
    <w:p w:rsidR="00E772DD" w:rsidRPr="0045362C" w:rsidRDefault="00E772DD">
      <w:pPr>
        <w:pStyle w:val="Notedebasdepage"/>
        <w:rPr>
          <w:rFonts w:asciiTheme="majorBidi" w:hAnsiTheme="majorBidi" w:cstheme="majorBidi"/>
          <w:lang w:val="fr-FR"/>
        </w:rPr>
      </w:pPr>
    </w:p>
  </w:footnote>
  <w:footnote w:id="382">
    <w:p w:rsidR="00E772DD" w:rsidRPr="0045362C" w:rsidRDefault="00E772DD" w:rsidP="008D5C1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Gampine, </w:t>
      </w:r>
      <w:r w:rsidRPr="0045362C">
        <w:rPr>
          <w:rStyle w:val="lev"/>
          <w:rFonts w:asciiTheme="majorBidi" w:hAnsiTheme="majorBidi" w:cstheme="majorBidi"/>
          <w:b w:val="0"/>
          <w:bCs w:val="0"/>
          <w:color w:val="000000"/>
          <w:lang w:val="fr-FR"/>
        </w:rPr>
        <w:t>I</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(2023).</w:t>
      </w:r>
      <w:r w:rsidRPr="0045362C">
        <w:rPr>
          <w:rStyle w:val="apple-converted-space"/>
          <w:rFonts w:asciiTheme="majorBidi" w:hAnsiTheme="majorBidi" w:cstheme="majorBidi"/>
          <w:color w:val="000000"/>
        </w:rPr>
        <w:t> </w:t>
      </w:r>
      <w:r w:rsidRPr="0045362C">
        <w:rPr>
          <w:rFonts w:asciiTheme="majorBidi" w:hAnsiTheme="majorBidi" w:cstheme="majorBidi"/>
        </w:rPr>
        <w:t>La Digitalisation des Pratiques de Ressources Humaines et la Performance des Entreprises dans un</w:t>
      </w:r>
      <w:r w:rsidRPr="0045362C">
        <w:rPr>
          <w:rFonts w:asciiTheme="majorBidi" w:hAnsiTheme="majorBidi" w:cstheme="majorBidi"/>
          <w:lang w:val="fr-FR"/>
        </w:rPr>
        <w:t xml:space="preserve"> </w:t>
      </w:r>
      <w:r w:rsidRPr="0045362C">
        <w:rPr>
          <w:rFonts w:asciiTheme="majorBidi" w:hAnsiTheme="majorBidi" w:cstheme="majorBidi"/>
        </w:rPr>
        <w:t>Environnement Dynamique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 xml:space="preserve">pp. </w:t>
      </w:r>
      <w:r w:rsidRPr="0045362C">
        <w:rPr>
          <w:rStyle w:val="lev"/>
          <w:rFonts w:asciiTheme="majorBidi" w:hAnsiTheme="majorBidi" w:cstheme="majorBidi"/>
          <w:b w:val="0"/>
          <w:bCs w:val="0"/>
          <w:color w:val="000000"/>
          <w:lang w:val="fr-FR"/>
        </w:rPr>
        <w:t>6</w:t>
      </w:r>
      <w:r w:rsidRPr="0045362C">
        <w:rPr>
          <w:rStyle w:val="lev"/>
          <w:rFonts w:asciiTheme="majorBidi" w:hAnsiTheme="majorBidi" w:cstheme="majorBidi"/>
          <w:b w:val="0"/>
          <w:bCs w:val="0"/>
          <w:color w:val="000000"/>
        </w:rPr>
        <w:t>–</w:t>
      </w:r>
      <w:r w:rsidRPr="0045362C">
        <w:rPr>
          <w:rStyle w:val="lev"/>
          <w:rFonts w:asciiTheme="majorBidi" w:hAnsiTheme="majorBidi" w:cstheme="majorBidi"/>
          <w:b w:val="0"/>
          <w:bCs w:val="0"/>
          <w:color w:val="000000"/>
          <w:lang w:val="fr-FR"/>
        </w:rPr>
        <w:t>8</w:t>
      </w:r>
      <w:r w:rsidRPr="0045362C">
        <w:rPr>
          <w:rFonts w:asciiTheme="majorBidi" w:hAnsiTheme="majorBidi" w:cstheme="majorBidi"/>
          <w:color w:val="000000"/>
        </w:rPr>
        <w:t>.</w:t>
      </w:r>
    </w:p>
    <w:p w:rsidR="00E772DD" w:rsidRPr="0045362C" w:rsidRDefault="00E772DD">
      <w:pPr>
        <w:pStyle w:val="Notedebasdepage"/>
        <w:rPr>
          <w:rFonts w:asciiTheme="majorBidi" w:hAnsiTheme="majorBidi" w:cstheme="majorBidi"/>
          <w:lang w:val="fr-FR"/>
        </w:rPr>
      </w:pPr>
    </w:p>
  </w:footnote>
  <w:footnote w:id="383">
    <w:p w:rsidR="00AE378F" w:rsidRPr="0045362C" w:rsidRDefault="00AE378F" w:rsidP="008D5C1D">
      <w:pPr>
        <w:pStyle w:val="Notedebasdepage"/>
        <w:rPr>
          <w:rStyle w:val="Accentuation"/>
          <w:rFonts w:asciiTheme="majorBidi" w:hAnsiTheme="majorBidi" w:cstheme="majorBidi"/>
          <w:i w:val="0"/>
          <w:iCs w:val="0"/>
          <w:color w:val="000000"/>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L’Écuyer, </w:t>
      </w:r>
      <w:r w:rsidRPr="0045362C">
        <w:rPr>
          <w:rStyle w:val="lev"/>
          <w:rFonts w:asciiTheme="majorBidi" w:hAnsiTheme="majorBidi" w:cstheme="majorBidi"/>
          <w:b w:val="0"/>
          <w:bCs w:val="0"/>
          <w:color w:val="000000"/>
          <w:lang w:val="fr-FR"/>
        </w:rPr>
        <w:t>F</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(2016).</w:t>
      </w:r>
      <w:r w:rsidRPr="0045362C">
        <w:rPr>
          <w:rStyle w:val="Accentuation"/>
          <w:rFonts w:asciiTheme="majorBidi" w:hAnsiTheme="majorBidi" w:cstheme="majorBidi"/>
          <w:i w:val="0"/>
          <w:iCs w:val="0"/>
          <w:color w:val="000000"/>
        </w:rPr>
        <w:t xml:space="preserve"> </w:t>
      </w:r>
      <w:r w:rsidRPr="0045362C">
        <w:rPr>
          <w:rStyle w:val="Accentuation"/>
          <w:rFonts w:asciiTheme="majorBidi" w:hAnsiTheme="majorBidi" w:cstheme="majorBidi"/>
          <w:i w:val="0"/>
          <w:iCs w:val="0"/>
          <w:color w:val="000000"/>
          <w:lang w:val="fr-FR"/>
        </w:rPr>
        <w:t>L</w:t>
      </w:r>
      <w:r w:rsidRPr="0045362C">
        <w:rPr>
          <w:rStyle w:val="Accentuation"/>
          <w:rFonts w:asciiTheme="majorBidi" w:hAnsiTheme="majorBidi" w:cstheme="majorBidi"/>
          <w:i w:val="0"/>
          <w:iCs w:val="0"/>
          <w:color w:val="000000"/>
        </w:rPr>
        <w:t>es technologies de l'information en tant que vecteur de</w:t>
      </w:r>
    </w:p>
    <w:p w:rsidR="00AE378F" w:rsidRPr="0045362C" w:rsidRDefault="00AE378F" w:rsidP="008D5C1D">
      <w:pPr>
        <w:pStyle w:val="Notedebasdepage"/>
        <w:rPr>
          <w:rFonts w:asciiTheme="majorBidi" w:hAnsiTheme="majorBidi" w:cstheme="majorBidi"/>
          <w:color w:val="000000"/>
        </w:rPr>
      </w:pPr>
      <w:r w:rsidRPr="0045362C">
        <w:rPr>
          <w:rStyle w:val="Accentuation"/>
          <w:rFonts w:asciiTheme="majorBidi" w:hAnsiTheme="majorBidi" w:cstheme="majorBidi"/>
          <w:i w:val="0"/>
          <w:iCs w:val="0"/>
          <w:color w:val="000000"/>
        </w:rPr>
        <w:t>performance de la gestion stratégique des ressources</w:t>
      </w:r>
      <w:r w:rsidRPr="0045362C">
        <w:rPr>
          <w:rStyle w:val="Accentuation"/>
          <w:rFonts w:asciiTheme="majorBidi" w:hAnsiTheme="majorBidi" w:cstheme="majorBidi"/>
          <w:i w:val="0"/>
          <w:iCs w:val="0"/>
          <w:color w:val="000000"/>
          <w:lang w:val="fr-FR"/>
        </w:rPr>
        <w:t xml:space="preserve"> </w:t>
      </w:r>
      <w:r w:rsidRPr="0045362C">
        <w:rPr>
          <w:rStyle w:val="Accentuation"/>
          <w:rFonts w:asciiTheme="majorBidi" w:hAnsiTheme="majorBidi" w:cstheme="majorBidi"/>
          <w:i w:val="0"/>
          <w:iCs w:val="0"/>
          <w:color w:val="000000"/>
        </w:rPr>
        <w:t xml:space="preserve">humaines dans les </w:t>
      </w:r>
      <w:r w:rsidRPr="0045362C">
        <w:rPr>
          <w:rStyle w:val="Accentuation"/>
          <w:rFonts w:asciiTheme="majorBidi" w:hAnsiTheme="majorBidi" w:cstheme="majorBidi"/>
          <w:i w:val="0"/>
          <w:iCs w:val="0"/>
          <w:color w:val="000000"/>
          <w:lang w:val="fr-FR"/>
        </w:rPr>
        <w:t>PME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lang w:val="fr-FR"/>
        </w:rPr>
        <w:t>pp. 4-5</w:t>
      </w:r>
      <w:r w:rsidRPr="0045362C">
        <w:rPr>
          <w:rFonts w:asciiTheme="majorBidi" w:hAnsiTheme="majorBidi" w:cstheme="majorBidi"/>
          <w:color w:val="000000"/>
        </w:rPr>
        <w:t>.</w:t>
      </w:r>
    </w:p>
    <w:p w:rsidR="00AE378F" w:rsidRPr="0045362C" w:rsidRDefault="00AE378F">
      <w:pPr>
        <w:pStyle w:val="Notedebasdepage"/>
        <w:rPr>
          <w:rFonts w:asciiTheme="majorBidi" w:hAnsiTheme="majorBidi" w:cstheme="majorBidi"/>
        </w:rPr>
      </w:pPr>
    </w:p>
  </w:footnote>
  <w:footnote w:id="384">
    <w:p w:rsidR="00AE378F" w:rsidRPr="0045362C" w:rsidRDefault="00AE378F" w:rsidP="006C1D08">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Berrefas, W.</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(2023).</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Transformation digitale et pratiques de GRH en Algérie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121–124</w:t>
      </w:r>
      <w:r w:rsidRPr="0045362C">
        <w:rPr>
          <w:rFonts w:asciiTheme="majorBidi" w:hAnsiTheme="majorBidi" w:cstheme="majorBidi"/>
          <w:color w:val="000000"/>
        </w:rPr>
        <w:t>.</w:t>
      </w:r>
    </w:p>
    <w:p w:rsidR="00AE378F" w:rsidRPr="0045362C" w:rsidRDefault="00AE378F">
      <w:pPr>
        <w:pStyle w:val="Notedebasdepage"/>
        <w:rPr>
          <w:rFonts w:asciiTheme="majorBidi" w:hAnsiTheme="majorBidi" w:cstheme="majorBidi"/>
          <w:lang w:val="fr-FR"/>
        </w:rPr>
      </w:pPr>
    </w:p>
  </w:footnote>
  <w:footnote w:id="385">
    <w:p w:rsidR="00AE378F" w:rsidRPr="0045362C" w:rsidRDefault="00AE378F">
      <w:pPr>
        <w:pStyle w:val="Notedebasdepage"/>
        <w:rPr>
          <w:rFonts w:asciiTheme="majorBidi" w:hAnsiTheme="majorBidi" w:cstheme="majorBidi"/>
          <w:rtl/>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El Oumami, </w:t>
      </w:r>
      <w:r w:rsidRPr="0045362C">
        <w:rPr>
          <w:rStyle w:val="lev"/>
          <w:rFonts w:asciiTheme="majorBidi" w:hAnsiTheme="majorBidi" w:cstheme="majorBidi"/>
          <w:b w:val="0"/>
          <w:bCs w:val="0"/>
          <w:color w:val="000000"/>
          <w:lang w:val="en-US"/>
        </w:rPr>
        <w:t>R</w:t>
      </w:r>
      <w:r w:rsidRPr="0045362C">
        <w:rPr>
          <w:rStyle w:val="lev"/>
          <w:rFonts w:asciiTheme="majorBidi" w:hAnsiTheme="majorBidi" w:cstheme="majorBidi"/>
          <w:b w:val="0"/>
          <w:bCs w:val="0"/>
          <w:color w:val="000000"/>
        </w:rPr>
        <w:t xml:space="preserve">., &amp; El Haddad, </w:t>
      </w:r>
      <w:r w:rsidRPr="0045362C">
        <w:rPr>
          <w:rStyle w:val="lev"/>
          <w:rFonts w:asciiTheme="majorBidi" w:hAnsiTheme="majorBidi" w:cstheme="majorBidi"/>
          <w:b w:val="0"/>
          <w:bCs w:val="0"/>
          <w:color w:val="000000"/>
          <w:lang w:val="en-US"/>
        </w:rPr>
        <w:t>M</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(2024).</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Impact de la digitalisation sur les Ressources Humaines : Étude de</w:t>
      </w:r>
      <w:r w:rsidRPr="0045362C">
        <w:rPr>
          <w:rStyle w:val="Accentuation"/>
          <w:rFonts w:asciiTheme="majorBidi" w:hAnsiTheme="majorBidi" w:cstheme="majorBidi"/>
          <w:i w:val="0"/>
          <w:iCs w:val="0"/>
          <w:color w:val="000000"/>
          <w:rtl/>
        </w:rPr>
        <w:t xml:space="preserve"> </w:t>
      </w:r>
      <w:r w:rsidRPr="0045362C">
        <w:rPr>
          <w:rStyle w:val="Accentuation"/>
          <w:rFonts w:asciiTheme="majorBidi" w:hAnsiTheme="majorBidi" w:cstheme="majorBidi"/>
          <w:i w:val="0"/>
          <w:iCs w:val="0"/>
          <w:color w:val="000000"/>
        </w:rPr>
        <w:t>Cas dans le Secteur Bancaire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21</w:t>
      </w:r>
      <w:r w:rsidRPr="0045362C">
        <w:rPr>
          <w:rStyle w:val="lev"/>
          <w:rFonts w:asciiTheme="majorBidi" w:hAnsiTheme="majorBidi" w:cstheme="majorBidi"/>
          <w:b w:val="0"/>
          <w:bCs w:val="0"/>
          <w:color w:val="000000"/>
          <w:rtl/>
        </w:rPr>
        <w:t>1</w:t>
      </w:r>
      <w:r w:rsidRPr="0045362C">
        <w:rPr>
          <w:rStyle w:val="lev"/>
          <w:rFonts w:asciiTheme="majorBidi" w:hAnsiTheme="majorBidi" w:cstheme="majorBidi"/>
          <w:b w:val="0"/>
          <w:bCs w:val="0"/>
          <w:color w:val="000000"/>
        </w:rPr>
        <w:t>–21</w:t>
      </w:r>
      <w:r w:rsidRPr="0045362C">
        <w:rPr>
          <w:rStyle w:val="lev"/>
          <w:rFonts w:asciiTheme="majorBidi" w:hAnsiTheme="majorBidi" w:cstheme="majorBidi"/>
          <w:b w:val="0"/>
          <w:bCs w:val="0"/>
          <w:color w:val="000000"/>
          <w:rtl/>
        </w:rPr>
        <w:t>3</w:t>
      </w:r>
      <w:r w:rsidRPr="0045362C">
        <w:rPr>
          <w:rFonts w:asciiTheme="majorBidi" w:hAnsiTheme="majorBidi" w:cstheme="majorBidi"/>
          <w:color w:val="000000"/>
        </w:rPr>
        <w:t>.</w:t>
      </w:r>
    </w:p>
  </w:footnote>
  <w:footnote w:id="386">
    <w:p w:rsidR="00AE378F" w:rsidRPr="0045362C" w:rsidRDefault="00AE378F" w:rsidP="006C1D08">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Gampine, </w:t>
      </w:r>
      <w:r w:rsidRPr="0045362C">
        <w:rPr>
          <w:rStyle w:val="lev"/>
          <w:rFonts w:asciiTheme="majorBidi" w:hAnsiTheme="majorBidi" w:cstheme="majorBidi"/>
          <w:b w:val="0"/>
          <w:bCs w:val="0"/>
          <w:color w:val="000000"/>
          <w:lang w:val="fr-FR"/>
        </w:rPr>
        <w:t>I</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(2023).</w:t>
      </w:r>
      <w:r w:rsidRPr="0045362C">
        <w:rPr>
          <w:rStyle w:val="apple-converted-space"/>
          <w:rFonts w:asciiTheme="majorBidi" w:hAnsiTheme="majorBidi" w:cstheme="majorBidi"/>
          <w:color w:val="000000"/>
        </w:rPr>
        <w:t> </w:t>
      </w:r>
      <w:r w:rsidRPr="0045362C">
        <w:rPr>
          <w:rFonts w:asciiTheme="majorBidi" w:hAnsiTheme="majorBidi" w:cstheme="majorBidi"/>
        </w:rPr>
        <w:t>La Digitalisation des Pratiques de Ressources Humaines et la Performance des Entreprises dans un</w:t>
      </w:r>
      <w:r w:rsidRPr="0045362C">
        <w:rPr>
          <w:rFonts w:asciiTheme="majorBidi" w:hAnsiTheme="majorBidi" w:cstheme="majorBidi"/>
          <w:lang w:val="fr-FR"/>
        </w:rPr>
        <w:t xml:space="preserve"> </w:t>
      </w:r>
      <w:r w:rsidRPr="0045362C">
        <w:rPr>
          <w:rFonts w:asciiTheme="majorBidi" w:hAnsiTheme="majorBidi" w:cstheme="majorBidi"/>
        </w:rPr>
        <w:t>Environnement Dynamique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 xml:space="preserve">pp. </w:t>
      </w:r>
      <w:r w:rsidRPr="0045362C">
        <w:rPr>
          <w:rStyle w:val="lev"/>
          <w:rFonts w:asciiTheme="majorBidi" w:hAnsiTheme="majorBidi" w:cstheme="majorBidi"/>
          <w:b w:val="0"/>
          <w:bCs w:val="0"/>
          <w:color w:val="000000"/>
          <w:lang w:val="fr-FR"/>
        </w:rPr>
        <w:t>11</w:t>
      </w:r>
      <w:r w:rsidRPr="0045362C">
        <w:rPr>
          <w:rStyle w:val="lev"/>
          <w:rFonts w:asciiTheme="majorBidi" w:hAnsiTheme="majorBidi" w:cstheme="majorBidi"/>
          <w:b w:val="0"/>
          <w:bCs w:val="0"/>
          <w:color w:val="000000"/>
        </w:rPr>
        <w:t>–</w:t>
      </w:r>
      <w:r w:rsidRPr="0045362C">
        <w:rPr>
          <w:rStyle w:val="lev"/>
          <w:rFonts w:asciiTheme="majorBidi" w:hAnsiTheme="majorBidi" w:cstheme="majorBidi"/>
          <w:b w:val="0"/>
          <w:bCs w:val="0"/>
          <w:color w:val="000000"/>
          <w:lang w:val="fr-FR"/>
        </w:rPr>
        <w:t>13</w:t>
      </w:r>
      <w:r w:rsidRPr="0045362C">
        <w:rPr>
          <w:rFonts w:asciiTheme="majorBidi" w:hAnsiTheme="majorBidi" w:cstheme="majorBidi"/>
          <w:color w:val="000000"/>
        </w:rPr>
        <w:t>.</w:t>
      </w:r>
    </w:p>
  </w:footnote>
  <w:footnote w:id="387">
    <w:p w:rsidR="00E772DD" w:rsidRPr="0045362C" w:rsidRDefault="00E772DD" w:rsidP="006C1D08">
      <w:pPr>
        <w:pStyle w:val="Notedebasdepage"/>
        <w:rPr>
          <w:rFonts w:asciiTheme="majorBidi" w:hAnsiTheme="majorBidi" w:cstheme="majorBidi"/>
          <w:color w:val="000000"/>
          <w:rtl/>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Galindo, G., Garbe, </w:t>
      </w:r>
      <w:r w:rsidRPr="0045362C">
        <w:rPr>
          <w:rStyle w:val="lev"/>
          <w:rFonts w:asciiTheme="majorBidi" w:hAnsiTheme="majorBidi" w:cstheme="majorBidi"/>
          <w:b w:val="0"/>
          <w:bCs w:val="0"/>
          <w:color w:val="000000"/>
          <w:lang w:val="fr-FR"/>
        </w:rPr>
        <w:t>E</w:t>
      </w:r>
      <w:r w:rsidRPr="0045362C">
        <w:rPr>
          <w:rStyle w:val="lev"/>
          <w:rFonts w:asciiTheme="majorBidi" w:hAnsiTheme="majorBidi" w:cstheme="majorBidi"/>
          <w:b w:val="0"/>
          <w:bCs w:val="0"/>
          <w:color w:val="000000"/>
        </w:rPr>
        <w:t xml:space="preserve">., &amp; Vignal, </w:t>
      </w:r>
      <w:r w:rsidRPr="0045362C">
        <w:rPr>
          <w:rStyle w:val="lev"/>
          <w:rFonts w:asciiTheme="majorBidi" w:hAnsiTheme="majorBidi" w:cstheme="majorBidi"/>
          <w:b w:val="0"/>
          <w:bCs w:val="0"/>
          <w:color w:val="000000"/>
          <w:lang w:val="fr-FR"/>
        </w:rPr>
        <w:t>J</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(2019).</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lang w:val="fr-FR"/>
        </w:rPr>
        <w:t>D</w:t>
      </w:r>
      <w:r w:rsidRPr="0045362C">
        <w:rPr>
          <w:rStyle w:val="Accentuation"/>
          <w:rFonts w:asciiTheme="majorBidi" w:hAnsiTheme="majorBidi" w:cstheme="majorBidi"/>
          <w:i w:val="0"/>
          <w:iCs w:val="0"/>
          <w:color w:val="000000"/>
        </w:rPr>
        <w:t>es idéaux à la réalité</w:t>
      </w:r>
      <w:r w:rsidRPr="0045362C">
        <w:rPr>
          <w:rStyle w:val="Accentuation"/>
          <w:rFonts w:asciiTheme="majorBidi" w:hAnsiTheme="majorBidi" w:cstheme="majorBidi"/>
          <w:i w:val="0"/>
          <w:iCs w:val="0"/>
          <w:color w:val="000000"/>
          <w:lang w:val="fr-FR"/>
        </w:rPr>
        <w:t xml:space="preserve"> </w:t>
      </w:r>
      <w:r w:rsidRPr="0045362C">
        <w:rPr>
          <w:rStyle w:val="Accentuation"/>
          <w:rFonts w:asciiTheme="majorBidi" w:hAnsiTheme="majorBidi" w:cstheme="majorBidi"/>
          <w:i w:val="0"/>
          <w:iCs w:val="0"/>
          <w:color w:val="000000"/>
        </w:rPr>
        <w:t>de l’accompagnement de la</w:t>
      </w:r>
      <w:r w:rsidRPr="0045362C">
        <w:rPr>
          <w:rStyle w:val="Accentuation"/>
          <w:rFonts w:asciiTheme="majorBidi" w:hAnsiTheme="majorBidi" w:cstheme="majorBidi"/>
          <w:i w:val="0"/>
          <w:iCs w:val="0"/>
          <w:color w:val="000000"/>
          <w:lang w:val="fr-FR"/>
        </w:rPr>
        <w:t xml:space="preserve"> GRH </w:t>
      </w:r>
      <w:r w:rsidRPr="0045362C">
        <w:rPr>
          <w:rStyle w:val="Accentuation"/>
          <w:rFonts w:asciiTheme="majorBidi" w:hAnsiTheme="majorBidi" w:cstheme="majorBidi"/>
          <w:i w:val="0"/>
          <w:iCs w:val="0"/>
          <w:color w:val="000000"/>
        </w:rPr>
        <w:t>dans la digitalisation : le cas</w:t>
      </w:r>
      <w:r w:rsidRPr="0045362C">
        <w:rPr>
          <w:rStyle w:val="Accentuation"/>
          <w:rFonts w:asciiTheme="majorBidi" w:hAnsiTheme="majorBidi" w:cstheme="majorBidi"/>
          <w:i w:val="0"/>
          <w:iCs w:val="0"/>
          <w:color w:val="000000"/>
          <w:lang w:val="fr-FR"/>
        </w:rPr>
        <w:t xml:space="preserve"> </w:t>
      </w:r>
      <w:r w:rsidRPr="0045362C">
        <w:rPr>
          <w:rStyle w:val="Accentuation"/>
          <w:rFonts w:asciiTheme="majorBidi" w:hAnsiTheme="majorBidi" w:cstheme="majorBidi"/>
          <w:i w:val="0"/>
          <w:iCs w:val="0"/>
          <w:color w:val="000000"/>
        </w:rPr>
        <w:t>d’une entreprise industrielle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33–36</w:t>
      </w:r>
      <w:r w:rsidRPr="0045362C">
        <w:rPr>
          <w:rFonts w:asciiTheme="majorBidi" w:hAnsiTheme="majorBidi" w:cstheme="majorBidi"/>
          <w:color w:val="000000"/>
        </w:rPr>
        <w:t>.</w:t>
      </w:r>
    </w:p>
  </w:footnote>
  <w:footnote w:id="388">
    <w:p w:rsidR="00E772DD" w:rsidRPr="0045362C" w:rsidRDefault="00E772DD" w:rsidP="008D5C1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Fonts w:asciiTheme="majorBidi" w:hAnsiTheme="majorBidi" w:cstheme="majorBidi"/>
          <w:color w:val="000000"/>
        </w:rPr>
        <w:t xml:space="preserve">Jarachi, </w:t>
      </w:r>
      <w:r w:rsidRPr="0045362C">
        <w:rPr>
          <w:rFonts w:asciiTheme="majorBidi" w:hAnsiTheme="majorBidi" w:cstheme="majorBidi"/>
          <w:color w:val="000000"/>
          <w:lang w:val="fr-FR"/>
        </w:rPr>
        <w:t>W</w:t>
      </w:r>
      <w:r w:rsidRPr="0045362C">
        <w:rPr>
          <w:rFonts w:asciiTheme="majorBidi" w:hAnsiTheme="majorBidi" w:cstheme="majorBidi"/>
          <w:color w:val="000000"/>
        </w:rPr>
        <w:t>., et al. (2022).</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lang w:val="fr-FR"/>
        </w:rPr>
        <w:t>T</w:t>
      </w:r>
      <w:r w:rsidRPr="0045362C">
        <w:rPr>
          <w:rStyle w:val="Accentuation"/>
          <w:rFonts w:asciiTheme="majorBidi" w:hAnsiTheme="majorBidi" w:cstheme="majorBidi"/>
          <w:i w:val="0"/>
          <w:iCs w:val="0"/>
          <w:color w:val="000000"/>
        </w:rPr>
        <w:t xml:space="preserve">ransformation digitale </w:t>
      </w:r>
      <w:r w:rsidRPr="0045362C">
        <w:rPr>
          <w:rStyle w:val="Accentuation"/>
          <w:rFonts w:asciiTheme="majorBidi" w:hAnsiTheme="majorBidi" w:cstheme="majorBidi"/>
          <w:i w:val="0"/>
          <w:iCs w:val="0"/>
          <w:color w:val="000000"/>
          <w:lang w:val="fr-FR"/>
        </w:rPr>
        <w:t xml:space="preserve">et développement de </w:t>
      </w:r>
      <w:r w:rsidRPr="0045362C">
        <w:rPr>
          <w:rStyle w:val="Accentuation"/>
          <w:rFonts w:asciiTheme="majorBidi" w:hAnsiTheme="majorBidi" w:cstheme="majorBidi"/>
          <w:i w:val="0"/>
          <w:iCs w:val="0"/>
          <w:color w:val="000000"/>
        </w:rPr>
        <w:t>la gestion des ressources humaines</w:t>
      </w:r>
      <w:r w:rsidRPr="0045362C">
        <w:rPr>
          <w:rFonts w:asciiTheme="majorBidi" w:hAnsiTheme="majorBidi" w:cstheme="majorBidi"/>
          <w:color w:val="000000"/>
        </w:rPr>
        <w:t>.</w:t>
      </w:r>
      <w:r w:rsidRPr="0045362C">
        <w:rPr>
          <w:rStyle w:val="apple-converted-space"/>
          <w:rFonts w:asciiTheme="majorBidi" w:hAnsiTheme="majorBidi" w:cstheme="majorBidi"/>
          <w:color w:val="000000"/>
        </w:rPr>
        <w:t> </w:t>
      </w:r>
      <w:r w:rsidRPr="0045362C">
        <w:rPr>
          <w:rStyle w:val="lev"/>
          <w:rFonts w:asciiTheme="majorBidi" w:hAnsiTheme="majorBidi" w:cstheme="majorBidi"/>
          <w:b w:val="0"/>
          <w:bCs w:val="0"/>
          <w:color w:val="000000"/>
        </w:rPr>
        <w:t xml:space="preserve"> pp. </w:t>
      </w:r>
      <w:r w:rsidRPr="0045362C">
        <w:rPr>
          <w:rStyle w:val="lev"/>
          <w:rFonts w:asciiTheme="majorBidi" w:hAnsiTheme="majorBidi" w:cstheme="majorBidi"/>
          <w:b w:val="0"/>
          <w:bCs w:val="0"/>
          <w:color w:val="000000"/>
          <w:lang w:val="fr-FR"/>
        </w:rPr>
        <w:t>154-155</w:t>
      </w:r>
      <w:r w:rsidRPr="0045362C">
        <w:rPr>
          <w:rFonts w:asciiTheme="majorBidi" w:hAnsiTheme="majorBidi" w:cstheme="majorBidi"/>
          <w:color w:val="000000"/>
        </w:rPr>
        <w:t>.</w:t>
      </w:r>
    </w:p>
    <w:p w:rsidR="00E772DD" w:rsidRPr="0045362C" w:rsidRDefault="00E772DD">
      <w:pPr>
        <w:pStyle w:val="Notedebasdepage"/>
        <w:rPr>
          <w:rFonts w:asciiTheme="majorBidi" w:hAnsiTheme="majorBidi" w:cstheme="majorBidi"/>
          <w:lang w:val="fr-FR"/>
        </w:rPr>
      </w:pPr>
    </w:p>
  </w:footnote>
  <w:footnote w:id="389">
    <w:p w:rsidR="00E772DD" w:rsidRPr="0045362C" w:rsidRDefault="00E772DD">
      <w:pPr>
        <w:pStyle w:val="Notedebasdepage"/>
        <w:rPr>
          <w:rFonts w:asciiTheme="majorBidi" w:hAnsiTheme="majorBidi" w:cstheme="majorBidi"/>
          <w:rtl/>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El Oumami, </w:t>
      </w:r>
      <w:r w:rsidRPr="0045362C">
        <w:rPr>
          <w:rStyle w:val="lev"/>
          <w:rFonts w:asciiTheme="majorBidi" w:hAnsiTheme="majorBidi" w:cstheme="majorBidi"/>
          <w:b w:val="0"/>
          <w:bCs w:val="0"/>
          <w:color w:val="000000"/>
          <w:lang w:val="fr-FR"/>
        </w:rPr>
        <w:t>R</w:t>
      </w:r>
      <w:r w:rsidRPr="0045362C">
        <w:rPr>
          <w:rStyle w:val="lev"/>
          <w:rFonts w:asciiTheme="majorBidi" w:hAnsiTheme="majorBidi" w:cstheme="majorBidi"/>
          <w:b w:val="0"/>
          <w:bCs w:val="0"/>
          <w:color w:val="000000"/>
        </w:rPr>
        <w:t xml:space="preserve">., &amp; El Haddad, </w:t>
      </w:r>
      <w:r w:rsidRPr="0045362C">
        <w:rPr>
          <w:rStyle w:val="lev"/>
          <w:rFonts w:asciiTheme="majorBidi" w:hAnsiTheme="majorBidi" w:cstheme="majorBidi"/>
          <w:b w:val="0"/>
          <w:bCs w:val="0"/>
          <w:color w:val="000000"/>
          <w:lang w:val="fr-FR"/>
        </w:rPr>
        <w:t>M</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(2024).</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Impact de la digitalisation sur les Ressources Humaines : Étude de</w:t>
      </w:r>
      <w:r w:rsidRPr="0045362C">
        <w:rPr>
          <w:rStyle w:val="Accentuation"/>
          <w:rFonts w:asciiTheme="majorBidi" w:hAnsiTheme="majorBidi" w:cstheme="majorBidi"/>
          <w:i w:val="0"/>
          <w:iCs w:val="0"/>
          <w:color w:val="000000"/>
          <w:rtl/>
        </w:rPr>
        <w:t xml:space="preserve"> </w:t>
      </w:r>
      <w:r w:rsidRPr="0045362C">
        <w:rPr>
          <w:rStyle w:val="Accentuation"/>
          <w:rFonts w:asciiTheme="majorBidi" w:hAnsiTheme="majorBidi" w:cstheme="majorBidi"/>
          <w:i w:val="0"/>
          <w:iCs w:val="0"/>
          <w:color w:val="000000"/>
        </w:rPr>
        <w:t>Cas dans le Secteur Bancaire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214–216</w:t>
      </w:r>
      <w:r w:rsidRPr="0045362C">
        <w:rPr>
          <w:rFonts w:asciiTheme="majorBidi" w:hAnsiTheme="majorBidi" w:cstheme="majorBidi"/>
          <w:color w:val="000000"/>
        </w:rPr>
        <w:t>.</w:t>
      </w:r>
    </w:p>
  </w:footnote>
  <w:footnote w:id="390">
    <w:p w:rsidR="00E772DD" w:rsidRPr="0045362C" w:rsidRDefault="00E772DD" w:rsidP="008D5C1D">
      <w:pPr>
        <w:pStyle w:val="Notedebasdepage"/>
        <w:rPr>
          <w:rStyle w:val="Accentuation"/>
          <w:rFonts w:asciiTheme="majorBidi" w:hAnsiTheme="majorBidi" w:cstheme="majorBidi"/>
          <w:i w:val="0"/>
          <w:iCs w:val="0"/>
          <w:color w:val="000000"/>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L’Écuyer, </w:t>
      </w:r>
      <w:r w:rsidRPr="0045362C">
        <w:rPr>
          <w:rStyle w:val="lev"/>
          <w:rFonts w:asciiTheme="majorBidi" w:hAnsiTheme="majorBidi" w:cstheme="majorBidi"/>
          <w:b w:val="0"/>
          <w:bCs w:val="0"/>
          <w:color w:val="000000"/>
          <w:lang w:val="fr-FR"/>
        </w:rPr>
        <w:t>F</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(2016).</w:t>
      </w:r>
      <w:r w:rsidRPr="0045362C">
        <w:rPr>
          <w:rStyle w:val="Accentuation"/>
          <w:rFonts w:asciiTheme="majorBidi" w:hAnsiTheme="majorBidi" w:cstheme="majorBidi"/>
          <w:i w:val="0"/>
          <w:iCs w:val="0"/>
          <w:color w:val="000000"/>
        </w:rPr>
        <w:t xml:space="preserve"> </w:t>
      </w:r>
      <w:r w:rsidRPr="0045362C">
        <w:rPr>
          <w:rStyle w:val="Accentuation"/>
          <w:rFonts w:asciiTheme="majorBidi" w:hAnsiTheme="majorBidi" w:cstheme="majorBidi"/>
          <w:i w:val="0"/>
          <w:iCs w:val="0"/>
          <w:color w:val="000000"/>
          <w:lang w:val="fr-FR"/>
        </w:rPr>
        <w:t>L</w:t>
      </w:r>
      <w:r w:rsidRPr="0045362C">
        <w:rPr>
          <w:rStyle w:val="Accentuation"/>
          <w:rFonts w:asciiTheme="majorBidi" w:hAnsiTheme="majorBidi" w:cstheme="majorBidi"/>
          <w:i w:val="0"/>
          <w:iCs w:val="0"/>
          <w:color w:val="000000"/>
        </w:rPr>
        <w:t>es technologies de l'information en tant que vecteur de</w:t>
      </w:r>
    </w:p>
    <w:p w:rsidR="00E772DD" w:rsidRPr="0045362C" w:rsidRDefault="00E772DD" w:rsidP="008D5C1D">
      <w:pPr>
        <w:pStyle w:val="Notedebasdepage"/>
        <w:rPr>
          <w:rFonts w:asciiTheme="majorBidi" w:hAnsiTheme="majorBidi" w:cstheme="majorBidi"/>
          <w:color w:val="000000"/>
        </w:rPr>
      </w:pPr>
      <w:r w:rsidRPr="0045362C">
        <w:rPr>
          <w:rStyle w:val="Accentuation"/>
          <w:rFonts w:asciiTheme="majorBidi" w:hAnsiTheme="majorBidi" w:cstheme="majorBidi"/>
          <w:i w:val="0"/>
          <w:iCs w:val="0"/>
          <w:color w:val="000000"/>
        </w:rPr>
        <w:t>performance de la gestion stratégique des ressources</w:t>
      </w:r>
      <w:r w:rsidRPr="0045362C">
        <w:rPr>
          <w:rStyle w:val="Accentuation"/>
          <w:rFonts w:asciiTheme="majorBidi" w:hAnsiTheme="majorBidi" w:cstheme="majorBidi"/>
          <w:i w:val="0"/>
          <w:iCs w:val="0"/>
          <w:color w:val="000000"/>
          <w:lang w:val="fr-FR"/>
        </w:rPr>
        <w:t xml:space="preserve"> </w:t>
      </w:r>
      <w:r w:rsidRPr="0045362C">
        <w:rPr>
          <w:rStyle w:val="Accentuation"/>
          <w:rFonts w:asciiTheme="majorBidi" w:hAnsiTheme="majorBidi" w:cstheme="majorBidi"/>
          <w:i w:val="0"/>
          <w:iCs w:val="0"/>
          <w:color w:val="000000"/>
        </w:rPr>
        <w:t xml:space="preserve">humaines dans les </w:t>
      </w:r>
      <w:r w:rsidRPr="0045362C">
        <w:rPr>
          <w:rStyle w:val="Accentuation"/>
          <w:rFonts w:asciiTheme="majorBidi" w:hAnsiTheme="majorBidi" w:cstheme="majorBidi"/>
          <w:i w:val="0"/>
          <w:iCs w:val="0"/>
          <w:color w:val="000000"/>
          <w:lang w:val="fr-FR"/>
        </w:rPr>
        <w:t>PME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 5</w:t>
      </w:r>
      <w:r w:rsidRPr="0045362C">
        <w:rPr>
          <w:rFonts w:asciiTheme="majorBidi" w:hAnsiTheme="majorBidi" w:cstheme="majorBidi"/>
          <w:color w:val="000000"/>
        </w:rPr>
        <w:t>.</w:t>
      </w:r>
    </w:p>
  </w:footnote>
  <w:footnote w:id="391">
    <w:p w:rsidR="00E772DD" w:rsidRPr="0045362C" w:rsidRDefault="00E772DD" w:rsidP="008D5C1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 xml:space="preserve">Gampine, </w:t>
      </w:r>
      <w:r w:rsidRPr="0045362C">
        <w:rPr>
          <w:rStyle w:val="lev"/>
          <w:rFonts w:asciiTheme="majorBidi" w:hAnsiTheme="majorBidi" w:cstheme="majorBidi"/>
          <w:b w:val="0"/>
          <w:bCs w:val="0"/>
          <w:color w:val="000000"/>
          <w:lang w:val="fr-FR"/>
        </w:rPr>
        <w:t>I</w:t>
      </w:r>
      <w:r w:rsidRPr="0045362C">
        <w:rPr>
          <w:rStyle w:val="lev"/>
          <w:rFonts w:asciiTheme="majorBidi" w:hAnsiTheme="majorBidi" w:cstheme="majorBidi"/>
          <w:b w:val="0"/>
          <w:bCs w:val="0"/>
          <w:color w:val="000000"/>
        </w:rPr>
        <w:t>.</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(2023).</w:t>
      </w:r>
      <w:r w:rsidRPr="0045362C">
        <w:rPr>
          <w:rStyle w:val="apple-converted-space"/>
          <w:rFonts w:asciiTheme="majorBidi" w:hAnsiTheme="majorBidi" w:cstheme="majorBidi"/>
          <w:color w:val="000000"/>
        </w:rPr>
        <w:t> </w:t>
      </w:r>
      <w:r w:rsidRPr="0045362C">
        <w:rPr>
          <w:rFonts w:asciiTheme="majorBidi" w:hAnsiTheme="majorBidi" w:cstheme="majorBidi"/>
        </w:rPr>
        <w:t>La Digitalisation des Pratiques de Ressources Humaines et la Performance des Entreprises dans un</w:t>
      </w:r>
      <w:r w:rsidRPr="0045362C">
        <w:rPr>
          <w:rFonts w:asciiTheme="majorBidi" w:hAnsiTheme="majorBidi" w:cstheme="majorBidi"/>
          <w:lang w:val="fr-FR"/>
        </w:rPr>
        <w:t xml:space="preserve"> </w:t>
      </w:r>
      <w:r w:rsidRPr="0045362C">
        <w:rPr>
          <w:rFonts w:asciiTheme="majorBidi" w:hAnsiTheme="majorBidi" w:cstheme="majorBidi"/>
        </w:rPr>
        <w:t>Environnement Dynamique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 xml:space="preserve">pp. </w:t>
      </w:r>
      <w:r w:rsidRPr="0045362C">
        <w:rPr>
          <w:rStyle w:val="lev"/>
          <w:rFonts w:asciiTheme="majorBidi" w:hAnsiTheme="majorBidi" w:cstheme="majorBidi"/>
          <w:b w:val="0"/>
          <w:bCs w:val="0"/>
          <w:color w:val="000000"/>
          <w:lang w:val="fr-FR"/>
        </w:rPr>
        <w:t>10</w:t>
      </w:r>
      <w:r w:rsidRPr="0045362C">
        <w:rPr>
          <w:rStyle w:val="lev"/>
          <w:rFonts w:asciiTheme="majorBidi" w:hAnsiTheme="majorBidi" w:cstheme="majorBidi"/>
          <w:b w:val="0"/>
          <w:bCs w:val="0"/>
          <w:color w:val="000000"/>
        </w:rPr>
        <w:t>–</w:t>
      </w:r>
      <w:r w:rsidRPr="0045362C">
        <w:rPr>
          <w:rStyle w:val="lev"/>
          <w:rFonts w:asciiTheme="majorBidi" w:hAnsiTheme="majorBidi" w:cstheme="majorBidi"/>
          <w:b w:val="0"/>
          <w:bCs w:val="0"/>
          <w:color w:val="000000"/>
          <w:lang w:val="fr-FR"/>
        </w:rPr>
        <w:t>12</w:t>
      </w:r>
      <w:r w:rsidRPr="0045362C">
        <w:rPr>
          <w:rFonts w:asciiTheme="majorBidi" w:hAnsiTheme="majorBidi" w:cstheme="majorBidi"/>
          <w:color w:val="000000"/>
        </w:rPr>
        <w:t>.</w:t>
      </w:r>
    </w:p>
    <w:p w:rsidR="00E772DD" w:rsidRPr="0045362C" w:rsidRDefault="00E772DD">
      <w:pPr>
        <w:pStyle w:val="Notedebasdepage"/>
        <w:rPr>
          <w:rFonts w:asciiTheme="majorBidi" w:hAnsiTheme="majorBidi" w:cstheme="majorBidi"/>
          <w:lang w:val="fr-FR"/>
        </w:rPr>
      </w:pPr>
    </w:p>
  </w:footnote>
  <w:footnote w:id="392">
    <w:p w:rsidR="00E772DD" w:rsidRPr="0045362C" w:rsidRDefault="00E772DD" w:rsidP="006C1D08">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w:t>
      </w:r>
      <w:r w:rsidRPr="0045362C">
        <w:rPr>
          <w:rStyle w:val="lev"/>
          <w:rFonts w:asciiTheme="majorBidi" w:hAnsiTheme="majorBidi" w:cstheme="majorBidi"/>
          <w:b w:val="0"/>
          <w:bCs w:val="0"/>
          <w:color w:val="000000"/>
        </w:rPr>
        <w:t>Berrefas, W.</w:t>
      </w:r>
      <w:r w:rsidRPr="0045362C">
        <w:rPr>
          <w:rStyle w:val="apple-converted-space"/>
          <w:rFonts w:asciiTheme="majorBidi" w:hAnsiTheme="majorBidi" w:cstheme="majorBidi"/>
          <w:color w:val="000000"/>
        </w:rPr>
        <w:t> </w:t>
      </w:r>
      <w:r w:rsidRPr="0045362C">
        <w:rPr>
          <w:rFonts w:asciiTheme="majorBidi" w:hAnsiTheme="majorBidi" w:cstheme="majorBidi"/>
          <w:color w:val="000000"/>
        </w:rPr>
        <w:t>(2023).</w:t>
      </w:r>
      <w:r w:rsidRPr="0045362C">
        <w:rPr>
          <w:rStyle w:val="apple-converted-space"/>
          <w:rFonts w:asciiTheme="majorBidi" w:hAnsiTheme="majorBidi" w:cstheme="majorBidi"/>
          <w:color w:val="000000"/>
        </w:rPr>
        <w:t> </w:t>
      </w:r>
      <w:r w:rsidRPr="0045362C">
        <w:rPr>
          <w:rStyle w:val="Accentuation"/>
          <w:rFonts w:asciiTheme="majorBidi" w:hAnsiTheme="majorBidi" w:cstheme="majorBidi"/>
          <w:i w:val="0"/>
          <w:iCs w:val="0"/>
          <w:color w:val="000000"/>
        </w:rPr>
        <w:t>Transformation digitale et pratiques de GRH en Algérie</w:t>
      </w:r>
      <w:r w:rsidRPr="0045362C">
        <w:rPr>
          <w:rFonts w:asciiTheme="majorBidi" w:hAnsiTheme="majorBidi" w:cstheme="majorBidi"/>
          <w:color w:val="000000"/>
        </w:rPr>
        <w:t xml:space="preserve">. </w:t>
      </w:r>
      <w:r w:rsidRPr="0045362C">
        <w:rPr>
          <w:rStyle w:val="lev"/>
          <w:rFonts w:asciiTheme="majorBidi" w:hAnsiTheme="majorBidi" w:cstheme="majorBidi"/>
          <w:b w:val="0"/>
          <w:bCs w:val="0"/>
          <w:color w:val="000000"/>
        </w:rPr>
        <w:t>pp. 12</w:t>
      </w:r>
      <w:r w:rsidRPr="0045362C">
        <w:rPr>
          <w:rStyle w:val="lev"/>
          <w:rFonts w:asciiTheme="majorBidi" w:hAnsiTheme="majorBidi" w:cstheme="majorBidi"/>
          <w:b w:val="0"/>
          <w:bCs w:val="0"/>
          <w:color w:val="000000"/>
          <w:rtl/>
        </w:rPr>
        <w:t>2</w:t>
      </w:r>
      <w:r w:rsidRPr="0045362C">
        <w:rPr>
          <w:rStyle w:val="lev"/>
          <w:rFonts w:asciiTheme="majorBidi" w:hAnsiTheme="majorBidi" w:cstheme="majorBidi"/>
          <w:b w:val="0"/>
          <w:bCs w:val="0"/>
          <w:color w:val="000000"/>
        </w:rPr>
        <w:t>–124</w:t>
      </w:r>
      <w:r w:rsidRPr="0045362C">
        <w:rPr>
          <w:rFonts w:asciiTheme="majorBidi" w:hAnsiTheme="majorBidi" w:cstheme="majorBidi"/>
          <w:color w:val="000000"/>
        </w:rPr>
        <w:t>.</w:t>
      </w:r>
    </w:p>
    <w:p w:rsidR="00E772DD" w:rsidRPr="0045362C" w:rsidRDefault="00E772DD">
      <w:pPr>
        <w:pStyle w:val="Notedebasdepage"/>
        <w:rPr>
          <w:rFonts w:asciiTheme="majorBidi" w:hAnsiTheme="majorBidi" w:cstheme="majorBidi"/>
          <w:lang w:val="fr-FR"/>
        </w:rPr>
      </w:pPr>
    </w:p>
  </w:footnote>
  <w:footnote w:id="393">
    <w:p w:rsidR="00E772DD" w:rsidRPr="0045362C" w:rsidRDefault="00E772DD" w:rsidP="005A786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Miles, M. B., Huberman, A. M., &amp; Saldaña, J. (2014). Qualitative Data Analysis: A Methods Sourcebook (3rd ed.). SAGE Publications. p. 13</w:t>
      </w:r>
    </w:p>
  </w:footnote>
  <w:footnote w:id="394">
    <w:p w:rsidR="00E772DD" w:rsidRPr="0045362C" w:rsidRDefault="00E772DD" w:rsidP="005A786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Collis, J., &amp; Hussey, R. (2014). Business Research: A Practical Guide for Undergraduate and Postgraduate Students (4th ed.). Palgrave Macmillan. p. 218</w:t>
      </w:r>
    </w:p>
  </w:footnote>
  <w:footnote w:id="395">
    <w:p w:rsidR="00E772DD" w:rsidRPr="0045362C" w:rsidRDefault="00E772DD" w:rsidP="005A7867">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Bryman, A. (2016). Social Research Methods (5th ed.). Oxford University Press. p. 186–187</w:t>
      </w:r>
    </w:p>
  </w:footnote>
  <w:footnote w:id="396">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Pallant, J. (2020). SPSS Survival Manual (7th ed.). McGraw-Hill Education. pp. 4</w:t>
      </w:r>
    </w:p>
  </w:footnote>
  <w:footnote w:id="397">
    <w:p w:rsidR="00720E53" w:rsidRPr="0045362C" w:rsidRDefault="00720E53" w:rsidP="00720E53">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Pallant, J. (2020). SPSS Survival Manual (7th ed.). McGraw-Hill Education. pp. </w:t>
      </w:r>
      <w:r w:rsidRPr="0045362C">
        <w:rPr>
          <w:rFonts w:asciiTheme="majorBidi" w:hAnsiTheme="majorBidi" w:cstheme="majorBidi"/>
          <w:lang w:val="en-US"/>
        </w:rPr>
        <w:t>5</w:t>
      </w:r>
      <w:r w:rsidRPr="0045362C">
        <w:rPr>
          <w:rFonts w:asciiTheme="majorBidi" w:hAnsiTheme="majorBidi" w:cstheme="majorBidi"/>
        </w:rPr>
        <w:t>–6</w:t>
      </w:r>
    </w:p>
  </w:footnote>
  <w:footnote w:id="398">
    <w:p w:rsidR="00720E53" w:rsidRPr="0045362C" w:rsidRDefault="00720E53" w:rsidP="00720E53">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DeVellis, R. F. (2017). Scale Development: Theory and Applications (4th ed.). SAGE Publications. p. 95</w:t>
      </w:r>
    </w:p>
  </w:footnote>
  <w:footnote w:id="399">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Field, A. (2018). Discovering Statistics Using IBM SPSS Statistics (5th ed.). SAGE Publications. pp. 10 ; 113–275</w:t>
      </w:r>
    </w:p>
  </w:footnote>
  <w:footnote w:id="400">
    <w:p w:rsidR="00720E53" w:rsidRPr="0045362C" w:rsidRDefault="00720E53" w:rsidP="00720E53">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Hayes, A. F. (2018). Introduction to Mediation, Moderation, and Conditional Process Analysis: A Regression-Based Approach (2nd ed.). The Guilford Press. p. 5</w:t>
      </w:r>
    </w:p>
  </w:footnote>
  <w:footnote w:id="401">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Sarstedt, M., Ringle, C. M., &amp; Hair, J. F. (2014). PLS-SEM: Looking back and moving forward. Long Range Planning, 47(3), 105–111. p. 107</w:t>
      </w:r>
    </w:p>
  </w:footnote>
  <w:footnote w:id="402">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Hair, J. F., Risher, J. J., Sarstedt, M., &amp; Ringle, C. M. (2022). Partial least squares structural equation modeling: An updated guide for academics and practitioners. Springer. pp. 7–8</w:t>
      </w:r>
    </w:p>
  </w:footnote>
  <w:footnote w:id="403">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Hair, J. F., Hult, G. T. M., Ringle, C. M., &amp; Sarstedt, M. (2021). A Primer on Partial Least Squares Structural Equation Modeling (PLS-SEM) (3rd ed.). SAGE Publications. pp. 22–26</w:t>
      </w:r>
    </w:p>
  </w:footnote>
  <w:footnote w:id="404">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VanderPlas, J. (2016). Python Data Science Handbook: Essential Tools for Working with Data. O’Reilly Media. pp. 3–5</w:t>
      </w:r>
    </w:p>
  </w:footnote>
  <w:footnote w:id="405">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Perkel, J. M. (2018). Why Jupyter is data scientists’ computational notebook of choice. Nature, 563(7732), 145–147. p. 127</w:t>
      </w:r>
    </w:p>
  </w:footnote>
  <w:footnote w:id="406">
    <w:p w:rsidR="00E772DD" w:rsidRPr="0045362C" w:rsidRDefault="00E772DD">
      <w:pPr>
        <w:pStyle w:val="Notedebasdepage"/>
        <w:rPr>
          <w:rFonts w:asciiTheme="majorBidi" w:hAnsiTheme="majorBidi" w:cstheme="majorBidi"/>
          <w:lang w:val="en-US"/>
        </w:rPr>
      </w:pPr>
    </w:p>
  </w:footnote>
  <w:footnote w:id="407">
    <w:p w:rsidR="00E772DD" w:rsidRPr="0045362C" w:rsidRDefault="00E772DD">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Hayes, A. F. (2018). Introduction to Mediation, Moderation, and Conditional Process Analysis: A Regression-Based Approach (2nd ed.). The Guilford Press. pp. 1–2</w:t>
      </w:r>
    </w:p>
  </w:footnote>
  <w:footnote w:id="408">
    <w:p w:rsidR="00A73794" w:rsidRPr="0045362C" w:rsidRDefault="00A73794" w:rsidP="00A73794">
      <w:pPr>
        <w:pStyle w:val="Notedebasdepage"/>
        <w:rPr>
          <w:rFonts w:asciiTheme="majorBidi" w:hAnsiTheme="majorBidi" w:cstheme="majorBidi"/>
          <w:lang w:val="en-US"/>
        </w:rPr>
      </w:pPr>
      <w:r w:rsidRPr="0045362C">
        <w:rPr>
          <w:rStyle w:val="Appelnotedebasdep"/>
          <w:rFonts w:cstheme="majorBidi"/>
        </w:rPr>
        <w:footnoteRef/>
      </w:r>
      <w:r w:rsidRPr="0045362C">
        <w:rPr>
          <w:rFonts w:asciiTheme="majorBidi" w:hAnsiTheme="majorBidi" w:cstheme="majorBidi"/>
        </w:rPr>
        <w:t xml:space="preserve"> Hayes, A. F. (2018). Introduction to Mediation, Moderation, and Conditional Process Analysis: A Regression-Based Approach (2nd ed.). The Guilford Press. pp. 109–111</w:t>
      </w:r>
    </w:p>
  </w:footnote>
  <w:footnote w:id="409">
    <w:p w:rsidR="00E772DD" w:rsidRPr="0045362C" w:rsidRDefault="00E772DD">
      <w:pPr>
        <w:pStyle w:val="Notedebasdepage"/>
        <w:rPr>
          <w:rFonts w:asciiTheme="majorBidi" w:hAnsiTheme="majorBidi" w:cstheme="majorBidi"/>
          <w:lang w:val="fr-FR"/>
        </w:rPr>
      </w:pPr>
      <w:r w:rsidRPr="0045362C">
        <w:rPr>
          <w:rStyle w:val="Appelnotedebasdep"/>
          <w:rFonts w:cstheme="majorBidi"/>
        </w:rPr>
        <w:footnoteRef/>
      </w:r>
      <w:r w:rsidRPr="0045362C">
        <w:rPr>
          <w:rFonts w:asciiTheme="majorBidi" w:hAnsiTheme="majorBidi" w:cstheme="majorBidi"/>
        </w:rPr>
        <w:t xml:space="preserve"> Hayes, A. F. (2018). Introduction to Mediation, Moderation, and Conditional Process Analysis: A Regression-Based Approach (2nd ed.). The Guilford Press. pp. 109–11</w:t>
      </w:r>
      <w:r w:rsidRPr="0045362C">
        <w:rPr>
          <w:rFonts w:asciiTheme="majorBidi" w:hAnsiTheme="majorBidi" w:cstheme="majorBidi"/>
          <w:lang w:val="fr-F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804379984"/>
      <w:docPartObj>
        <w:docPartGallery w:val="Page Numbers (Top of Page)"/>
        <w:docPartUnique/>
      </w:docPartObj>
    </w:sdtPr>
    <w:sdtContent>
      <w:p w:rsidR="00352F66" w:rsidRDefault="00352F66" w:rsidP="00D92872">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352F66" w:rsidRDefault="00352F66" w:rsidP="00352F66">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77E9" w:rsidRDefault="00B877E9">
    <w:pPr>
      <w:pStyle w:val="En-tte"/>
    </w:pPr>
  </w:p>
  <w:p w:rsidR="00B877E9" w:rsidRDefault="00B877E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0A23" w:rsidRDefault="00B30A2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28FF" w:rsidRPr="008476E2" w:rsidRDefault="00E128FF" w:rsidP="00B30A23">
    <w:pPr>
      <w:jc w:val="center"/>
      <w:rPr>
        <w:b/>
        <w:bCs/>
        <w:color w:val="000000"/>
        <w:lang w:val="en-US" w:eastAsia="fr-FR"/>
      </w:rPr>
    </w:pPr>
    <w:r w:rsidRPr="008476E2">
      <w:rPr>
        <w:b/>
        <w:bCs/>
        <w:color w:val="000000"/>
        <w:lang w:eastAsia="fr-FR"/>
      </w:rPr>
      <w:t>Introduction Général</w:t>
    </w:r>
    <w:r w:rsidR="009C132A" w:rsidRPr="008476E2">
      <w:rPr>
        <w:b/>
        <w:bCs/>
        <w:color w:val="000000"/>
        <w:lang w:val="en-US" w:eastAsia="fr-FR"/>
      </w:rPr>
      <w:t>e</w:t>
    </w:r>
  </w:p>
  <w:p w:rsidR="00E128FF" w:rsidRDefault="00E128FF">
    <w:r>
      <w:rPr>
        <w:noProof/>
        <w14:ligatures w14:val="standardContextual"/>
      </w:rPr>
      <mc:AlternateContent>
        <mc:Choice Requires="wps">
          <w:drawing>
            <wp:anchor distT="0" distB="0" distL="114300" distR="114300" simplePos="0" relativeHeight="251661312" behindDoc="0" locked="0" layoutInCell="1" allowOverlap="1" wp14:anchorId="7D01DF2C" wp14:editId="4BDBA500">
              <wp:simplePos x="0" y="0"/>
              <wp:positionH relativeFrom="column">
                <wp:posOffset>-159657</wp:posOffset>
              </wp:positionH>
              <wp:positionV relativeFrom="paragraph">
                <wp:posOffset>100511</wp:posOffset>
              </wp:positionV>
              <wp:extent cx="5994400" cy="0"/>
              <wp:effectExtent l="0" t="0" r="12700" b="12700"/>
              <wp:wrapNone/>
              <wp:docPr id="1067118994" name="Connecteur droit 6"/>
              <wp:cNvGraphicFramePr/>
              <a:graphic xmlns:a="http://schemas.openxmlformats.org/drawingml/2006/main">
                <a:graphicData uri="http://schemas.microsoft.com/office/word/2010/wordprocessingShape">
                  <wps:wsp>
                    <wps:cNvCnPr/>
                    <wps:spPr>
                      <a:xfrm>
                        <a:off x="0" y="0"/>
                        <a:ext cx="5994400" cy="0"/>
                      </a:xfrm>
                      <a:prstGeom prst="line">
                        <a:avLst/>
                      </a:prstGeom>
                      <a:ln>
                        <a:solidFill>
                          <a:srgbClr val="B1B8A1"/>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anchor>
          </w:drawing>
        </mc:Choice>
        <mc:Fallback>
          <w:pict>
            <v:line w14:anchorId="3684221F" id="Connecteur droit 6"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5pt,7.9pt" to="459.4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" strokecolor="#b1b8a1" strokeweight="1pt">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76E2" w:rsidRDefault="008476E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76E2" w:rsidRPr="000538C0" w:rsidRDefault="008476E2" w:rsidP="008476E2">
    <w:pPr>
      <w:pStyle w:val="p1"/>
      <w:jc w:val="center"/>
      <w:rPr>
        <w:sz w:val="24"/>
        <w:szCs w:val="24"/>
        <w:lang w:val="fr-FR" w:eastAsia="fr-FR"/>
      </w:rPr>
    </w:pPr>
    <w:r w:rsidRPr="000538C0">
      <w:rPr>
        <w:b/>
        <w:bCs/>
        <w:sz w:val="24"/>
        <w:szCs w:val="24"/>
        <w:lang w:val="fr-FR" w:eastAsia="fr-FR"/>
      </w:rPr>
      <w:t>Chapitre I : La gestion des ressources humaines</w:t>
    </w:r>
  </w:p>
  <w:p w:rsidR="008476E2" w:rsidRDefault="008476E2">
    <w:r>
      <w:rPr>
        <w:noProof/>
        <w14:ligatures w14:val="standardContextual"/>
      </w:rPr>
      <mc:AlternateContent>
        <mc:Choice Requires="wps">
          <w:drawing>
            <wp:anchor distT="0" distB="0" distL="114300" distR="114300" simplePos="0" relativeHeight="251665408" behindDoc="0" locked="0" layoutInCell="1" allowOverlap="1" wp14:anchorId="4B050B2B" wp14:editId="1B8A4BBD">
              <wp:simplePos x="0" y="0"/>
              <wp:positionH relativeFrom="column">
                <wp:posOffset>-159657</wp:posOffset>
              </wp:positionH>
              <wp:positionV relativeFrom="paragraph">
                <wp:posOffset>100511</wp:posOffset>
              </wp:positionV>
              <wp:extent cx="5994400" cy="0"/>
              <wp:effectExtent l="0" t="0" r="12700" b="12700"/>
              <wp:wrapNone/>
              <wp:docPr id="1238771976" name="Connecteur droit 6"/>
              <wp:cNvGraphicFramePr/>
              <a:graphic xmlns:a="http://schemas.openxmlformats.org/drawingml/2006/main">
                <a:graphicData uri="http://schemas.microsoft.com/office/word/2010/wordprocessingShape">
                  <wps:wsp>
                    <wps:cNvCnPr/>
                    <wps:spPr>
                      <a:xfrm>
                        <a:off x="0" y="0"/>
                        <a:ext cx="5994400" cy="0"/>
                      </a:xfrm>
                      <a:prstGeom prst="line">
                        <a:avLst/>
                      </a:prstGeom>
                      <a:ln>
                        <a:solidFill>
                          <a:srgbClr val="B1B8A1"/>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anchor>
          </w:drawing>
        </mc:Choice>
        <mc:Fallback>
          <w:pict>
            <v:line w14:anchorId="4EAC1260" id="Connecteur droit 6"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5pt,7.9pt" to="459.4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" strokecolor="#b1b8a1" strokeweight="1pt">
              <v:stroke joinstyle="miter"/>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76E2" w:rsidRDefault="008476E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76E2" w:rsidRPr="00D200FC" w:rsidRDefault="008476E2" w:rsidP="008476E2">
    <w:pPr>
      <w:pStyle w:val="p1"/>
      <w:jc w:val="center"/>
      <w:rPr>
        <w:sz w:val="24"/>
        <w:szCs w:val="24"/>
        <w:lang w:eastAsia="fr-FR"/>
      </w:rPr>
    </w:pPr>
    <w:r w:rsidRPr="008A5941">
      <w:rPr>
        <w:b/>
        <w:bCs/>
        <w:sz w:val="24"/>
        <w:szCs w:val="24"/>
        <w:lang w:val="fr-FR" w:eastAsia="fr-FR"/>
      </w:rPr>
      <w:t xml:space="preserve">Chapitre </w:t>
    </w:r>
    <w:r w:rsidR="00D200FC" w:rsidRPr="00D200FC">
      <w:rPr>
        <w:b/>
        <w:bCs/>
        <w:sz w:val="24"/>
        <w:szCs w:val="24"/>
      </w:rPr>
      <w:t>II</w:t>
    </w:r>
    <w:r w:rsidRPr="008A5941">
      <w:rPr>
        <w:b/>
        <w:bCs/>
        <w:sz w:val="24"/>
        <w:szCs w:val="24"/>
        <w:lang w:val="fr-FR" w:eastAsia="fr-FR"/>
      </w:rPr>
      <w:t xml:space="preserve">: </w:t>
    </w:r>
    <w:r w:rsidR="00376CBF" w:rsidRPr="008A5941">
      <w:rPr>
        <w:b/>
        <w:bCs/>
        <w:sz w:val="24"/>
        <w:szCs w:val="24"/>
        <w:lang w:val="fr-FR" w:eastAsia="fr-FR"/>
      </w:rPr>
      <w:t>La digitalisation des ressources humaines</w:t>
    </w:r>
  </w:p>
  <w:p w:rsidR="008476E2" w:rsidRDefault="008476E2">
    <w:r>
      <w:rPr>
        <w:noProof/>
        <w14:ligatures w14:val="standardContextual"/>
      </w:rPr>
      <mc:AlternateContent>
        <mc:Choice Requires="wps">
          <w:drawing>
            <wp:anchor distT="0" distB="0" distL="114300" distR="114300" simplePos="0" relativeHeight="251669504" behindDoc="0" locked="0" layoutInCell="1" allowOverlap="1" wp14:anchorId="14B78120" wp14:editId="5EE16A8F">
              <wp:simplePos x="0" y="0"/>
              <wp:positionH relativeFrom="column">
                <wp:posOffset>-159657</wp:posOffset>
              </wp:positionH>
              <wp:positionV relativeFrom="paragraph">
                <wp:posOffset>100511</wp:posOffset>
              </wp:positionV>
              <wp:extent cx="5994400" cy="0"/>
              <wp:effectExtent l="0" t="0" r="12700" b="12700"/>
              <wp:wrapNone/>
              <wp:docPr id="1607756635" name="Connecteur droit 6"/>
              <wp:cNvGraphicFramePr/>
              <a:graphic xmlns:a="http://schemas.openxmlformats.org/drawingml/2006/main">
                <a:graphicData uri="http://schemas.microsoft.com/office/word/2010/wordprocessingShape">
                  <wps:wsp>
                    <wps:cNvCnPr/>
                    <wps:spPr>
                      <a:xfrm>
                        <a:off x="0" y="0"/>
                        <a:ext cx="5994400" cy="0"/>
                      </a:xfrm>
                      <a:prstGeom prst="line">
                        <a:avLst/>
                      </a:prstGeom>
                      <a:ln>
                        <a:solidFill>
                          <a:srgbClr val="B1B8A1"/>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anchor>
          </w:drawing>
        </mc:Choice>
        <mc:Fallback>
          <w:pict>
            <v:line w14:anchorId="11156D9D" id="Connecteur droit 6"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5pt,7.9pt" to="459.4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" strokecolor="#b1b8a1" strokeweight="1pt">
              <v:stroke joinstyle="miter"/>
            </v:lin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76E4F" w:rsidRDefault="00A76E4F"/>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76E4F" w:rsidRPr="00D91E89" w:rsidRDefault="00A76E4F" w:rsidP="00D91E89">
    <w:pPr>
      <w:pStyle w:val="p1"/>
      <w:jc w:val="center"/>
      <w:rPr>
        <w:sz w:val="18"/>
        <w:szCs w:val="18"/>
        <w:lang w:eastAsia="fr-FR"/>
      </w:rPr>
    </w:pPr>
    <w:proofErr w:type="spellStart"/>
    <w:r w:rsidRPr="00D200FC">
      <w:rPr>
        <w:b/>
        <w:bCs/>
        <w:sz w:val="24"/>
        <w:szCs w:val="24"/>
        <w:lang w:val="en-US" w:eastAsia="fr-FR"/>
      </w:rPr>
      <w:t>Chapitre</w:t>
    </w:r>
    <w:proofErr w:type="spellEnd"/>
    <w:r w:rsidRPr="00D91E89">
      <w:rPr>
        <w:b/>
        <w:bCs/>
        <w:sz w:val="24"/>
        <w:szCs w:val="24"/>
        <w:lang w:val="en-US" w:eastAsia="fr-FR"/>
      </w:rPr>
      <w:t xml:space="preserve"> </w:t>
    </w:r>
    <w:r w:rsidR="00D91E89" w:rsidRPr="00D91E89">
      <w:rPr>
        <w:b/>
        <w:bCs/>
        <w:sz w:val="24"/>
        <w:szCs w:val="24"/>
        <w:lang w:eastAsia="fr-FR"/>
      </w:rPr>
      <w:t>III</w:t>
    </w:r>
    <w:r w:rsidR="00D91E89" w:rsidRPr="00D91E89">
      <w:rPr>
        <w:b/>
        <w:bCs/>
        <w:sz w:val="18"/>
        <w:szCs w:val="18"/>
        <w:lang w:eastAsia="fr-FR"/>
      </w:rPr>
      <w:t> </w:t>
    </w:r>
    <w:r w:rsidRPr="00D200FC">
      <w:rPr>
        <w:b/>
        <w:bCs/>
        <w:sz w:val="24"/>
        <w:szCs w:val="24"/>
        <w:lang w:val="en-US" w:eastAsia="fr-FR"/>
      </w:rPr>
      <w:t xml:space="preserve">: </w:t>
    </w:r>
    <w:r w:rsidR="00D91E89">
      <w:rPr>
        <w:b/>
        <w:bCs/>
        <w:sz w:val="24"/>
        <w:szCs w:val="24"/>
        <w:lang w:val="en-US" w:eastAsia="fr-FR"/>
      </w:rPr>
      <w:t xml:space="preserve">Étude </w:t>
    </w:r>
    <w:proofErr w:type="spellStart"/>
    <w:r w:rsidR="00D91E89">
      <w:rPr>
        <w:b/>
        <w:bCs/>
        <w:sz w:val="24"/>
        <w:szCs w:val="24"/>
        <w:lang w:val="en-US" w:eastAsia="fr-FR"/>
      </w:rPr>
      <w:t>empirique</w:t>
    </w:r>
    <w:proofErr w:type="spellEnd"/>
  </w:p>
  <w:p w:rsidR="00A76E4F" w:rsidRDefault="00A76E4F">
    <w:r>
      <w:rPr>
        <w:noProof/>
        <w14:ligatures w14:val="standardContextual"/>
      </w:rPr>
      <mc:AlternateContent>
        <mc:Choice Requires="wps">
          <w:drawing>
            <wp:anchor distT="0" distB="0" distL="114300" distR="114300" simplePos="0" relativeHeight="251687936" behindDoc="0" locked="0" layoutInCell="1" allowOverlap="1" wp14:anchorId="131ADCC3" wp14:editId="0893DDCA">
              <wp:simplePos x="0" y="0"/>
              <wp:positionH relativeFrom="column">
                <wp:posOffset>-159657</wp:posOffset>
              </wp:positionH>
              <wp:positionV relativeFrom="paragraph">
                <wp:posOffset>100511</wp:posOffset>
              </wp:positionV>
              <wp:extent cx="5994400" cy="0"/>
              <wp:effectExtent l="0" t="0" r="12700" b="12700"/>
              <wp:wrapNone/>
              <wp:docPr id="1757949257" name="Connecteur droit 6"/>
              <wp:cNvGraphicFramePr/>
              <a:graphic xmlns:a="http://schemas.openxmlformats.org/drawingml/2006/main">
                <a:graphicData uri="http://schemas.microsoft.com/office/word/2010/wordprocessingShape">
                  <wps:wsp>
                    <wps:cNvCnPr/>
                    <wps:spPr>
                      <a:xfrm>
                        <a:off x="0" y="0"/>
                        <a:ext cx="5994400" cy="0"/>
                      </a:xfrm>
                      <a:prstGeom prst="line">
                        <a:avLst/>
                      </a:prstGeom>
                      <a:ln>
                        <a:solidFill>
                          <a:srgbClr val="B1B8A1"/>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anchor>
          </w:drawing>
        </mc:Choice>
        <mc:Fallback>
          <w:pict>
            <v:line w14:anchorId="75F0CC98" id="Connecteur droit 6"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5pt,7.9pt" to="459.4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" strokecolor="#b1b8a1" strokeweight="1pt">
              <v:stroke joinstyle="miter"/>
            </v:lin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00FC" w:rsidRDefault="00D200F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00FC" w:rsidRDefault="00D200F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00FC" w:rsidRPr="00D200FC" w:rsidRDefault="00D200FC" w:rsidP="008476E2">
    <w:pPr>
      <w:pStyle w:val="p1"/>
      <w:jc w:val="center"/>
      <w:rPr>
        <w:sz w:val="24"/>
        <w:szCs w:val="24"/>
        <w:lang w:eastAsia="fr-FR"/>
      </w:rPr>
    </w:pPr>
    <w:proofErr w:type="spellStart"/>
    <w:r>
      <w:rPr>
        <w:b/>
        <w:bCs/>
        <w:sz w:val="24"/>
        <w:szCs w:val="24"/>
        <w:lang w:val="en-US" w:eastAsia="fr-FR"/>
      </w:rPr>
      <w:t>B</w:t>
    </w:r>
    <w:r w:rsidR="00B42486">
      <w:rPr>
        <w:b/>
        <w:bCs/>
        <w:sz w:val="24"/>
        <w:szCs w:val="24"/>
        <w:lang w:val="en-US" w:eastAsia="fr-FR"/>
      </w:rPr>
      <w:t>ibliographie</w:t>
    </w:r>
    <w:proofErr w:type="spellEnd"/>
  </w:p>
  <w:p w:rsidR="00D200FC" w:rsidRDefault="00D200FC">
    <w:r>
      <w:rPr>
        <w:noProof/>
        <w14:ligatures w14:val="standardContextual"/>
      </w:rPr>
      <mc:AlternateContent>
        <mc:Choice Requires="wps">
          <w:drawing>
            <wp:anchor distT="0" distB="0" distL="114300" distR="114300" simplePos="0" relativeHeight="251677696" behindDoc="0" locked="0" layoutInCell="1" allowOverlap="1" wp14:anchorId="364C9510" wp14:editId="32FF6898">
              <wp:simplePos x="0" y="0"/>
              <wp:positionH relativeFrom="column">
                <wp:posOffset>-159657</wp:posOffset>
              </wp:positionH>
              <wp:positionV relativeFrom="paragraph">
                <wp:posOffset>100511</wp:posOffset>
              </wp:positionV>
              <wp:extent cx="5994400" cy="0"/>
              <wp:effectExtent l="0" t="0" r="12700" b="12700"/>
              <wp:wrapNone/>
              <wp:docPr id="797014563" name="Connecteur droit 6"/>
              <wp:cNvGraphicFramePr/>
              <a:graphic xmlns:a="http://schemas.openxmlformats.org/drawingml/2006/main">
                <a:graphicData uri="http://schemas.microsoft.com/office/word/2010/wordprocessingShape">
                  <wps:wsp>
                    <wps:cNvCnPr/>
                    <wps:spPr>
                      <a:xfrm>
                        <a:off x="0" y="0"/>
                        <a:ext cx="5994400" cy="0"/>
                      </a:xfrm>
                      <a:prstGeom prst="line">
                        <a:avLst/>
                      </a:prstGeom>
                      <a:ln>
                        <a:solidFill>
                          <a:srgbClr val="B1B8A1"/>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anchor>
          </w:drawing>
        </mc:Choice>
        <mc:Fallback>
          <w:pict>
            <v:line w14:anchorId="7085EEAC" id="Connecteur droit 6"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5pt,7.9pt" to="459.4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" strokecolor="#b1b8a1" strokeweight="1pt">
              <v:stroke joinstyle="miter"/>
            </v:lin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2486" w:rsidRDefault="00B42486"/>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2486" w:rsidRPr="00D200FC" w:rsidRDefault="00B42486" w:rsidP="008476E2">
    <w:pPr>
      <w:pStyle w:val="p1"/>
      <w:jc w:val="center"/>
      <w:rPr>
        <w:sz w:val="24"/>
        <w:szCs w:val="24"/>
        <w:lang w:eastAsia="fr-FR"/>
      </w:rPr>
    </w:pPr>
    <w:r>
      <w:rPr>
        <w:b/>
        <w:bCs/>
        <w:sz w:val="24"/>
        <w:szCs w:val="24"/>
        <w:lang w:val="en-US" w:eastAsia="fr-FR"/>
      </w:rPr>
      <w:t>Annexes</w:t>
    </w:r>
  </w:p>
  <w:p w:rsidR="00B42486" w:rsidRDefault="00B42486">
    <w:r>
      <w:rPr>
        <w:noProof/>
        <w14:ligatures w14:val="standardContextual"/>
      </w:rPr>
      <mc:AlternateContent>
        <mc:Choice Requires="wps">
          <w:drawing>
            <wp:anchor distT="0" distB="0" distL="114300" distR="114300" simplePos="0" relativeHeight="251681792" behindDoc="0" locked="0" layoutInCell="1" allowOverlap="1" wp14:anchorId="392CE717" wp14:editId="0AAA2451">
              <wp:simplePos x="0" y="0"/>
              <wp:positionH relativeFrom="column">
                <wp:posOffset>-159657</wp:posOffset>
              </wp:positionH>
              <wp:positionV relativeFrom="paragraph">
                <wp:posOffset>100511</wp:posOffset>
              </wp:positionV>
              <wp:extent cx="5994400" cy="0"/>
              <wp:effectExtent l="0" t="0" r="12700" b="12700"/>
              <wp:wrapNone/>
              <wp:docPr id="284360863" name="Connecteur droit 6"/>
              <wp:cNvGraphicFramePr/>
              <a:graphic xmlns:a="http://schemas.openxmlformats.org/drawingml/2006/main">
                <a:graphicData uri="http://schemas.microsoft.com/office/word/2010/wordprocessingShape">
                  <wps:wsp>
                    <wps:cNvCnPr/>
                    <wps:spPr>
                      <a:xfrm>
                        <a:off x="0" y="0"/>
                        <a:ext cx="5994400" cy="0"/>
                      </a:xfrm>
                      <a:prstGeom prst="line">
                        <a:avLst/>
                      </a:prstGeom>
                      <a:ln>
                        <a:solidFill>
                          <a:srgbClr val="B1B8A1"/>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anchor>
          </w:drawing>
        </mc:Choice>
        <mc:Fallback>
          <w:pict>
            <v:line w14:anchorId="0DB56DC0" id="Connecteur droit 6"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5pt,7.9pt" to="459.4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" strokecolor="#b1b8a1" strokeweight="1pt">
              <v:stroke joinstyle="miter"/>
            </v:lin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2486" w:rsidRPr="00D200FC" w:rsidRDefault="00B42486" w:rsidP="008476E2">
    <w:pPr>
      <w:pStyle w:val="p1"/>
      <w:jc w:val="center"/>
      <w:rPr>
        <w:sz w:val="24"/>
        <w:szCs w:val="24"/>
        <w:lang w:eastAsia="fr-FR"/>
      </w:rPr>
    </w:pPr>
    <w:r>
      <w:rPr>
        <w:b/>
        <w:bCs/>
        <w:sz w:val="24"/>
        <w:szCs w:val="24"/>
        <w:lang w:val="en-US" w:eastAsia="fr-FR"/>
      </w:rPr>
      <w:t>Tables des matières</w:t>
    </w:r>
  </w:p>
  <w:p w:rsidR="00B42486" w:rsidRDefault="00B42486">
    <w:r>
      <w:rPr>
        <w:noProof/>
        <w14:ligatures w14:val="standardContextual"/>
      </w:rPr>
      <mc:AlternateContent>
        <mc:Choice Requires="wps">
          <w:drawing>
            <wp:anchor distT="0" distB="0" distL="114300" distR="114300" simplePos="0" relativeHeight="251683840" behindDoc="0" locked="0" layoutInCell="1" allowOverlap="1" wp14:anchorId="73C9168B" wp14:editId="0472D2DA">
              <wp:simplePos x="0" y="0"/>
              <wp:positionH relativeFrom="column">
                <wp:posOffset>-159657</wp:posOffset>
              </wp:positionH>
              <wp:positionV relativeFrom="paragraph">
                <wp:posOffset>100511</wp:posOffset>
              </wp:positionV>
              <wp:extent cx="5994400" cy="0"/>
              <wp:effectExtent l="0" t="0" r="12700" b="12700"/>
              <wp:wrapNone/>
              <wp:docPr id="699245156" name="Connecteur droit 6"/>
              <wp:cNvGraphicFramePr/>
              <a:graphic xmlns:a="http://schemas.openxmlformats.org/drawingml/2006/main">
                <a:graphicData uri="http://schemas.microsoft.com/office/word/2010/wordprocessingShape">
                  <wps:wsp>
                    <wps:cNvCnPr/>
                    <wps:spPr>
                      <a:xfrm>
                        <a:off x="0" y="0"/>
                        <a:ext cx="5994400" cy="0"/>
                      </a:xfrm>
                      <a:prstGeom prst="line">
                        <a:avLst/>
                      </a:prstGeom>
                      <a:ln>
                        <a:solidFill>
                          <a:srgbClr val="B1B8A1"/>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anchor>
          </w:drawing>
        </mc:Choice>
        <mc:Fallback>
          <w:pict>
            <v:line w14:anchorId="65D4A8CE" id="Connecteur droit 6"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5pt,7.9pt" to="459.4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" strokecolor="#b1b8a1" strokeweight="1pt">
              <v:stroke joinstyle="miter"/>
            </v:lin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2486" w:rsidRDefault="00B424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4A04"/>
    <w:multiLevelType w:val="multilevel"/>
    <w:tmpl w:val="525E5CF4"/>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4B7083"/>
    <w:multiLevelType w:val="multilevel"/>
    <w:tmpl w:val="17D48F14"/>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991E01"/>
    <w:multiLevelType w:val="multilevel"/>
    <w:tmpl w:val="9088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BF5DF6"/>
    <w:multiLevelType w:val="hybridMultilevel"/>
    <w:tmpl w:val="E67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025DEE"/>
    <w:multiLevelType w:val="hybridMultilevel"/>
    <w:tmpl w:val="7F4AB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3D303A"/>
    <w:multiLevelType w:val="multilevel"/>
    <w:tmpl w:val="D6CA8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AC1E31"/>
    <w:multiLevelType w:val="multilevel"/>
    <w:tmpl w:val="A2B0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B91842"/>
    <w:multiLevelType w:val="multilevel"/>
    <w:tmpl w:val="A2EA71DA"/>
    <w:lvl w:ilvl="0">
      <w:start w:val="1"/>
      <w:numFmt w:val="bullet"/>
      <w:lvlText w:val=""/>
      <w:lvlJc w:val="left"/>
      <w:pPr>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32A7E66"/>
    <w:multiLevelType w:val="hybridMultilevel"/>
    <w:tmpl w:val="F8AC9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B56F5B"/>
    <w:multiLevelType w:val="multilevel"/>
    <w:tmpl w:val="4B929C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decimal"/>
      <w:lvlText w:val="%3."/>
      <w:lvlJc w:val="left"/>
      <w:pPr>
        <w:ind w:left="2160" w:hanging="360"/>
      </w:pPr>
      <w:rPr>
        <w:rFonts w:eastAsia="Times New Roman" w:hint="default"/>
        <w:color w:val="0563C1" w:themeColor="hyperlink"/>
        <w:u w:val="singl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CC2A7D"/>
    <w:multiLevelType w:val="hybridMultilevel"/>
    <w:tmpl w:val="D024A6A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4DA4A96"/>
    <w:multiLevelType w:val="multilevel"/>
    <w:tmpl w:val="52700E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5CF7323"/>
    <w:multiLevelType w:val="hybridMultilevel"/>
    <w:tmpl w:val="1952BCD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06384338"/>
    <w:multiLevelType w:val="multilevel"/>
    <w:tmpl w:val="17D48F14"/>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3D77CE"/>
    <w:multiLevelType w:val="hybridMultilevel"/>
    <w:tmpl w:val="D0AC0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7C242D7"/>
    <w:multiLevelType w:val="multilevel"/>
    <w:tmpl w:val="30AECAAE"/>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E16ADE"/>
    <w:multiLevelType w:val="multilevel"/>
    <w:tmpl w:val="BC9EA576"/>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F45D6E"/>
    <w:multiLevelType w:val="hybridMultilevel"/>
    <w:tmpl w:val="53C63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8735A7D"/>
    <w:multiLevelType w:val="hybridMultilevel"/>
    <w:tmpl w:val="A3F45110"/>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8C521A1"/>
    <w:multiLevelType w:val="multilevel"/>
    <w:tmpl w:val="CA8E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8DF0C0B"/>
    <w:multiLevelType w:val="hybridMultilevel"/>
    <w:tmpl w:val="4C7698CA"/>
    <w:lvl w:ilvl="0" w:tplc="522A959E">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09105C26"/>
    <w:multiLevelType w:val="multilevel"/>
    <w:tmpl w:val="D242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2E5768"/>
    <w:multiLevelType w:val="hybridMultilevel"/>
    <w:tmpl w:val="09BE4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99E3448"/>
    <w:multiLevelType w:val="multilevel"/>
    <w:tmpl w:val="D2C206B6"/>
    <w:lvl w:ilvl="0">
      <w:start w:val="1"/>
      <w:numFmt w:val="bullet"/>
      <w:lvlText w:val=""/>
      <w:lvlJc w:val="left"/>
      <w:pPr>
        <w:ind w:left="108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325F60"/>
    <w:multiLevelType w:val="multilevel"/>
    <w:tmpl w:val="5E60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3E171D"/>
    <w:multiLevelType w:val="multilevel"/>
    <w:tmpl w:val="D9E0F1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0A5219BE"/>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ACE2D79"/>
    <w:multiLevelType w:val="hybridMultilevel"/>
    <w:tmpl w:val="84C84D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0B5730B9"/>
    <w:multiLevelType w:val="multilevel"/>
    <w:tmpl w:val="AF2A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F67B79"/>
    <w:multiLevelType w:val="multilevel"/>
    <w:tmpl w:val="C8423E5E"/>
    <w:lvl w:ilvl="0">
      <w:start w:val="1"/>
      <w:numFmt w:val="bullet"/>
      <w:lvlText w:val=""/>
      <w:lvlJc w:val="left"/>
      <w:pPr>
        <w:ind w:left="108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AD2274"/>
    <w:multiLevelType w:val="multilevel"/>
    <w:tmpl w:val="F9C6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EE02AA"/>
    <w:multiLevelType w:val="multilevel"/>
    <w:tmpl w:val="BC9EA576"/>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5D2400"/>
    <w:multiLevelType w:val="hybridMultilevel"/>
    <w:tmpl w:val="CC7892CE"/>
    <w:lvl w:ilvl="0" w:tplc="04090001">
      <w:start w:val="1"/>
      <w:numFmt w:val="bullet"/>
      <w:lvlText w:val=""/>
      <w:lvlJc w:val="left"/>
      <w:pPr>
        <w:ind w:left="720" w:hanging="360"/>
      </w:pPr>
      <w:rPr>
        <w:rFonts w:ascii="Symbol" w:hAnsi="Symbol" w:hint="default"/>
      </w:rPr>
    </w:lvl>
    <w:lvl w:ilvl="1" w:tplc="79F2D1AA">
      <w:start w:val="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FC1009F"/>
    <w:multiLevelType w:val="hybridMultilevel"/>
    <w:tmpl w:val="F7785332"/>
    <w:lvl w:ilvl="0" w:tplc="15C80E4C">
      <w:start w:val="1"/>
      <w:numFmt w:val="decimal"/>
      <w:lvlText w:val="%1.1. "/>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101F1F17"/>
    <w:multiLevelType w:val="hybridMultilevel"/>
    <w:tmpl w:val="C3226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07A3EAA"/>
    <w:multiLevelType w:val="multilevel"/>
    <w:tmpl w:val="68B0B1F4"/>
    <w:lvl w:ilvl="0">
      <w:start w:val="1"/>
      <w:numFmt w:val="bullet"/>
      <w:lvlText w:val=""/>
      <w:lvlJc w:val="left"/>
      <w:pPr>
        <w:ind w:left="720" w:hanging="360"/>
      </w:pPr>
      <w:rPr>
        <w:rFonts w:ascii="Symbol" w:hAnsi="Symbol"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09F60E0"/>
    <w:multiLevelType w:val="hybridMultilevel"/>
    <w:tmpl w:val="7C6E2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2880D8B"/>
    <w:multiLevelType w:val="multilevel"/>
    <w:tmpl w:val="A2B0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8E72B1"/>
    <w:multiLevelType w:val="multilevel"/>
    <w:tmpl w:val="535C8C00"/>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1388778C"/>
    <w:multiLevelType w:val="multilevel"/>
    <w:tmpl w:val="8C04EE66"/>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3B23BBF"/>
    <w:multiLevelType w:val="multilevel"/>
    <w:tmpl w:val="D9FC32F4"/>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286682"/>
    <w:multiLevelType w:val="multilevel"/>
    <w:tmpl w:val="B434AB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15580EF5"/>
    <w:multiLevelType w:val="hybridMultilevel"/>
    <w:tmpl w:val="F9E46572"/>
    <w:lvl w:ilvl="0" w:tplc="522A959E">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64E5182"/>
    <w:multiLevelType w:val="hybridMultilevel"/>
    <w:tmpl w:val="9CB44D9A"/>
    <w:lvl w:ilvl="0" w:tplc="6E90F9AA">
      <w:start w:val="1"/>
      <w:numFmt w:val="upperLetter"/>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18077FA1"/>
    <w:multiLevelType w:val="multilevel"/>
    <w:tmpl w:val="3642D4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8A94455"/>
    <w:multiLevelType w:val="multilevel"/>
    <w:tmpl w:val="6E6454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94F28E4"/>
    <w:multiLevelType w:val="hybridMultilevel"/>
    <w:tmpl w:val="16EEF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47" w15:restartNumberingAfterBreak="0">
    <w:nsid w:val="19894AC6"/>
    <w:multiLevelType w:val="hybridMultilevel"/>
    <w:tmpl w:val="41326FE8"/>
    <w:lvl w:ilvl="0" w:tplc="04090005">
      <w:start w:val="1"/>
      <w:numFmt w:val="bullet"/>
      <w:lvlText w:val=""/>
      <w:lvlJc w:val="left"/>
      <w:pPr>
        <w:ind w:left="502"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19AE5C79"/>
    <w:multiLevelType w:val="hybridMultilevel"/>
    <w:tmpl w:val="B80E603C"/>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19DA0379"/>
    <w:multiLevelType w:val="multilevel"/>
    <w:tmpl w:val="1CD225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60" w:hanging="360"/>
      </w:pPr>
      <w:rPr>
        <w:rFonts w:ascii="Symbol" w:hAnsi="Symbol" w:cs="Symbol"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9010EA"/>
    <w:multiLevelType w:val="hybridMultilevel"/>
    <w:tmpl w:val="388832C8"/>
    <w:lvl w:ilvl="0" w:tplc="04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1C390035"/>
    <w:multiLevelType w:val="hybridMultilevel"/>
    <w:tmpl w:val="44C00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FCE4DC0"/>
    <w:multiLevelType w:val="multilevel"/>
    <w:tmpl w:val="17880E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1FD61DE9"/>
    <w:multiLevelType w:val="multilevel"/>
    <w:tmpl w:val="D9FC32F4"/>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0E07BFB"/>
    <w:multiLevelType w:val="multilevel"/>
    <w:tmpl w:val="571AD5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1324663"/>
    <w:multiLevelType w:val="multilevel"/>
    <w:tmpl w:val="A2EA71DA"/>
    <w:lvl w:ilvl="0">
      <w:start w:val="1"/>
      <w:numFmt w:val="bullet"/>
      <w:lvlText w:val=""/>
      <w:lvlJc w:val="left"/>
      <w:pPr>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15D2C31"/>
    <w:multiLevelType w:val="multilevel"/>
    <w:tmpl w:val="65249C36"/>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894A98"/>
    <w:multiLevelType w:val="multilevel"/>
    <w:tmpl w:val="A2B0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1C25ADE"/>
    <w:multiLevelType w:val="multilevel"/>
    <w:tmpl w:val="CB1EB536"/>
    <w:lvl w:ilvl="0">
      <w:start w:val="1"/>
      <w:numFmt w:val="upperLetter"/>
      <w:lvlText w:val="%1."/>
      <w:lvlJc w:val="left"/>
      <w:pPr>
        <w:ind w:left="360" w:hanging="360"/>
      </w:pPr>
      <w:rPr>
        <w:rFonts w:hint="default"/>
      </w:rPr>
    </w:lvl>
    <w:lvl w:ilvl="1">
      <w:start w:val="1"/>
      <w:numFmt w:val="decimal"/>
      <w:isLgl/>
      <w:lvlText w:val="%1.%2."/>
      <w:lvlJc w:val="left"/>
      <w:pPr>
        <w:ind w:left="420" w:hanging="360"/>
      </w:pPr>
      <w:rPr>
        <w:rFonts w:hint="default"/>
        <w:sz w:val="24"/>
        <w:szCs w:val="24"/>
      </w:rPr>
    </w:lvl>
    <w:lvl w:ilvl="2">
      <w:start w:val="1"/>
      <w:numFmt w:val="decimal"/>
      <w:isLgl/>
      <w:lvlText w:val="%1.%2.%3."/>
      <w:lvlJc w:val="left"/>
      <w:pPr>
        <w:ind w:left="84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80" w:hanging="1800"/>
      </w:pPr>
      <w:rPr>
        <w:rFonts w:hint="default"/>
      </w:rPr>
    </w:lvl>
  </w:abstractNum>
  <w:abstractNum w:abstractNumId="59" w15:restartNumberingAfterBreak="0">
    <w:nsid w:val="21CD7116"/>
    <w:multiLevelType w:val="hybridMultilevel"/>
    <w:tmpl w:val="6B74D7F4"/>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60" w15:restartNumberingAfterBreak="0">
    <w:nsid w:val="226E0023"/>
    <w:multiLevelType w:val="hybridMultilevel"/>
    <w:tmpl w:val="D5469504"/>
    <w:lvl w:ilvl="0" w:tplc="522A959E">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23930612"/>
    <w:multiLevelType w:val="hybridMultilevel"/>
    <w:tmpl w:val="CF58ED54"/>
    <w:lvl w:ilvl="0" w:tplc="C810B90E">
      <w:start w:val="1"/>
      <w:numFmt w:val="upp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2" w15:restartNumberingAfterBreak="0">
    <w:nsid w:val="23CB6BD4"/>
    <w:multiLevelType w:val="multilevel"/>
    <w:tmpl w:val="A5F896DC"/>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4CD0DDE"/>
    <w:multiLevelType w:val="hybridMultilevel"/>
    <w:tmpl w:val="0D885A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4F347C7"/>
    <w:multiLevelType w:val="hybridMultilevel"/>
    <w:tmpl w:val="AC361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55D0CCE"/>
    <w:multiLevelType w:val="multilevel"/>
    <w:tmpl w:val="BB74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57D67C1"/>
    <w:multiLevelType w:val="hybridMultilevel"/>
    <w:tmpl w:val="2B2ED56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25904441"/>
    <w:multiLevelType w:val="multilevel"/>
    <w:tmpl w:val="4408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6401EBB"/>
    <w:multiLevelType w:val="multilevel"/>
    <w:tmpl w:val="46B620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9" w15:restartNumberingAfterBreak="0">
    <w:nsid w:val="26901B33"/>
    <w:multiLevelType w:val="multilevel"/>
    <w:tmpl w:val="9E7C76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upperLetter"/>
      <w:lvlText w:val="%3."/>
      <w:lvlJc w:val="left"/>
      <w:pPr>
        <w:ind w:left="3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6AB3060"/>
    <w:multiLevelType w:val="hybridMultilevel"/>
    <w:tmpl w:val="EA788080"/>
    <w:lvl w:ilvl="0" w:tplc="04090015">
      <w:start w:val="1"/>
      <w:numFmt w:val="upp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29B07AF6"/>
    <w:multiLevelType w:val="multilevel"/>
    <w:tmpl w:val="A2EA71DA"/>
    <w:lvl w:ilvl="0">
      <w:start w:val="1"/>
      <w:numFmt w:val="bullet"/>
      <w:lvlText w:val=""/>
      <w:lvlJc w:val="left"/>
      <w:pPr>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9F441D9"/>
    <w:multiLevelType w:val="hybridMultilevel"/>
    <w:tmpl w:val="AE266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A013500"/>
    <w:multiLevelType w:val="multilevel"/>
    <w:tmpl w:val="EEE2DAF0"/>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A2204B4"/>
    <w:multiLevelType w:val="hybridMultilevel"/>
    <w:tmpl w:val="4BA0B7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2AB17E0A"/>
    <w:multiLevelType w:val="hybridMultilevel"/>
    <w:tmpl w:val="6518DD1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2B20149A"/>
    <w:multiLevelType w:val="hybridMultilevel"/>
    <w:tmpl w:val="1D9C395E"/>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77" w15:restartNumberingAfterBreak="0">
    <w:nsid w:val="2B5B7F4F"/>
    <w:multiLevelType w:val="multilevel"/>
    <w:tmpl w:val="F7C6FC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i w:val="0"/>
        <w:i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2B6738D7"/>
    <w:multiLevelType w:val="multilevel"/>
    <w:tmpl w:val="59B4B65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79" w15:restartNumberingAfterBreak="0">
    <w:nsid w:val="2C5451EF"/>
    <w:multiLevelType w:val="hybridMultilevel"/>
    <w:tmpl w:val="025AA8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C8F1D70"/>
    <w:multiLevelType w:val="hybridMultilevel"/>
    <w:tmpl w:val="C938F1A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CEC05FF"/>
    <w:multiLevelType w:val="hybridMultilevel"/>
    <w:tmpl w:val="8C029B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2D246D93"/>
    <w:multiLevelType w:val="hybridMultilevel"/>
    <w:tmpl w:val="FDBCCF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3" w15:restartNumberingAfterBreak="0">
    <w:nsid w:val="2D957127"/>
    <w:multiLevelType w:val="multilevel"/>
    <w:tmpl w:val="6A048C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4" w15:restartNumberingAfterBreak="0">
    <w:nsid w:val="2E245FC1"/>
    <w:multiLevelType w:val="multilevel"/>
    <w:tmpl w:val="535C8C00"/>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5" w15:restartNumberingAfterBreak="0">
    <w:nsid w:val="2E4E264E"/>
    <w:multiLevelType w:val="hybridMultilevel"/>
    <w:tmpl w:val="13F6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FE116E4"/>
    <w:multiLevelType w:val="multilevel"/>
    <w:tmpl w:val="CFDE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0B5EBD"/>
    <w:multiLevelType w:val="hybridMultilevel"/>
    <w:tmpl w:val="A7284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0F1386D"/>
    <w:multiLevelType w:val="multilevel"/>
    <w:tmpl w:val="C8E0CCE4"/>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2442999"/>
    <w:multiLevelType w:val="multilevel"/>
    <w:tmpl w:val="1A406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2825321"/>
    <w:multiLevelType w:val="multilevel"/>
    <w:tmpl w:val="F7F047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start w:val="1"/>
      <w:numFmt w:val="upperLetter"/>
      <w:lvlText w:val="%3."/>
      <w:lvlJc w:val="left"/>
      <w:pPr>
        <w:ind w:left="3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AA683D"/>
    <w:multiLevelType w:val="hybridMultilevel"/>
    <w:tmpl w:val="5ADC3090"/>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3032FF2"/>
    <w:multiLevelType w:val="multilevel"/>
    <w:tmpl w:val="A2EA71DA"/>
    <w:lvl w:ilvl="0">
      <w:start w:val="1"/>
      <w:numFmt w:val="bullet"/>
      <w:lvlText w:val=""/>
      <w:lvlJc w:val="left"/>
      <w:pPr>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47D580F"/>
    <w:multiLevelType w:val="hybridMultilevel"/>
    <w:tmpl w:val="E490F9CE"/>
    <w:lvl w:ilvl="0" w:tplc="04090005">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94" w15:restartNumberingAfterBreak="0">
    <w:nsid w:val="35356E4E"/>
    <w:multiLevelType w:val="hybridMultilevel"/>
    <w:tmpl w:val="F620B100"/>
    <w:lvl w:ilvl="0" w:tplc="522A959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5" w15:restartNumberingAfterBreak="0">
    <w:nsid w:val="3567655F"/>
    <w:multiLevelType w:val="multilevel"/>
    <w:tmpl w:val="7B10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6B73A4F"/>
    <w:multiLevelType w:val="hybridMultilevel"/>
    <w:tmpl w:val="52108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36ED6F26"/>
    <w:multiLevelType w:val="multilevel"/>
    <w:tmpl w:val="C320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73D5058"/>
    <w:multiLevelType w:val="multilevel"/>
    <w:tmpl w:val="327E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7B976E0"/>
    <w:multiLevelType w:val="multilevel"/>
    <w:tmpl w:val="9318940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00" w15:restartNumberingAfterBreak="0">
    <w:nsid w:val="3812597E"/>
    <w:multiLevelType w:val="hybridMultilevel"/>
    <w:tmpl w:val="01D8362A"/>
    <w:lvl w:ilvl="0" w:tplc="0E60D69A">
      <w:start w:val="1"/>
      <w:numFmt w:val="upperLetter"/>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91F19B0"/>
    <w:multiLevelType w:val="hybridMultilevel"/>
    <w:tmpl w:val="F0CA38B6"/>
    <w:lvl w:ilvl="0" w:tplc="9FD4274A">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396B102F"/>
    <w:multiLevelType w:val="multilevel"/>
    <w:tmpl w:val="5664BA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974550A"/>
    <w:multiLevelType w:val="hybridMultilevel"/>
    <w:tmpl w:val="67E416E8"/>
    <w:lvl w:ilvl="0" w:tplc="0809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4" w15:restartNumberingAfterBreak="0">
    <w:nsid w:val="39855695"/>
    <w:multiLevelType w:val="hybridMultilevel"/>
    <w:tmpl w:val="CAA26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9FF1EFB"/>
    <w:multiLevelType w:val="hybridMultilevel"/>
    <w:tmpl w:val="656C7E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3C6A63C2"/>
    <w:multiLevelType w:val="hybridMultilevel"/>
    <w:tmpl w:val="29BEA948"/>
    <w:lvl w:ilvl="0" w:tplc="A796B5D4">
      <w:start w:val="1"/>
      <w:numFmt w:val="upp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7" w15:restartNumberingAfterBreak="0">
    <w:nsid w:val="3C80434C"/>
    <w:multiLevelType w:val="multilevel"/>
    <w:tmpl w:val="EE804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CF40C97"/>
    <w:multiLevelType w:val="multilevel"/>
    <w:tmpl w:val="440E5F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CFE1B33"/>
    <w:multiLevelType w:val="hybridMultilevel"/>
    <w:tmpl w:val="AACE3C58"/>
    <w:lvl w:ilvl="0" w:tplc="31D28CCA">
      <w:start w:val="1"/>
      <w:numFmt w:val="upp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0" w15:restartNumberingAfterBreak="0">
    <w:nsid w:val="3E1B5DAF"/>
    <w:multiLevelType w:val="hybridMultilevel"/>
    <w:tmpl w:val="8E2CC6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3F01551A"/>
    <w:multiLevelType w:val="hybridMultilevel"/>
    <w:tmpl w:val="35846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3F3C3285"/>
    <w:multiLevelType w:val="hybridMultilevel"/>
    <w:tmpl w:val="8F10E910"/>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3F6E22D3"/>
    <w:multiLevelType w:val="hybridMultilevel"/>
    <w:tmpl w:val="60F63F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20D4154"/>
    <w:multiLevelType w:val="hybridMultilevel"/>
    <w:tmpl w:val="85D267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42481073"/>
    <w:multiLevelType w:val="hybridMultilevel"/>
    <w:tmpl w:val="39EA4C96"/>
    <w:lvl w:ilvl="0" w:tplc="040C0015">
      <w:start w:val="3"/>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6" w15:restartNumberingAfterBreak="0">
    <w:nsid w:val="424B7A7B"/>
    <w:multiLevelType w:val="hybridMultilevel"/>
    <w:tmpl w:val="96106C78"/>
    <w:lvl w:ilvl="0" w:tplc="BE427328">
      <w:start w:val="1"/>
      <w:numFmt w:val="upperLetter"/>
      <w:lvlText w:val="%1."/>
      <w:lvlJc w:val="left"/>
      <w:pPr>
        <w:ind w:left="720" w:hanging="360"/>
      </w:pPr>
      <w:rPr>
        <w:rFonts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2E812C7"/>
    <w:multiLevelType w:val="hybridMultilevel"/>
    <w:tmpl w:val="A78C5906"/>
    <w:lvl w:ilvl="0" w:tplc="367EED00">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31A058D"/>
    <w:multiLevelType w:val="hybridMultilevel"/>
    <w:tmpl w:val="9B7A2FC8"/>
    <w:lvl w:ilvl="0" w:tplc="04090015">
      <w:start w:val="1"/>
      <w:numFmt w:val="upperLetter"/>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3887B0F"/>
    <w:multiLevelType w:val="hybridMultilevel"/>
    <w:tmpl w:val="6CB8315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0" w15:restartNumberingAfterBreak="0">
    <w:nsid w:val="440D571D"/>
    <w:multiLevelType w:val="hybridMultilevel"/>
    <w:tmpl w:val="EEA829B4"/>
    <w:lvl w:ilvl="0" w:tplc="277899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4AF3732"/>
    <w:multiLevelType w:val="multilevel"/>
    <w:tmpl w:val="90964028"/>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44B34624"/>
    <w:multiLevelType w:val="multilevel"/>
    <w:tmpl w:val="3A60E3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44CA4729"/>
    <w:multiLevelType w:val="multilevel"/>
    <w:tmpl w:val="602A8AEC"/>
    <w:lvl w:ilvl="0">
      <w:start w:val="5"/>
      <w:numFmt w:val="decimal"/>
      <w:lvlText w:val="%1."/>
      <w:lvlJc w:val="left"/>
      <w:pPr>
        <w:ind w:left="360" w:hanging="360"/>
      </w:pPr>
      <w:rPr>
        <w:rFonts w:ascii="Times New Roman" w:hAnsi="Times New Roman" w:cs="Times New Roman" w:hint="default"/>
        <w:b/>
        <w:color w:val="auto"/>
      </w:rPr>
    </w:lvl>
    <w:lvl w:ilvl="1">
      <w:start w:val="1"/>
      <w:numFmt w:val="decimal"/>
      <w:lvlText w:val="%1.%2."/>
      <w:lvlJc w:val="left"/>
      <w:pPr>
        <w:ind w:left="360" w:hanging="360"/>
      </w:pPr>
      <w:rPr>
        <w:rFonts w:ascii="Times New Roman" w:hAnsi="Times New Roman" w:cs="Times New Roman" w:hint="default"/>
        <w:b/>
        <w:color w:val="auto"/>
      </w:rPr>
    </w:lvl>
    <w:lvl w:ilvl="2">
      <w:start w:val="1"/>
      <w:numFmt w:val="decimal"/>
      <w:lvlText w:val="%1.%2.%3."/>
      <w:lvlJc w:val="left"/>
      <w:pPr>
        <w:ind w:left="720" w:hanging="720"/>
      </w:pPr>
      <w:rPr>
        <w:rFonts w:ascii="Times New Roman" w:hAnsi="Times New Roman" w:cs="Times New Roman" w:hint="default"/>
        <w:b/>
        <w:color w:val="auto"/>
      </w:rPr>
    </w:lvl>
    <w:lvl w:ilvl="3">
      <w:start w:val="1"/>
      <w:numFmt w:val="decimal"/>
      <w:lvlText w:val="%1.%2.%3.%4."/>
      <w:lvlJc w:val="left"/>
      <w:pPr>
        <w:ind w:left="720" w:hanging="720"/>
      </w:pPr>
      <w:rPr>
        <w:rFonts w:ascii="Times New Roman" w:hAnsi="Times New Roman" w:cs="Times New Roman" w:hint="default"/>
        <w:b/>
        <w:color w:val="auto"/>
      </w:rPr>
    </w:lvl>
    <w:lvl w:ilvl="4">
      <w:start w:val="1"/>
      <w:numFmt w:val="decimal"/>
      <w:lvlText w:val="%1.%2.%3.%4.%5."/>
      <w:lvlJc w:val="left"/>
      <w:pPr>
        <w:ind w:left="1080" w:hanging="1080"/>
      </w:pPr>
      <w:rPr>
        <w:rFonts w:ascii="Times New Roman" w:hAnsi="Times New Roman" w:cs="Times New Roman" w:hint="default"/>
        <w:b/>
        <w:color w:val="auto"/>
      </w:rPr>
    </w:lvl>
    <w:lvl w:ilvl="5">
      <w:start w:val="1"/>
      <w:numFmt w:val="decimal"/>
      <w:lvlText w:val="%1.%2.%3.%4.%5.%6."/>
      <w:lvlJc w:val="left"/>
      <w:pPr>
        <w:ind w:left="1080" w:hanging="1080"/>
      </w:pPr>
      <w:rPr>
        <w:rFonts w:ascii="Times New Roman" w:hAnsi="Times New Roman" w:cs="Times New Roman" w:hint="default"/>
        <w:b/>
        <w:color w:val="auto"/>
      </w:rPr>
    </w:lvl>
    <w:lvl w:ilvl="6">
      <w:start w:val="1"/>
      <w:numFmt w:val="decimal"/>
      <w:lvlText w:val="%1.%2.%3.%4.%5.%6.%7."/>
      <w:lvlJc w:val="left"/>
      <w:pPr>
        <w:ind w:left="1440" w:hanging="1440"/>
      </w:pPr>
      <w:rPr>
        <w:rFonts w:ascii="Times New Roman" w:hAnsi="Times New Roman" w:cs="Times New Roman" w:hint="default"/>
        <w:b/>
        <w:color w:val="auto"/>
      </w:rPr>
    </w:lvl>
    <w:lvl w:ilvl="7">
      <w:start w:val="1"/>
      <w:numFmt w:val="decimal"/>
      <w:lvlText w:val="%1.%2.%3.%4.%5.%6.%7.%8."/>
      <w:lvlJc w:val="left"/>
      <w:pPr>
        <w:ind w:left="1440" w:hanging="1440"/>
      </w:pPr>
      <w:rPr>
        <w:rFonts w:ascii="Times New Roman" w:hAnsi="Times New Roman" w:cs="Times New Roman" w:hint="default"/>
        <w:b/>
        <w:color w:val="auto"/>
      </w:rPr>
    </w:lvl>
    <w:lvl w:ilvl="8">
      <w:start w:val="1"/>
      <w:numFmt w:val="decimal"/>
      <w:lvlText w:val="%1.%2.%3.%4.%5.%6.%7.%8.%9."/>
      <w:lvlJc w:val="left"/>
      <w:pPr>
        <w:ind w:left="1800" w:hanging="1800"/>
      </w:pPr>
      <w:rPr>
        <w:rFonts w:ascii="Times New Roman" w:hAnsi="Times New Roman" w:cs="Times New Roman" w:hint="default"/>
        <w:b/>
        <w:color w:val="auto"/>
      </w:rPr>
    </w:lvl>
  </w:abstractNum>
  <w:abstractNum w:abstractNumId="124" w15:restartNumberingAfterBreak="0">
    <w:nsid w:val="45BD262D"/>
    <w:multiLevelType w:val="multilevel"/>
    <w:tmpl w:val="6810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62549D2"/>
    <w:multiLevelType w:val="hybridMultilevel"/>
    <w:tmpl w:val="6D5275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46532B8A"/>
    <w:multiLevelType w:val="multilevel"/>
    <w:tmpl w:val="ED74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7F55788"/>
    <w:multiLevelType w:val="multilevel"/>
    <w:tmpl w:val="5F62C820"/>
    <w:lvl w:ilvl="0">
      <w:start w:val="1"/>
      <w:numFmt w:val="upperRoman"/>
      <w:lvlText w:val="%1."/>
      <w:lvlJc w:val="righ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8" w15:restartNumberingAfterBreak="0">
    <w:nsid w:val="483D1C12"/>
    <w:multiLevelType w:val="hybridMultilevel"/>
    <w:tmpl w:val="4FBE86E8"/>
    <w:lvl w:ilvl="0" w:tplc="769821A0">
      <w:start w:val="1"/>
      <w:numFmt w:val="upp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9" w15:restartNumberingAfterBreak="0">
    <w:nsid w:val="4892409B"/>
    <w:multiLevelType w:val="hybridMultilevel"/>
    <w:tmpl w:val="62A25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496E5235"/>
    <w:multiLevelType w:val="multilevel"/>
    <w:tmpl w:val="FE88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AA729EA"/>
    <w:multiLevelType w:val="hybridMultilevel"/>
    <w:tmpl w:val="81B21A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4BCC2040"/>
    <w:multiLevelType w:val="multilevel"/>
    <w:tmpl w:val="AB2E926E"/>
    <w:lvl w:ilvl="0">
      <w:start w:val="1"/>
      <w:numFmt w:val="upperRoman"/>
      <w:lvlText w:val="%1."/>
      <w:lvlJc w:val="right"/>
      <w:pPr>
        <w:ind w:left="786" w:hanging="360"/>
      </w:pPr>
      <w:rPr>
        <w:rFonts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33" w15:restartNumberingAfterBreak="0">
    <w:nsid w:val="4C1455B4"/>
    <w:multiLevelType w:val="hybridMultilevel"/>
    <w:tmpl w:val="6076E90E"/>
    <w:lvl w:ilvl="0" w:tplc="0809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34" w15:restartNumberingAfterBreak="0">
    <w:nsid w:val="4CAD3B0D"/>
    <w:multiLevelType w:val="multilevel"/>
    <w:tmpl w:val="932A1882"/>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D057E1E"/>
    <w:multiLevelType w:val="hybridMultilevel"/>
    <w:tmpl w:val="AE28DD86"/>
    <w:lvl w:ilvl="0" w:tplc="FFFFFFFF">
      <w:start w:val="1"/>
      <w:numFmt w:val="bullet"/>
      <w:lvlText w:val=""/>
      <w:lvlJc w:val="left"/>
      <w:pPr>
        <w:ind w:left="1944" w:hanging="360"/>
      </w:pPr>
      <w:rPr>
        <w:rFonts w:ascii="Symbol" w:hAnsi="Symbol" w:hint="default"/>
        <w:color w:val="auto"/>
      </w:rPr>
    </w:lvl>
    <w:lvl w:ilvl="1" w:tplc="04090015">
      <w:start w:val="1"/>
      <w:numFmt w:val="upperLetter"/>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6" w15:restartNumberingAfterBreak="0">
    <w:nsid w:val="4D795F45"/>
    <w:multiLevelType w:val="multilevel"/>
    <w:tmpl w:val="F7F047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start w:val="1"/>
      <w:numFmt w:val="upperLetter"/>
      <w:lvlText w:val="%3."/>
      <w:lvlJc w:val="left"/>
      <w:pPr>
        <w:ind w:left="3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E026F18"/>
    <w:multiLevelType w:val="multilevel"/>
    <w:tmpl w:val="5396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E695C0E"/>
    <w:multiLevelType w:val="multilevel"/>
    <w:tmpl w:val="E1A073EC"/>
    <w:lvl w:ilvl="0">
      <w:start w:val="1"/>
      <w:numFmt w:val="upperRoman"/>
      <w:lvlText w:val="%1."/>
      <w:lvlJc w:val="right"/>
      <w:pPr>
        <w:ind w:left="360" w:hanging="360"/>
      </w:pPr>
      <w:rPr>
        <w:rFonts w:hint="default"/>
        <w:sz w:val="21"/>
        <w:szCs w:val="28"/>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9" w15:restartNumberingAfterBreak="0">
    <w:nsid w:val="4E8219E1"/>
    <w:multiLevelType w:val="hybridMultilevel"/>
    <w:tmpl w:val="FD00A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4EE86782"/>
    <w:multiLevelType w:val="multilevel"/>
    <w:tmpl w:val="E9E46CE8"/>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FBA4B76"/>
    <w:multiLevelType w:val="hybridMultilevel"/>
    <w:tmpl w:val="1562D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50D125B9"/>
    <w:multiLevelType w:val="multilevel"/>
    <w:tmpl w:val="BF6C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16253C2"/>
    <w:multiLevelType w:val="multilevel"/>
    <w:tmpl w:val="F68C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2CE6C7D"/>
    <w:multiLevelType w:val="hybridMultilevel"/>
    <w:tmpl w:val="70B8DBB4"/>
    <w:lvl w:ilvl="0" w:tplc="0809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533A309A"/>
    <w:multiLevelType w:val="multilevel"/>
    <w:tmpl w:val="95C06A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423F0E"/>
    <w:multiLevelType w:val="multilevel"/>
    <w:tmpl w:val="E1A073EC"/>
    <w:lvl w:ilvl="0">
      <w:start w:val="1"/>
      <w:numFmt w:val="upperRoman"/>
      <w:lvlText w:val="%1."/>
      <w:lvlJc w:val="right"/>
      <w:pPr>
        <w:ind w:left="360" w:hanging="360"/>
      </w:pPr>
      <w:rPr>
        <w:rFonts w:hint="default"/>
        <w:sz w:val="21"/>
        <w:szCs w:val="28"/>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7" w15:restartNumberingAfterBreak="0">
    <w:nsid w:val="544511E5"/>
    <w:multiLevelType w:val="multilevel"/>
    <w:tmpl w:val="65DA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456361E"/>
    <w:multiLevelType w:val="multilevel"/>
    <w:tmpl w:val="D50E0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54F7AFA"/>
    <w:multiLevelType w:val="hybridMultilevel"/>
    <w:tmpl w:val="11789A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569A0B73"/>
    <w:multiLevelType w:val="multilevel"/>
    <w:tmpl w:val="74D200A2"/>
    <w:lvl w:ilvl="0">
      <w:start w:val="1"/>
      <w:numFmt w:val="decimal"/>
      <w:lvlText w:val="%1."/>
      <w:lvlJc w:val="left"/>
      <w:pPr>
        <w:ind w:left="36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80" w:hanging="1800"/>
      </w:pPr>
      <w:rPr>
        <w:rFonts w:hint="default"/>
      </w:rPr>
    </w:lvl>
  </w:abstractNum>
  <w:abstractNum w:abstractNumId="151" w15:restartNumberingAfterBreak="0">
    <w:nsid w:val="57D66454"/>
    <w:multiLevelType w:val="hybridMultilevel"/>
    <w:tmpl w:val="80FE34BC"/>
    <w:lvl w:ilvl="0" w:tplc="04090005">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8795A8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5ACC1A88"/>
    <w:multiLevelType w:val="multilevel"/>
    <w:tmpl w:val="105613CA"/>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724"/>
        </w:tabs>
        <w:ind w:left="1724" w:hanging="360"/>
      </w:pPr>
      <w:rPr>
        <w:rFonts w:ascii="Courier New" w:hAnsi="Courier New" w:hint="default"/>
        <w:sz w:val="20"/>
      </w:rPr>
    </w:lvl>
    <w:lvl w:ilvl="2" w:tentative="1">
      <w:start w:val="1"/>
      <w:numFmt w:val="bullet"/>
      <w:lvlText w:val=""/>
      <w:lvlJc w:val="left"/>
      <w:pPr>
        <w:tabs>
          <w:tab w:val="num" w:pos="2444"/>
        </w:tabs>
        <w:ind w:left="2444" w:hanging="360"/>
      </w:pPr>
      <w:rPr>
        <w:rFonts w:ascii="Wingdings" w:hAnsi="Wingdings" w:hint="default"/>
        <w:sz w:val="20"/>
      </w:rPr>
    </w:lvl>
    <w:lvl w:ilvl="3" w:tentative="1">
      <w:start w:val="1"/>
      <w:numFmt w:val="bullet"/>
      <w:lvlText w:val=""/>
      <w:lvlJc w:val="left"/>
      <w:pPr>
        <w:tabs>
          <w:tab w:val="num" w:pos="3164"/>
        </w:tabs>
        <w:ind w:left="3164" w:hanging="360"/>
      </w:pPr>
      <w:rPr>
        <w:rFonts w:ascii="Wingdings" w:hAnsi="Wingdings" w:hint="default"/>
        <w:sz w:val="20"/>
      </w:rPr>
    </w:lvl>
    <w:lvl w:ilvl="4" w:tentative="1">
      <w:start w:val="1"/>
      <w:numFmt w:val="bullet"/>
      <w:lvlText w:val=""/>
      <w:lvlJc w:val="left"/>
      <w:pPr>
        <w:tabs>
          <w:tab w:val="num" w:pos="3884"/>
        </w:tabs>
        <w:ind w:left="3884" w:hanging="360"/>
      </w:pPr>
      <w:rPr>
        <w:rFonts w:ascii="Wingdings" w:hAnsi="Wingdings" w:hint="default"/>
        <w:sz w:val="20"/>
      </w:rPr>
    </w:lvl>
    <w:lvl w:ilvl="5" w:tentative="1">
      <w:start w:val="1"/>
      <w:numFmt w:val="bullet"/>
      <w:lvlText w:val=""/>
      <w:lvlJc w:val="left"/>
      <w:pPr>
        <w:tabs>
          <w:tab w:val="num" w:pos="4604"/>
        </w:tabs>
        <w:ind w:left="4604" w:hanging="360"/>
      </w:pPr>
      <w:rPr>
        <w:rFonts w:ascii="Wingdings" w:hAnsi="Wingdings" w:hint="default"/>
        <w:sz w:val="20"/>
      </w:rPr>
    </w:lvl>
    <w:lvl w:ilvl="6" w:tentative="1">
      <w:start w:val="1"/>
      <w:numFmt w:val="bullet"/>
      <w:lvlText w:val=""/>
      <w:lvlJc w:val="left"/>
      <w:pPr>
        <w:tabs>
          <w:tab w:val="num" w:pos="5324"/>
        </w:tabs>
        <w:ind w:left="5324" w:hanging="360"/>
      </w:pPr>
      <w:rPr>
        <w:rFonts w:ascii="Wingdings" w:hAnsi="Wingdings" w:hint="default"/>
        <w:sz w:val="20"/>
      </w:rPr>
    </w:lvl>
    <w:lvl w:ilvl="7" w:tentative="1">
      <w:start w:val="1"/>
      <w:numFmt w:val="bullet"/>
      <w:lvlText w:val=""/>
      <w:lvlJc w:val="left"/>
      <w:pPr>
        <w:tabs>
          <w:tab w:val="num" w:pos="6044"/>
        </w:tabs>
        <w:ind w:left="6044" w:hanging="360"/>
      </w:pPr>
      <w:rPr>
        <w:rFonts w:ascii="Wingdings" w:hAnsi="Wingdings" w:hint="default"/>
        <w:sz w:val="20"/>
      </w:rPr>
    </w:lvl>
    <w:lvl w:ilvl="8" w:tentative="1">
      <w:start w:val="1"/>
      <w:numFmt w:val="bullet"/>
      <w:lvlText w:val=""/>
      <w:lvlJc w:val="left"/>
      <w:pPr>
        <w:tabs>
          <w:tab w:val="num" w:pos="6764"/>
        </w:tabs>
        <w:ind w:left="6764" w:hanging="360"/>
      </w:pPr>
      <w:rPr>
        <w:rFonts w:ascii="Wingdings" w:hAnsi="Wingdings" w:hint="default"/>
        <w:sz w:val="20"/>
      </w:rPr>
    </w:lvl>
  </w:abstractNum>
  <w:abstractNum w:abstractNumId="154" w15:restartNumberingAfterBreak="0">
    <w:nsid w:val="5B242FF9"/>
    <w:multiLevelType w:val="hybridMultilevel"/>
    <w:tmpl w:val="64929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B2A2F3D"/>
    <w:multiLevelType w:val="hybridMultilevel"/>
    <w:tmpl w:val="69FC7044"/>
    <w:lvl w:ilvl="0" w:tplc="367EED00">
      <w:start w:val="1"/>
      <w:numFmt w:val="bullet"/>
      <w:lvlText w:val=""/>
      <w:lvlJc w:val="left"/>
      <w:pPr>
        <w:ind w:left="360" w:hanging="360"/>
      </w:pPr>
      <w:rPr>
        <w:rFonts w:ascii="Symbol" w:hAnsi="Symbol" w:cs="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6" w15:restartNumberingAfterBreak="0">
    <w:nsid w:val="5C237851"/>
    <w:multiLevelType w:val="multilevel"/>
    <w:tmpl w:val="2812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C557355"/>
    <w:multiLevelType w:val="hybridMultilevel"/>
    <w:tmpl w:val="F9BC58FE"/>
    <w:lvl w:ilvl="0" w:tplc="B4D4AA86">
      <w:start w:val="1"/>
      <w:numFmt w:val="decimal"/>
      <w:lvlText w:val="%1."/>
      <w:lvlJc w:val="right"/>
      <w:pPr>
        <w:ind w:left="36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8" w15:restartNumberingAfterBreak="0">
    <w:nsid w:val="5CD2360A"/>
    <w:multiLevelType w:val="hybridMultilevel"/>
    <w:tmpl w:val="816815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5D1E21A0"/>
    <w:multiLevelType w:val="multilevel"/>
    <w:tmpl w:val="3342C89A"/>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6F3074"/>
    <w:multiLevelType w:val="hybridMultilevel"/>
    <w:tmpl w:val="07F6B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DF82C95"/>
    <w:multiLevelType w:val="hybridMultilevel"/>
    <w:tmpl w:val="1EE23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5E274732"/>
    <w:multiLevelType w:val="hybridMultilevel"/>
    <w:tmpl w:val="FA4A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EA37008"/>
    <w:multiLevelType w:val="hybridMultilevel"/>
    <w:tmpl w:val="19402F8C"/>
    <w:lvl w:ilvl="0" w:tplc="34CA7C0A">
      <w:start w:val="1"/>
      <w:numFmt w:val="upp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4" w15:restartNumberingAfterBreak="0">
    <w:nsid w:val="5F0D3BA6"/>
    <w:multiLevelType w:val="hybridMultilevel"/>
    <w:tmpl w:val="128A7D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5F185C9A"/>
    <w:multiLevelType w:val="multilevel"/>
    <w:tmpl w:val="7EE49158"/>
    <w:lvl w:ilvl="0">
      <w:start w:val="1"/>
      <w:numFmt w:val="bullet"/>
      <w:lvlText w:val="o"/>
      <w:lvlJc w:val="left"/>
      <w:pPr>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F341F06"/>
    <w:multiLevelType w:val="multilevel"/>
    <w:tmpl w:val="6F42B878"/>
    <w:lvl w:ilvl="0">
      <w:start w:val="1"/>
      <w:numFmt w:val="bullet"/>
      <w:lvlText w:val=""/>
      <w:lvlJc w:val="left"/>
      <w:pPr>
        <w:ind w:left="720" w:hanging="360"/>
      </w:pPr>
      <w:rPr>
        <w:rFonts w:ascii="Symbol" w:hAnsi="Symbol" w:hint="default"/>
        <w:color w:val="auto"/>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F852CE4"/>
    <w:multiLevelType w:val="hybridMultilevel"/>
    <w:tmpl w:val="F80A3786"/>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68" w15:restartNumberingAfterBreak="0">
    <w:nsid w:val="5FEC198A"/>
    <w:multiLevelType w:val="hybridMultilevel"/>
    <w:tmpl w:val="DA22C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6015605C"/>
    <w:multiLevelType w:val="hybridMultilevel"/>
    <w:tmpl w:val="0C9AD41C"/>
    <w:lvl w:ilvl="0" w:tplc="0809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0" w15:restartNumberingAfterBreak="0">
    <w:nsid w:val="605B59D3"/>
    <w:multiLevelType w:val="multilevel"/>
    <w:tmpl w:val="A2B0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08808A9"/>
    <w:multiLevelType w:val="multilevel"/>
    <w:tmpl w:val="F792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08B756B"/>
    <w:multiLevelType w:val="multilevel"/>
    <w:tmpl w:val="A2EA71DA"/>
    <w:lvl w:ilvl="0">
      <w:start w:val="1"/>
      <w:numFmt w:val="bullet"/>
      <w:lvlText w:val=""/>
      <w:lvlJc w:val="left"/>
      <w:pPr>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09C150A"/>
    <w:multiLevelType w:val="multilevel"/>
    <w:tmpl w:val="BA62FA3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74" w15:restartNumberingAfterBreak="0">
    <w:nsid w:val="6193087D"/>
    <w:multiLevelType w:val="multilevel"/>
    <w:tmpl w:val="AA0E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364516B"/>
    <w:multiLevelType w:val="hybridMultilevel"/>
    <w:tmpl w:val="B240F01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6" w15:restartNumberingAfterBreak="0">
    <w:nsid w:val="64880EF6"/>
    <w:multiLevelType w:val="hybridMultilevel"/>
    <w:tmpl w:val="374A6A02"/>
    <w:lvl w:ilvl="0" w:tplc="08090005">
      <w:start w:val="1"/>
      <w:numFmt w:val="bullet"/>
      <w:lvlText w:val=""/>
      <w:lvlJc w:val="left"/>
      <w:pPr>
        <w:ind w:left="786" w:hanging="360"/>
      </w:pPr>
      <w:rPr>
        <w:rFonts w:ascii="Wingdings" w:hAnsi="Wingdings" w:hint="default"/>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77" w15:restartNumberingAfterBreak="0">
    <w:nsid w:val="65356D0E"/>
    <w:multiLevelType w:val="hybridMultilevel"/>
    <w:tmpl w:val="978C3C58"/>
    <w:lvl w:ilvl="0" w:tplc="9C249832">
      <w:start w:val="1"/>
      <w:numFmt w:val="upp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8" w15:restartNumberingAfterBreak="0">
    <w:nsid w:val="65E01CBF"/>
    <w:multiLevelType w:val="hybridMultilevel"/>
    <w:tmpl w:val="0D1EBD4A"/>
    <w:lvl w:ilvl="0" w:tplc="522A959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9" w15:restartNumberingAfterBreak="0">
    <w:nsid w:val="678B05C9"/>
    <w:multiLevelType w:val="multilevel"/>
    <w:tmpl w:val="72A8F666"/>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91F0A18"/>
    <w:multiLevelType w:val="hybridMultilevel"/>
    <w:tmpl w:val="B4B63182"/>
    <w:lvl w:ilvl="0" w:tplc="522A959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1" w15:restartNumberingAfterBreak="0">
    <w:nsid w:val="6A144AAC"/>
    <w:multiLevelType w:val="hybridMultilevel"/>
    <w:tmpl w:val="6B120FAC"/>
    <w:lvl w:ilvl="0" w:tplc="04090015">
      <w:start w:val="1"/>
      <w:numFmt w:val="upp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A910A00"/>
    <w:multiLevelType w:val="multilevel"/>
    <w:tmpl w:val="C3DEB3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3" w15:restartNumberingAfterBreak="0">
    <w:nsid w:val="6AD37B1A"/>
    <w:multiLevelType w:val="hybridMultilevel"/>
    <w:tmpl w:val="D25818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6C01296C"/>
    <w:multiLevelType w:val="multilevel"/>
    <w:tmpl w:val="4A704386"/>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D797F1E"/>
    <w:multiLevelType w:val="hybridMultilevel"/>
    <w:tmpl w:val="CE7C14F0"/>
    <w:lvl w:ilvl="0" w:tplc="040C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797" w:hanging="360"/>
      </w:pPr>
      <w:rPr>
        <w:rFonts w:ascii="Courier New" w:hAnsi="Courier New" w:cs="Courier New" w:hint="default"/>
      </w:rPr>
    </w:lvl>
    <w:lvl w:ilvl="2" w:tplc="FFFFFFFF" w:tentative="1">
      <w:start w:val="1"/>
      <w:numFmt w:val="bullet"/>
      <w:lvlText w:val=""/>
      <w:lvlJc w:val="left"/>
      <w:pPr>
        <w:ind w:left="1517" w:hanging="360"/>
      </w:pPr>
      <w:rPr>
        <w:rFonts w:ascii="Wingdings" w:hAnsi="Wingdings" w:hint="default"/>
      </w:rPr>
    </w:lvl>
    <w:lvl w:ilvl="3" w:tplc="FFFFFFFF" w:tentative="1">
      <w:start w:val="1"/>
      <w:numFmt w:val="bullet"/>
      <w:lvlText w:val=""/>
      <w:lvlJc w:val="left"/>
      <w:pPr>
        <w:ind w:left="2237" w:hanging="360"/>
      </w:pPr>
      <w:rPr>
        <w:rFonts w:ascii="Symbol" w:hAnsi="Symbol" w:hint="default"/>
      </w:rPr>
    </w:lvl>
    <w:lvl w:ilvl="4" w:tplc="FFFFFFFF" w:tentative="1">
      <w:start w:val="1"/>
      <w:numFmt w:val="bullet"/>
      <w:lvlText w:val="o"/>
      <w:lvlJc w:val="left"/>
      <w:pPr>
        <w:ind w:left="2957" w:hanging="360"/>
      </w:pPr>
      <w:rPr>
        <w:rFonts w:ascii="Courier New" w:hAnsi="Courier New" w:cs="Courier New" w:hint="default"/>
      </w:rPr>
    </w:lvl>
    <w:lvl w:ilvl="5" w:tplc="FFFFFFFF" w:tentative="1">
      <w:start w:val="1"/>
      <w:numFmt w:val="bullet"/>
      <w:lvlText w:val=""/>
      <w:lvlJc w:val="left"/>
      <w:pPr>
        <w:ind w:left="3677" w:hanging="360"/>
      </w:pPr>
      <w:rPr>
        <w:rFonts w:ascii="Wingdings" w:hAnsi="Wingdings" w:hint="default"/>
      </w:rPr>
    </w:lvl>
    <w:lvl w:ilvl="6" w:tplc="FFFFFFFF" w:tentative="1">
      <w:start w:val="1"/>
      <w:numFmt w:val="bullet"/>
      <w:lvlText w:val=""/>
      <w:lvlJc w:val="left"/>
      <w:pPr>
        <w:ind w:left="4397" w:hanging="360"/>
      </w:pPr>
      <w:rPr>
        <w:rFonts w:ascii="Symbol" w:hAnsi="Symbol" w:hint="default"/>
      </w:rPr>
    </w:lvl>
    <w:lvl w:ilvl="7" w:tplc="FFFFFFFF" w:tentative="1">
      <w:start w:val="1"/>
      <w:numFmt w:val="bullet"/>
      <w:lvlText w:val="o"/>
      <w:lvlJc w:val="left"/>
      <w:pPr>
        <w:ind w:left="5117" w:hanging="360"/>
      </w:pPr>
      <w:rPr>
        <w:rFonts w:ascii="Courier New" w:hAnsi="Courier New" w:cs="Courier New" w:hint="default"/>
      </w:rPr>
    </w:lvl>
    <w:lvl w:ilvl="8" w:tplc="FFFFFFFF" w:tentative="1">
      <w:start w:val="1"/>
      <w:numFmt w:val="bullet"/>
      <w:lvlText w:val=""/>
      <w:lvlJc w:val="left"/>
      <w:pPr>
        <w:ind w:left="5837" w:hanging="360"/>
      </w:pPr>
      <w:rPr>
        <w:rFonts w:ascii="Wingdings" w:hAnsi="Wingdings" w:hint="default"/>
      </w:rPr>
    </w:lvl>
  </w:abstractNum>
  <w:abstractNum w:abstractNumId="186" w15:restartNumberingAfterBreak="0">
    <w:nsid w:val="6DEC4557"/>
    <w:multiLevelType w:val="hybridMultilevel"/>
    <w:tmpl w:val="AF6097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7" w15:restartNumberingAfterBreak="0">
    <w:nsid w:val="6EF20C14"/>
    <w:multiLevelType w:val="hybridMultilevel"/>
    <w:tmpl w:val="3CC47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6F817973"/>
    <w:multiLevelType w:val="hybridMultilevel"/>
    <w:tmpl w:val="BF0833A2"/>
    <w:lvl w:ilvl="0" w:tplc="99B435FE">
      <w:start w:val="1"/>
      <w:numFmt w:val="upp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9" w15:restartNumberingAfterBreak="0">
    <w:nsid w:val="6FBE2D73"/>
    <w:multiLevelType w:val="multilevel"/>
    <w:tmpl w:val="EF7AAB66"/>
    <w:lvl w:ilvl="0">
      <w:start w:val="1"/>
      <w:numFmt w:val="decimal"/>
      <w:lvlText w:val="%1."/>
      <w:lvlJc w:val="left"/>
      <w:pPr>
        <w:ind w:left="360" w:hanging="360"/>
      </w:pPr>
    </w:lvl>
    <w:lvl w:ilvl="1">
      <w:start w:val="1"/>
      <w:numFmt w:val="decimal"/>
      <w:lvlText w:val="%1.%2."/>
      <w:lvlJc w:val="left"/>
      <w:pPr>
        <w:ind w:left="432" w:hanging="432"/>
      </w:pPr>
      <w:rPr>
        <w:b/>
        <w:bCs/>
      </w:rPr>
    </w:lvl>
    <w:lvl w:ilvl="2">
      <w:start w:val="1"/>
      <w:numFmt w:val="decimal"/>
      <w:lvlText w:val="%1.%2.%3."/>
      <w:lvlJc w:val="left"/>
      <w:pPr>
        <w:ind w:left="504" w:hanging="504"/>
      </w:pPr>
      <w:rPr>
        <w:b/>
        <w:bCs/>
      </w:rPr>
    </w:lvl>
    <w:lvl w:ilvl="3">
      <w:start w:val="1"/>
      <w:numFmt w:val="decimal"/>
      <w:lvlText w:val="%1.%2.%3.%4."/>
      <w:lvlJc w:val="left"/>
      <w:pPr>
        <w:ind w:left="648" w:hanging="648"/>
      </w:pPr>
      <w:rPr>
        <w:b/>
        <w:bCs/>
      </w:rPr>
    </w:lvl>
    <w:lvl w:ilvl="4">
      <w:start w:val="1"/>
      <w:numFmt w:val="lowerLetter"/>
      <w:lvlText w:val="%5."/>
      <w:lvlJc w:val="lef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0" w15:restartNumberingAfterBreak="0">
    <w:nsid w:val="6FC3639E"/>
    <w:multiLevelType w:val="hybridMultilevel"/>
    <w:tmpl w:val="062042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71B324ED"/>
    <w:multiLevelType w:val="multilevel"/>
    <w:tmpl w:val="9E7E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1CA18FA"/>
    <w:multiLevelType w:val="hybridMultilevel"/>
    <w:tmpl w:val="D1206108"/>
    <w:lvl w:ilvl="0" w:tplc="040C0015">
      <w:start w:val="1"/>
      <w:numFmt w:val="upp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3" w15:restartNumberingAfterBreak="0">
    <w:nsid w:val="724F06BA"/>
    <w:multiLevelType w:val="multilevel"/>
    <w:tmpl w:val="E3DE64BA"/>
    <w:lvl w:ilvl="0">
      <w:start w:val="1"/>
      <w:numFmt w:val="bullet"/>
      <w:lvlText w:val=""/>
      <w:lvlJc w:val="left"/>
      <w:pPr>
        <w:tabs>
          <w:tab w:val="num" w:pos="360"/>
        </w:tabs>
        <w:ind w:left="360" w:hanging="360"/>
      </w:pPr>
      <w:rPr>
        <w:rFonts w:ascii="Symbol" w:hAnsi="Symbol" w:hint="default"/>
        <w:sz w:val="20"/>
      </w:rPr>
    </w:lvl>
    <w:lvl w:ilvl="1">
      <w:start w:val="5"/>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31B12E5"/>
    <w:multiLevelType w:val="hybridMultilevel"/>
    <w:tmpl w:val="7C6E1DE6"/>
    <w:lvl w:ilvl="0" w:tplc="9F7289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7340343C"/>
    <w:multiLevelType w:val="hybridMultilevel"/>
    <w:tmpl w:val="20C0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5F7537C"/>
    <w:multiLevelType w:val="multilevel"/>
    <w:tmpl w:val="12689392"/>
    <w:lvl w:ilvl="0">
      <w:start w:val="1"/>
      <w:numFmt w:val="bullet"/>
      <w:lvlText w:val=""/>
      <w:lvlJc w:val="left"/>
      <w:pPr>
        <w:ind w:left="360" w:hanging="360"/>
      </w:pPr>
      <w:rPr>
        <w:rFonts w:ascii="Symbol" w:hAnsi="Symbol" w:hint="default"/>
      </w:rPr>
    </w:lvl>
    <w:lvl w:ilvl="1">
      <w:start w:val="200"/>
      <w:numFmt w:val="bullet"/>
      <w:lvlText w:val="-"/>
      <w:lvlJc w:val="left"/>
      <w:pPr>
        <w:ind w:left="1080" w:hanging="360"/>
      </w:pPr>
      <w:rPr>
        <w:rFonts w:ascii="Times New Roman" w:eastAsia="Times New Roman" w:hAnsi="Times New Roman" w:cs="Times New Roman"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7" w15:restartNumberingAfterBreak="0">
    <w:nsid w:val="760A3056"/>
    <w:multiLevelType w:val="multilevel"/>
    <w:tmpl w:val="A2B0E8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8" w15:restartNumberingAfterBreak="0">
    <w:nsid w:val="766965E2"/>
    <w:multiLevelType w:val="hybridMultilevel"/>
    <w:tmpl w:val="267833F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15:restartNumberingAfterBreak="0">
    <w:nsid w:val="76E17133"/>
    <w:multiLevelType w:val="hybridMultilevel"/>
    <w:tmpl w:val="A69062BE"/>
    <w:lvl w:ilvl="0" w:tplc="3F1C748C">
      <w:start w:val="1"/>
      <w:numFmt w:val="upperLetter"/>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0" w15:restartNumberingAfterBreak="0">
    <w:nsid w:val="77263FAC"/>
    <w:multiLevelType w:val="hybridMultilevel"/>
    <w:tmpl w:val="EF787C90"/>
    <w:lvl w:ilvl="0" w:tplc="0809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1" w15:restartNumberingAfterBreak="0">
    <w:nsid w:val="77A24BE0"/>
    <w:multiLevelType w:val="hybridMultilevel"/>
    <w:tmpl w:val="3F982F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2" w15:restartNumberingAfterBreak="0">
    <w:nsid w:val="781757DC"/>
    <w:multiLevelType w:val="multilevel"/>
    <w:tmpl w:val="CA12B5FC"/>
    <w:lvl w:ilvl="0">
      <w:start w:val="1"/>
      <w:numFmt w:val="decimal"/>
      <w:lvlText w:val="%1."/>
      <w:lvlJc w:val="left"/>
      <w:pPr>
        <w:ind w:left="360" w:hanging="360"/>
      </w:p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asciiTheme="majorBidi" w:hAnsiTheme="majorBidi" w:cstheme="majorBidi" w:hint="default"/>
        <w:b/>
        <w:bCs/>
        <w:i w:val="0"/>
        <w:iCs w:val="0"/>
        <w:color w:val="000000" w:themeColor="text1"/>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3" w15:restartNumberingAfterBreak="0">
    <w:nsid w:val="7842404E"/>
    <w:multiLevelType w:val="multilevel"/>
    <w:tmpl w:val="909647EC"/>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88C7589"/>
    <w:multiLevelType w:val="multilevel"/>
    <w:tmpl w:val="F468E00A"/>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5" w15:restartNumberingAfterBreak="0">
    <w:nsid w:val="79434108"/>
    <w:multiLevelType w:val="multilevel"/>
    <w:tmpl w:val="422C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965617D"/>
    <w:multiLevelType w:val="hybridMultilevel"/>
    <w:tmpl w:val="4476BC38"/>
    <w:lvl w:ilvl="0" w:tplc="B79C5D1C">
      <w:start w:val="1"/>
      <w:numFmt w:val="upperLetter"/>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7" w15:restartNumberingAfterBreak="0">
    <w:nsid w:val="797F4229"/>
    <w:multiLevelType w:val="multilevel"/>
    <w:tmpl w:val="E424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9C2526F"/>
    <w:multiLevelType w:val="multilevel"/>
    <w:tmpl w:val="08BA45A6"/>
    <w:lvl w:ilvl="0">
      <w:start w:val="1"/>
      <w:numFmt w:val="bullet"/>
      <w:lvlText w:val="o"/>
      <w:lvlJc w:val="left"/>
      <w:pPr>
        <w:ind w:left="360" w:hanging="360"/>
      </w:pPr>
      <w:rPr>
        <w:rFonts w:ascii="Courier New" w:hAnsi="Courier New" w:cs="Courier New" w:hint="default"/>
        <w:color w:val="auto"/>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A347C97"/>
    <w:multiLevelType w:val="multilevel"/>
    <w:tmpl w:val="1A881AD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10" w15:restartNumberingAfterBreak="0">
    <w:nsid w:val="7A561024"/>
    <w:multiLevelType w:val="hybridMultilevel"/>
    <w:tmpl w:val="C164D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AF4430D"/>
    <w:multiLevelType w:val="hybridMultilevel"/>
    <w:tmpl w:val="8CAC4176"/>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7B0F50BE"/>
    <w:multiLevelType w:val="multilevel"/>
    <w:tmpl w:val="8DA8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B287A17"/>
    <w:multiLevelType w:val="hybridMultilevel"/>
    <w:tmpl w:val="5E4CF3E6"/>
    <w:lvl w:ilvl="0" w:tplc="040C0015">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4" w15:restartNumberingAfterBreak="0">
    <w:nsid w:val="7B4E42CE"/>
    <w:multiLevelType w:val="multilevel"/>
    <w:tmpl w:val="B9D263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5" w15:restartNumberingAfterBreak="0">
    <w:nsid w:val="7C260DBD"/>
    <w:multiLevelType w:val="multilevel"/>
    <w:tmpl w:val="525E5CF4"/>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7C8C532B"/>
    <w:multiLevelType w:val="multilevel"/>
    <w:tmpl w:val="909647EC"/>
    <w:lvl w:ilvl="0">
      <w:start w:val="1"/>
      <w:numFmt w:val="bullet"/>
      <w:lvlText w:val=""/>
      <w:lvlJc w:val="left"/>
      <w:pPr>
        <w:ind w:left="6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C9A68EE"/>
    <w:multiLevelType w:val="multilevel"/>
    <w:tmpl w:val="7E30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CC57719"/>
    <w:multiLevelType w:val="multilevel"/>
    <w:tmpl w:val="93AA6BF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9" w15:restartNumberingAfterBreak="0">
    <w:nsid w:val="7D212037"/>
    <w:multiLevelType w:val="hybridMultilevel"/>
    <w:tmpl w:val="C996062E"/>
    <w:lvl w:ilvl="0" w:tplc="656652EA">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88045641">
    <w:abstractNumId w:val="158"/>
  </w:num>
  <w:num w:numId="2" w16cid:durableId="390733528">
    <w:abstractNumId w:val="198"/>
  </w:num>
  <w:num w:numId="3" w16cid:durableId="959872282">
    <w:abstractNumId w:val="82"/>
  </w:num>
  <w:num w:numId="4" w16cid:durableId="2023781826">
    <w:abstractNumId w:val="189"/>
  </w:num>
  <w:num w:numId="5" w16cid:durableId="939529127">
    <w:abstractNumId w:val="26"/>
  </w:num>
  <w:num w:numId="6" w16cid:durableId="2034762427">
    <w:abstractNumId w:val="181"/>
  </w:num>
  <w:num w:numId="7" w16cid:durableId="1549878057">
    <w:abstractNumId w:val="93"/>
  </w:num>
  <w:num w:numId="8" w16cid:durableId="2081517626">
    <w:abstractNumId w:val="85"/>
  </w:num>
  <w:num w:numId="9" w16cid:durableId="1313632790">
    <w:abstractNumId w:val="126"/>
  </w:num>
  <w:num w:numId="10" w16cid:durableId="1401437471">
    <w:abstractNumId w:val="47"/>
  </w:num>
  <w:num w:numId="11" w16cid:durableId="2144494175">
    <w:abstractNumId w:val="72"/>
  </w:num>
  <w:num w:numId="12" w16cid:durableId="123427409">
    <w:abstractNumId w:val="28"/>
  </w:num>
  <w:num w:numId="13" w16cid:durableId="836456926">
    <w:abstractNumId w:val="124"/>
  </w:num>
  <w:num w:numId="14" w16cid:durableId="1092970774">
    <w:abstractNumId w:val="165"/>
  </w:num>
  <w:num w:numId="15" w16cid:durableId="492717950">
    <w:abstractNumId w:val="137"/>
  </w:num>
  <w:num w:numId="16" w16cid:durableId="1022560737">
    <w:abstractNumId w:val="35"/>
  </w:num>
  <w:num w:numId="17" w16cid:durableId="542518433">
    <w:abstractNumId w:val="152"/>
  </w:num>
  <w:num w:numId="18" w16cid:durableId="363556261">
    <w:abstractNumId w:val="135"/>
  </w:num>
  <w:num w:numId="19" w16cid:durableId="863443753">
    <w:abstractNumId w:val="101"/>
  </w:num>
  <w:num w:numId="20" w16cid:durableId="912621072">
    <w:abstractNumId w:val="58"/>
  </w:num>
  <w:num w:numId="21" w16cid:durableId="1397778184">
    <w:abstractNumId w:val="219"/>
  </w:num>
  <w:num w:numId="22" w16cid:durableId="639387982">
    <w:abstractNumId w:val="43"/>
  </w:num>
  <w:num w:numId="23" w16cid:durableId="488593954">
    <w:abstractNumId w:val="63"/>
  </w:num>
  <w:num w:numId="24" w16cid:durableId="137118029">
    <w:abstractNumId w:val="211"/>
  </w:num>
  <w:num w:numId="25" w16cid:durableId="659888860">
    <w:abstractNumId w:val="41"/>
  </w:num>
  <w:num w:numId="26" w16cid:durableId="135538896">
    <w:abstractNumId w:val="68"/>
  </w:num>
  <w:num w:numId="27" w16cid:durableId="1344749741">
    <w:abstractNumId w:val="173"/>
  </w:num>
  <w:num w:numId="28" w16cid:durableId="1860653644">
    <w:abstractNumId w:val="193"/>
  </w:num>
  <w:num w:numId="29" w16cid:durableId="876816353">
    <w:abstractNumId w:val="182"/>
  </w:num>
  <w:num w:numId="30" w16cid:durableId="240069112">
    <w:abstractNumId w:val="209"/>
  </w:num>
  <w:num w:numId="31" w16cid:durableId="971593428">
    <w:abstractNumId w:val="99"/>
  </w:num>
  <w:num w:numId="32" w16cid:durableId="96491631">
    <w:abstractNumId w:val="145"/>
  </w:num>
  <w:num w:numId="33" w16cid:durableId="240993332">
    <w:abstractNumId w:val="130"/>
  </w:num>
  <w:num w:numId="34" w16cid:durableId="258802024">
    <w:abstractNumId w:val="87"/>
  </w:num>
  <w:num w:numId="35" w16cid:durableId="1319916650">
    <w:abstractNumId w:val="0"/>
  </w:num>
  <w:num w:numId="36" w16cid:durableId="1234702246">
    <w:abstractNumId w:val="215"/>
  </w:num>
  <w:num w:numId="37" w16cid:durableId="1934361916">
    <w:abstractNumId w:val="73"/>
  </w:num>
  <w:num w:numId="38" w16cid:durableId="1236160847">
    <w:abstractNumId w:val="36"/>
  </w:num>
  <w:num w:numId="39" w16cid:durableId="1884554101">
    <w:abstractNumId w:val="149"/>
  </w:num>
  <w:num w:numId="40" w16cid:durableId="341130291">
    <w:abstractNumId w:val="54"/>
  </w:num>
  <w:num w:numId="41" w16cid:durableId="1872298695">
    <w:abstractNumId w:val="111"/>
  </w:num>
  <w:num w:numId="42" w16cid:durableId="1149588989">
    <w:abstractNumId w:val="17"/>
  </w:num>
  <w:num w:numId="43" w16cid:durableId="1910462868">
    <w:abstractNumId w:val="45"/>
  </w:num>
  <w:num w:numId="44" w16cid:durableId="880944347">
    <w:abstractNumId w:val="108"/>
  </w:num>
  <w:num w:numId="45" w16cid:durableId="1425809639">
    <w:abstractNumId w:val="44"/>
  </w:num>
  <w:num w:numId="46" w16cid:durableId="163521778">
    <w:abstractNumId w:val="52"/>
  </w:num>
  <w:num w:numId="47" w16cid:durableId="1241675823">
    <w:abstractNumId w:val="11"/>
  </w:num>
  <w:num w:numId="48" w16cid:durableId="263417624">
    <w:abstractNumId w:val="125"/>
  </w:num>
  <w:num w:numId="49" w16cid:durableId="991329858">
    <w:abstractNumId w:val="195"/>
  </w:num>
  <w:num w:numId="50" w16cid:durableId="1708751069">
    <w:abstractNumId w:val="204"/>
  </w:num>
  <w:num w:numId="51" w16cid:durableId="1765032188">
    <w:abstractNumId w:val="104"/>
  </w:num>
  <w:num w:numId="52" w16cid:durableId="1808232901">
    <w:abstractNumId w:val="49"/>
  </w:num>
  <w:num w:numId="53" w16cid:durableId="1206256461">
    <w:abstractNumId w:val="175"/>
  </w:num>
  <w:num w:numId="54" w16cid:durableId="684794627">
    <w:abstractNumId w:val="10"/>
  </w:num>
  <w:num w:numId="55" w16cid:durableId="1268462873">
    <w:abstractNumId w:val="80"/>
  </w:num>
  <w:num w:numId="56" w16cid:durableId="1783064716">
    <w:abstractNumId w:val="83"/>
  </w:num>
  <w:num w:numId="57" w16cid:durableId="398214229">
    <w:abstractNumId w:val="75"/>
  </w:num>
  <w:num w:numId="58" w16cid:durableId="296036000">
    <w:abstractNumId w:val="196"/>
  </w:num>
  <w:num w:numId="59" w16cid:durableId="456988475">
    <w:abstractNumId w:val="70"/>
  </w:num>
  <w:num w:numId="60" w16cid:durableId="1286086057">
    <w:abstractNumId w:val="14"/>
  </w:num>
  <w:num w:numId="61" w16cid:durableId="807168983">
    <w:abstractNumId w:val="168"/>
  </w:num>
  <w:num w:numId="62" w16cid:durableId="1224949899">
    <w:abstractNumId w:val="129"/>
  </w:num>
  <w:num w:numId="63" w16cid:durableId="397745768">
    <w:abstractNumId w:val="64"/>
  </w:num>
  <w:num w:numId="64" w16cid:durableId="1063215285">
    <w:abstractNumId w:val="18"/>
  </w:num>
  <w:num w:numId="65" w16cid:durableId="755830905">
    <w:abstractNumId w:val="84"/>
  </w:num>
  <w:num w:numId="66" w16cid:durableId="834803463">
    <w:abstractNumId w:val="38"/>
  </w:num>
  <w:num w:numId="67" w16cid:durableId="1496341185">
    <w:abstractNumId w:val="202"/>
  </w:num>
  <w:num w:numId="68" w16cid:durableId="1262224102">
    <w:abstractNumId w:val="141"/>
  </w:num>
  <w:num w:numId="69" w16cid:durableId="944389765">
    <w:abstractNumId w:val="218"/>
  </w:num>
  <w:num w:numId="70" w16cid:durableId="1007485393">
    <w:abstractNumId w:val="153"/>
  </w:num>
  <w:num w:numId="71" w16cid:durableId="954097459">
    <w:abstractNumId w:val="3"/>
  </w:num>
  <w:num w:numId="72" w16cid:durableId="1861624878">
    <w:abstractNumId w:val="96"/>
  </w:num>
  <w:num w:numId="73" w16cid:durableId="1854147726">
    <w:abstractNumId w:val="139"/>
  </w:num>
  <w:num w:numId="74" w16cid:durableId="7029827">
    <w:abstractNumId w:val="34"/>
  </w:num>
  <w:num w:numId="75" w16cid:durableId="1236281966">
    <w:abstractNumId w:val="187"/>
  </w:num>
  <w:num w:numId="76" w16cid:durableId="621115393">
    <w:abstractNumId w:val="51"/>
  </w:num>
  <w:num w:numId="77" w16cid:durableId="1292782486">
    <w:abstractNumId w:val="22"/>
  </w:num>
  <w:num w:numId="78" w16cid:durableId="314382899">
    <w:abstractNumId w:val="16"/>
  </w:num>
  <w:num w:numId="79" w16cid:durableId="223755254">
    <w:abstractNumId w:val="31"/>
  </w:num>
  <w:num w:numId="80" w16cid:durableId="1540775306">
    <w:abstractNumId w:val="216"/>
  </w:num>
  <w:num w:numId="81" w16cid:durableId="45030784">
    <w:abstractNumId w:val="203"/>
  </w:num>
  <w:num w:numId="82" w16cid:durableId="1717005037">
    <w:abstractNumId w:val="62"/>
  </w:num>
  <w:num w:numId="83" w16cid:durableId="1575817587">
    <w:abstractNumId w:val="184"/>
  </w:num>
  <w:num w:numId="84" w16cid:durableId="374233621">
    <w:abstractNumId w:val="91"/>
  </w:num>
  <w:num w:numId="85" w16cid:durableId="1119108799">
    <w:abstractNumId w:val="140"/>
  </w:num>
  <w:num w:numId="86" w16cid:durableId="166528475">
    <w:abstractNumId w:val="39"/>
  </w:num>
  <w:num w:numId="87" w16cid:durableId="1189224552">
    <w:abstractNumId w:val="40"/>
  </w:num>
  <w:num w:numId="88" w16cid:durableId="354044699">
    <w:abstractNumId w:val="53"/>
  </w:num>
  <w:num w:numId="89" w16cid:durableId="20325270">
    <w:abstractNumId w:val="86"/>
  </w:num>
  <w:num w:numId="90" w16cid:durableId="1773159366">
    <w:abstractNumId w:val="191"/>
  </w:num>
  <w:num w:numId="91" w16cid:durableId="1012344264">
    <w:abstractNumId w:val="65"/>
  </w:num>
  <w:num w:numId="92" w16cid:durableId="1499492042">
    <w:abstractNumId w:val="208"/>
  </w:num>
  <w:num w:numId="93" w16cid:durableId="446656052">
    <w:abstractNumId w:val="1"/>
  </w:num>
  <w:num w:numId="94" w16cid:durableId="1001588892">
    <w:abstractNumId w:val="13"/>
  </w:num>
  <w:num w:numId="95" w16cid:durableId="1812207849">
    <w:abstractNumId w:val="166"/>
  </w:num>
  <w:num w:numId="96" w16cid:durableId="2104760455">
    <w:abstractNumId w:val="15"/>
  </w:num>
  <w:num w:numId="97" w16cid:durableId="2110662225">
    <w:abstractNumId w:val="132"/>
  </w:num>
  <w:num w:numId="98" w16cid:durableId="553081496">
    <w:abstractNumId w:val="134"/>
  </w:num>
  <w:num w:numId="99" w16cid:durableId="2118981822">
    <w:abstractNumId w:val="88"/>
  </w:num>
  <w:num w:numId="100" w16cid:durableId="904724493">
    <w:abstractNumId w:val="46"/>
  </w:num>
  <w:num w:numId="101" w16cid:durableId="365180943">
    <w:abstractNumId w:val="167"/>
  </w:num>
  <w:num w:numId="102" w16cid:durableId="2071266418">
    <w:abstractNumId w:val="98"/>
  </w:num>
  <w:num w:numId="103" w16cid:durableId="1732658705">
    <w:abstractNumId w:val="171"/>
  </w:num>
  <w:num w:numId="104" w16cid:durableId="1845778607">
    <w:abstractNumId w:val="2"/>
  </w:num>
  <w:num w:numId="105" w16cid:durableId="1461797790">
    <w:abstractNumId w:val="100"/>
  </w:num>
  <w:num w:numId="106" w16cid:durableId="1107000802">
    <w:abstractNumId w:val="48"/>
  </w:num>
  <w:num w:numId="107" w16cid:durableId="1543208188">
    <w:abstractNumId w:val="76"/>
  </w:num>
  <w:num w:numId="108" w16cid:durableId="165634105">
    <w:abstractNumId w:val="116"/>
  </w:num>
  <w:num w:numId="109" w16cid:durableId="903105055">
    <w:abstractNumId w:val="151"/>
  </w:num>
  <w:num w:numId="110" w16cid:durableId="2055501900">
    <w:abstractNumId w:val="177"/>
  </w:num>
  <w:num w:numId="111" w16cid:durableId="808475364">
    <w:abstractNumId w:val="159"/>
  </w:num>
  <w:num w:numId="112" w16cid:durableId="478885674">
    <w:abstractNumId w:val="23"/>
  </w:num>
  <w:num w:numId="113" w16cid:durableId="834536892">
    <w:abstractNumId w:val="179"/>
  </w:num>
  <w:num w:numId="114" w16cid:durableId="480736100">
    <w:abstractNumId w:val="29"/>
  </w:num>
  <w:num w:numId="115" w16cid:durableId="1892761697">
    <w:abstractNumId w:val="8"/>
  </w:num>
  <w:num w:numId="116" w16cid:durableId="1322544034">
    <w:abstractNumId w:val="183"/>
  </w:num>
  <w:num w:numId="117" w16cid:durableId="533272534">
    <w:abstractNumId w:val="56"/>
  </w:num>
  <w:num w:numId="118" w16cid:durableId="1524706292">
    <w:abstractNumId w:val="194"/>
  </w:num>
  <w:num w:numId="119" w16cid:durableId="443424400">
    <w:abstractNumId w:val="117"/>
  </w:num>
  <w:num w:numId="120" w16cid:durableId="378743754">
    <w:abstractNumId w:val="197"/>
  </w:num>
  <w:num w:numId="121" w16cid:durableId="1627543166">
    <w:abstractNumId w:val="57"/>
  </w:num>
  <w:num w:numId="122" w16cid:durableId="930890392">
    <w:abstractNumId w:val="170"/>
  </w:num>
  <w:num w:numId="123" w16cid:durableId="997542262">
    <w:abstractNumId w:val="37"/>
  </w:num>
  <w:num w:numId="124" w16cid:durableId="1671717392">
    <w:abstractNumId w:val="6"/>
  </w:num>
  <w:num w:numId="125" w16cid:durableId="857622863">
    <w:abstractNumId w:val="30"/>
  </w:num>
  <w:num w:numId="126" w16cid:durableId="702363534">
    <w:abstractNumId w:val="147"/>
  </w:num>
  <w:num w:numId="127" w16cid:durableId="912927754">
    <w:abstractNumId w:val="212"/>
  </w:num>
  <w:num w:numId="128" w16cid:durableId="92750019">
    <w:abstractNumId w:val="217"/>
  </w:num>
  <w:num w:numId="129" w16cid:durableId="1442065268">
    <w:abstractNumId w:val="102"/>
  </w:num>
  <w:num w:numId="130" w16cid:durableId="67963285">
    <w:abstractNumId w:val="119"/>
  </w:num>
  <w:num w:numId="131" w16cid:durableId="71438419">
    <w:abstractNumId w:val="206"/>
  </w:num>
  <w:num w:numId="132" w16cid:durableId="373894758">
    <w:abstractNumId w:val="78"/>
  </w:num>
  <w:num w:numId="133" w16cid:durableId="21515440">
    <w:abstractNumId w:val="213"/>
  </w:num>
  <w:num w:numId="134" w16cid:durableId="19088120">
    <w:abstractNumId w:val="192"/>
  </w:num>
  <w:num w:numId="135" w16cid:durableId="6831962">
    <w:abstractNumId w:val="115"/>
  </w:num>
  <w:num w:numId="136" w16cid:durableId="1732459524">
    <w:abstractNumId w:val="81"/>
  </w:num>
  <w:num w:numId="137" w16cid:durableId="1044015592">
    <w:abstractNumId w:val="114"/>
  </w:num>
  <w:num w:numId="138" w16cid:durableId="841041967">
    <w:abstractNumId w:val="178"/>
  </w:num>
  <w:num w:numId="139" w16cid:durableId="1311519377">
    <w:abstractNumId w:val="60"/>
  </w:num>
  <w:num w:numId="140" w16cid:durableId="1209219783">
    <w:abstractNumId w:val="94"/>
  </w:num>
  <w:num w:numId="141" w16cid:durableId="1988167356">
    <w:abstractNumId w:val="20"/>
  </w:num>
  <w:num w:numId="142" w16cid:durableId="2094742173">
    <w:abstractNumId w:val="180"/>
  </w:num>
  <w:num w:numId="143" w16cid:durableId="257177820">
    <w:abstractNumId w:val="42"/>
  </w:num>
  <w:num w:numId="144" w16cid:durableId="702947256">
    <w:abstractNumId w:val="156"/>
  </w:num>
  <w:num w:numId="145" w16cid:durableId="1100300106">
    <w:abstractNumId w:val="9"/>
  </w:num>
  <w:num w:numId="146" w16cid:durableId="638076223">
    <w:abstractNumId w:val="174"/>
  </w:num>
  <w:num w:numId="147" w16cid:durableId="1595359520">
    <w:abstractNumId w:val="143"/>
  </w:num>
  <w:num w:numId="148" w16cid:durableId="327173877">
    <w:abstractNumId w:val="107"/>
  </w:num>
  <w:num w:numId="149" w16cid:durableId="670527326">
    <w:abstractNumId w:val="207"/>
  </w:num>
  <w:num w:numId="150" w16cid:durableId="1974406569">
    <w:abstractNumId w:val="97"/>
  </w:num>
  <w:num w:numId="151" w16cid:durableId="1635912497">
    <w:abstractNumId w:val="142"/>
  </w:num>
  <w:num w:numId="152" w16cid:durableId="1085616029">
    <w:abstractNumId w:val="205"/>
  </w:num>
  <w:num w:numId="153" w16cid:durableId="754983675">
    <w:abstractNumId w:val="148"/>
  </w:num>
  <w:num w:numId="154" w16cid:durableId="340592544">
    <w:abstractNumId w:val="24"/>
  </w:num>
  <w:num w:numId="155" w16cid:durableId="1291135806">
    <w:abstractNumId w:val="89"/>
  </w:num>
  <w:num w:numId="156" w16cid:durableId="1786996067">
    <w:abstractNumId w:val="95"/>
  </w:num>
  <w:num w:numId="157" w16cid:durableId="1148744711">
    <w:abstractNumId w:val="12"/>
  </w:num>
  <w:num w:numId="158" w16cid:durableId="92018874">
    <w:abstractNumId w:val="118"/>
  </w:num>
  <w:num w:numId="159" w16cid:durableId="749234214">
    <w:abstractNumId w:val="5"/>
  </w:num>
  <w:num w:numId="160" w16cid:durableId="1296716088">
    <w:abstractNumId w:val="136"/>
  </w:num>
  <w:num w:numId="161" w16cid:durableId="21174306">
    <w:abstractNumId w:val="67"/>
  </w:num>
  <w:num w:numId="162" w16cid:durableId="102918111">
    <w:abstractNumId w:val="79"/>
  </w:num>
  <w:num w:numId="163" w16cid:durableId="1423602375">
    <w:abstractNumId w:val="69"/>
  </w:num>
  <w:num w:numId="164" w16cid:durableId="7870784">
    <w:abstractNumId w:val="154"/>
  </w:num>
  <w:num w:numId="165" w16cid:durableId="859968913">
    <w:abstractNumId w:val="32"/>
  </w:num>
  <w:num w:numId="166" w16cid:durableId="78797785">
    <w:abstractNumId w:val="162"/>
  </w:num>
  <w:num w:numId="167" w16cid:durableId="829716100">
    <w:abstractNumId w:val="210"/>
  </w:num>
  <w:num w:numId="168" w16cid:durableId="1922912894">
    <w:abstractNumId w:val="4"/>
  </w:num>
  <w:num w:numId="169" w16cid:durableId="1396707255">
    <w:abstractNumId w:val="21"/>
  </w:num>
  <w:num w:numId="170" w16cid:durableId="155343180">
    <w:abstractNumId w:val="19"/>
  </w:num>
  <w:num w:numId="171" w16cid:durableId="1451392675">
    <w:abstractNumId w:val="200"/>
  </w:num>
  <w:num w:numId="172" w16cid:durableId="457259567">
    <w:abstractNumId w:val="144"/>
  </w:num>
  <w:num w:numId="173" w16cid:durableId="973406985">
    <w:abstractNumId w:val="50"/>
  </w:num>
  <w:num w:numId="174" w16cid:durableId="2133746032">
    <w:abstractNumId w:val="133"/>
  </w:num>
  <w:num w:numId="175" w16cid:durableId="1984654936">
    <w:abstractNumId w:val="214"/>
  </w:num>
  <w:num w:numId="176" w16cid:durableId="1556163474">
    <w:abstractNumId w:val="128"/>
  </w:num>
  <w:num w:numId="177" w16cid:durableId="584269141">
    <w:abstractNumId w:val="109"/>
  </w:num>
  <w:num w:numId="178" w16cid:durableId="806702190">
    <w:abstractNumId w:val="188"/>
  </w:num>
  <w:num w:numId="179" w16cid:durableId="678506354">
    <w:abstractNumId w:val="61"/>
  </w:num>
  <w:num w:numId="180" w16cid:durableId="631247784">
    <w:abstractNumId w:val="106"/>
  </w:num>
  <w:num w:numId="181" w16cid:durableId="2069105498">
    <w:abstractNumId w:val="163"/>
  </w:num>
  <w:num w:numId="182" w16cid:durableId="865099085">
    <w:abstractNumId w:val="199"/>
  </w:num>
  <w:num w:numId="183" w16cid:durableId="1759210515">
    <w:abstractNumId w:val="121"/>
  </w:num>
  <w:num w:numId="184" w16cid:durableId="153106687">
    <w:abstractNumId w:val="77"/>
  </w:num>
  <w:num w:numId="185" w16cid:durableId="287399580">
    <w:abstractNumId w:val="155"/>
  </w:num>
  <w:num w:numId="186" w16cid:durableId="810098573">
    <w:abstractNumId w:val="176"/>
  </w:num>
  <w:num w:numId="187" w16cid:durableId="1381248746">
    <w:abstractNumId w:val="25"/>
  </w:num>
  <w:num w:numId="188" w16cid:durableId="111750823">
    <w:abstractNumId w:val="123"/>
  </w:num>
  <w:num w:numId="189" w16cid:durableId="449131888">
    <w:abstractNumId w:val="103"/>
  </w:num>
  <w:num w:numId="190" w16cid:durableId="1417675016">
    <w:abstractNumId w:val="138"/>
  </w:num>
  <w:num w:numId="191" w16cid:durableId="1933010365">
    <w:abstractNumId w:val="169"/>
  </w:num>
  <w:num w:numId="192" w16cid:durableId="1034696854">
    <w:abstractNumId w:val="122"/>
  </w:num>
  <w:num w:numId="193" w16cid:durableId="1650095370">
    <w:abstractNumId w:val="127"/>
  </w:num>
  <w:num w:numId="194" w16cid:durableId="1605959828">
    <w:abstractNumId w:val="150"/>
  </w:num>
  <w:num w:numId="195" w16cid:durableId="1757901363">
    <w:abstractNumId w:val="90"/>
  </w:num>
  <w:num w:numId="196" w16cid:durableId="1761901750">
    <w:abstractNumId w:val="59"/>
  </w:num>
  <w:num w:numId="197" w16cid:durableId="2007397566">
    <w:abstractNumId w:val="157"/>
  </w:num>
  <w:num w:numId="198" w16cid:durableId="2114982158">
    <w:abstractNumId w:val="185"/>
  </w:num>
  <w:num w:numId="199" w16cid:durableId="79063228">
    <w:abstractNumId w:val="113"/>
  </w:num>
  <w:num w:numId="200" w16cid:durableId="33773081">
    <w:abstractNumId w:val="71"/>
  </w:num>
  <w:num w:numId="201" w16cid:durableId="732579045">
    <w:abstractNumId w:val="7"/>
  </w:num>
  <w:num w:numId="202" w16cid:durableId="1608270826">
    <w:abstractNumId w:val="92"/>
  </w:num>
  <w:num w:numId="203" w16cid:durableId="1762138331">
    <w:abstractNumId w:val="55"/>
  </w:num>
  <w:num w:numId="204" w16cid:durableId="45882464">
    <w:abstractNumId w:val="172"/>
  </w:num>
  <w:num w:numId="205" w16cid:durableId="633949734">
    <w:abstractNumId w:val="120"/>
  </w:num>
  <w:num w:numId="206" w16cid:durableId="1070159091">
    <w:abstractNumId w:val="74"/>
  </w:num>
  <w:num w:numId="207" w16cid:durableId="1929343471">
    <w:abstractNumId w:val="112"/>
  </w:num>
  <w:num w:numId="208" w16cid:durableId="428813775">
    <w:abstractNumId w:val="66"/>
  </w:num>
  <w:num w:numId="209" w16cid:durableId="1730375116">
    <w:abstractNumId w:val="186"/>
  </w:num>
  <w:num w:numId="210" w16cid:durableId="1425610072">
    <w:abstractNumId w:val="201"/>
  </w:num>
  <w:num w:numId="211" w16cid:durableId="777215649">
    <w:abstractNumId w:val="27"/>
  </w:num>
  <w:num w:numId="212" w16cid:durableId="1955481195">
    <w:abstractNumId w:val="105"/>
  </w:num>
  <w:num w:numId="213" w16cid:durableId="762841303">
    <w:abstractNumId w:val="131"/>
  </w:num>
  <w:num w:numId="214" w16cid:durableId="1823959192">
    <w:abstractNumId w:val="161"/>
  </w:num>
  <w:num w:numId="215" w16cid:durableId="1558391224">
    <w:abstractNumId w:val="110"/>
  </w:num>
  <w:num w:numId="216" w16cid:durableId="116291728">
    <w:abstractNumId w:val="190"/>
  </w:num>
  <w:num w:numId="217" w16cid:durableId="767777616">
    <w:abstractNumId w:val="164"/>
  </w:num>
  <w:num w:numId="218" w16cid:durableId="905646194">
    <w:abstractNumId w:val="146"/>
  </w:num>
  <w:num w:numId="219" w16cid:durableId="377707381">
    <w:abstractNumId w:val="160"/>
  </w:num>
  <w:num w:numId="220" w16cid:durableId="1027753454">
    <w:abstractNumId w:val="33"/>
  </w:num>
  <w:numIdMacAtCleanup w:val="2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385"/>
    <w:rsid w:val="00005B33"/>
    <w:rsid w:val="00007C41"/>
    <w:rsid w:val="000377D6"/>
    <w:rsid w:val="00042290"/>
    <w:rsid w:val="00045019"/>
    <w:rsid w:val="000538C0"/>
    <w:rsid w:val="000814D1"/>
    <w:rsid w:val="0008626F"/>
    <w:rsid w:val="000A41CA"/>
    <w:rsid w:val="000B11B3"/>
    <w:rsid w:val="000C15F3"/>
    <w:rsid w:val="000C1677"/>
    <w:rsid w:val="000C206C"/>
    <w:rsid w:val="000D4E41"/>
    <w:rsid w:val="00100856"/>
    <w:rsid w:val="00104751"/>
    <w:rsid w:val="00114EBC"/>
    <w:rsid w:val="001213B3"/>
    <w:rsid w:val="0012526B"/>
    <w:rsid w:val="00131B8E"/>
    <w:rsid w:val="0014597E"/>
    <w:rsid w:val="00180BD7"/>
    <w:rsid w:val="001840DA"/>
    <w:rsid w:val="00194E42"/>
    <w:rsid w:val="001B2205"/>
    <w:rsid w:val="001B442B"/>
    <w:rsid w:val="001B4B86"/>
    <w:rsid w:val="001C48A7"/>
    <w:rsid w:val="001C4F3E"/>
    <w:rsid w:val="001C75C0"/>
    <w:rsid w:val="001D04C6"/>
    <w:rsid w:val="001D32F8"/>
    <w:rsid w:val="001D4EA5"/>
    <w:rsid w:val="001D68FE"/>
    <w:rsid w:val="001D6D54"/>
    <w:rsid w:val="001E53BB"/>
    <w:rsid w:val="001F2DE7"/>
    <w:rsid w:val="001F6C0D"/>
    <w:rsid w:val="00207447"/>
    <w:rsid w:val="00220F88"/>
    <w:rsid w:val="00224D6D"/>
    <w:rsid w:val="002250DF"/>
    <w:rsid w:val="00232E3E"/>
    <w:rsid w:val="002441C1"/>
    <w:rsid w:val="002526AB"/>
    <w:rsid w:val="00257B48"/>
    <w:rsid w:val="00260142"/>
    <w:rsid w:val="0029069B"/>
    <w:rsid w:val="00294FE2"/>
    <w:rsid w:val="00297FE5"/>
    <w:rsid w:val="002A015A"/>
    <w:rsid w:val="002B50A5"/>
    <w:rsid w:val="002C7523"/>
    <w:rsid w:val="002D0658"/>
    <w:rsid w:val="002D2FE1"/>
    <w:rsid w:val="002E6982"/>
    <w:rsid w:val="002F0752"/>
    <w:rsid w:val="002F1C27"/>
    <w:rsid w:val="002F4AFC"/>
    <w:rsid w:val="002F5C80"/>
    <w:rsid w:val="00306B2A"/>
    <w:rsid w:val="00310809"/>
    <w:rsid w:val="003121FA"/>
    <w:rsid w:val="00315F3A"/>
    <w:rsid w:val="00321B2D"/>
    <w:rsid w:val="00332D8B"/>
    <w:rsid w:val="00340CFB"/>
    <w:rsid w:val="00343328"/>
    <w:rsid w:val="00352F66"/>
    <w:rsid w:val="00356CAF"/>
    <w:rsid w:val="00362187"/>
    <w:rsid w:val="0036290B"/>
    <w:rsid w:val="00376CBF"/>
    <w:rsid w:val="00377D22"/>
    <w:rsid w:val="00382E52"/>
    <w:rsid w:val="003914CC"/>
    <w:rsid w:val="003A1F0E"/>
    <w:rsid w:val="003B5837"/>
    <w:rsid w:val="003C0FF9"/>
    <w:rsid w:val="003F179B"/>
    <w:rsid w:val="003F1CCC"/>
    <w:rsid w:val="003F3049"/>
    <w:rsid w:val="003F7806"/>
    <w:rsid w:val="00400B74"/>
    <w:rsid w:val="0040109B"/>
    <w:rsid w:val="00430A10"/>
    <w:rsid w:val="0043246F"/>
    <w:rsid w:val="004337B1"/>
    <w:rsid w:val="00440800"/>
    <w:rsid w:val="00440AF3"/>
    <w:rsid w:val="00452B13"/>
    <w:rsid w:val="0045362C"/>
    <w:rsid w:val="004624F4"/>
    <w:rsid w:val="00465127"/>
    <w:rsid w:val="004703FF"/>
    <w:rsid w:val="004710ED"/>
    <w:rsid w:val="00471917"/>
    <w:rsid w:val="004742BD"/>
    <w:rsid w:val="00475815"/>
    <w:rsid w:val="00476B27"/>
    <w:rsid w:val="00487013"/>
    <w:rsid w:val="00487480"/>
    <w:rsid w:val="0049206A"/>
    <w:rsid w:val="00495CDE"/>
    <w:rsid w:val="004A31A9"/>
    <w:rsid w:val="004B5739"/>
    <w:rsid w:val="004C0432"/>
    <w:rsid w:val="004D32AC"/>
    <w:rsid w:val="004D4075"/>
    <w:rsid w:val="004D45A5"/>
    <w:rsid w:val="004D5FD6"/>
    <w:rsid w:val="004F0587"/>
    <w:rsid w:val="004F226E"/>
    <w:rsid w:val="004F3EE8"/>
    <w:rsid w:val="004F542E"/>
    <w:rsid w:val="00500A93"/>
    <w:rsid w:val="00500BFE"/>
    <w:rsid w:val="0051279F"/>
    <w:rsid w:val="00512E6C"/>
    <w:rsid w:val="00514507"/>
    <w:rsid w:val="0051794F"/>
    <w:rsid w:val="005208B2"/>
    <w:rsid w:val="00533A25"/>
    <w:rsid w:val="005353F3"/>
    <w:rsid w:val="00536203"/>
    <w:rsid w:val="00565974"/>
    <w:rsid w:val="005705ED"/>
    <w:rsid w:val="00585024"/>
    <w:rsid w:val="00596831"/>
    <w:rsid w:val="005A06BD"/>
    <w:rsid w:val="005A1891"/>
    <w:rsid w:val="005A25C1"/>
    <w:rsid w:val="005D03ED"/>
    <w:rsid w:val="005D2350"/>
    <w:rsid w:val="005D3481"/>
    <w:rsid w:val="005D4F5B"/>
    <w:rsid w:val="005D6061"/>
    <w:rsid w:val="005D7C22"/>
    <w:rsid w:val="005E512E"/>
    <w:rsid w:val="005E6F44"/>
    <w:rsid w:val="005F10A8"/>
    <w:rsid w:val="005F2AB7"/>
    <w:rsid w:val="005F596E"/>
    <w:rsid w:val="00604AF1"/>
    <w:rsid w:val="00610A73"/>
    <w:rsid w:val="00610EDA"/>
    <w:rsid w:val="006163AB"/>
    <w:rsid w:val="006178DC"/>
    <w:rsid w:val="00621F97"/>
    <w:rsid w:val="006267E0"/>
    <w:rsid w:val="00626FDA"/>
    <w:rsid w:val="006368EE"/>
    <w:rsid w:val="00636C12"/>
    <w:rsid w:val="00662ACE"/>
    <w:rsid w:val="0066319C"/>
    <w:rsid w:val="00664904"/>
    <w:rsid w:val="00674E1F"/>
    <w:rsid w:val="0069774E"/>
    <w:rsid w:val="006A2E1B"/>
    <w:rsid w:val="006A71CF"/>
    <w:rsid w:val="006B511B"/>
    <w:rsid w:val="006D3178"/>
    <w:rsid w:val="006F2A97"/>
    <w:rsid w:val="006F7623"/>
    <w:rsid w:val="00704098"/>
    <w:rsid w:val="007056F0"/>
    <w:rsid w:val="00707EE5"/>
    <w:rsid w:val="00716234"/>
    <w:rsid w:val="00720E53"/>
    <w:rsid w:val="007245D2"/>
    <w:rsid w:val="00735508"/>
    <w:rsid w:val="0073594C"/>
    <w:rsid w:val="00737EA5"/>
    <w:rsid w:val="00754A12"/>
    <w:rsid w:val="00763878"/>
    <w:rsid w:val="0077132C"/>
    <w:rsid w:val="00774A90"/>
    <w:rsid w:val="007776D5"/>
    <w:rsid w:val="007828AE"/>
    <w:rsid w:val="00795534"/>
    <w:rsid w:val="0079601A"/>
    <w:rsid w:val="007A0CA8"/>
    <w:rsid w:val="007A127F"/>
    <w:rsid w:val="007B209A"/>
    <w:rsid w:val="007B324E"/>
    <w:rsid w:val="007B7318"/>
    <w:rsid w:val="007B7581"/>
    <w:rsid w:val="007C0828"/>
    <w:rsid w:val="007D1A12"/>
    <w:rsid w:val="007D3892"/>
    <w:rsid w:val="007E34FF"/>
    <w:rsid w:val="007E664C"/>
    <w:rsid w:val="007F4B8D"/>
    <w:rsid w:val="008108FE"/>
    <w:rsid w:val="00811298"/>
    <w:rsid w:val="008245B3"/>
    <w:rsid w:val="00832C77"/>
    <w:rsid w:val="008459B7"/>
    <w:rsid w:val="008467EA"/>
    <w:rsid w:val="008476E2"/>
    <w:rsid w:val="00847F4A"/>
    <w:rsid w:val="008547A4"/>
    <w:rsid w:val="00857C74"/>
    <w:rsid w:val="0086116A"/>
    <w:rsid w:val="00861F90"/>
    <w:rsid w:val="008659DE"/>
    <w:rsid w:val="00882F77"/>
    <w:rsid w:val="00891253"/>
    <w:rsid w:val="0089532E"/>
    <w:rsid w:val="008A5941"/>
    <w:rsid w:val="008B0EA7"/>
    <w:rsid w:val="008B2CBB"/>
    <w:rsid w:val="008B5596"/>
    <w:rsid w:val="008C0574"/>
    <w:rsid w:val="008C4785"/>
    <w:rsid w:val="008C7866"/>
    <w:rsid w:val="008D6578"/>
    <w:rsid w:val="00903B4A"/>
    <w:rsid w:val="009160CB"/>
    <w:rsid w:val="0091753F"/>
    <w:rsid w:val="00924812"/>
    <w:rsid w:val="00931AB1"/>
    <w:rsid w:val="00933D4F"/>
    <w:rsid w:val="009430A7"/>
    <w:rsid w:val="009542E0"/>
    <w:rsid w:val="00954D17"/>
    <w:rsid w:val="00965A15"/>
    <w:rsid w:val="009660B9"/>
    <w:rsid w:val="00966535"/>
    <w:rsid w:val="00974B53"/>
    <w:rsid w:val="00982387"/>
    <w:rsid w:val="00982D25"/>
    <w:rsid w:val="009832B3"/>
    <w:rsid w:val="00993196"/>
    <w:rsid w:val="00994717"/>
    <w:rsid w:val="00996DB6"/>
    <w:rsid w:val="009B4086"/>
    <w:rsid w:val="009C132A"/>
    <w:rsid w:val="009C4E4B"/>
    <w:rsid w:val="009D6233"/>
    <w:rsid w:val="009E641E"/>
    <w:rsid w:val="009E7EB6"/>
    <w:rsid w:val="009F2D3B"/>
    <w:rsid w:val="009F5449"/>
    <w:rsid w:val="009F6F50"/>
    <w:rsid w:val="00A126FB"/>
    <w:rsid w:val="00A16730"/>
    <w:rsid w:val="00A229C7"/>
    <w:rsid w:val="00A25FC8"/>
    <w:rsid w:val="00A27C55"/>
    <w:rsid w:val="00A308FA"/>
    <w:rsid w:val="00A30A3D"/>
    <w:rsid w:val="00A34076"/>
    <w:rsid w:val="00A437E1"/>
    <w:rsid w:val="00A45083"/>
    <w:rsid w:val="00A502DC"/>
    <w:rsid w:val="00A53242"/>
    <w:rsid w:val="00A73794"/>
    <w:rsid w:val="00A76E4F"/>
    <w:rsid w:val="00A8066C"/>
    <w:rsid w:val="00A858C8"/>
    <w:rsid w:val="00A87B05"/>
    <w:rsid w:val="00AB1358"/>
    <w:rsid w:val="00AB3427"/>
    <w:rsid w:val="00AB7C41"/>
    <w:rsid w:val="00AC75A0"/>
    <w:rsid w:val="00AE378F"/>
    <w:rsid w:val="00AE572C"/>
    <w:rsid w:val="00AF6BD8"/>
    <w:rsid w:val="00AF714F"/>
    <w:rsid w:val="00AF7181"/>
    <w:rsid w:val="00B11994"/>
    <w:rsid w:val="00B26299"/>
    <w:rsid w:val="00B30595"/>
    <w:rsid w:val="00B30A23"/>
    <w:rsid w:val="00B32C94"/>
    <w:rsid w:val="00B35FB6"/>
    <w:rsid w:val="00B42486"/>
    <w:rsid w:val="00B43A69"/>
    <w:rsid w:val="00B45766"/>
    <w:rsid w:val="00B552EB"/>
    <w:rsid w:val="00B561EE"/>
    <w:rsid w:val="00B71AE6"/>
    <w:rsid w:val="00B75385"/>
    <w:rsid w:val="00B81539"/>
    <w:rsid w:val="00B841F4"/>
    <w:rsid w:val="00B877E9"/>
    <w:rsid w:val="00B90DFC"/>
    <w:rsid w:val="00B92249"/>
    <w:rsid w:val="00BB2FB1"/>
    <w:rsid w:val="00BB319E"/>
    <w:rsid w:val="00BB66E7"/>
    <w:rsid w:val="00BC76B5"/>
    <w:rsid w:val="00BD70E0"/>
    <w:rsid w:val="00BF66D7"/>
    <w:rsid w:val="00C05387"/>
    <w:rsid w:val="00C20818"/>
    <w:rsid w:val="00C25D01"/>
    <w:rsid w:val="00C35456"/>
    <w:rsid w:val="00C36F78"/>
    <w:rsid w:val="00C44F94"/>
    <w:rsid w:val="00C4652C"/>
    <w:rsid w:val="00C52135"/>
    <w:rsid w:val="00C54B27"/>
    <w:rsid w:val="00C8394C"/>
    <w:rsid w:val="00C9051E"/>
    <w:rsid w:val="00CE4972"/>
    <w:rsid w:val="00CE5FDA"/>
    <w:rsid w:val="00CE6D66"/>
    <w:rsid w:val="00D13F32"/>
    <w:rsid w:val="00D1459F"/>
    <w:rsid w:val="00D14B5D"/>
    <w:rsid w:val="00D1615F"/>
    <w:rsid w:val="00D200FC"/>
    <w:rsid w:val="00D4129D"/>
    <w:rsid w:val="00D421AD"/>
    <w:rsid w:val="00D45B6C"/>
    <w:rsid w:val="00D519F2"/>
    <w:rsid w:val="00D638C1"/>
    <w:rsid w:val="00D657FC"/>
    <w:rsid w:val="00D74B33"/>
    <w:rsid w:val="00D77B02"/>
    <w:rsid w:val="00D9038E"/>
    <w:rsid w:val="00D91E89"/>
    <w:rsid w:val="00D94F89"/>
    <w:rsid w:val="00DA7EA0"/>
    <w:rsid w:val="00DB080D"/>
    <w:rsid w:val="00DB3696"/>
    <w:rsid w:val="00DB56EB"/>
    <w:rsid w:val="00DB602C"/>
    <w:rsid w:val="00DC050D"/>
    <w:rsid w:val="00DE1ED0"/>
    <w:rsid w:val="00DF5664"/>
    <w:rsid w:val="00DF6CE5"/>
    <w:rsid w:val="00E128FF"/>
    <w:rsid w:val="00E16D29"/>
    <w:rsid w:val="00E17425"/>
    <w:rsid w:val="00E24884"/>
    <w:rsid w:val="00E34474"/>
    <w:rsid w:val="00E406C6"/>
    <w:rsid w:val="00E40D0F"/>
    <w:rsid w:val="00E41347"/>
    <w:rsid w:val="00E50FF7"/>
    <w:rsid w:val="00E53F4D"/>
    <w:rsid w:val="00E66BEB"/>
    <w:rsid w:val="00E7342A"/>
    <w:rsid w:val="00E772DD"/>
    <w:rsid w:val="00E94C87"/>
    <w:rsid w:val="00E965D1"/>
    <w:rsid w:val="00E97276"/>
    <w:rsid w:val="00EA38F8"/>
    <w:rsid w:val="00EA6951"/>
    <w:rsid w:val="00EB5D6D"/>
    <w:rsid w:val="00EC661E"/>
    <w:rsid w:val="00ED2535"/>
    <w:rsid w:val="00ED3AE5"/>
    <w:rsid w:val="00EE101E"/>
    <w:rsid w:val="00EE167F"/>
    <w:rsid w:val="00EE2288"/>
    <w:rsid w:val="00EE2C70"/>
    <w:rsid w:val="00EE3833"/>
    <w:rsid w:val="00EE4A74"/>
    <w:rsid w:val="00EE7032"/>
    <w:rsid w:val="00F05810"/>
    <w:rsid w:val="00F05B31"/>
    <w:rsid w:val="00F263CC"/>
    <w:rsid w:val="00F355BD"/>
    <w:rsid w:val="00F35FE4"/>
    <w:rsid w:val="00F60EBD"/>
    <w:rsid w:val="00F77332"/>
    <w:rsid w:val="00F80E3A"/>
    <w:rsid w:val="00F86B91"/>
    <w:rsid w:val="00F91593"/>
    <w:rsid w:val="00FA2A43"/>
    <w:rsid w:val="00FB1085"/>
    <w:rsid w:val="00FB1624"/>
    <w:rsid w:val="00FC1595"/>
    <w:rsid w:val="00FC74BF"/>
    <w:rsid w:val="00FD0688"/>
  </w:rsids>
  <m:mathPr>
    <m:mathFont m:val="Cambria Math"/>
    <m:brkBin m:val="before"/>
    <m:brkBinSub m:val="--"/>
    <m:smallFrac m:val="0"/>
    <m:dispDef/>
    <m:lMargin m:val="0"/>
    <m:rMargin m:val="0"/>
    <m:defJc m:val="centerGroup"/>
    <m:wrapIndent m:val="1440"/>
    <m:intLim m:val="subSup"/>
    <m:naryLim m:val="undOvr"/>
  </m:mathPr>
  <w:themeFontLang w:val="fr-D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50660"/>
  <w15:chartTrackingRefBased/>
  <w15:docId w15:val="{10E757D7-114C-8343-9FEF-4B81DE9E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D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024"/>
    <w:rPr>
      <w:rFonts w:ascii="Times New Roman" w:eastAsia="Times New Roman" w:hAnsi="Times New Roman" w:cs="Times New Roman"/>
      <w:kern w:val="0"/>
      <w14:ligatures w14:val="none"/>
    </w:rPr>
  </w:style>
  <w:style w:type="paragraph" w:styleId="Titre1">
    <w:name w:val="heading 1"/>
    <w:basedOn w:val="Normal"/>
    <w:next w:val="Normal"/>
    <w:link w:val="Titre1Car"/>
    <w:uiPriority w:val="9"/>
    <w:qFormat/>
    <w:rsid w:val="00E772DD"/>
    <w:pPr>
      <w:keepNext/>
      <w:keepLines/>
      <w:spacing w:before="240"/>
      <w:outlineLvl w:val="0"/>
    </w:pPr>
    <w:rPr>
      <w:rFonts w:asciiTheme="majorHAnsi" w:eastAsiaTheme="majorEastAsia" w:hAnsiTheme="majorHAnsi" w:cstheme="majorBidi"/>
      <w:color w:val="2F5496" w:themeColor="accent1" w:themeShade="BF"/>
      <w:sz w:val="32"/>
      <w:szCs w:val="32"/>
      <w:lang w:val="en-GB" w:eastAsia="en-GB"/>
    </w:rPr>
  </w:style>
  <w:style w:type="paragraph" w:styleId="Titre2">
    <w:name w:val="heading 2"/>
    <w:basedOn w:val="Normal"/>
    <w:next w:val="Normal"/>
    <w:link w:val="Titre2Car"/>
    <w:uiPriority w:val="9"/>
    <w:unhideWhenUsed/>
    <w:qFormat/>
    <w:rsid w:val="00737E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D519F2"/>
    <w:pPr>
      <w:spacing w:before="100" w:beforeAutospacing="1" w:after="100" w:afterAutospacing="1"/>
      <w:outlineLvl w:val="2"/>
    </w:pPr>
    <w:rPr>
      <w:b/>
      <w:bCs/>
      <w:sz w:val="27"/>
      <w:szCs w:val="27"/>
    </w:rPr>
  </w:style>
  <w:style w:type="paragraph" w:styleId="Titre4">
    <w:name w:val="heading 4"/>
    <w:basedOn w:val="Normal"/>
    <w:next w:val="Normal"/>
    <w:link w:val="Titre4Car"/>
    <w:uiPriority w:val="9"/>
    <w:unhideWhenUsed/>
    <w:qFormat/>
    <w:rsid w:val="00A45083"/>
    <w:pPr>
      <w:keepNext/>
      <w:keepLines/>
      <w:spacing w:before="40"/>
      <w:outlineLvl w:val="3"/>
    </w:pPr>
    <w:rPr>
      <w:rFonts w:asciiTheme="majorHAnsi" w:eastAsiaTheme="majorEastAsia" w:hAnsiTheme="majorHAnsi" w:cstheme="majorBidi"/>
      <w:i/>
      <w:iCs/>
      <w:color w:val="2F5496" w:themeColor="accent1" w:themeShade="BF"/>
      <w:lang w:val="en-GB" w:eastAsia="en-GB"/>
    </w:rPr>
  </w:style>
  <w:style w:type="paragraph" w:styleId="Titre5">
    <w:name w:val="heading 5"/>
    <w:basedOn w:val="Normal"/>
    <w:next w:val="Normal"/>
    <w:link w:val="Titre5Car"/>
    <w:uiPriority w:val="9"/>
    <w:semiHidden/>
    <w:unhideWhenUsed/>
    <w:qFormat/>
    <w:rsid w:val="00E772DD"/>
    <w:pPr>
      <w:keepNext/>
      <w:keepLines/>
      <w:spacing w:before="40"/>
      <w:outlineLvl w:val="4"/>
    </w:pPr>
    <w:rPr>
      <w:rFonts w:asciiTheme="majorHAnsi" w:eastAsiaTheme="majorEastAsia" w:hAnsiTheme="majorHAnsi" w:cstheme="majorBidi"/>
      <w:color w:val="2F5496" w:themeColor="accent1" w:themeShade="BF"/>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1">
    <w:name w:val="p1"/>
    <w:basedOn w:val="Normal"/>
    <w:rsid w:val="00B75385"/>
    <w:rPr>
      <w:color w:val="000000"/>
      <w:sz w:val="72"/>
      <w:szCs w:val="72"/>
    </w:rPr>
  </w:style>
  <w:style w:type="character" w:customStyle="1" w:styleId="Titre3Car">
    <w:name w:val="Titre 3 Car"/>
    <w:basedOn w:val="Policepardfaut"/>
    <w:link w:val="Titre3"/>
    <w:uiPriority w:val="9"/>
    <w:rsid w:val="00D519F2"/>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D519F2"/>
    <w:pPr>
      <w:spacing w:before="100" w:beforeAutospacing="1" w:after="100" w:afterAutospacing="1"/>
    </w:pPr>
  </w:style>
  <w:style w:type="character" w:styleId="Accentuation">
    <w:name w:val="Emphasis"/>
    <w:basedOn w:val="Policepardfaut"/>
    <w:uiPriority w:val="20"/>
    <w:qFormat/>
    <w:rsid w:val="00D519F2"/>
    <w:rPr>
      <w:i/>
      <w:iCs/>
    </w:rPr>
  </w:style>
  <w:style w:type="character" w:customStyle="1" w:styleId="relative">
    <w:name w:val="relative"/>
    <w:basedOn w:val="Policepardfaut"/>
    <w:rsid w:val="00D519F2"/>
  </w:style>
  <w:style w:type="character" w:customStyle="1" w:styleId="ms-1">
    <w:name w:val="ms-1"/>
    <w:basedOn w:val="Policepardfaut"/>
    <w:rsid w:val="00D519F2"/>
  </w:style>
  <w:style w:type="character" w:customStyle="1" w:styleId="max-w-full">
    <w:name w:val="max-w-full"/>
    <w:basedOn w:val="Policepardfaut"/>
    <w:rsid w:val="00D519F2"/>
  </w:style>
  <w:style w:type="character" w:customStyle="1" w:styleId="-me-1">
    <w:name w:val="-me-1"/>
    <w:basedOn w:val="Policepardfaut"/>
    <w:rsid w:val="00D519F2"/>
  </w:style>
  <w:style w:type="character" w:styleId="lev">
    <w:name w:val="Strong"/>
    <w:basedOn w:val="Policepardfaut"/>
    <w:uiPriority w:val="22"/>
    <w:qFormat/>
    <w:rsid w:val="00D519F2"/>
    <w:rPr>
      <w:b/>
      <w:bCs/>
    </w:rPr>
  </w:style>
  <w:style w:type="character" w:styleId="Lienhypertexte">
    <w:name w:val="Hyperlink"/>
    <w:basedOn w:val="Policepardfaut"/>
    <w:uiPriority w:val="99"/>
    <w:unhideWhenUsed/>
    <w:rsid w:val="00D519F2"/>
    <w:rPr>
      <w:color w:val="0563C1" w:themeColor="hyperlink"/>
      <w:u w:val="single"/>
    </w:rPr>
  </w:style>
  <w:style w:type="character" w:styleId="Mentionnonrsolue">
    <w:name w:val="Unresolved Mention"/>
    <w:basedOn w:val="Policepardfaut"/>
    <w:uiPriority w:val="99"/>
    <w:semiHidden/>
    <w:unhideWhenUsed/>
    <w:rsid w:val="00D519F2"/>
    <w:rPr>
      <w:color w:val="605E5C"/>
      <w:shd w:val="clear" w:color="auto" w:fill="E1DFDD"/>
    </w:rPr>
  </w:style>
  <w:style w:type="paragraph" w:styleId="Notedebasdepage">
    <w:name w:val="footnote text"/>
    <w:basedOn w:val="Normal"/>
    <w:link w:val="NotedebasdepageCar"/>
    <w:uiPriority w:val="99"/>
    <w:semiHidden/>
    <w:unhideWhenUsed/>
    <w:rsid w:val="008B5596"/>
    <w:rPr>
      <w:sz w:val="20"/>
      <w:szCs w:val="20"/>
    </w:rPr>
  </w:style>
  <w:style w:type="character" w:customStyle="1" w:styleId="NotedebasdepageCar">
    <w:name w:val="Note de bas de page Car"/>
    <w:basedOn w:val="Policepardfaut"/>
    <w:link w:val="Notedebasdepage"/>
    <w:uiPriority w:val="99"/>
    <w:semiHidden/>
    <w:rsid w:val="008B5596"/>
    <w:rPr>
      <w:sz w:val="20"/>
      <w:szCs w:val="20"/>
    </w:rPr>
  </w:style>
  <w:style w:type="character" w:styleId="Appelnotedebasdep">
    <w:name w:val="footnote reference"/>
    <w:basedOn w:val="Policepardfaut"/>
    <w:uiPriority w:val="99"/>
    <w:semiHidden/>
    <w:unhideWhenUsed/>
    <w:rsid w:val="005A1891"/>
    <w:rPr>
      <w:rFonts w:asciiTheme="majorBidi" w:hAnsiTheme="majorBidi"/>
      <w:sz w:val="20"/>
      <w:vertAlign w:val="superscript"/>
    </w:rPr>
  </w:style>
  <w:style w:type="character" w:customStyle="1" w:styleId="apple-converted-space">
    <w:name w:val="apple-converted-space"/>
    <w:basedOn w:val="Policepardfaut"/>
    <w:rsid w:val="00C44F94"/>
  </w:style>
  <w:style w:type="character" w:customStyle="1" w:styleId="Titre2Car">
    <w:name w:val="Titre 2 Car"/>
    <w:basedOn w:val="Policepardfaut"/>
    <w:link w:val="Titre2"/>
    <w:uiPriority w:val="9"/>
    <w:rsid w:val="00737EA5"/>
    <w:rPr>
      <w:rFonts w:asciiTheme="majorHAnsi" w:eastAsiaTheme="majorEastAsia" w:hAnsiTheme="majorHAnsi" w:cstheme="majorBidi"/>
      <w:color w:val="2F5496" w:themeColor="accent1" w:themeShade="BF"/>
      <w:sz w:val="26"/>
      <w:szCs w:val="26"/>
    </w:rPr>
  </w:style>
  <w:style w:type="character" w:styleId="Lienhypertextesuivivisit">
    <w:name w:val="FollowedHyperlink"/>
    <w:basedOn w:val="Policepardfaut"/>
    <w:uiPriority w:val="99"/>
    <w:semiHidden/>
    <w:unhideWhenUsed/>
    <w:rsid w:val="00A502DC"/>
    <w:rPr>
      <w:color w:val="954F72" w:themeColor="followedHyperlink"/>
      <w:u w:val="single"/>
    </w:rPr>
  </w:style>
  <w:style w:type="character" w:customStyle="1" w:styleId="Titre4Car">
    <w:name w:val="Titre 4 Car"/>
    <w:basedOn w:val="Policepardfaut"/>
    <w:link w:val="Titre4"/>
    <w:uiPriority w:val="9"/>
    <w:rsid w:val="00A45083"/>
    <w:rPr>
      <w:rFonts w:asciiTheme="majorHAnsi" w:eastAsiaTheme="majorEastAsia" w:hAnsiTheme="majorHAnsi" w:cstheme="majorBidi"/>
      <w:i/>
      <w:iCs/>
      <w:color w:val="2F5496" w:themeColor="accent1" w:themeShade="BF"/>
      <w:kern w:val="0"/>
      <w:lang w:val="en-GB" w:eastAsia="en-GB"/>
      <w14:ligatures w14:val="none"/>
    </w:rPr>
  </w:style>
  <w:style w:type="paragraph" w:styleId="Corpsdetexte">
    <w:name w:val="Body Text"/>
    <w:basedOn w:val="Normal"/>
    <w:link w:val="CorpsdetexteCar"/>
    <w:qFormat/>
    <w:rsid w:val="00A34076"/>
    <w:pPr>
      <w:spacing w:before="180" w:after="180"/>
    </w:pPr>
    <w:rPr>
      <w:lang w:val="en-US"/>
    </w:rPr>
  </w:style>
  <w:style w:type="character" w:customStyle="1" w:styleId="CorpsdetexteCar">
    <w:name w:val="Corps de texte Car"/>
    <w:basedOn w:val="Policepardfaut"/>
    <w:link w:val="Corpsdetexte"/>
    <w:rsid w:val="00A34076"/>
    <w:rPr>
      <w:kern w:val="0"/>
      <w:lang w:val="en-US"/>
      <w14:ligatures w14:val="none"/>
    </w:rPr>
  </w:style>
  <w:style w:type="table" w:styleId="Grilledutableau">
    <w:name w:val="Table Grid"/>
    <w:basedOn w:val="TableauNormal"/>
    <w:uiPriority w:val="39"/>
    <w:rsid w:val="00037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7E34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AE572C"/>
    <w:pPr>
      <w:ind w:left="720"/>
      <w:contextualSpacing/>
    </w:pPr>
    <w:rPr>
      <w:rFonts w:asciiTheme="minorHAnsi" w:eastAsiaTheme="minorHAnsi" w:hAnsiTheme="minorHAnsi" w:cstheme="minorBidi"/>
      <w:kern w:val="2"/>
      <w14:ligatures w14:val="standardContextual"/>
    </w:rPr>
  </w:style>
  <w:style w:type="character" w:customStyle="1" w:styleId="Titre1Car">
    <w:name w:val="Titre 1 Car"/>
    <w:basedOn w:val="Policepardfaut"/>
    <w:link w:val="Titre1"/>
    <w:uiPriority w:val="9"/>
    <w:rsid w:val="00E772DD"/>
    <w:rPr>
      <w:rFonts w:asciiTheme="majorHAnsi" w:eastAsiaTheme="majorEastAsia" w:hAnsiTheme="majorHAnsi" w:cstheme="majorBidi"/>
      <w:color w:val="2F5496" w:themeColor="accent1" w:themeShade="BF"/>
      <w:kern w:val="0"/>
      <w:sz w:val="32"/>
      <w:szCs w:val="32"/>
      <w:lang w:val="en-GB" w:eastAsia="en-GB"/>
      <w14:ligatures w14:val="none"/>
    </w:rPr>
  </w:style>
  <w:style w:type="character" w:customStyle="1" w:styleId="Titre5Car">
    <w:name w:val="Titre 5 Car"/>
    <w:basedOn w:val="Policepardfaut"/>
    <w:link w:val="Titre5"/>
    <w:uiPriority w:val="9"/>
    <w:semiHidden/>
    <w:rsid w:val="00E772DD"/>
    <w:rPr>
      <w:rFonts w:asciiTheme="majorHAnsi" w:eastAsiaTheme="majorEastAsia" w:hAnsiTheme="majorHAnsi" w:cstheme="majorBidi"/>
      <w:color w:val="2F5496" w:themeColor="accent1" w:themeShade="BF"/>
      <w:kern w:val="0"/>
      <w:lang w:val="en-GB" w:eastAsia="en-GB"/>
      <w14:ligatures w14:val="none"/>
    </w:rPr>
  </w:style>
  <w:style w:type="numbering" w:customStyle="1" w:styleId="CurrentList1">
    <w:name w:val="Current List1"/>
    <w:uiPriority w:val="99"/>
    <w:rsid w:val="00E772DD"/>
    <w:pPr>
      <w:numPr>
        <w:numId w:val="5"/>
      </w:numPr>
    </w:pPr>
  </w:style>
  <w:style w:type="paragraph" w:styleId="En-tte">
    <w:name w:val="header"/>
    <w:basedOn w:val="Normal"/>
    <w:link w:val="En-tteCar"/>
    <w:uiPriority w:val="99"/>
    <w:unhideWhenUsed/>
    <w:rsid w:val="00E772DD"/>
    <w:pPr>
      <w:tabs>
        <w:tab w:val="center" w:pos="4680"/>
        <w:tab w:val="right" w:pos="9360"/>
      </w:tabs>
    </w:pPr>
    <w:rPr>
      <w:lang w:val="en-GB" w:eastAsia="en-GB"/>
    </w:rPr>
  </w:style>
  <w:style w:type="character" w:customStyle="1" w:styleId="En-tteCar">
    <w:name w:val="En-tête Car"/>
    <w:basedOn w:val="Policepardfaut"/>
    <w:link w:val="En-tte"/>
    <w:uiPriority w:val="99"/>
    <w:rsid w:val="00E772DD"/>
    <w:rPr>
      <w:rFonts w:ascii="Times New Roman" w:eastAsia="Times New Roman" w:hAnsi="Times New Roman" w:cs="Times New Roman"/>
      <w:kern w:val="0"/>
      <w:lang w:val="en-GB" w:eastAsia="en-GB"/>
      <w14:ligatures w14:val="none"/>
    </w:rPr>
  </w:style>
  <w:style w:type="paragraph" w:styleId="Pieddepage">
    <w:name w:val="footer"/>
    <w:basedOn w:val="Normal"/>
    <w:link w:val="PieddepageCar"/>
    <w:uiPriority w:val="99"/>
    <w:unhideWhenUsed/>
    <w:rsid w:val="00E772DD"/>
    <w:pPr>
      <w:tabs>
        <w:tab w:val="center" w:pos="4680"/>
        <w:tab w:val="right" w:pos="9360"/>
      </w:tabs>
    </w:pPr>
    <w:rPr>
      <w:lang w:val="en-GB" w:eastAsia="en-GB"/>
    </w:rPr>
  </w:style>
  <w:style w:type="character" w:customStyle="1" w:styleId="PieddepageCar">
    <w:name w:val="Pied de page Car"/>
    <w:basedOn w:val="Policepardfaut"/>
    <w:link w:val="Pieddepage"/>
    <w:uiPriority w:val="99"/>
    <w:rsid w:val="00E772DD"/>
    <w:rPr>
      <w:rFonts w:ascii="Times New Roman" w:eastAsia="Times New Roman" w:hAnsi="Times New Roman" w:cs="Times New Roman"/>
      <w:kern w:val="0"/>
      <w:lang w:val="en-GB" w:eastAsia="en-GB"/>
      <w14:ligatures w14:val="none"/>
    </w:rPr>
  </w:style>
  <w:style w:type="character" w:customStyle="1" w:styleId="overflow-hidden">
    <w:name w:val="overflow-hidden"/>
    <w:basedOn w:val="Policepardfaut"/>
    <w:rsid w:val="00E772DD"/>
  </w:style>
  <w:style w:type="table" w:styleId="TableauGrille1Clair-Accentuation1">
    <w:name w:val="Grid Table 1 Light Accent 1"/>
    <w:basedOn w:val="TableauNormal"/>
    <w:uiPriority w:val="46"/>
    <w:rsid w:val="00E772DD"/>
    <w:rPr>
      <w:lang w:val="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E772DD"/>
    <w:rPr>
      <w:lang w:val="en-GB"/>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numbering" w:styleId="111111">
    <w:name w:val="Outline List 2"/>
    <w:basedOn w:val="Aucuneliste"/>
    <w:uiPriority w:val="99"/>
    <w:semiHidden/>
    <w:unhideWhenUsed/>
    <w:rsid w:val="00E772DD"/>
    <w:pPr>
      <w:numPr>
        <w:numId w:val="17"/>
      </w:numPr>
    </w:pPr>
  </w:style>
  <w:style w:type="table" w:styleId="TableauGrille1Clair">
    <w:name w:val="Grid Table 1 Light"/>
    <w:basedOn w:val="TableauNormal"/>
    <w:uiPriority w:val="46"/>
    <w:rsid w:val="00E772DD"/>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inline-block">
    <w:name w:val="inline-block"/>
    <w:basedOn w:val="Normal"/>
    <w:rsid w:val="00E772DD"/>
    <w:pPr>
      <w:spacing w:before="100" w:beforeAutospacing="1" w:after="100" w:afterAutospacing="1"/>
    </w:pPr>
    <w:rPr>
      <w:lang w:val="en-GB" w:eastAsia="en-GB"/>
    </w:rPr>
  </w:style>
  <w:style w:type="character" w:customStyle="1" w:styleId="font-normal">
    <w:name w:val="font-normal"/>
    <w:basedOn w:val="Policepardfaut"/>
    <w:rsid w:val="00E772DD"/>
  </w:style>
  <w:style w:type="character" w:customStyle="1" w:styleId="cursor-not-allowed">
    <w:name w:val="cursor-not-allowed"/>
    <w:basedOn w:val="Policepardfaut"/>
    <w:rsid w:val="00E772DD"/>
  </w:style>
  <w:style w:type="character" w:customStyle="1" w:styleId="s1">
    <w:name w:val="s1"/>
    <w:basedOn w:val="Policepardfaut"/>
    <w:rsid w:val="00E772DD"/>
    <w:rPr>
      <w:rFonts w:ascii="Arial" w:hAnsi="Arial" w:cs="Arial" w:hint="default"/>
      <w:sz w:val="18"/>
      <w:szCs w:val="18"/>
    </w:rPr>
  </w:style>
  <w:style w:type="character" w:customStyle="1" w:styleId="s2">
    <w:name w:val="s2"/>
    <w:basedOn w:val="Policepardfaut"/>
    <w:rsid w:val="00E772DD"/>
    <w:rPr>
      <w:rFonts w:ascii="Times New Roman" w:hAnsi="Times New Roman" w:cs="Times New Roman" w:hint="default"/>
      <w:sz w:val="12"/>
      <w:szCs w:val="12"/>
    </w:rPr>
  </w:style>
  <w:style w:type="paragraph" w:customStyle="1" w:styleId="FirstParagraph">
    <w:name w:val="First Paragraph"/>
    <w:basedOn w:val="Corpsdetexte"/>
    <w:next w:val="Corpsdetexte"/>
    <w:qFormat/>
    <w:rsid w:val="00E772DD"/>
    <w:rPr>
      <w:rFonts w:asciiTheme="minorHAnsi" w:eastAsiaTheme="minorHAnsi" w:hAnsiTheme="minorHAnsi" w:cstheme="minorBidi"/>
    </w:rPr>
  </w:style>
  <w:style w:type="paragraph" w:customStyle="1" w:styleId="Compact">
    <w:name w:val="Compact"/>
    <w:basedOn w:val="Corpsdetexte"/>
    <w:qFormat/>
    <w:rsid w:val="00E772DD"/>
    <w:pPr>
      <w:spacing w:before="36" w:after="36"/>
    </w:pPr>
    <w:rPr>
      <w:rFonts w:asciiTheme="minorHAnsi" w:eastAsiaTheme="minorHAnsi" w:hAnsiTheme="minorHAnsi" w:cstheme="minorBidi"/>
    </w:rPr>
  </w:style>
  <w:style w:type="table" w:customStyle="1" w:styleId="Table">
    <w:name w:val="Table"/>
    <w:semiHidden/>
    <w:unhideWhenUsed/>
    <w:qFormat/>
    <w:rsid w:val="00E772DD"/>
    <w:pPr>
      <w:spacing w:after="200"/>
    </w:pPr>
    <w:rPr>
      <w:kern w:val="0"/>
      <w:lang w:val="en-US"/>
      <w14:ligatures w14:val="none"/>
    </w:rPr>
    <w:tblPr>
      <w:tblInd w:w="0" w:type="dxa"/>
      <w:tblCellMar>
        <w:top w:w="0" w:type="dxa"/>
        <w:left w:w="108" w:type="dxa"/>
        <w:bottom w:w="0" w:type="dxa"/>
        <w:right w:w="108" w:type="dxa"/>
      </w:tblCellMar>
    </w:tblPr>
  </w:style>
  <w:style w:type="character" w:customStyle="1" w:styleId="VerbatimChar">
    <w:name w:val="Verbatim Char"/>
    <w:basedOn w:val="Policepardfaut"/>
    <w:link w:val="SourceCode"/>
    <w:rsid w:val="00E772DD"/>
    <w:rPr>
      <w:rFonts w:ascii="Consolas" w:hAnsi="Consolas"/>
      <w:sz w:val="22"/>
    </w:rPr>
  </w:style>
  <w:style w:type="paragraph" w:customStyle="1" w:styleId="SourceCode">
    <w:name w:val="Source Code"/>
    <w:basedOn w:val="Normal"/>
    <w:link w:val="VerbatimChar"/>
    <w:rsid w:val="00E772DD"/>
    <w:pPr>
      <w:wordWrap w:val="0"/>
      <w:spacing w:after="200"/>
    </w:pPr>
    <w:rPr>
      <w:rFonts w:ascii="Consolas" w:eastAsiaTheme="minorHAnsi" w:hAnsi="Consolas" w:cstheme="minorBidi"/>
      <w:kern w:val="2"/>
      <w:sz w:val="22"/>
      <w14:ligatures w14:val="standardContextual"/>
    </w:rPr>
  </w:style>
  <w:style w:type="character" w:customStyle="1" w:styleId="katex-mathml">
    <w:name w:val="katex-mathml"/>
    <w:basedOn w:val="Policepardfaut"/>
    <w:rsid w:val="00E772DD"/>
  </w:style>
  <w:style w:type="character" w:customStyle="1" w:styleId="mord">
    <w:name w:val="mord"/>
    <w:basedOn w:val="Policepardfaut"/>
    <w:rsid w:val="00E772DD"/>
  </w:style>
  <w:style w:type="paragraph" w:customStyle="1" w:styleId="p2">
    <w:name w:val="p2"/>
    <w:basedOn w:val="Normal"/>
    <w:rsid w:val="00E772DD"/>
    <w:rPr>
      <w:color w:val="000000"/>
      <w:sz w:val="18"/>
      <w:szCs w:val="18"/>
      <w:lang w:eastAsia="fr-FR"/>
    </w:rPr>
  </w:style>
  <w:style w:type="character" w:customStyle="1" w:styleId="s3">
    <w:name w:val="s3"/>
    <w:basedOn w:val="Policepardfaut"/>
    <w:rsid w:val="00E772DD"/>
    <w:rPr>
      <w:rFonts w:ascii="Times New Roman" w:hAnsi="Times New Roman" w:cs="Times New Roman" w:hint="default"/>
      <w:color w:val="010206"/>
      <w:sz w:val="12"/>
      <w:szCs w:val="12"/>
    </w:rPr>
  </w:style>
  <w:style w:type="character" w:customStyle="1" w:styleId="s4">
    <w:name w:val="s4"/>
    <w:basedOn w:val="Policepardfaut"/>
    <w:rsid w:val="00E772DD"/>
    <w:rPr>
      <w:rFonts w:ascii="Arial" w:hAnsi="Arial" w:cs="Arial" w:hint="default"/>
      <w:sz w:val="18"/>
      <w:szCs w:val="18"/>
    </w:rPr>
  </w:style>
  <w:style w:type="character" w:styleId="Textedelespacerserv">
    <w:name w:val="Placeholder Text"/>
    <w:basedOn w:val="Policepardfaut"/>
    <w:uiPriority w:val="99"/>
    <w:semiHidden/>
    <w:rsid w:val="00E772DD"/>
    <w:rPr>
      <w:color w:val="666666"/>
    </w:rPr>
  </w:style>
  <w:style w:type="character" w:customStyle="1" w:styleId="mrel">
    <w:name w:val="mrel"/>
    <w:basedOn w:val="Policepardfaut"/>
    <w:rsid w:val="00E772DD"/>
  </w:style>
  <w:style w:type="character" w:customStyle="1" w:styleId="mbin">
    <w:name w:val="mbin"/>
    <w:basedOn w:val="Policepardfaut"/>
    <w:rsid w:val="00E772DD"/>
  </w:style>
  <w:style w:type="character" w:customStyle="1" w:styleId="vlist-s">
    <w:name w:val="vlist-s"/>
    <w:basedOn w:val="Policepardfaut"/>
    <w:rsid w:val="00E772DD"/>
  </w:style>
  <w:style w:type="paragraph" w:styleId="PrformatHTML">
    <w:name w:val="HTML Preformatted"/>
    <w:basedOn w:val="Normal"/>
    <w:link w:val="PrformatHTMLCar"/>
    <w:uiPriority w:val="99"/>
    <w:unhideWhenUsed/>
    <w:rsid w:val="00E77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fr-FR"/>
    </w:rPr>
  </w:style>
  <w:style w:type="character" w:customStyle="1" w:styleId="PrformatHTMLCar">
    <w:name w:val="Préformaté HTML Car"/>
    <w:basedOn w:val="Policepardfaut"/>
    <w:link w:val="PrformatHTML"/>
    <w:uiPriority w:val="99"/>
    <w:rsid w:val="00E772DD"/>
    <w:rPr>
      <w:rFonts w:ascii="Courier New" w:eastAsia="Times New Roman" w:hAnsi="Courier New" w:cs="Courier New"/>
      <w:kern w:val="0"/>
      <w:sz w:val="20"/>
      <w:szCs w:val="20"/>
      <w:lang w:eastAsia="fr-FR"/>
      <w14:ligatures w14:val="none"/>
    </w:rPr>
  </w:style>
  <w:style w:type="character" w:styleId="CodeHTML">
    <w:name w:val="HTML Code"/>
    <w:basedOn w:val="Policepardfaut"/>
    <w:uiPriority w:val="99"/>
    <w:semiHidden/>
    <w:unhideWhenUsed/>
    <w:rsid w:val="00E772DD"/>
    <w:rPr>
      <w:rFonts w:ascii="Courier New" w:eastAsia="Times New Roman" w:hAnsi="Courier New" w:cs="Courier New"/>
      <w:sz w:val="20"/>
      <w:szCs w:val="20"/>
    </w:rPr>
  </w:style>
  <w:style w:type="table" w:styleId="Tableausimple1">
    <w:name w:val="Plain Table 1"/>
    <w:basedOn w:val="TableauNormal"/>
    <w:uiPriority w:val="41"/>
    <w:rsid w:val="00E772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gende">
    <w:name w:val="caption"/>
    <w:basedOn w:val="Normal"/>
    <w:next w:val="Normal"/>
    <w:uiPriority w:val="35"/>
    <w:unhideWhenUsed/>
    <w:qFormat/>
    <w:rsid w:val="00662ACE"/>
    <w:pPr>
      <w:spacing w:after="200"/>
    </w:pPr>
    <w:rPr>
      <w:i/>
      <w:iCs/>
      <w:color w:val="44546A" w:themeColor="text2"/>
      <w:sz w:val="18"/>
      <w:szCs w:val="18"/>
    </w:rPr>
  </w:style>
  <w:style w:type="character" w:styleId="Numrodepage">
    <w:name w:val="page number"/>
    <w:basedOn w:val="Policepardfaut"/>
    <w:uiPriority w:val="99"/>
    <w:semiHidden/>
    <w:unhideWhenUsed/>
    <w:rsid w:val="00674E1F"/>
  </w:style>
  <w:style w:type="paragraph" w:styleId="En-ttedetabledesmatires">
    <w:name w:val="TOC Heading"/>
    <w:basedOn w:val="Titre1"/>
    <w:next w:val="Normal"/>
    <w:uiPriority w:val="39"/>
    <w:unhideWhenUsed/>
    <w:qFormat/>
    <w:rsid w:val="00465127"/>
    <w:pPr>
      <w:spacing w:before="480" w:line="276" w:lineRule="auto"/>
      <w:outlineLvl w:val="9"/>
    </w:pPr>
    <w:rPr>
      <w:b/>
      <w:bCs/>
      <w:sz w:val="28"/>
      <w:szCs w:val="28"/>
      <w:lang w:eastAsia="fr-FR"/>
    </w:rPr>
  </w:style>
  <w:style w:type="paragraph" w:styleId="TM3">
    <w:name w:val="toc 3"/>
    <w:basedOn w:val="Normal"/>
    <w:next w:val="Normal"/>
    <w:autoRedefine/>
    <w:uiPriority w:val="39"/>
    <w:unhideWhenUsed/>
    <w:rsid w:val="00B26299"/>
    <w:pPr>
      <w:tabs>
        <w:tab w:val="left" w:pos="960"/>
        <w:tab w:val="right" w:leader="dot" w:pos="9010"/>
      </w:tabs>
      <w:spacing w:line="360" w:lineRule="auto"/>
    </w:pPr>
    <w:rPr>
      <w:rFonts w:asciiTheme="majorBidi" w:hAnsiTheme="majorBidi" w:cstheme="majorBidi"/>
      <w:noProof/>
      <w:lang w:val="fr-FR"/>
    </w:rPr>
  </w:style>
  <w:style w:type="paragraph" w:styleId="TM2">
    <w:name w:val="toc 2"/>
    <w:basedOn w:val="Normal"/>
    <w:next w:val="Normal"/>
    <w:autoRedefine/>
    <w:uiPriority w:val="39"/>
    <w:unhideWhenUsed/>
    <w:rsid w:val="00465127"/>
    <w:pPr>
      <w:spacing w:before="120"/>
      <w:ind w:left="240"/>
    </w:pPr>
    <w:rPr>
      <w:rFonts w:asciiTheme="minorHAnsi" w:hAnsiTheme="minorHAnsi" w:cstheme="minorHAnsi"/>
      <w:b/>
      <w:bCs/>
      <w:sz w:val="22"/>
      <w:szCs w:val="26"/>
    </w:rPr>
  </w:style>
  <w:style w:type="paragraph" w:styleId="TM1">
    <w:name w:val="toc 1"/>
    <w:basedOn w:val="Normal"/>
    <w:next w:val="Normal"/>
    <w:autoRedefine/>
    <w:uiPriority w:val="39"/>
    <w:unhideWhenUsed/>
    <w:rsid w:val="00C20818"/>
    <w:pPr>
      <w:spacing w:before="120"/>
    </w:pPr>
    <w:rPr>
      <w:rFonts w:asciiTheme="minorHAnsi" w:hAnsiTheme="minorHAnsi" w:cstheme="minorHAnsi"/>
      <w:b/>
      <w:bCs/>
      <w:i/>
      <w:iCs/>
      <w:szCs w:val="28"/>
    </w:rPr>
  </w:style>
  <w:style w:type="paragraph" w:styleId="TM4">
    <w:name w:val="toc 4"/>
    <w:basedOn w:val="Normal"/>
    <w:next w:val="Normal"/>
    <w:autoRedefine/>
    <w:uiPriority w:val="39"/>
    <w:unhideWhenUsed/>
    <w:rsid w:val="00465127"/>
    <w:pPr>
      <w:ind w:left="720"/>
    </w:pPr>
    <w:rPr>
      <w:rFonts w:asciiTheme="minorHAnsi" w:hAnsiTheme="minorHAnsi" w:cstheme="minorHAnsi"/>
      <w:sz w:val="20"/>
    </w:rPr>
  </w:style>
  <w:style w:type="paragraph" w:styleId="TM5">
    <w:name w:val="toc 5"/>
    <w:basedOn w:val="Normal"/>
    <w:next w:val="Normal"/>
    <w:autoRedefine/>
    <w:uiPriority w:val="39"/>
    <w:unhideWhenUsed/>
    <w:rsid w:val="00465127"/>
    <w:pPr>
      <w:ind w:left="960"/>
    </w:pPr>
    <w:rPr>
      <w:rFonts w:asciiTheme="minorHAnsi" w:hAnsiTheme="minorHAnsi" w:cstheme="minorHAnsi"/>
      <w:sz w:val="20"/>
    </w:rPr>
  </w:style>
  <w:style w:type="paragraph" w:styleId="TM6">
    <w:name w:val="toc 6"/>
    <w:basedOn w:val="Normal"/>
    <w:next w:val="Normal"/>
    <w:autoRedefine/>
    <w:uiPriority w:val="39"/>
    <w:unhideWhenUsed/>
    <w:rsid w:val="00465127"/>
    <w:pPr>
      <w:ind w:left="1200"/>
    </w:pPr>
    <w:rPr>
      <w:rFonts w:asciiTheme="minorHAnsi" w:hAnsiTheme="minorHAnsi" w:cstheme="minorHAnsi"/>
      <w:sz w:val="20"/>
    </w:rPr>
  </w:style>
  <w:style w:type="paragraph" w:styleId="TM7">
    <w:name w:val="toc 7"/>
    <w:basedOn w:val="Normal"/>
    <w:next w:val="Normal"/>
    <w:autoRedefine/>
    <w:uiPriority w:val="39"/>
    <w:unhideWhenUsed/>
    <w:rsid w:val="00465127"/>
    <w:pPr>
      <w:ind w:left="1440"/>
    </w:pPr>
    <w:rPr>
      <w:rFonts w:asciiTheme="minorHAnsi" w:hAnsiTheme="minorHAnsi" w:cstheme="minorHAnsi"/>
      <w:sz w:val="20"/>
    </w:rPr>
  </w:style>
  <w:style w:type="paragraph" w:styleId="TM8">
    <w:name w:val="toc 8"/>
    <w:basedOn w:val="Normal"/>
    <w:next w:val="Normal"/>
    <w:autoRedefine/>
    <w:uiPriority w:val="39"/>
    <w:unhideWhenUsed/>
    <w:rsid w:val="00465127"/>
    <w:pPr>
      <w:ind w:left="1680"/>
    </w:pPr>
    <w:rPr>
      <w:rFonts w:asciiTheme="minorHAnsi" w:hAnsiTheme="minorHAnsi" w:cstheme="minorHAnsi"/>
      <w:sz w:val="20"/>
    </w:rPr>
  </w:style>
  <w:style w:type="paragraph" w:styleId="TM9">
    <w:name w:val="toc 9"/>
    <w:basedOn w:val="Normal"/>
    <w:next w:val="Normal"/>
    <w:autoRedefine/>
    <w:uiPriority w:val="39"/>
    <w:unhideWhenUsed/>
    <w:rsid w:val="00465127"/>
    <w:pPr>
      <w:ind w:left="1920"/>
    </w:pPr>
    <w:rPr>
      <w:rFonts w:asciiTheme="minorHAnsi" w:hAnsiTheme="minorHAnsi" w:cstheme="minorHAnsi"/>
      <w:sz w:val="20"/>
    </w:rPr>
  </w:style>
  <w:style w:type="paragraph" w:styleId="Sous-titre">
    <w:name w:val="Subtitle"/>
    <w:basedOn w:val="Normal"/>
    <w:next w:val="Normal"/>
    <w:link w:val="Sous-titreCar"/>
    <w:uiPriority w:val="11"/>
    <w:qFormat/>
    <w:rsid w:val="009660B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9660B9"/>
    <w:rPr>
      <w:rFonts w:eastAsiaTheme="minorEastAsia"/>
      <w:color w:val="5A5A5A" w:themeColor="text1" w:themeTint="A5"/>
      <w:spacing w:val="15"/>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0944">
      <w:bodyDiv w:val="1"/>
      <w:marLeft w:val="0"/>
      <w:marRight w:val="0"/>
      <w:marTop w:val="0"/>
      <w:marBottom w:val="0"/>
      <w:divBdr>
        <w:top w:val="none" w:sz="0" w:space="0" w:color="auto"/>
        <w:left w:val="none" w:sz="0" w:space="0" w:color="auto"/>
        <w:bottom w:val="none" w:sz="0" w:space="0" w:color="auto"/>
        <w:right w:val="none" w:sz="0" w:space="0" w:color="auto"/>
      </w:divBdr>
    </w:div>
    <w:div w:id="27798846">
      <w:bodyDiv w:val="1"/>
      <w:marLeft w:val="0"/>
      <w:marRight w:val="0"/>
      <w:marTop w:val="0"/>
      <w:marBottom w:val="0"/>
      <w:divBdr>
        <w:top w:val="none" w:sz="0" w:space="0" w:color="auto"/>
        <w:left w:val="none" w:sz="0" w:space="0" w:color="auto"/>
        <w:bottom w:val="none" w:sz="0" w:space="0" w:color="auto"/>
        <w:right w:val="none" w:sz="0" w:space="0" w:color="auto"/>
      </w:divBdr>
    </w:div>
    <w:div w:id="33583184">
      <w:bodyDiv w:val="1"/>
      <w:marLeft w:val="0"/>
      <w:marRight w:val="0"/>
      <w:marTop w:val="0"/>
      <w:marBottom w:val="0"/>
      <w:divBdr>
        <w:top w:val="none" w:sz="0" w:space="0" w:color="auto"/>
        <w:left w:val="none" w:sz="0" w:space="0" w:color="auto"/>
        <w:bottom w:val="none" w:sz="0" w:space="0" w:color="auto"/>
        <w:right w:val="none" w:sz="0" w:space="0" w:color="auto"/>
      </w:divBdr>
    </w:div>
    <w:div w:id="60758498">
      <w:bodyDiv w:val="1"/>
      <w:marLeft w:val="0"/>
      <w:marRight w:val="0"/>
      <w:marTop w:val="0"/>
      <w:marBottom w:val="0"/>
      <w:divBdr>
        <w:top w:val="none" w:sz="0" w:space="0" w:color="auto"/>
        <w:left w:val="none" w:sz="0" w:space="0" w:color="auto"/>
        <w:bottom w:val="none" w:sz="0" w:space="0" w:color="auto"/>
        <w:right w:val="none" w:sz="0" w:space="0" w:color="auto"/>
      </w:divBdr>
    </w:div>
    <w:div w:id="65538906">
      <w:bodyDiv w:val="1"/>
      <w:marLeft w:val="0"/>
      <w:marRight w:val="0"/>
      <w:marTop w:val="0"/>
      <w:marBottom w:val="0"/>
      <w:divBdr>
        <w:top w:val="none" w:sz="0" w:space="0" w:color="auto"/>
        <w:left w:val="none" w:sz="0" w:space="0" w:color="auto"/>
        <w:bottom w:val="none" w:sz="0" w:space="0" w:color="auto"/>
        <w:right w:val="none" w:sz="0" w:space="0" w:color="auto"/>
      </w:divBdr>
    </w:div>
    <w:div w:id="107357210">
      <w:bodyDiv w:val="1"/>
      <w:marLeft w:val="0"/>
      <w:marRight w:val="0"/>
      <w:marTop w:val="0"/>
      <w:marBottom w:val="0"/>
      <w:divBdr>
        <w:top w:val="none" w:sz="0" w:space="0" w:color="auto"/>
        <w:left w:val="none" w:sz="0" w:space="0" w:color="auto"/>
        <w:bottom w:val="none" w:sz="0" w:space="0" w:color="auto"/>
        <w:right w:val="none" w:sz="0" w:space="0" w:color="auto"/>
      </w:divBdr>
    </w:div>
    <w:div w:id="157305503">
      <w:bodyDiv w:val="1"/>
      <w:marLeft w:val="0"/>
      <w:marRight w:val="0"/>
      <w:marTop w:val="0"/>
      <w:marBottom w:val="0"/>
      <w:divBdr>
        <w:top w:val="none" w:sz="0" w:space="0" w:color="auto"/>
        <w:left w:val="none" w:sz="0" w:space="0" w:color="auto"/>
        <w:bottom w:val="none" w:sz="0" w:space="0" w:color="auto"/>
        <w:right w:val="none" w:sz="0" w:space="0" w:color="auto"/>
      </w:divBdr>
    </w:div>
    <w:div w:id="159473151">
      <w:bodyDiv w:val="1"/>
      <w:marLeft w:val="0"/>
      <w:marRight w:val="0"/>
      <w:marTop w:val="0"/>
      <w:marBottom w:val="0"/>
      <w:divBdr>
        <w:top w:val="none" w:sz="0" w:space="0" w:color="auto"/>
        <w:left w:val="none" w:sz="0" w:space="0" w:color="auto"/>
        <w:bottom w:val="none" w:sz="0" w:space="0" w:color="auto"/>
        <w:right w:val="none" w:sz="0" w:space="0" w:color="auto"/>
      </w:divBdr>
    </w:div>
    <w:div w:id="166678865">
      <w:bodyDiv w:val="1"/>
      <w:marLeft w:val="0"/>
      <w:marRight w:val="0"/>
      <w:marTop w:val="0"/>
      <w:marBottom w:val="0"/>
      <w:divBdr>
        <w:top w:val="none" w:sz="0" w:space="0" w:color="auto"/>
        <w:left w:val="none" w:sz="0" w:space="0" w:color="auto"/>
        <w:bottom w:val="none" w:sz="0" w:space="0" w:color="auto"/>
        <w:right w:val="none" w:sz="0" w:space="0" w:color="auto"/>
      </w:divBdr>
    </w:div>
    <w:div w:id="254093568">
      <w:bodyDiv w:val="1"/>
      <w:marLeft w:val="0"/>
      <w:marRight w:val="0"/>
      <w:marTop w:val="0"/>
      <w:marBottom w:val="0"/>
      <w:divBdr>
        <w:top w:val="none" w:sz="0" w:space="0" w:color="auto"/>
        <w:left w:val="none" w:sz="0" w:space="0" w:color="auto"/>
        <w:bottom w:val="none" w:sz="0" w:space="0" w:color="auto"/>
        <w:right w:val="none" w:sz="0" w:space="0" w:color="auto"/>
      </w:divBdr>
      <w:divsChild>
        <w:div w:id="789280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5139657">
      <w:bodyDiv w:val="1"/>
      <w:marLeft w:val="0"/>
      <w:marRight w:val="0"/>
      <w:marTop w:val="0"/>
      <w:marBottom w:val="0"/>
      <w:divBdr>
        <w:top w:val="none" w:sz="0" w:space="0" w:color="auto"/>
        <w:left w:val="none" w:sz="0" w:space="0" w:color="auto"/>
        <w:bottom w:val="none" w:sz="0" w:space="0" w:color="auto"/>
        <w:right w:val="none" w:sz="0" w:space="0" w:color="auto"/>
      </w:divBdr>
    </w:div>
    <w:div w:id="275333418">
      <w:bodyDiv w:val="1"/>
      <w:marLeft w:val="0"/>
      <w:marRight w:val="0"/>
      <w:marTop w:val="0"/>
      <w:marBottom w:val="0"/>
      <w:divBdr>
        <w:top w:val="none" w:sz="0" w:space="0" w:color="auto"/>
        <w:left w:val="none" w:sz="0" w:space="0" w:color="auto"/>
        <w:bottom w:val="none" w:sz="0" w:space="0" w:color="auto"/>
        <w:right w:val="none" w:sz="0" w:space="0" w:color="auto"/>
      </w:divBdr>
    </w:div>
    <w:div w:id="282078419">
      <w:bodyDiv w:val="1"/>
      <w:marLeft w:val="0"/>
      <w:marRight w:val="0"/>
      <w:marTop w:val="0"/>
      <w:marBottom w:val="0"/>
      <w:divBdr>
        <w:top w:val="none" w:sz="0" w:space="0" w:color="auto"/>
        <w:left w:val="none" w:sz="0" w:space="0" w:color="auto"/>
        <w:bottom w:val="none" w:sz="0" w:space="0" w:color="auto"/>
        <w:right w:val="none" w:sz="0" w:space="0" w:color="auto"/>
      </w:divBdr>
    </w:div>
    <w:div w:id="297416911">
      <w:bodyDiv w:val="1"/>
      <w:marLeft w:val="0"/>
      <w:marRight w:val="0"/>
      <w:marTop w:val="0"/>
      <w:marBottom w:val="0"/>
      <w:divBdr>
        <w:top w:val="none" w:sz="0" w:space="0" w:color="auto"/>
        <w:left w:val="none" w:sz="0" w:space="0" w:color="auto"/>
        <w:bottom w:val="none" w:sz="0" w:space="0" w:color="auto"/>
        <w:right w:val="none" w:sz="0" w:space="0" w:color="auto"/>
      </w:divBdr>
    </w:div>
    <w:div w:id="298264248">
      <w:bodyDiv w:val="1"/>
      <w:marLeft w:val="0"/>
      <w:marRight w:val="0"/>
      <w:marTop w:val="0"/>
      <w:marBottom w:val="0"/>
      <w:divBdr>
        <w:top w:val="none" w:sz="0" w:space="0" w:color="auto"/>
        <w:left w:val="none" w:sz="0" w:space="0" w:color="auto"/>
        <w:bottom w:val="none" w:sz="0" w:space="0" w:color="auto"/>
        <w:right w:val="none" w:sz="0" w:space="0" w:color="auto"/>
      </w:divBdr>
    </w:div>
    <w:div w:id="307635396">
      <w:bodyDiv w:val="1"/>
      <w:marLeft w:val="0"/>
      <w:marRight w:val="0"/>
      <w:marTop w:val="0"/>
      <w:marBottom w:val="0"/>
      <w:divBdr>
        <w:top w:val="none" w:sz="0" w:space="0" w:color="auto"/>
        <w:left w:val="none" w:sz="0" w:space="0" w:color="auto"/>
        <w:bottom w:val="none" w:sz="0" w:space="0" w:color="auto"/>
        <w:right w:val="none" w:sz="0" w:space="0" w:color="auto"/>
      </w:divBdr>
    </w:div>
    <w:div w:id="311951805">
      <w:bodyDiv w:val="1"/>
      <w:marLeft w:val="0"/>
      <w:marRight w:val="0"/>
      <w:marTop w:val="0"/>
      <w:marBottom w:val="0"/>
      <w:divBdr>
        <w:top w:val="none" w:sz="0" w:space="0" w:color="auto"/>
        <w:left w:val="none" w:sz="0" w:space="0" w:color="auto"/>
        <w:bottom w:val="none" w:sz="0" w:space="0" w:color="auto"/>
        <w:right w:val="none" w:sz="0" w:space="0" w:color="auto"/>
      </w:divBdr>
    </w:div>
    <w:div w:id="329870993">
      <w:bodyDiv w:val="1"/>
      <w:marLeft w:val="0"/>
      <w:marRight w:val="0"/>
      <w:marTop w:val="0"/>
      <w:marBottom w:val="0"/>
      <w:divBdr>
        <w:top w:val="none" w:sz="0" w:space="0" w:color="auto"/>
        <w:left w:val="none" w:sz="0" w:space="0" w:color="auto"/>
        <w:bottom w:val="none" w:sz="0" w:space="0" w:color="auto"/>
        <w:right w:val="none" w:sz="0" w:space="0" w:color="auto"/>
      </w:divBdr>
    </w:div>
    <w:div w:id="341781383">
      <w:bodyDiv w:val="1"/>
      <w:marLeft w:val="0"/>
      <w:marRight w:val="0"/>
      <w:marTop w:val="0"/>
      <w:marBottom w:val="0"/>
      <w:divBdr>
        <w:top w:val="none" w:sz="0" w:space="0" w:color="auto"/>
        <w:left w:val="none" w:sz="0" w:space="0" w:color="auto"/>
        <w:bottom w:val="none" w:sz="0" w:space="0" w:color="auto"/>
        <w:right w:val="none" w:sz="0" w:space="0" w:color="auto"/>
      </w:divBdr>
    </w:div>
    <w:div w:id="370691166">
      <w:bodyDiv w:val="1"/>
      <w:marLeft w:val="0"/>
      <w:marRight w:val="0"/>
      <w:marTop w:val="0"/>
      <w:marBottom w:val="0"/>
      <w:divBdr>
        <w:top w:val="none" w:sz="0" w:space="0" w:color="auto"/>
        <w:left w:val="none" w:sz="0" w:space="0" w:color="auto"/>
        <w:bottom w:val="none" w:sz="0" w:space="0" w:color="auto"/>
        <w:right w:val="none" w:sz="0" w:space="0" w:color="auto"/>
      </w:divBdr>
    </w:div>
    <w:div w:id="409616162">
      <w:bodyDiv w:val="1"/>
      <w:marLeft w:val="0"/>
      <w:marRight w:val="0"/>
      <w:marTop w:val="0"/>
      <w:marBottom w:val="0"/>
      <w:divBdr>
        <w:top w:val="none" w:sz="0" w:space="0" w:color="auto"/>
        <w:left w:val="none" w:sz="0" w:space="0" w:color="auto"/>
        <w:bottom w:val="none" w:sz="0" w:space="0" w:color="auto"/>
        <w:right w:val="none" w:sz="0" w:space="0" w:color="auto"/>
      </w:divBdr>
    </w:div>
    <w:div w:id="411897120">
      <w:bodyDiv w:val="1"/>
      <w:marLeft w:val="0"/>
      <w:marRight w:val="0"/>
      <w:marTop w:val="0"/>
      <w:marBottom w:val="0"/>
      <w:divBdr>
        <w:top w:val="none" w:sz="0" w:space="0" w:color="auto"/>
        <w:left w:val="none" w:sz="0" w:space="0" w:color="auto"/>
        <w:bottom w:val="none" w:sz="0" w:space="0" w:color="auto"/>
        <w:right w:val="none" w:sz="0" w:space="0" w:color="auto"/>
      </w:divBdr>
    </w:div>
    <w:div w:id="452333220">
      <w:bodyDiv w:val="1"/>
      <w:marLeft w:val="0"/>
      <w:marRight w:val="0"/>
      <w:marTop w:val="0"/>
      <w:marBottom w:val="0"/>
      <w:divBdr>
        <w:top w:val="none" w:sz="0" w:space="0" w:color="auto"/>
        <w:left w:val="none" w:sz="0" w:space="0" w:color="auto"/>
        <w:bottom w:val="none" w:sz="0" w:space="0" w:color="auto"/>
        <w:right w:val="none" w:sz="0" w:space="0" w:color="auto"/>
      </w:divBdr>
    </w:div>
    <w:div w:id="461115067">
      <w:bodyDiv w:val="1"/>
      <w:marLeft w:val="0"/>
      <w:marRight w:val="0"/>
      <w:marTop w:val="0"/>
      <w:marBottom w:val="0"/>
      <w:divBdr>
        <w:top w:val="none" w:sz="0" w:space="0" w:color="auto"/>
        <w:left w:val="none" w:sz="0" w:space="0" w:color="auto"/>
        <w:bottom w:val="none" w:sz="0" w:space="0" w:color="auto"/>
        <w:right w:val="none" w:sz="0" w:space="0" w:color="auto"/>
      </w:divBdr>
    </w:div>
    <w:div w:id="475999519">
      <w:bodyDiv w:val="1"/>
      <w:marLeft w:val="0"/>
      <w:marRight w:val="0"/>
      <w:marTop w:val="0"/>
      <w:marBottom w:val="0"/>
      <w:divBdr>
        <w:top w:val="none" w:sz="0" w:space="0" w:color="auto"/>
        <w:left w:val="none" w:sz="0" w:space="0" w:color="auto"/>
        <w:bottom w:val="none" w:sz="0" w:space="0" w:color="auto"/>
        <w:right w:val="none" w:sz="0" w:space="0" w:color="auto"/>
      </w:divBdr>
    </w:div>
    <w:div w:id="484786422">
      <w:bodyDiv w:val="1"/>
      <w:marLeft w:val="0"/>
      <w:marRight w:val="0"/>
      <w:marTop w:val="0"/>
      <w:marBottom w:val="0"/>
      <w:divBdr>
        <w:top w:val="none" w:sz="0" w:space="0" w:color="auto"/>
        <w:left w:val="none" w:sz="0" w:space="0" w:color="auto"/>
        <w:bottom w:val="none" w:sz="0" w:space="0" w:color="auto"/>
        <w:right w:val="none" w:sz="0" w:space="0" w:color="auto"/>
      </w:divBdr>
    </w:div>
    <w:div w:id="487090307">
      <w:bodyDiv w:val="1"/>
      <w:marLeft w:val="0"/>
      <w:marRight w:val="0"/>
      <w:marTop w:val="0"/>
      <w:marBottom w:val="0"/>
      <w:divBdr>
        <w:top w:val="none" w:sz="0" w:space="0" w:color="auto"/>
        <w:left w:val="none" w:sz="0" w:space="0" w:color="auto"/>
        <w:bottom w:val="none" w:sz="0" w:space="0" w:color="auto"/>
        <w:right w:val="none" w:sz="0" w:space="0" w:color="auto"/>
      </w:divBdr>
      <w:divsChild>
        <w:div w:id="416096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260925">
      <w:bodyDiv w:val="1"/>
      <w:marLeft w:val="0"/>
      <w:marRight w:val="0"/>
      <w:marTop w:val="0"/>
      <w:marBottom w:val="0"/>
      <w:divBdr>
        <w:top w:val="none" w:sz="0" w:space="0" w:color="auto"/>
        <w:left w:val="none" w:sz="0" w:space="0" w:color="auto"/>
        <w:bottom w:val="none" w:sz="0" w:space="0" w:color="auto"/>
        <w:right w:val="none" w:sz="0" w:space="0" w:color="auto"/>
      </w:divBdr>
    </w:div>
    <w:div w:id="549268243">
      <w:bodyDiv w:val="1"/>
      <w:marLeft w:val="0"/>
      <w:marRight w:val="0"/>
      <w:marTop w:val="0"/>
      <w:marBottom w:val="0"/>
      <w:divBdr>
        <w:top w:val="none" w:sz="0" w:space="0" w:color="auto"/>
        <w:left w:val="none" w:sz="0" w:space="0" w:color="auto"/>
        <w:bottom w:val="none" w:sz="0" w:space="0" w:color="auto"/>
        <w:right w:val="none" w:sz="0" w:space="0" w:color="auto"/>
      </w:divBdr>
    </w:div>
    <w:div w:id="553850286">
      <w:bodyDiv w:val="1"/>
      <w:marLeft w:val="0"/>
      <w:marRight w:val="0"/>
      <w:marTop w:val="0"/>
      <w:marBottom w:val="0"/>
      <w:divBdr>
        <w:top w:val="none" w:sz="0" w:space="0" w:color="auto"/>
        <w:left w:val="none" w:sz="0" w:space="0" w:color="auto"/>
        <w:bottom w:val="none" w:sz="0" w:space="0" w:color="auto"/>
        <w:right w:val="none" w:sz="0" w:space="0" w:color="auto"/>
      </w:divBdr>
    </w:div>
    <w:div w:id="605506806">
      <w:bodyDiv w:val="1"/>
      <w:marLeft w:val="0"/>
      <w:marRight w:val="0"/>
      <w:marTop w:val="0"/>
      <w:marBottom w:val="0"/>
      <w:divBdr>
        <w:top w:val="none" w:sz="0" w:space="0" w:color="auto"/>
        <w:left w:val="none" w:sz="0" w:space="0" w:color="auto"/>
        <w:bottom w:val="none" w:sz="0" w:space="0" w:color="auto"/>
        <w:right w:val="none" w:sz="0" w:space="0" w:color="auto"/>
      </w:divBdr>
    </w:div>
    <w:div w:id="606813185">
      <w:bodyDiv w:val="1"/>
      <w:marLeft w:val="0"/>
      <w:marRight w:val="0"/>
      <w:marTop w:val="0"/>
      <w:marBottom w:val="0"/>
      <w:divBdr>
        <w:top w:val="none" w:sz="0" w:space="0" w:color="auto"/>
        <w:left w:val="none" w:sz="0" w:space="0" w:color="auto"/>
        <w:bottom w:val="none" w:sz="0" w:space="0" w:color="auto"/>
        <w:right w:val="none" w:sz="0" w:space="0" w:color="auto"/>
      </w:divBdr>
    </w:div>
    <w:div w:id="625428249">
      <w:bodyDiv w:val="1"/>
      <w:marLeft w:val="0"/>
      <w:marRight w:val="0"/>
      <w:marTop w:val="0"/>
      <w:marBottom w:val="0"/>
      <w:divBdr>
        <w:top w:val="none" w:sz="0" w:space="0" w:color="auto"/>
        <w:left w:val="none" w:sz="0" w:space="0" w:color="auto"/>
        <w:bottom w:val="none" w:sz="0" w:space="0" w:color="auto"/>
        <w:right w:val="none" w:sz="0" w:space="0" w:color="auto"/>
      </w:divBdr>
    </w:div>
    <w:div w:id="652031705">
      <w:bodyDiv w:val="1"/>
      <w:marLeft w:val="0"/>
      <w:marRight w:val="0"/>
      <w:marTop w:val="0"/>
      <w:marBottom w:val="0"/>
      <w:divBdr>
        <w:top w:val="none" w:sz="0" w:space="0" w:color="auto"/>
        <w:left w:val="none" w:sz="0" w:space="0" w:color="auto"/>
        <w:bottom w:val="none" w:sz="0" w:space="0" w:color="auto"/>
        <w:right w:val="none" w:sz="0" w:space="0" w:color="auto"/>
      </w:divBdr>
    </w:div>
    <w:div w:id="655911582">
      <w:bodyDiv w:val="1"/>
      <w:marLeft w:val="0"/>
      <w:marRight w:val="0"/>
      <w:marTop w:val="0"/>
      <w:marBottom w:val="0"/>
      <w:divBdr>
        <w:top w:val="none" w:sz="0" w:space="0" w:color="auto"/>
        <w:left w:val="none" w:sz="0" w:space="0" w:color="auto"/>
        <w:bottom w:val="none" w:sz="0" w:space="0" w:color="auto"/>
        <w:right w:val="none" w:sz="0" w:space="0" w:color="auto"/>
      </w:divBdr>
    </w:div>
    <w:div w:id="674042141">
      <w:bodyDiv w:val="1"/>
      <w:marLeft w:val="0"/>
      <w:marRight w:val="0"/>
      <w:marTop w:val="0"/>
      <w:marBottom w:val="0"/>
      <w:divBdr>
        <w:top w:val="none" w:sz="0" w:space="0" w:color="auto"/>
        <w:left w:val="none" w:sz="0" w:space="0" w:color="auto"/>
        <w:bottom w:val="none" w:sz="0" w:space="0" w:color="auto"/>
        <w:right w:val="none" w:sz="0" w:space="0" w:color="auto"/>
      </w:divBdr>
    </w:div>
    <w:div w:id="702709696">
      <w:bodyDiv w:val="1"/>
      <w:marLeft w:val="0"/>
      <w:marRight w:val="0"/>
      <w:marTop w:val="0"/>
      <w:marBottom w:val="0"/>
      <w:divBdr>
        <w:top w:val="none" w:sz="0" w:space="0" w:color="auto"/>
        <w:left w:val="none" w:sz="0" w:space="0" w:color="auto"/>
        <w:bottom w:val="none" w:sz="0" w:space="0" w:color="auto"/>
        <w:right w:val="none" w:sz="0" w:space="0" w:color="auto"/>
      </w:divBdr>
    </w:div>
    <w:div w:id="723141893">
      <w:bodyDiv w:val="1"/>
      <w:marLeft w:val="0"/>
      <w:marRight w:val="0"/>
      <w:marTop w:val="0"/>
      <w:marBottom w:val="0"/>
      <w:divBdr>
        <w:top w:val="none" w:sz="0" w:space="0" w:color="auto"/>
        <w:left w:val="none" w:sz="0" w:space="0" w:color="auto"/>
        <w:bottom w:val="none" w:sz="0" w:space="0" w:color="auto"/>
        <w:right w:val="none" w:sz="0" w:space="0" w:color="auto"/>
      </w:divBdr>
    </w:div>
    <w:div w:id="731581247">
      <w:bodyDiv w:val="1"/>
      <w:marLeft w:val="0"/>
      <w:marRight w:val="0"/>
      <w:marTop w:val="0"/>
      <w:marBottom w:val="0"/>
      <w:divBdr>
        <w:top w:val="none" w:sz="0" w:space="0" w:color="auto"/>
        <w:left w:val="none" w:sz="0" w:space="0" w:color="auto"/>
        <w:bottom w:val="none" w:sz="0" w:space="0" w:color="auto"/>
        <w:right w:val="none" w:sz="0" w:space="0" w:color="auto"/>
      </w:divBdr>
    </w:div>
    <w:div w:id="748425590">
      <w:bodyDiv w:val="1"/>
      <w:marLeft w:val="0"/>
      <w:marRight w:val="0"/>
      <w:marTop w:val="0"/>
      <w:marBottom w:val="0"/>
      <w:divBdr>
        <w:top w:val="none" w:sz="0" w:space="0" w:color="auto"/>
        <w:left w:val="none" w:sz="0" w:space="0" w:color="auto"/>
        <w:bottom w:val="none" w:sz="0" w:space="0" w:color="auto"/>
        <w:right w:val="none" w:sz="0" w:space="0" w:color="auto"/>
      </w:divBdr>
    </w:div>
    <w:div w:id="785857934">
      <w:bodyDiv w:val="1"/>
      <w:marLeft w:val="0"/>
      <w:marRight w:val="0"/>
      <w:marTop w:val="0"/>
      <w:marBottom w:val="0"/>
      <w:divBdr>
        <w:top w:val="none" w:sz="0" w:space="0" w:color="auto"/>
        <w:left w:val="none" w:sz="0" w:space="0" w:color="auto"/>
        <w:bottom w:val="none" w:sz="0" w:space="0" w:color="auto"/>
        <w:right w:val="none" w:sz="0" w:space="0" w:color="auto"/>
      </w:divBdr>
    </w:div>
    <w:div w:id="788202907">
      <w:bodyDiv w:val="1"/>
      <w:marLeft w:val="0"/>
      <w:marRight w:val="0"/>
      <w:marTop w:val="0"/>
      <w:marBottom w:val="0"/>
      <w:divBdr>
        <w:top w:val="none" w:sz="0" w:space="0" w:color="auto"/>
        <w:left w:val="none" w:sz="0" w:space="0" w:color="auto"/>
        <w:bottom w:val="none" w:sz="0" w:space="0" w:color="auto"/>
        <w:right w:val="none" w:sz="0" w:space="0" w:color="auto"/>
      </w:divBdr>
    </w:div>
    <w:div w:id="804812798">
      <w:bodyDiv w:val="1"/>
      <w:marLeft w:val="0"/>
      <w:marRight w:val="0"/>
      <w:marTop w:val="0"/>
      <w:marBottom w:val="0"/>
      <w:divBdr>
        <w:top w:val="none" w:sz="0" w:space="0" w:color="auto"/>
        <w:left w:val="none" w:sz="0" w:space="0" w:color="auto"/>
        <w:bottom w:val="none" w:sz="0" w:space="0" w:color="auto"/>
        <w:right w:val="none" w:sz="0" w:space="0" w:color="auto"/>
      </w:divBdr>
    </w:div>
    <w:div w:id="806315723">
      <w:bodyDiv w:val="1"/>
      <w:marLeft w:val="0"/>
      <w:marRight w:val="0"/>
      <w:marTop w:val="0"/>
      <w:marBottom w:val="0"/>
      <w:divBdr>
        <w:top w:val="none" w:sz="0" w:space="0" w:color="auto"/>
        <w:left w:val="none" w:sz="0" w:space="0" w:color="auto"/>
        <w:bottom w:val="none" w:sz="0" w:space="0" w:color="auto"/>
        <w:right w:val="none" w:sz="0" w:space="0" w:color="auto"/>
      </w:divBdr>
    </w:div>
    <w:div w:id="820729976">
      <w:bodyDiv w:val="1"/>
      <w:marLeft w:val="0"/>
      <w:marRight w:val="0"/>
      <w:marTop w:val="0"/>
      <w:marBottom w:val="0"/>
      <w:divBdr>
        <w:top w:val="none" w:sz="0" w:space="0" w:color="auto"/>
        <w:left w:val="none" w:sz="0" w:space="0" w:color="auto"/>
        <w:bottom w:val="none" w:sz="0" w:space="0" w:color="auto"/>
        <w:right w:val="none" w:sz="0" w:space="0" w:color="auto"/>
      </w:divBdr>
      <w:divsChild>
        <w:div w:id="1266961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3909016">
      <w:bodyDiv w:val="1"/>
      <w:marLeft w:val="0"/>
      <w:marRight w:val="0"/>
      <w:marTop w:val="0"/>
      <w:marBottom w:val="0"/>
      <w:divBdr>
        <w:top w:val="none" w:sz="0" w:space="0" w:color="auto"/>
        <w:left w:val="none" w:sz="0" w:space="0" w:color="auto"/>
        <w:bottom w:val="none" w:sz="0" w:space="0" w:color="auto"/>
        <w:right w:val="none" w:sz="0" w:space="0" w:color="auto"/>
      </w:divBdr>
      <w:divsChild>
        <w:div w:id="523518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2281574">
      <w:bodyDiv w:val="1"/>
      <w:marLeft w:val="0"/>
      <w:marRight w:val="0"/>
      <w:marTop w:val="0"/>
      <w:marBottom w:val="0"/>
      <w:divBdr>
        <w:top w:val="none" w:sz="0" w:space="0" w:color="auto"/>
        <w:left w:val="none" w:sz="0" w:space="0" w:color="auto"/>
        <w:bottom w:val="none" w:sz="0" w:space="0" w:color="auto"/>
        <w:right w:val="none" w:sz="0" w:space="0" w:color="auto"/>
      </w:divBdr>
      <w:divsChild>
        <w:div w:id="1563831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2547040">
      <w:bodyDiv w:val="1"/>
      <w:marLeft w:val="0"/>
      <w:marRight w:val="0"/>
      <w:marTop w:val="0"/>
      <w:marBottom w:val="0"/>
      <w:divBdr>
        <w:top w:val="none" w:sz="0" w:space="0" w:color="auto"/>
        <w:left w:val="none" w:sz="0" w:space="0" w:color="auto"/>
        <w:bottom w:val="none" w:sz="0" w:space="0" w:color="auto"/>
        <w:right w:val="none" w:sz="0" w:space="0" w:color="auto"/>
      </w:divBdr>
    </w:div>
    <w:div w:id="862285442">
      <w:bodyDiv w:val="1"/>
      <w:marLeft w:val="0"/>
      <w:marRight w:val="0"/>
      <w:marTop w:val="0"/>
      <w:marBottom w:val="0"/>
      <w:divBdr>
        <w:top w:val="none" w:sz="0" w:space="0" w:color="auto"/>
        <w:left w:val="none" w:sz="0" w:space="0" w:color="auto"/>
        <w:bottom w:val="none" w:sz="0" w:space="0" w:color="auto"/>
        <w:right w:val="none" w:sz="0" w:space="0" w:color="auto"/>
      </w:divBdr>
    </w:div>
    <w:div w:id="867066154">
      <w:bodyDiv w:val="1"/>
      <w:marLeft w:val="0"/>
      <w:marRight w:val="0"/>
      <w:marTop w:val="0"/>
      <w:marBottom w:val="0"/>
      <w:divBdr>
        <w:top w:val="none" w:sz="0" w:space="0" w:color="auto"/>
        <w:left w:val="none" w:sz="0" w:space="0" w:color="auto"/>
        <w:bottom w:val="none" w:sz="0" w:space="0" w:color="auto"/>
        <w:right w:val="none" w:sz="0" w:space="0" w:color="auto"/>
      </w:divBdr>
    </w:div>
    <w:div w:id="887186729">
      <w:bodyDiv w:val="1"/>
      <w:marLeft w:val="0"/>
      <w:marRight w:val="0"/>
      <w:marTop w:val="0"/>
      <w:marBottom w:val="0"/>
      <w:divBdr>
        <w:top w:val="none" w:sz="0" w:space="0" w:color="auto"/>
        <w:left w:val="none" w:sz="0" w:space="0" w:color="auto"/>
        <w:bottom w:val="none" w:sz="0" w:space="0" w:color="auto"/>
        <w:right w:val="none" w:sz="0" w:space="0" w:color="auto"/>
      </w:divBdr>
    </w:div>
    <w:div w:id="908805582">
      <w:bodyDiv w:val="1"/>
      <w:marLeft w:val="0"/>
      <w:marRight w:val="0"/>
      <w:marTop w:val="0"/>
      <w:marBottom w:val="0"/>
      <w:divBdr>
        <w:top w:val="none" w:sz="0" w:space="0" w:color="auto"/>
        <w:left w:val="none" w:sz="0" w:space="0" w:color="auto"/>
        <w:bottom w:val="none" w:sz="0" w:space="0" w:color="auto"/>
        <w:right w:val="none" w:sz="0" w:space="0" w:color="auto"/>
      </w:divBdr>
    </w:div>
    <w:div w:id="923488641">
      <w:bodyDiv w:val="1"/>
      <w:marLeft w:val="0"/>
      <w:marRight w:val="0"/>
      <w:marTop w:val="0"/>
      <w:marBottom w:val="0"/>
      <w:divBdr>
        <w:top w:val="none" w:sz="0" w:space="0" w:color="auto"/>
        <w:left w:val="none" w:sz="0" w:space="0" w:color="auto"/>
        <w:bottom w:val="none" w:sz="0" w:space="0" w:color="auto"/>
        <w:right w:val="none" w:sz="0" w:space="0" w:color="auto"/>
      </w:divBdr>
    </w:div>
    <w:div w:id="948315041">
      <w:bodyDiv w:val="1"/>
      <w:marLeft w:val="0"/>
      <w:marRight w:val="0"/>
      <w:marTop w:val="0"/>
      <w:marBottom w:val="0"/>
      <w:divBdr>
        <w:top w:val="none" w:sz="0" w:space="0" w:color="auto"/>
        <w:left w:val="none" w:sz="0" w:space="0" w:color="auto"/>
        <w:bottom w:val="none" w:sz="0" w:space="0" w:color="auto"/>
        <w:right w:val="none" w:sz="0" w:space="0" w:color="auto"/>
      </w:divBdr>
    </w:div>
    <w:div w:id="975140907">
      <w:bodyDiv w:val="1"/>
      <w:marLeft w:val="0"/>
      <w:marRight w:val="0"/>
      <w:marTop w:val="0"/>
      <w:marBottom w:val="0"/>
      <w:divBdr>
        <w:top w:val="none" w:sz="0" w:space="0" w:color="auto"/>
        <w:left w:val="none" w:sz="0" w:space="0" w:color="auto"/>
        <w:bottom w:val="none" w:sz="0" w:space="0" w:color="auto"/>
        <w:right w:val="none" w:sz="0" w:space="0" w:color="auto"/>
      </w:divBdr>
    </w:div>
    <w:div w:id="980571456">
      <w:bodyDiv w:val="1"/>
      <w:marLeft w:val="0"/>
      <w:marRight w:val="0"/>
      <w:marTop w:val="0"/>
      <w:marBottom w:val="0"/>
      <w:divBdr>
        <w:top w:val="none" w:sz="0" w:space="0" w:color="auto"/>
        <w:left w:val="none" w:sz="0" w:space="0" w:color="auto"/>
        <w:bottom w:val="none" w:sz="0" w:space="0" w:color="auto"/>
        <w:right w:val="none" w:sz="0" w:space="0" w:color="auto"/>
      </w:divBdr>
    </w:div>
    <w:div w:id="982852898">
      <w:bodyDiv w:val="1"/>
      <w:marLeft w:val="0"/>
      <w:marRight w:val="0"/>
      <w:marTop w:val="0"/>
      <w:marBottom w:val="0"/>
      <w:divBdr>
        <w:top w:val="none" w:sz="0" w:space="0" w:color="auto"/>
        <w:left w:val="none" w:sz="0" w:space="0" w:color="auto"/>
        <w:bottom w:val="none" w:sz="0" w:space="0" w:color="auto"/>
        <w:right w:val="none" w:sz="0" w:space="0" w:color="auto"/>
      </w:divBdr>
    </w:div>
    <w:div w:id="1060904025">
      <w:bodyDiv w:val="1"/>
      <w:marLeft w:val="0"/>
      <w:marRight w:val="0"/>
      <w:marTop w:val="0"/>
      <w:marBottom w:val="0"/>
      <w:divBdr>
        <w:top w:val="none" w:sz="0" w:space="0" w:color="auto"/>
        <w:left w:val="none" w:sz="0" w:space="0" w:color="auto"/>
        <w:bottom w:val="none" w:sz="0" w:space="0" w:color="auto"/>
        <w:right w:val="none" w:sz="0" w:space="0" w:color="auto"/>
      </w:divBdr>
    </w:div>
    <w:div w:id="1077018979">
      <w:bodyDiv w:val="1"/>
      <w:marLeft w:val="0"/>
      <w:marRight w:val="0"/>
      <w:marTop w:val="0"/>
      <w:marBottom w:val="0"/>
      <w:divBdr>
        <w:top w:val="none" w:sz="0" w:space="0" w:color="auto"/>
        <w:left w:val="none" w:sz="0" w:space="0" w:color="auto"/>
        <w:bottom w:val="none" w:sz="0" w:space="0" w:color="auto"/>
        <w:right w:val="none" w:sz="0" w:space="0" w:color="auto"/>
      </w:divBdr>
    </w:div>
    <w:div w:id="1087309046">
      <w:bodyDiv w:val="1"/>
      <w:marLeft w:val="0"/>
      <w:marRight w:val="0"/>
      <w:marTop w:val="0"/>
      <w:marBottom w:val="0"/>
      <w:divBdr>
        <w:top w:val="none" w:sz="0" w:space="0" w:color="auto"/>
        <w:left w:val="none" w:sz="0" w:space="0" w:color="auto"/>
        <w:bottom w:val="none" w:sz="0" w:space="0" w:color="auto"/>
        <w:right w:val="none" w:sz="0" w:space="0" w:color="auto"/>
      </w:divBdr>
    </w:div>
    <w:div w:id="1089353628">
      <w:bodyDiv w:val="1"/>
      <w:marLeft w:val="0"/>
      <w:marRight w:val="0"/>
      <w:marTop w:val="0"/>
      <w:marBottom w:val="0"/>
      <w:divBdr>
        <w:top w:val="none" w:sz="0" w:space="0" w:color="auto"/>
        <w:left w:val="none" w:sz="0" w:space="0" w:color="auto"/>
        <w:bottom w:val="none" w:sz="0" w:space="0" w:color="auto"/>
        <w:right w:val="none" w:sz="0" w:space="0" w:color="auto"/>
      </w:divBdr>
    </w:div>
    <w:div w:id="1098793375">
      <w:bodyDiv w:val="1"/>
      <w:marLeft w:val="0"/>
      <w:marRight w:val="0"/>
      <w:marTop w:val="0"/>
      <w:marBottom w:val="0"/>
      <w:divBdr>
        <w:top w:val="none" w:sz="0" w:space="0" w:color="auto"/>
        <w:left w:val="none" w:sz="0" w:space="0" w:color="auto"/>
        <w:bottom w:val="none" w:sz="0" w:space="0" w:color="auto"/>
        <w:right w:val="none" w:sz="0" w:space="0" w:color="auto"/>
      </w:divBdr>
    </w:div>
    <w:div w:id="1106001210">
      <w:bodyDiv w:val="1"/>
      <w:marLeft w:val="0"/>
      <w:marRight w:val="0"/>
      <w:marTop w:val="0"/>
      <w:marBottom w:val="0"/>
      <w:divBdr>
        <w:top w:val="none" w:sz="0" w:space="0" w:color="auto"/>
        <w:left w:val="none" w:sz="0" w:space="0" w:color="auto"/>
        <w:bottom w:val="none" w:sz="0" w:space="0" w:color="auto"/>
        <w:right w:val="none" w:sz="0" w:space="0" w:color="auto"/>
      </w:divBdr>
    </w:div>
    <w:div w:id="1109661801">
      <w:bodyDiv w:val="1"/>
      <w:marLeft w:val="0"/>
      <w:marRight w:val="0"/>
      <w:marTop w:val="0"/>
      <w:marBottom w:val="0"/>
      <w:divBdr>
        <w:top w:val="none" w:sz="0" w:space="0" w:color="auto"/>
        <w:left w:val="none" w:sz="0" w:space="0" w:color="auto"/>
        <w:bottom w:val="none" w:sz="0" w:space="0" w:color="auto"/>
        <w:right w:val="none" w:sz="0" w:space="0" w:color="auto"/>
      </w:divBdr>
    </w:div>
    <w:div w:id="1116362836">
      <w:bodyDiv w:val="1"/>
      <w:marLeft w:val="0"/>
      <w:marRight w:val="0"/>
      <w:marTop w:val="0"/>
      <w:marBottom w:val="0"/>
      <w:divBdr>
        <w:top w:val="none" w:sz="0" w:space="0" w:color="auto"/>
        <w:left w:val="none" w:sz="0" w:space="0" w:color="auto"/>
        <w:bottom w:val="none" w:sz="0" w:space="0" w:color="auto"/>
        <w:right w:val="none" w:sz="0" w:space="0" w:color="auto"/>
      </w:divBdr>
    </w:div>
    <w:div w:id="1162967638">
      <w:bodyDiv w:val="1"/>
      <w:marLeft w:val="0"/>
      <w:marRight w:val="0"/>
      <w:marTop w:val="0"/>
      <w:marBottom w:val="0"/>
      <w:divBdr>
        <w:top w:val="none" w:sz="0" w:space="0" w:color="auto"/>
        <w:left w:val="none" w:sz="0" w:space="0" w:color="auto"/>
        <w:bottom w:val="none" w:sz="0" w:space="0" w:color="auto"/>
        <w:right w:val="none" w:sz="0" w:space="0" w:color="auto"/>
      </w:divBdr>
    </w:div>
    <w:div w:id="1164206967">
      <w:bodyDiv w:val="1"/>
      <w:marLeft w:val="0"/>
      <w:marRight w:val="0"/>
      <w:marTop w:val="0"/>
      <w:marBottom w:val="0"/>
      <w:divBdr>
        <w:top w:val="none" w:sz="0" w:space="0" w:color="auto"/>
        <w:left w:val="none" w:sz="0" w:space="0" w:color="auto"/>
        <w:bottom w:val="none" w:sz="0" w:space="0" w:color="auto"/>
        <w:right w:val="none" w:sz="0" w:space="0" w:color="auto"/>
      </w:divBdr>
    </w:div>
    <w:div w:id="1201092042">
      <w:bodyDiv w:val="1"/>
      <w:marLeft w:val="0"/>
      <w:marRight w:val="0"/>
      <w:marTop w:val="0"/>
      <w:marBottom w:val="0"/>
      <w:divBdr>
        <w:top w:val="none" w:sz="0" w:space="0" w:color="auto"/>
        <w:left w:val="none" w:sz="0" w:space="0" w:color="auto"/>
        <w:bottom w:val="none" w:sz="0" w:space="0" w:color="auto"/>
        <w:right w:val="none" w:sz="0" w:space="0" w:color="auto"/>
      </w:divBdr>
      <w:divsChild>
        <w:div w:id="553156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5046471">
      <w:bodyDiv w:val="1"/>
      <w:marLeft w:val="0"/>
      <w:marRight w:val="0"/>
      <w:marTop w:val="0"/>
      <w:marBottom w:val="0"/>
      <w:divBdr>
        <w:top w:val="none" w:sz="0" w:space="0" w:color="auto"/>
        <w:left w:val="none" w:sz="0" w:space="0" w:color="auto"/>
        <w:bottom w:val="none" w:sz="0" w:space="0" w:color="auto"/>
        <w:right w:val="none" w:sz="0" w:space="0" w:color="auto"/>
      </w:divBdr>
    </w:div>
    <w:div w:id="1280989411">
      <w:bodyDiv w:val="1"/>
      <w:marLeft w:val="0"/>
      <w:marRight w:val="0"/>
      <w:marTop w:val="0"/>
      <w:marBottom w:val="0"/>
      <w:divBdr>
        <w:top w:val="none" w:sz="0" w:space="0" w:color="auto"/>
        <w:left w:val="none" w:sz="0" w:space="0" w:color="auto"/>
        <w:bottom w:val="none" w:sz="0" w:space="0" w:color="auto"/>
        <w:right w:val="none" w:sz="0" w:space="0" w:color="auto"/>
      </w:divBdr>
    </w:div>
    <w:div w:id="1282420999">
      <w:bodyDiv w:val="1"/>
      <w:marLeft w:val="0"/>
      <w:marRight w:val="0"/>
      <w:marTop w:val="0"/>
      <w:marBottom w:val="0"/>
      <w:divBdr>
        <w:top w:val="none" w:sz="0" w:space="0" w:color="auto"/>
        <w:left w:val="none" w:sz="0" w:space="0" w:color="auto"/>
        <w:bottom w:val="none" w:sz="0" w:space="0" w:color="auto"/>
        <w:right w:val="none" w:sz="0" w:space="0" w:color="auto"/>
      </w:divBdr>
    </w:div>
    <w:div w:id="1290549771">
      <w:bodyDiv w:val="1"/>
      <w:marLeft w:val="0"/>
      <w:marRight w:val="0"/>
      <w:marTop w:val="0"/>
      <w:marBottom w:val="0"/>
      <w:divBdr>
        <w:top w:val="none" w:sz="0" w:space="0" w:color="auto"/>
        <w:left w:val="none" w:sz="0" w:space="0" w:color="auto"/>
        <w:bottom w:val="none" w:sz="0" w:space="0" w:color="auto"/>
        <w:right w:val="none" w:sz="0" w:space="0" w:color="auto"/>
      </w:divBdr>
    </w:div>
    <w:div w:id="1302147945">
      <w:bodyDiv w:val="1"/>
      <w:marLeft w:val="0"/>
      <w:marRight w:val="0"/>
      <w:marTop w:val="0"/>
      <w:marBottom w:val="0"/>
      <w:divBdr>
        <w:top w:val="none" w:sz="0" w:space="0" w:color="auto"/>
        <w:left w:val="none" w:sz="0" w:space="0" w:color="auto"/>
        <w:bottom w:val="none" w:sz="0" w:space="0" w:color="auto"/>
        <w:right w:val="none" w:sz="0" w:space="0" w:color="auto"/>
      </w:divBdr>
      <w:divsChild>
        <w:div w:id="1193880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205336">
      <w:bodyDiv w:val="1"/>
      <w:marLeft w:val="0"/>
      <w:marRight w:val="0"/>
      <w:marTop w:val="0"/>
      <w:marBottom w:val="0"/>
      <w:divBdr>
        <w:top w:val="none" w:sz="0" w:space="0" w:color="auto"/>
        <w:left w:val="none" w:sz="0" w:space="0" w:color="auto"/>
        <w:bottom w:val="none" w:sz="0" w:space="0" w:color="auto"/>
        <w:right w:val="none" w:sz="0" w:space="0" w:color="auto"/>
      </w:divBdr>
    </w:div>
    <w:div w:id="1324503861">
      <w:bodyDiv w:val="1"/>
      <w:marLeft w:val="0"/>
      <w:marRight w:val="0"/>
      <w:marTop w:val="0"/>
      <w:marBottom w:val="0"/>
      <w:divBdr>
        <w:top w:val="none" w:sz="0" w:space="0" w:color="auto"/>
        <w:left w:val="none" w:sz="0" w:space="0" w:color="auto"/>
        <w:bottom w:val="none" w:sz="0" w:space="0" w:color="auto"/>
        <w:right w:val="none" w:sz="0" w:space="0" w:color="auto"/>
      </w:divBdr>
    </w:div>
    <w:div w:id="1334453390">
      <w:bodyDiv w:val="1"/>
      <w:marLeft w:val="0"/>
      <w:marRight w:val="0"/>
      <w:marTop w:val="0"/>
      <w:marBottom w:val="0"/>
      <w:divBdr>
        <w:top w:val="none" w:sz="0" w:space="0" w:color="auto"/>
        <w:left w:val="none" w:sz="0" w:space="0" w:color="auto"/>
        <w:bottom w:val="none" w:sz="0" w:space="0" w:color="auto"/>
        <w:right w:val="none" w:sz="0" w:space="0" w:color="auto"/>
      </w:divBdr>
    </w:div>
    <w:div w:id="1337731623">
      <w:bodyDiv w:val="1"/>
      <w:marLeft w:val="0"/>
      <w:marRight w:val="0"/>
      <w:marTop w:val="0"/>
      <w:marBottom w:val="0"/>
      <w:divBdr>
        <w:top w:val="none" w:sz="0" w:space="0" w:color="auto"/>
        <w:left w:val="none" w:sz="0" w:space="0" w:color="auto"/>
        <w:bottom w:val="none" w:sz="0" w:space="0" w:color="auto"/>
        <w:right w:val="none" w:sz="0" w:space="0" w:color="auto"/>
      </w:divBdr>
    </w:div>
    <w:div w:id="1360400992">
      <w:bodyDiv w:val="1"/>
      <w:marLeft w:val="0"/>
      <w:marRight w:val="0"/>
      <w:marTop w:val="0"/>
      <w:marBottom w:val="0"/>
      <w:divBdr>
        <w:top w:val="none" w:sz="0" w:space="0" w:color="auto"/>
        <w:left w:val="none" w:sz="0" w:space="0" w:color="auto"/>
        <w:bottom w:val="none" w:sz="0" w:space="0" w:color="auto"/>
        <w:right w:val="none" w:sz="0" w:space="0" w:color="auto"/>
      </w:divBdr>
      <w:divsChild>
        <w:div w:id="1836991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4668326">
      <w:bodyDiv w:val="1"/>
      <w:marLeft w:val="0"/>
      <w:marRight w:val="0"/>
      <w:marTop w:val="0"/>
      <w:marBottom w:val="0"/>
      <w:divBdr>
        <w:top w:val="none" w:sz="0" w:space="0" w:color="auto"/>
        <w:left w:val="none" w:sz="0" w:space="0" w:color="auto"/>
        <w:bottom w:val="none" w:sz="0" w:space="0" w:color="auto"/>
        <w:right w:val="none" w:sz="0" w:space="0" w:color="auto"/>
      </w:divBdr>
    </w:div>
    <w:div w:id="1369598813">
      <w:bodyDiv w:val="1"/>
      <w:marLeft w:val="0"/>
      <w:marRight w:val="0"/>
      <w:marTop w:val="0"/>
      <w:marBottom w:val="0"/>
      <w:divBdr>
        <w:top w:val="none" w:sz="0" w:space="0" w:color="auto"/>
        <w:left w:val="none" w:sz="0" w:space="0" w:color="auto"/>
        <w:bottom w:val="none" w:sz="0" w:space="0" w:color="auto"/>
        <w:right w:val="none" w:sz="0" w:space="0" w:color="auto"/>
      </w:divBdr>
    </w:div>
    <w:div w:id="1378427848">
      <w:bodyDiv w:val="1"/>
      <w:marLeft w:val="0"/>
      <w:marRight w:val="0"/>
      <w:marTop w:val="0"/>
      <w:marBottom w:val="0"/>
      <w:divBdr>
        <w:top w:val="none" w:sz="0" w:space="0" w:color="auto"/>
        <w:left w:val="none" w:sz="0" w:space="0" w:color="auto"/>
        <w:bottom w:val="none" w:sz="0" w:space="0" w:color="auto"/>
        <w:right w:val="none" w:sz="0" w:space="0" w:color="auto"/>
      </w:divBdr>
    </w:div>
    <w:div w:id="1385521751">
      <w:bodyDiv w:val="1"/>
      <w:marLeft w:val="0"/>
      <w:marRight w:val="0"/>
      <w:marTop w:val="0"/>
      <w:marBottom w:val="0"/>
      <w:divBdr>
        <w:top w:val="none" w:sz="0" w:space="0" w:color="auto"/>
        <w:left w:val="none" w:sz="0" w:space="0" w:color="auto"/>
        <w:bottom w:val="none" w:sz="0" w:space="0" w:color="auto"/>
        <w:right w:val="none" w:sz="0" w:space="0" w:color="auto"/>
      </w:divBdr>
    </w:div>
    <w:div w:id="1391735042">
      <w:bodyDiv w:val="1"/>
      <w:marLeft w:val="0"/>
      <w:marRight w:val="0"/>
      <w:marTop w:val="0"/>
      <w:marBottom w:val="0"/>
      <w:divBdr>
        <w:top w:val="none" w:sz="0" w:space="0" w:color="auto"/>
        <w:left w:val="none" w:sz="0" w:space="0" w:color="auto"/>
        <w:bottom w:val="none" w:sz="0" w:space="0" w:color="auto"/>
        <w:right w:val="none" w:sz="0" w:space="0" w:color="auto"/>
      </w:divBdr>
    </w:div>
    <w:div w:id="1425691351">
      <w:bodyDiv w:val="1"/>
      <w:marLeft w:val="0"/>
      <w:marRight w:val="0"/>
      <w:marTop w:val="0"/>
      <w:marBottom w:val="0"/>
      <w:divBdr>
        <w:top w:val="none" w:sz="0" w:space="0" w:color="auto"/>
        <w:left w:val="none" w:sz="0" w:space="0" w:color="auto"/>
        <w:bottom w:val="none" w:sz="0" w:space="0" w:color="auto"/>
        <w:right w:val="none" w:sz="0" w:space="0" w:color="auto"/>
      </w:divBdr>
    </w:div>
    <w:div w:id="1443575970">
      <w:bodyDiv w:val="1"/>
      <w:marLeft w:val="0"/>
      <w:marRight w:val="0"/>
      <w:marTop w:val="0"/>
      <w:marBottom w:val="0"/>
      <w:divBdr>
        <w:top w:val="none" w:sz="0" w:space="0" w:color="auto"/>
        <w:left w:val="none" w:sz="0" w:space="0" w:color="auto"/>
        <w:bottom w:val="none" w:sz="0" w:space="0" w:color="auto"/>
        <w:right w:val="none" w:sz="0" w:space="0" w:color="auto"/>
      </w:divBdr>
    </w:div>
    <w:div w:id="1455293011">
      <w:bodyDiv w:val="1"/>
      <w:marLeft w:val="0"/>
      <w:marRight w:val="0"/>
      <w:marTop w:val="0"/>
      <w:marBottom w:val="0"/>
      <w:divBdr>
        <w:top w:val="none" w:sz="0" w:space="0" w:color="auto"/>
        <w:left w:val="none" w:sz="0" w:space="0" w:color="auto"/>
        <w:bottom w:val="none" w:sz="0" w:space="0" w:color="auto"/>
        <w:right w:val="none" w:sz="0" w:space="0" w:color="auto"/>
      </w:divBdr>
    </w:div>
    <w:div w:id="1546988012">
      <w:bodyDiv w:val="1"/>
      <w:marLeft w:val="0"/>
      <w:marRight w:val="0"/>
      <w:marTop w:val="0"/>
      <w:marBottom w:val="0"/>
      <w:divBdr>
        <w:top w:val="none" w:sz="0" w:space="0" w:color="auto"/>
        <w:left w:val="none" w:sz="0" w:space="0" w:color="auto"/>
        <w:bottom w:val="none" w:sz="0" w:space="0" w:color="auto"/>
        <w:right w:val="none" w:sz="0" w:space="0" w:color="auto"/>
      </w:divBdr>
    </w:div>
    <w:div w:id="1567956499">
      <w:bodyDiv w:val="1"/>
      <w:marLeft w:val="0"/>
      <w:marRight w:val="0"/>
      <w:marTop w:val="0"/>
      <w:marBottom w:val="0"/>
      <w:divBdr>
        <w:top w:val="none" w:sz="0" w:space="0" w:color="auto"/>
        <w:left w:val="none" w:sz="0" w:space="0" w:color="auto"/>
        <w:bottom w:val="none" w:sz="0" w:space="0" w:color="auto"/>
        <w:right w:val="none" w:sz="0" w:space="0" w:color="auto"/>
      </w:divBdr>
    </w:div>
    <w:div w:id="1579902328">
      <w:bodyDiv w:val="1"/>
      <w:marLeft w:val="0"/>
      <w:marRight w:val="0"/>
      <w:marTop w:val="0"/>
      <w:marBottom w:val="0"/>
      <w:divBdr>
        <w:top w:val="none" w:sz="0" w:space="0" w:color="auto"/>
        <w:left w:val="none" w:sz="0" w:space="0" w:color="auto"/>
        <w:bottom w:val="none" w:sz="0" w:space="0" w:color="auto"/>
        <w:right w:val="none" w:sz="0" w:space="0" w:color="auto"/>
      </w:divBdr>
    </w:div>
    <w:div w:id="1585332705">
      <w:bodyDiv w:val="1"/>
      <w:marLeft w:val="0"/>
      <w:marRight w:val="0"/>
      <w:marTop w:val="0"/>
      <w:marBottom w:val="0"/>
      <w:divBdr>
        <w:top w:val="none" w:sz="0" w:space="0" w:color="auto"/>
        <w:left w:val="none" w:sz="0" w:space="0" w:color="auto"/>
        <w:bottom w:val="none" w:sz="0" w:space="0" w:color="auto"/>
        <w:right w:val="none" w:sz="0" w:space="0" w:color="auto"/>
      </w:divBdr>
    </w:div>
    <w:div w:id="1590699356">
      <w:bodyDiv w:val="1"/>
      <w:marLeft w:val="0"/>
      <w:marRight w:val="0"/>
      <w:marTop w:val="0"/>
      <w:marBottom w:val="0"/>
      <w:divBdr>
        <w:top w:val="none" w:sz="0" w:space="0" w:color="auto"/>
        <w:left w:val="none" w:sz="0" w:space="0" w:color="auto"/>
        <w:bottom w:val="none" w:sz="0" w:space="0" w:color="auto"/>
        <w:right w:val="none" w:sz="0" w:space="0" w:color="auto"/>
      </w:divBdr>
    </w:div>
    <w:div w:id="1594849955">
      <w:bodyDiv w:val="1"/>
      <w:marLeft w:val="0"/>
      <w:marRight w:val="0"/>
      <w:marTop w:val="0"/>
      <w:marBottom w:val="0"/>
      <w:divBdr>
        <w:top w:val="none" w:sz="0" w:space="0" w:color="auto"/>
        <w:left w:val="none" w:sz="0" w:space="0" w:color="auto"/>
        <w:bottom w:val="none" w:sz="0" w:space="0" w:color="auto"/>
        <w:right w:val="none" w:sz="0" w:space="0" w:color="auto"/>
      </w:divBdr>
    </w:div>
    <w:div w:id="1630623104">
      <w:bodyDiv w:val="1"/>
      <w:marLeft w:val="0"/>
      <w:marRight w:val="0"/>
      <w:marTop w:val="0"/>
      <w:marBottom w:val="0"/>
      <w:divBdr>
        <w:top w:val="none" w:sz="0" w:space="0" w:color="auto"/>
        <w:left w:val="none" w:sz="0" w:space="0" w:color="auto"/>
        <w:bottom w:val="none" w:sz="0" w:space="0" w:color="auto"/>
        <w:right w:val="none" w:sz="0" w:space="0" w:color="auto"/>
      </w:divBdr>
    </w:div>
    <w:div w:id="1639804019">
      <w:bodyDiv w:val="1"/>
      <w:marLeft w:val="0"/>
      <w:marRight w:val="0"/>
      <w:marTop w:val="0"/>
      <w:marBottom w:val="0"/>
      <w:divBdr>
        <w:top w:val="none" w:sz="0" w:space="0" w:color="auto"/>
        <w:left w:val="none" w:sz="0" w:space="0" w:color="auto"/>
        <w:bottom w:val="none" w:sz="0" w:space="0" w:color="auto"/>
        <w:right w:val="none" w:sz="0" w:space="0" w:color="auto"/>
      </w:divBdr>
      <w:divsChild>
        <w:div w:id="1544826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5309131">
      <w:bodyDiv w:val="1"/>
      <w:marLeft w:val="0"/>
      <w:marRight w:val="0"/>
      <w:marTop w:val="0"/>
      <w:marBottom w:val="0"/>
      <w:divBdr>
        <w:top w:val="none" w:sz="0" w:space="0" w:color="auto"/>
        <w:left w:val="none" w:sz="0" w:space="0" w:color="auto"/>
        <w:bottom w:val="none" w:sz="0" w:space="0" w:color="auto"/>
        <w:right w:val="none" w:sz="0" w:space="0" w:color="auto"/>
      </w:divBdr>
    </w:div>
    <w:div w:id="1682853574">
      <w:bodyDiv w:val="1"/>
      <w:marLeft w:val="0"/>
      <w:marRight w:val="0"/>
      <w:marTop w:val="0"/>
      <w:marBottom w:val="0"/>
      <w:divBdr>
        <w:top w:val="none" w:sz="0" w:space="0" w:color="auto"/>
        <w:left w:val="none" w:sz="0" w:space="0" w:color="auto"/>
        <w:bottom w:val="none" w:sz="0" w:space="0" w:color="auto"/>
        <w:right w:val="none" w:sz="0" w:space="0" w:color="auto"/>
      </w:divBdr>
    </w:div>
    <w:div w:id="1710643095">
      <w:bodyDiv w:val="1"/>
      <w:marLeft w:val="0"/>
      <w:marRight w:val="0"/>
      <w:marTop w:val="0"/>
      <w:marBottom w:val="0"/>
      <w:divBdr>
        <w:top w:val="none" w:sz="0" w:space="0" w:color="auto"/>
        <w:left w:val="none" w:sz="0" w:space="0" w:color="auto"/>
        <w:bottom w:val="none" w:sz="0" w:space="0" w:color="auto"/>
        <w:right w:val="none" w:sz="0" w:space="0" w:color="auto"/>
      </w:divBdr>
    </w:div>
    <w:div w:id="1737165496">
      <w:bodyDiv w:val="1"/>
      <w:marLeft w:val="0"/>
      <w:marRight w:val="0"/>
      <w:marTop w:val="0"/>
      <w:marBottom w:val="0"/>
      <w:divBdr>
        <w:top w:val="none" w:sz="0" w:space="0" w:color="auto"/>
        <w:left w:val="none" w:sz="0" w:space="0" w:color="auto"/>
        <w:bottom w:val="none" w:sz="0" w:space="0" w:color="auto"/>
        <w:right w:val="none" w:sz="0" w:space="0" w:color="auto"/>
      </w:divBdr>
    </w:div>
    <w:div w:id="1738287194">
      <w:bodyDiv w:val="1"/>
      <w:marLeft w:val="0"/>
      <w:marRight w:val="0"/>
      <w:marTop w:val="0"/>
      <w:marBottom w:val="0"/>
      <w:divBdr>
        <w:top w:val="none" w:sz="0" w:space="0" w:color="auto"/>
        <w:left w:val="none" w:sz="0" w:space="0" w:color="auto"/>
        <w:bottom w:val="none" w:sz="0" w:space="0" w:color="auto"/>
        <w:right w:val="none" w:sz="0" w:space="0" w:color="auto"/>
      </w:divBdr>
    </w:div>
    <w:div w:id="1773739332">
      <w:bodyDiv w:val="1"/>
      <w:marLeft w:val="0"/>
      <w:marRight w:val="0"/>
      <w:marTop w:val="0"/>
      <w:marBottom w:val="0"/>
      <w:divBdr>
        <w:top w:val="none" w:sz="0" w:space="0" w:color="auto"/>
        <w:left w:val="none" w:sz="0" w:space="0" w:color="auto"/>
        <w:bottom w:val="none" w:sz="0" w:space="0" w:color="auto"/>
        <w:right w:val="none" w:sz="0" w:space="0" w:color="auto"/>
      </w:divBdr>
    </w:div>
    <w:div w:id="1781098784">
      <w:bodyDiv w:val="1"/>
      <w:marLeft w:val="0"/>
      <w:marRight w:val="0"/>
      <w:marTop w:val="0"/>
      <w:marBottom w:val="0"/>
      <w:divBdr>
        <w:top w:val="none" w:sz="0" w:space="0" w:color="auto"/>
        <w:left w:val="none" w:sz="0" w:space="0" w:color="auto"/>
        <w:bottom w:val="none" w:sz="0" w:space="0" w:color="auto"/>
        <w:right w:val="none" w:sz="0" w:space="0" w:color="auto"/>
      </w:divBdr>
    </w:div>
    <w:div w:id="1796631404">
      <w:bodyDiv w:val="1"/>
      <w:marLeft w:val="0"/>
      <w:marRight w:val="0"/>
      <w:marTop w:val="0"/>
      <w:marBottom w:val="0"/>
      <w:divBdr>
        <w:top w:val="none" w:sz="0" w:space="0" w:color="auto"/>
        <w:left w:val="none" w:sz="0" w:space="0" w:color="auto"/>
        <w:bottom w:val="none" w:sz="0" w:space="0" w:color="auto"/>
        <w:right w:val="none" w:sz="0" w:space="0" w:color="auto"/>
      </w:divBdr>
    </w:div>
    <w:div w:id="1798058749">
      <w:bodyDiv w:val="1"/>
      <w:marLeft w:val="0"/>
      <w:marRight w:val="0"/>
      <w:marTop w:val="0"/>
      <w:marBottom w:val="0"/>
      <w:divBdr>
        <w:top w:val="none" w:sz="0" w:space="0" w:color="auto"/>
        <w:left w:val="none" w:sz="0" w:space="0" w:color="auto"/>
        <w:bottom w:val="none" w:sz="0" w:space="0" w:color="auto"/>
        <w:right w:val="none" w:sz="0" w:space="0" w:color="auto"/>
      </w:divBdr>
    </w:div>
    <w:div w:id="1829057622">
      <w:bodyDiv w:val="1"/>
      <w:marLeft w:val="0"/>
      <w:marRight w:val="0"/>
      <w:marTop w:val="0"/>
      <w:marBottom w:val="0"/>
      <w:divBdr>
        <w:top w:val="none" w:sz="0" w:space="0" w:color="auto"/>
        <w:left w:val="none" w:sz="0" w:space="0" w:color="auto"/>
        <w:bottom w:val="none" w:sz="0" w:space="0" w:color="auto"/>
        <w:right w:val="none" w:sz="0" w:space="0" w:color="auto"/>
      </w:divBdr>
      <w:divsChild>
        <w:div w:id="13986693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9877610">
      <w:bodyDiv w:val="1"/>
      <w:marLeft w:val="0"/>
      <w:marRight w:val="0"/>
      <w:marTop w:val="0"/>
      <w:marBottom w:val="0"/>
      <w:divBdr>
        <w:top w:val="none" w:sz="0" w:space="0" w:color="auto"/>
        <w:left w:val="none" w:sz="0" w:space="0" w:color="auto"/>
        <w:bottom w:val="none" w:sz="0" w:space="0" w:color="auto"/>
        <w:right w:val="none" w:sz="0" w:space="0" w:color="auto"/>
      </w:divBdr>
    </w:div>
    <w:div w:id="1892426851">
      <w:bodyDiv w:val="1"/>
      <w:marLeft w:val="0"/>
      <w:marRight w:val="0"/>
      <w:marTop w:val="0"/>
      <w:marBottom w:val="0"/>
      <w:divBdr>
        <w:top w:val="none" w:sz="0" w:space="0" w:color="auto"/>
        <w:left w:val="none" w:sz="0" w:space="0" w:color="auto"/>
        <w:bottom w:val="none" w:sz="0" w:space="0" w:color="auto"/>
        <w:right w:val="none" w:sz="0" w:space="0" w:color="auto"/>
      </w:divBdr>
    </w:div>
    <w:div w:id="1950039730">
      <w:bodyDiv w:val="1"/>
      <w:marLeft w:val="0"/>
      <w:marRight w:val="0"/>
      <w:marTop w:val="0"/>
      <w:marBottom w:val="0"/>
      <w:divBdr>
        <w:top w:val="none" w:sz="0" w:space="0" w:color="auto"/>
        <w:left w:val="none" w:sz="0" w:space="0" w:color="auto"/>
        <w:bottom w:val="none" w:sz="0" w:space="0" w:color="auto"/>
        <w:right w:val="none" w:sz="0" w:space="0" w:color="auto"/>
      </w:divBdr>
    </w:div>
    <w:div w:id="1977298841">
      <w:bodyDiv w:val="1"/>
      <w:marLeft w:val="0"/>
      <w:marRight w:val="0"/>
      <w:marTop w:val="0"/>
      <w:marBottom w:val="0"/>
      <w:divBdr>
        <w:top w:val="none" w:sz="0" w:space="0" w:color="auto"/>
        <w:left w:val="none" w:sz="0" w:space="0" w:color="auto"/>
        <w:bottom w:val="none" w:sz="0" w:space="0" w:color="auto"/>
        <w:right w:val="none" w:sz="0" w:space="0" w:color="auto"/>
      </w:divBdr>
    </w:div>
    <w:div w:id="2070300917">
      <w:bodyDiv w:val="1"/>
      <w:marLeft w:val="0"/>
      <w:marRight w:val="0"/>
      <w:marTop w:val="0"/>
      <w:marBottom w:val="0"/>
      <w:divBdr>
        <w:top w:val="none" w:sz="0" w:space="0" w:color="auto"/>
        <w:left w:val="none" w:sz="0" w:space="0" w:color="auto"/>
        <w:bottom w:val="none" w:sz="0" w:space="0" w:color="auto"/>
        <w:right w:val="none" w:sz="0" w:space="0" w:color="auto"/>
      </w:divBdr>
    </w:div>
    <w:div w:id="2083482616">
      <w:bodyDiv w:val="1"/>
      <w:marLeft w:val="0"/>
      <w:marRight w:val="0"/>
      <w:marTop w:val="0"/>
      <w:marBottom w:val="0"/>
      <w:divBdr>
        <w:top w:val="none" w:sz="0" w:space="0" w:color="auto"/>
        <w:left w:val="none" w:sz="0" w:space="0" w:color="auto"/>
        <w:bottom w:val="none" w:sz="0" w:space="0" w:color="auto"/>
        <w:right w:val="none" w:sz="0" w:space="0" w:color="auto"/>
      </w:divBdr>
    </w:div>
    <w:div w:id="2099859595">
      <w:bodyDiv w:val="1"/>
      <w:marLeft w:val="0"/>
      <w:marRight w:val="0"/>
      <w:marTop w:val="0"/>
      <w:marBottom w:val="0"/>
      <w:divBdr>
        <w:top w:val="none" w:sz="0" w:space="0" w:color="auto"/>
        <w:left w:val="none" w:sz="0" w:space="0" w:color="auto"/>
        <w:bottom w:val="none" w:sz="0" w:space="0" w:color="auto"/>
        <w:right w:val="none" w:sz="0" w:space="0" w:color="auto"/>
      </w:divBdr>
    </w:div>
    <w:div w:id="214230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3.png"/><Relationship Id="rId21" Type="http://schemas.openxmlformats.org/officeDocument/2006/relationships/image" Target="media/image3.png"/><Relationship Id="rId42" Type="http://schemas.openxmlformats.org/officeDocument/2006/relationships/diagramLayout" Target="diagrams/layout4.xml"/><Relationship Id="rId63" Type="http://schemas.openxmlformats.org/officeDocument/2006/relationships/diagramQuickStyle" Target="diagrams/quickStyle8.xml"/><Relationship Id="rId84" Type="http://schemas.openxmlformats.org/officeDocument/2006/relationships/image" Target="media/image10.jpeg"/><Relationship Id="rId138" Type="http://schemas.openxmlformats.org/officeDocument/2006/relationships/hyperlink" Target="https://blog.ekip.app/avantages-financiers/" TargetMode="External"/><Relationship Id="rId159" Type="http://schemas.openxmlformats.org/officeDocument/2006/relationships/image" Target="media/image39.png"/><Relationship Id="rId170" Type="http://schemas.openxmlformats.org/officeDocument/2006/relationships/image" Target="media/image50.png"/><Relationship Id="rId107" Type="http://schemas.openxmlformats.org/officeDocument/2006/relationships/header" Target="header9.xml"/><Relationship Id="rId11" Type="http://schemas.openxmlformats.org/officeDocument/2006/relationships/footer" Target="footer1.xml"/><Relationship Id="rId32" Type="http://schemas.openxmlformats.org/officeDocument/2006/relationships/diagramQuickStyle" Target="diagrams/quickStyle2.xml"/><Relationship Id="rId53" Type="http://schemas.openxmlformats.org/officeDocument/2006/relationships/diagramQuickStyle" Target="diagrams/quickStyle6.xml"/><Relationship Id="rId74" Type="http://schemas.openxmlformats.org/officeDocument/2006/relationships/diagramLayout" Target="diagrams/layout10.xml"/><Relationship Id="rId128" Type="http://schemas.openxmlformats.org/officeDocument/2006/relationships/image" Target="media/image34.png"/><Relationship Id="rId149" Type="http://schemas.openxmlformats.org/officeDocument/2006/relationships/hyperlink" Target="https://www.terralaboris.be/spip.php?id_rubrique=3024&amp;page=decisions" TargetMode="External"/><Relationship Id="rId5" Type="http://schemas.openxmlformats.org/officeDocument/2006/relationships/webSettings" Target="webSettings.xml"/><Relationship Id="rId95" Type="http://schemas.openxmlformats.org/officeDocument/2006/relationships/image" Target="media/image18.png"/><Relationship Id="rId160" Type="http://schemas.openxmlformats.org/officeDocument/2006/relationships/image" Target="media/image40.png"/><Relationship Id="rId181" Type="http://schemas.openxmlformats.org/officeDocument/2006/relationships/image" Target="media/image61.png"/><Relationship Id="rId22" Type="http://schemas.openxmlformats.org/officeDocument/2006/relationships/image" Target="media/image4.png"/><Relationship Id="rId43" Type="http://schemas.openxmlformats.org/officeDocument/2006/relationships/diagramQuickStyle" Target="diagrams/quickStyle4.xml"/><Relationship Id="rId64" Type="http://schemas.openxmlformats.org/officeDocument/2006/relationships/diagramColors" Target="diagrams/colors8.xml"/><Relationship Id="rId118" Type="http://schemas.openxmlformats.org/officeDocument/2006/relationships/image" Target="media/image24.png"/><Relationship Id="rId139" Type="http://schemas.openxmlformats.org/officeDocument/2006/relationships/hyperlink" Target="https://analytics.google.com" TargetMode="External"/><Relationship Id="rId85" Type="http://schemas.openxmlformats.org/officeDocument/2006/relationships/image" Target="media/image11.png"/><Relationship Id="rId150" Type="http://schemas.openxmlformats.org/officeDocument/2006/relationships/hyperlink" Target="https://blog.workday.com/..." TargetMode="External"/><Relationship Id="rId171" Type="http://schemas.openxmlformats.org/officeDocument/2006/relationships/image" Target="media/image51.png"/><Relationship Id="rId12" Type="http://schemas.openxmlformats.org/officeDocument/2006/relationships/footer" Target="footer2.xml"/><Relationship Id="rId33" Type="http://schemas.openxmlformats.org/officeDocument/2006/relationships/diagramColors" Target="diagrams/colors2.xml"/><Relationship Id="rId108" Type="http://schemas.openxmlformats.org/officeDocument/2006/relationships/footer" Target="footer7.xml"/><Relationship Id="rId129" Type="http://schemas.openxmlformats.org/officeDocument/2006/relationships/image" Target="media/image35.png"/><Relationship Id="rId54" Type="http://schemas.openxmlformats.org/officeDocument/2006/relationships/diagramColors" Target="diagrams/colors6.xml"/><Relationship Id="rId75" Type="http://schemas.openxmlformats.org/officeDocument/2006/relationships/diagramQuickStyle" Target="diagrams/quickStyle10.xml"/><Relationship Id="rId96" Type="http://schemas.openxmlformats.org/officeDocument/2006/relationships/hyperlink" Target="https://inbound.lasuperagence.com/blog/e-recrutement-recrutement-2.0-recrutement-3.0-inbound-recruiting" TargetMode="External"/><Relationship Id="rId140" Type="http://schemas.openxmlformats.org/officeDocument/2006/relationships/hyperlink" Target="https://www.hubspot.com/" TargetMode="External"/><Relationship Id="rId161" Type="http://schemas.openxmlformats.org/officeDocument/2006/relationships/image" Target="media/image41.png"/><Relationship Id="rId182" Type="http://schemas.openxmlformats.org/officeDocument/2006/relationships/image" Target="media/image62.png"/><Relationship Id="rId6" Type="http://schemas.openxmlformats.org/officeDocument/2006/relationships/footnotes" Target="footnotes.xml"/><Relationship Id="rId23" Type="http://schemas.openxmlformats.org/officeDocument/2006/relationships/hyperlink" Target="https://www.wcoomd.org/-/media/wco/public/fr/pdf/topics/capacity-building/activities-and-programmes/people-development/framework-fr.pdf?la=fr" TargetMode="External"/><Relationship Id="rId119" Type="http://schemas.openxmlformats.org/officeDocument/2006/relationships/image" Target="media/image25.png"/><Relationship Id="rId44" Type="http://schemas.openxmlformats.org/officeDocument/2006/relationships/diagramColors" Target="diagrams/colors4.xml"/><Relationship Id="rId65" Type="http://schemas.microsoft.com/office/2007/relationships/diagramDrawing" Target="diagrams/drawing8.xml"/><Relationship Id="rId86" Type="http://schemas.openxmlformats.org/officeDocument/2006/relationships/image" Target="media/image12.png"/><Relationship Id="rId130" Type="http://schemas.openxmlformats.org/officeDocument/2006/relationships/image" Target="media/image36.png"/><Relationship Id="rId151" Type="http://schemas.openxmlformats.org/officeDocument/2006/relationships/hyperlink" Target="https://www.igs-ecoles.com/blogs/les-metiers-rh-tendances-de-demain" TargetMode="External"/><Relationship Id="rId172" Type="http://schemas.openxmlformats.org/officeDocument/2006/relationships/image" Target="media/image52.png"/><Relationship Id="rId13" Type="http://schemas.openxmlformats.org/officeDocument/2006/relationships/header" Target="header3.xml"/><Relationship Id="rId18" Type="http://schemas.openxmlformats.org/officeDocument/2006/relationships/header" Target="header5.xml"/><Relationship Id="rId39" Type="http://schemas.microsoft.com/office/2007/relationships/diagramDrawing" Target="diagrams/drawing3.xml"/><Relationship Id="rId109" Type="http://schemas.openxmlformats.org/officeDocument/2006/relationships/image" Target="media/image20.jpeg"/><Relationship Id="rId34" Type="http://schemas.microsoft.com/office/2007/relationships/diagramDrawing" Target="diagrams/drawing2.xml"/><Relationship Id="rId50" Type="http://schemas.microsoft.com/office/2007/relationships/diagramDrawing" Target="diagrams/drawing5.xml"/><Relationship Id="rId55" Type="http://schemas.microsoft.com/office/2007/relationships/diagramDrawing" Target="diagrams/drawing6.xml"/><Relationship Id="rId76" Type="http://schemas.openxmlformats.org/officeDocument/2006/relationships/diagramColors" Target="diagrams/colors10.xml"/><Relationship Id="rId97" Type="http://schemas.openxmlformats.org/officeDocument/2006/relationships/diagramData" Target="diagrams/data11.xml"/><Relationship Id="rId104" Type="http://schemas.openxmlformats.org/officeDocument/2006/relationships/hyperlink" Target="https://www.mooc.org/" TargetMode="External"/><Relationship Id="rId120" Type="http://schemas.openxmlformats.org/officeDocument/2006/relationships/image" Target="media/image26.png"/><Relationship Id="rId125" Type="http://schemas.openxmlformats.org/officeDocument/2006/relationships/image" Target="media/image31.png"/><Relationship Id="rId141" Type="http://schemas.openxmlformats.org/officeDocument/2006/relationships/hyperlink" Target="https://www.microsoft.com/fr-fr/microsoft-365/yammer" TargetMode="External"/><Relationship Id="rId146" Type="http://schemas.openxmlformats.org/officeDocument/2006/relationships/hyperlink" Target="https://www.reducbox.com/..." TargetMode="External"/><Relationship Id="rId167" Type="http://schemas.openxmlformats.org/officeDocument/2006/relationships/image" Target="media/image47.png"/><Relationship Id="rId188" Type="http://schemas.openxmlformats.org/officeDocument/2006/relationships/header" Target="header17.xml"/><Relationship Id="rId7" Type="http://schemas.openxmlformats.org/officeDocument/2006/relationships/endnotes" Target="endnotes.xml"/><Relationship Id="rId71" Type="http://schemas.openxmlformats.org/officeDocument/2006/relationships/header" Target="header6.xml"/><Relationship Id="rId92" Type="http://schemas.openxmlformats.org/officeDocument/2006/relationships/hyperlink" Target="https://www.robopost.com/e-recrutement-definition-et-tendance/" TargetMode="External"/><Relationship Id="rId162" Type="http://schemas.openxmlformats.org/officeDocument/2006/relationships/image" Target="media/image42.png"/><Relationship Id="rId183"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hyperlink" Target="https://asjp.cerist.dz/en/article/142113" TargetMode="External"/><Relationship Id="rId24" Type="http://schemas.openxmlformats.org/officeDocument/2006/relationships/diagramData" Target="diagrams/data1.xml"/><Relationship Id="rId40" Type="http://schemas.openxmlformats.org/officeDocument/2006/relationships/hyperlink" Target="https://www.google.com/url?sa=i&amp;url=https%3A%2F%2Ffastercapital.com%2Ffr%2Fsujet%2Fcomprendre-les-d%25C3%25A9fis-uniques-de-la-gestion-des-ressources-humaines-dans-les-h%25C3%25B4pitaux.html&amp;psig=AOvVaw1bLg11Bh4rZ70vEke4C0X9&amp;ust=1740910480998000&amp;source=images&amp;cd=vfe&amp;opi=89978449&amp;ved=0CBkQjhxqFwoTCLDqrorT6IsDFQAAAAAdAAAAABAE" TargetMode="External"/><Relationship Id="rId45" Type="http://schemas.microsoft.com/office/2007/relationships/diagramDrawing" Target="diagrams/drawing4.xml"/><Relationship Id="rId66" Type="http://schemas.openxmlformats.org/officeDocument/2006/relationships/diagramData" Target="diagrams/data9.xml"/><Relationship Id="rId87" Type="http://schemas.openxmlformats.org/officeDocument/2006/relationships/image" Target="media/image13.png"/><Relationship Id="rId110" Type="http://schemas.openxmlformats.org/officeDocument/2006/relationships/diagramData" Target="diagrams/data12.xml"/><Relationship Id="rId115" Type="http://schemas.openxmlformats.org/officeDocument/2006/relationships/image" Target="media/image21.png"/><Relationship Id="rId131" Type="http://schemas.openxmlformats.org/officeDocument/2006/relationships/header" Target="header10.xml"/><Relationship Id="rId136" Type="http://schemas.openxmlformats.org/officeDocument/2006/relationships/hyperlink" Target="https://combohr.com/fr/blog/avantages-salariaux" TargetMode="External"/><Relationship Id="rId157" Type="http://schemas.openxmlformats.org/officeDocument/2006/relationships/image" Target="media/image37.png"/><Relationship Id="rId178" Type="http://schemas.openxmlformats.org/officeDocument/2006/relationships/image" Target="media/image58.png"/><Relationship Id="rId61" Type="http://schemas.openxmlformats.org/officeDocument/2006/relationships/diagramData" Target="diagrams/data8.xml"/><Relationship Id="rId82" Type="http://schemas.openxmlformats.org/officeDocument/2006/relationships/image" Target="media/image8.png"/><Relationship Id="rId152" Type="http://schemas.openxmlformats.org/officeDocument/2006/relationships/hyperlink" Target="https://www.lemondeinformatique.fr/actualites/lire-digitalisation-rh-quels-impacts-sur-les-processus-internes-84521.html" TargetMode="External"/><Relationship Id="rId173" Type="http://schemas.openxmlformats.org/officeDocument/2006/relationships/image" Target="media/image53.png"/><Relationship Id="rId19" Type="http://schemas.openxmlformats.org/officeDocument/2006/relationships/image" Target="media/image2.png"/><Relationship Id="rId14" Type="http://schemas.openxmlformats.org/officeDocument/2006/relationships/footer" Target="footer3.xml"/><Relationship Id="rId30" Type="http://schemas.openxmlformats.org/officeDocument/2006/relationships/diagramData" Target="diagrams/data2.xml"/><Relationship Id="rId35" Type="http://schemas.openxmlformats.org/officeDocument/2006/relationships/diagramData" Target="diagrams/data3.xml"/><Relationship Id="rId56" Type="http://schemas.openxmlformats.org/officeDocument/2006/relationships/diagramData" Target="diagrams/data7.xml"/><Relationship Id="rId77" Type="http://schemas.microsoft.com/office/2007/relationships/diagramDrawing" Target="diagrams/drawing10.xml"/><Relationship Id="rId100" Type="http://schemas.openxmlformats.org/officeDocument/2006/relationships/diagramColors" Target="diagrams/colors11.xml"/><Relationship Id="rId105" Type="http://schemas.openxmlformats.org/officeDocument/2006/relationships/header" Target="header8.xml"/><Relationship Id="rId126" Type="http://schemas.openxmlformats.org/officeDocument/2006/relationships/image" Target="media/image32.png"/><Relationship Id="rId147" Type="http://schemas.openxmlformats.org/officeDocument/2006/relationships/hyperlink" Target="https://scoptalent.com" TargetMode="External"/><Relationship Id="rId168" Type="http://schemas.openxmlformats.org/officeDocument/2006/relationships/image" Target="media/image48.png"/><Relationship Id="rId8" Type="http://schemas.openxmlformats.org/officeDocument/2006/relationships/image" Target="media/image1.jpeg"/><Relationship Id="rId51" Type="http://schemas.openxmlformats.org/officeDocument/2006/relationships/diagramData" Target="diagrams/data6.xml"/><Relationship Id="rId72" Type="http://schemas.openxmlformats.org/officeDocument/2006/relationships/header" Target="header7.xml"/><Relationship Id="rId93" Type="http://schemas.openxmlformats.org/officeDocument/2006/relationships/image" Target="media/image17.jpeg"/><Relationship Id="rId98" Type="http://schemas.openxmlformats.org/officeDocument/2006/relationships/diagramLayout" Target="diagrams/layout11.xml"/><Relationship Id="rId121" Type="http://schemas.openxmlformats.org/officeDocument/2006/relationships/image" Target="media/image27.png"/><Relationship Id="rId142" Type="http://schemas.openxmlformats.org/officeDocument/2006/relationships/hyperlink" Target="https://www.mycrowdconnect.com/about" TargetMode="External"/><Relationship Id="rId163" Type="http://schemas.openxmlformats.org/officeDocument/2006/relationships/image" Target="media/image43.png"/><Relationship Id="rId184" Type="http://schemas.openxmlformats.org/officeDocument/2006/relationships/image" Target="media/image64.png"/><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diagramLayout" Target="diagrams/layout1.xml"/><Relationship Id="rId46" Type="http://schemas.openxmlformats.org/officeDocument/2006/relationships/diagramData" Target="diagrams/data5.xml"/><Relationship Id="rId67" Type="http://schemas.openxmlformats.org/officeDocument/2006/relationships/diagramLayout" Target="diagrams/layout9.xml"/><Relationship Id="rId116" Type="http://schemas.openxmlformats.org/officeDocument/2006/relationships/image" Target="media/image22.png"/><Relationship Id="rId137" Type="http://schemas.openxmlformats.org/officeDocument/2006/relationships/hyperlink" Target="https://www.docusign.com/" TargetMode="External"/><Relationship Id="rId158" Type="http://schemas.openxmlformats.org/officeDocument/2006/relationships/image" Target="media/image38.png"/><Relationship Id="rId20" Type="http://schemas.openxmlformats.org/officeDocument/2006/relationships/hyperlink" Target="https://www.scribbr.fr/methodologie/pyramide-de-maslow/" TargetMode="External"/><Relationship Id="rId41" Type="http://schemas.openxmlformats.org/officeDocument/2006/relationships/diagramData" Target="diagrams/data4.xml"/><Relationship Id="rId62" Type="http://schemas.openxmlformats.org/officeDocument/2006/relationships/diagramLayout" Target="diagrams/layout8.xml"/><Relationship Id="rId83" Type="http://schemas.openxmlformats.org/officeDocument/2006/relationships/image" Target="media/image9.png"/><Relationship Id="rId88" Type="http://schemas.openxmlformats.org/officeDocument/2006/relationships/image" Target="media/image14.png"/><Relationship Id="rId111" Type="http://schemas.openxmlformats.org/officeDocument/2006/relationships/diagramLayout" Target="diagrams/layout12.xml"/><Relationship Id="rId132" Type="http://schemas.openxmlformats.org/officeDocument/2006/relationships/header" Target="header11.xml"/><Relationship Id="rId153" Type="http://schemas.openxmlformats.org/officeDocument/2006/relationships/hyperlink" Target="https://www.lefigaro.fr/economie/la-digitalisation-des-rh-progresse-mais-des-defis-subsistent-20221209" TargetMode="External"/><Relationship Id="rId174" Type="http://schemas.openxmlformats.org/officeDocument/2006/relationships/image" Target="media/image54.png"/><Relationship Id="rId179" Type="http://schemas.openxmlformats.org/officeDocument/2006/relationships/image" Target="media/image59.png"/><Relationship Id="rId190" Type="http://schemas.openxmlformats.org/officeDocument/2006/relationships/theme" Target="theme/theme1.xml"/><Relationship Id="rId15" Type="http://schemas.openxmlformats.org/officeDocument/2006/relationships/footer" Target="footer4.xml"/><Relationship Id="rId36" Type="http://schemas.openxmlformats.org/officeDocument/2006/relationships/diagramLayout" Target="diagrams/layout3.xml"/><Relationship Id="rId57" Type="http://schemas.openxmlformats.org/officeDocument/2006/relationships/diagramLayout" Target="diagrams/layout7.xml"/><Relationship Id="rId106" Type="http://schemas.openxmlformats.org/officeDocument/2006/relationships/footer" Target="footer6.xml"/><Relationship Id="rId127" Type="http://schemas.openxmlformats.org/officeDocument/2006/relationships/image" Target="media/image33.png"/><Relationship Id="rId10" Type="http://schemas.openxmlformats.org/officeDocument/2006/relationships/header" Target="header2.xml"/><Relationship Id="rId31" Type="http://schemas.openxmlformats.org/officeDocument/2006/relationships/diagramLayout" Target="diagrams/layout2.xml"/><Relationship Id="rId52" Type="http://schemas.openxmlformats.org/officeDocument/2006/relationships/diagramLayout" Target="diagrams/layout6.xml"/><Relationship Id="rId73" Type="http://schemas.openxmlformats.org/officeDocument/2006/relationships/diagramData" Target="diagrams/data10.xml"/><Relationship Id="rId78" Type="http://schemas.openxmlformats.org/officeDocument/2006/relationships/image" Target="media/image5.png"/><Relationship Id="rId94" Type="http://schemas.openxmlformats.org/officeDocument/2006/relationships/hyperlink" Target="https://business-cool.com/vie-pro/recrutement/erreur-eviter-entretiens-a-distance/" TargetMode="External"/><Relationship Id="rId99" Type="http://schemas.openxmlformats.org/officeDocument/2006/relationships/diagramQuickStyle" Target="diagrams/quickStyle11.xml"/><Relationship Id="rId101" Type="http://schemas.microsoft.com/office/2007/relationships/diagramDrawing" Target="diagrams/drawing11.xml"/><Relationship Id="rId122" Type="http://schemas.openxmlformats.org/officeDocument/2006/relationships/image" Target="media/image28.png"/><Relationship Id="rId143" Type="http://schemas.openxmlformats.org/officeDocument/2006/relationships/hyperlink" Target="https://openai.com/chatgpt" TargetMode="External"/><Relationship Id="rId148" Type="http://schemas.openxmlformats.org/officeDocument/2006/relationships/hyperlink" Target="https://www.signaturit.com/fr/..." TargetMode="External"/><Relationship Id="rId164" Type="http://schemas.openxmlformats.org/officeDocument/2006/relationships/image" Target="media/image44.png"/><Relationship Id="rId169" Type="http://schemas.openxmlformats.org/officeDocument/2006/relationships/image" Target="media/image49.png"/><Relationship Id="rId185" Type="http://schemas.openxmlformats.org/officeDocument/2006/relationships/image" Target="media/image65.pn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60.png"/><Relationship Id="rId26" Type="http://schemas.openxmlformats.org/officeDocument/2006/relationships/diagramQuickStyle" Target="diagrams/quickStyle1.xml"/><Relationship Id="rId47" Type="http://schemas.openxmlformats.org/officeDocument/2006/relationships/diagramLayout" Target="diagrams/layout5.xml"/><Relationship Id="rId68" Type="http://schemas.openxmlformats.org/officeDocument/2006/relationships/diagramQuickStyle" Target="diagrams/quickStyle9.xml"/><Relationship Id="rId89" Type="http://schemas.openxmlformats.org/officeDocument/2006/relationships/image" Target="media/image15.png"/><Relationship Id="rId112" Type="http://schemas.openxmlformats.org/officeDocument/2006/relationships/diagramQuickStyle" Target="diagrams/quickStyle12.xml"/><Relationship Id="rId133" Type="http://schemas.openxmlformats.org/officeDocument/2006/relationships/header" Target="header12.xml"/><Relationship Id="rId154" Type="http://schemas.openxmlformats.org/officeDocument/2006/relationships/hyperlink" Target="https://www.lemonde.fr/economie/article/2023/07/03/formation-continue-les-salaries-reclament-plus-de-numerique_6173086_3234.html" TargetMode="External"/><Relationship Id="rId175" Type="http://schemas.openxmlformats.org/officeDocument/2006/relationships/image" Target="media/image55.png"/><Relationship Id="rId16" Type="http://schemas.openxmlformats.org/officeDocument/2006/relationships/footer" Target="footer5.xml"/><Relationship Id="rId37" Type="http://schemas.openxmlformats.org/officeDocument/2006/relationships/diagramQuickStyle" Target="diagrams/quickStyle3.xml"/><Relationship Id="rId58" Type="http://schemas.openxmlformats.org/officeDocument/2006/relationships/diagramQuickStyle" Target="diagrams/quickStyle7.xml"/><Relationship Id="rId79" Type="http://schemas.openxmlformats.org/officeDocument/2006/relationships/image" Target="media/image6.png"/><Relationship Id="rId102" Type="http://schemas.openxmlformats.org/officeDocument/2006/relationships/hyperlink" Target="https://www.fao.org/3/i2516f/i2516f.pdf" TargetMode="External"/><Relationship Id="rId123" Type="http://schemas.openxmlformats.org/officeDocument/2006/relationships/image" Target="media/image29.png"/><Relationship Id="rId144" Type="http://schemas.openxmlformats.org/officeDocument/2006/relationships/hyperlink" Target="https://www.ovhcloud.com/" TargetMode="External"/><Relationship Id="rId90" Type="http://schemas.openxmlformats.org/officeDocument/2006/relationships/hyperlink" Target="https://www.tiilt.io/digital-rh-la-transformation-numerique-dans-la-rh/" TargetMode="External"/><Relationship Id="rId165" Type="http://schemas.openxmlformats.org/officeDocument/2006/relationships/image" Target="media/image45.png"/><Relationship Id="rId186" Type="http://schemas.openxmlformats.org/officeDocument/2006/relationships/header" Target="header15.xml"/><Relationship Id="rId27" Type="http://schemas.openxmlformats.org/officeDocument/2006/relationships/diagramColors" Target="diagrams/colors1.xml"/><Relationship Id="rId48" Type="http://schemas.openxmlformats.org/officeDocument/2006/relationships/diagramQuickStyle" Target="diagrams/quickStyle5.xml"/><Relationship Id="rId69" Type="http://schemas.openxmlformats.org/officeDocument/2006/relationships/diagramColors" Target="diagrams/colors9.xml"/><Relationship Id="rId113" Type="http://schemas.openxmlformats.org/officeDocument/2006/relationships/diagramColors" Target="diagrams/colors12.xml"/><Relationship Id="rId134" Type="http://schemas.openxmlformats.org/officeDocument/2006/relationships/hyperlink" Target="https://www.airbnb.com/" TargetMode="External"/><Relationship Id="rId80" Type="http://schemas.openxmlformats.org/officeDocument/2006/relationships/image" Target="media/image7.png"/><Relationship Id="rId155" Type="http://schemas.openxmlformats.org/officeDocument/2006/relationships/header" Target="header13.xml"/><Relationship Id="rId176" Type="http://schemas.openxmlformats.org/officeDocument/2006/relationships/image" Target="media/image56.png"/><Relationship Id="rId17" Type="http://schemas.openxmlformats.org/officeDocument/2006/relationships/header" Target="header4.xml"/><Relationship Id="rId38" Type="http://schemas.openxmlformats.org/officeDocument/2006/relationships/diagramColors" Target="diagrams/colors3.xml"/><Relationship Id="rId59" Type="http://schemas.openxmlformats.org/officeDocument/2006/relationships/diagramColors" Target="diagrams/colors7.xml"/><Relationship Id="rId103" Type="http://schemas.openxmlformats.org/officeDocument/2006/relationships/image" Target="media/image19.png"/><Relationship Id="rId124" Type="http://schemas.openxmlformats.org/officeDocument/2006/relationships/image" Target="media/image30.png"/><Relationship Id="rId70" Type="http://schemas.microsoft.com/office/2007/relationships/diagramDrawing" Target="diagrams/drawing9.xml"/><Relationship Id="rId91" Type="http://schemas.openxmlformats.org/officeDocument/2006/relationships/image" Target="media/image16.png"/><Relationship Id="rId145" Type="http://schemas.openxmlformats.org/officeDocument/2006/relationships/hyperlink" Target="https://peoplespheres.com/fr/top-5-des-astuces-pour-optimiser-votre-strategie-rh/" TargetMode="External"/><Relationship Id="rId166" Type="http://schemas.openxmlformats.org/officeDocument/2006/relationships/image" Target="media/image46.png"/><Relationship Id="rId187" Type="http://schemas.openxmlformats.org/officeDocument/2006/relationships/header" Target="header16.xml"/><Relationship Id="rId1" Type="http://schemas.openxmlformats.org/officeDocument/2006/relationships/customXml" Target="../customXml/item1.xml"/><Relationship Id="rId28" Type="http://schemas.microsoft.com/office/2007/relationships/diagramDrawing" Target="diagrams/drawing1.xml"/><Relationship Id="rId49" Type="http://schemas.openxmlformats.org/officeDocument/2006/relationships/diagramColors" Target="diagrams/colors5.xml"/><Relationship Id="rId114" Type="http://schemas.microsoft.com/office/2007/relationships/diagramDrawing" Target="diagrams/drawing12.xml"/><Relationship Id="rId60" Type="http://schemas.microsoft.com/office/2007/relationships/diagramDrawing" Target="diagrams/drawing7.xml"/><Relationship Id="rId81" Type="http://schemas.openxmlformats.org/officeDocument/2006/relationships/hyperlink" Target="https://www.jumia.com.dz/?srsltid=AfmBOorsl7p9gOXtn24bAq_sahKpoiz_XelzkaE-MYKVaSHIzNa0Or3B" TargetMode="External"/><Relationship Id="rId135" Type="http://schemas.openxmlformats.org/officeDocument/2006/relationships/hyperlink" Target="https://www.appvizer.fr/magazine/ressources-humaines/gestion-competences/outils-gpec" TargetMode="External"/><Relationship Id="rId156" Type="http://schemas.openxmlformats.org/officeDocument/2006/relationships/header" Target="header14.xml"/><Relationship Id="rId177" Type="http://schemas.openxmlformats.org/officeDocument/2006/relationships/image" Target="media/image57.png"/></Relationships>
</file>

<file path=word/_rels/footnotes.xml.rels><?xml version="1.0" encoding="UTF-8" standalone="yes"?>
<Relationships xmlns="http://schemas.openxmlformats.org/package/2006/relationships"><Relationship Id="rId8" Type="http://schemas.openxmlformats.org/officeDocument/2006/relationships/hyperlink" Target="https://www.cegid.com/fr/blog/top-20-des-outils-de-recrutement/?utm_source=chatgpt.com" TargetMode="External"/><Relationship Id="rId3" Type="http://schemas.openxmlformats.org/officeDocument/2006/relationships/hyperlink" Target="https://theses.hal.science/tel-04626272" TargetMode="External"/><Relationship Id="rId7" Type="http://schemas.openxmlformats.org/officeDocument/2006/relationships/hyperlink" Target="https://www.layan.eu/blog/article/les-tendances-et-outils-de-recrutement?utm_source=chatgpt.com" TargetMode="External"/><Relationship Id="rId2" Type="http://schemas.openxmlformats.org/officeDocument/2006/relationships/hyperlink" Target="https://ijafame.org/index.php/ijafame/article/view/733" TargetMode="External"/><Relationship Id="rId1" Type="http://schemas.openxmlformats.org/officeDocument/2006/relationships/hyperlink" Target="https://doi.org/10.3917/grh.191.0011" TargetMode="External"/><Relationship Id="rId6" Type="http://schemas.openxmlformats.org/officeDocument/2006/relationships/hyperlink" Target="https://scoptalent.com/e-recrutement-avantages-guide-recruter-talents/?utm_source=chatgpt.com" TargetMode="External"/><Relationship Id="rId5" Type="http://schemas.openxmlformats.org/officeDocument/2006/relationships/hyperlink" Target="https://asjp.cerist.dz/en/article/77096" TargetMode="External"/><Relationship Id="rId4" Type="http://schemas.openxmlformats.org/officeDocument/2006/relationships/hyperlink" Target="https://leena.ai/" TargetMode="External"/><Relationship Id="rId9" Type="http://schemas.openxmlformats.org/officeDocument/2006/relationships/hyperlink" Target="https://recruitee.com/fr-articles/outils-rh-recrutement?utm_source=chatgpt.com"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6_5">
  <dgm:title val=""/>
  <dgm:desc val=""/>
  <dgm:catLst>
    <dgm:cat type="accent6" pri="11500"/>
  </dgm:catLst>
  <dgm:styleLbl name="node0">
    <dgm:fillClrLst meth="cycle">
      <a:schemeClr val="accent6">
        <a:alpha val="80000"/>
      </a:schemeClr>
    </dgm:fillClrLst>
    <dgm:linClrLst meth="repeat">
      <a:schemeClr val="lt1"/>
    </dgm:linClrLst>
    <dgm:effectClrLst/>
    <dgm:txLinClrLst/>
    <dgm:txFillClrLst/>
    <dgm:txEffectClrLst/>
  </dgm:styleLbl>
  <dgm:styleLbl name="alignNode1">
    <dgm:fillClrLst>
      <a:schemeClr val="accent6">
        <a:alpha val="90000"/>
      </a:schemeClr>
      <a:schemeClr val="accent6">
        <a:alpha val="50000"/>
      </a:schemeClr>
    </dgm:fillClrLst>
    <dgm:linClrLst>
      <a:schemeClr val="accent6">
        <a:alpha val="90000"/>
      </a:schemeClr>
      <a:schemeClr val="accent6">
        <a:alpha val="50000"/>
      </a:schemeClr>
    </dgm:linClrLst>
    <dgm:effectClrLst/>
    <dgm:txLinClrLst/>
    <dgm:txFillClrLst/>
    <dgm:txEffectClrLst/>
  </dgm:styleLbl>
  <dgm:styleLbl name="node1">
    <dgm:fillClrLst>
      <a:schemeClr val="accent6">
        <a:alpha val="90000"/>
      </a:schemeClr>
      <a:schemeClr val="accent6">
        <a:alpha val="50000"/>
      </a:schemeClr>
    </dgm:fillClrLst>
    <dgm:linClrLst meth="repeat">
      <a:schemeClr val="lt1"/>
    </dgm:linClrLst>
    <dgm:effectClrLst/>
    <dgm:txLinClrLst/>
    <dgm:txFillClrLst/>
    <dgm:txEffectClrLst/>
  </dgm:styleLbl>
  <dgm:styleLbl name="lnNode1">
    <dgm:fillClrLst>
      <a:schemeClr val="accent6">
        <a:shade val="90000"/>
      </a:schemeClr>
      <a:schemeClr val="accent6">
        <a:tint val="50000"/>
        <a:alpha val="5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alpha val="80000"/>
      </a:schemeClr>
    </dgm:fillClrLst>
    <dgm:linClrLst meth="repeat">
      <a:schemeClr val="lt1"/>
    </dgm:linClrLst>
    <dgm:effectClrLst/>
    <dgm:txLinClrLst/>
    <dgm:txFillClrLst/>
    <dgm:txEffectClrLst/>
  </dgm:styleLbl>
  <dgm:styleLbl name="node2">
    <dgm:fillClrLst>
      <a:schemeClr val="accent6">
        <a:alpha val="70000"/>
      </a:schemeClr>
    </dgm:fillClrLst>
    <dgm:linClrLst meth="repeat">
      <a:schemeClr val="lt1"/>
    </dgm:linClrLst>
    <dgm:effectClrLst/>
    <dgm:txLinClrLst/>
    <dgm:txFillClrLst/>
    <dgm:txEffectClrLst/>
  </dgm:styleLbl>
  <dgm:styleLbl name="node3">
    <dgm:fillClrLst>
      <a:schemeClr val="accent6">
        <a:alpha val="50000"/>
      </a:schemeClr>
    </dgm:fillClrLst>
    <dgm:linClrLst meth="repeat">
      <a:schemeClr val="lt1"/>
    </dgm:linClrLst>
    <dgm:effectClrLst/>
    <dgm:txLinClrLst/>
    <dgm:txFillClrLst/>
    <dgm:txEffectClrLst/>
  </dgm:styleLbl>
  <dgm:styleLbl name="node4">
    <dgm:fillClrLst>
      <a:schemeClr val="accent6">
        <a:alpha val="30000"/>
      </a:schemeClr>
    </dgm:fillClrLst>
    <dgm:linClrLst meth="repeat">
      <a:schemeClr val="lt1"/>
    </dgm:linClrLst>
    <dgm:effectClrLst/>
    <dgm:txLinClrLst/>
    <dgm:txFillClrLst/>
    <dgm:txEffectClrLst/>
  </dgm:styleLbl>
  <dgm:styleLbl name="fgImgPlace1">
    <dgm:fillClrLst>
      <a:schemeClr val="accent6">
        <a:tint val="50000"/>
        <a:alpha val="90000"/>
      </a:schemeClr>
      <a:schemeClr val="accent6">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f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b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sibTrans1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alpha val="90000"/>
      </a:schemeClr>
    </dgm:fillClrLst>
    <dgm:linClrLst meth="repeat">
      <a:schemeClr val="lt1"/>
    </dgm:linClrLst>
    <dgm:effectClrLst/>
    <dgm:txLinClrLst/>
    <dgm:txFillClrLst/>
    <dgm:txEffectClrLst/>
  </dgm:styleLbl>
  <dgm:styleLbl name="asst1">
    <dgm:fillClrLst meth="repeat">
      <a:schemeClr val="accent6">
        <a:alpha val="90000"/>
      </a:schemeClr>
    </dgm:fillClrLst>
    <dgm:linClrLst meth="repeat">
      <a:schemeClr val="lt1"/>
    </dgm:linClrLst>
    <dgm:effectClrLst/>
    <dgm:txLinClrLst/>
    <dgm:txFillClrLst/>
    <dgm:txEffectClrLst/>
  </dgm:styleLbl>
  <dgm:styleLbl name="asst2">
    <dgm:fillClrLst>
      <a:schemeClr val="accent6">
        <a:alpha val="90000"/>
      </a:schemeClr>
    </dgm:fillClrLst>
    <dgm:linClrLst meth="repeat">
      <a:schemeClr val="lt1"/>
    </dgm:linClrLst>
    <dgm:effectClrLst/>
    <dgm:txLinClrLst/>
    <dgm:txFillClrLst/>
    <dgm:txEffectClrLst/>
  </dgm:styleLbl>
  <dgm:styleLbl name="asst3">
    <dgm:fillClrLst>
      <a:schemeClr val="accent6">
        <a:alpha val="70000"/>
      </a:schemeClr>
    </dgm:fillClrLst>
    <dgm:linClrLst meth="repeat">
      <a:schemeClr val="lt1"/>
    </dgm:linClrLst>
    <dgm:effectClrLst/>
    <dgm:txLinClrLst/>
    <dgm:txFillClrLst/>
    <dgm:txEffectClrLst/>
  </dgm:styleLbl>
  <dgm:styleLbl name="asst4">
    <dgm:fillClrLst>
      <a:schemeClr val="accent6">
        <a:alpha val="50000"/>
      </a:schemeClr>
    </dgm:fillClrLst>
    <dgm:linClrLst meth="repeat">
      <a:schemeClr val="lt1"/>
    </dgm:linClrLst>
    <dgm:effectClrLst/>
    <dgm:txLinClrLst/>
    <dgm:txFillClrLst/>
    <dgm:txEffectClrLst/>
  </dgm:styleLbl>
  <dgm:styleLbl name="parChTrans2D1">
    <dgm:fillClrLst meth="repeat">
      <a:schemeClr val="accent6">
        <a:shade val="8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a:schemeClr val="accent6">
        <a:alpha val="90000"/>
        <a:tint val="40000"/>
      </a:schemeClr>
      <a:schemeClr val="accent6">
        <a:alpha val="5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455D25-60CA-7A4E-94D3-00EE7C7A8E61}" type="doc">
      <dgm:prSet loTypeId="urn:microsoft.com/office/officeart/2005/8/layout/radial3" loCatId="" qsTypeId="urn:microsoft.com/office/officeart/2005/8/quickstyle/simple5" qsCatId="simple" csTypeId="urn:microsoft.com/office/officeart/2005/8/colors/colorful4" csCatId="colorful" phldr="1"/>
      <dgm:spPr/>
      <dgm:t>
        <a:bodyPr/>
        <a:lstStyle/>
        <a:p>
          <a:endParaRPr lang="en-US"/>
        </a:p>
      </dgm:t>
    </dgm:pt>
    <dgm:pt modelId="{D6F730D2-2E0B-964D-904A-5F9114964303}">
      <dgm:prSet phldrT="[Text]"/>
      <dgm:spPr>
        <a:solidFill>
          <a:srgbClr val="D8DCD1"/>
        </a:solidFill>
      </dgm:spPr>
      <dgm:t>
        <a:bodyPr/>
        <a:lstStyle/>
        <a:p>
          <a:r>
            <a:rPr lang="en-US"/>
            <a:t>Caractéristiques du systéme de rémunération </a:t>
          </a:r>
        </a:p>
      </dgm:t>
    </dgm:pt>
    <dgm:pt modelId="{8E4533C8-408F-9343-A869-C873DC166172}" type="parTrans" cxnId="{EF3340FE-1E11-5540-B7A6-C321E9ECCEFB}">
      <dgm:prSet/>
      <dgm:spPr/>
      <dgm:t>
        <a:bodyPr/>
        <a:lstStyle/>
        <a:p>
          <a:endParaRPr lang="en-US">
            <a:solidFill>
              <a:schemeClr val="bg1"/>
            </a:solidFill>
          </a:endParaRPr>
        </a:p>
      </dgm:t>
    </dgm:pt>
    <dgm:pt modelId="{EA2F8C28-6F00-FD41-A3DA-193304A9640D}" type="sibTrans" cxnId="{EF3340FE-1E11-5540-B7A6-C321E9ECCEFB}">
      <dgm:prSet/>
      <dgm:spPr/>
      <dgm:t>
        <a:bodyPr/>
        <a:lstStyle/>
        <a:p>
          <a:endParaRPr lang="en-US">
            <a:solidFill>
              <a:schemeClr val="bg1"/>
            </a:solidFill>
          </a:endParaRPr>
        </a:p>
      </dgm:t>
    </dgm:pt>
    <dgm:pt modelId="{0D284626-5E44-5946-8D78-D7709E492E64}">
      <dgm:prSet phldrT="[Text]" custT="1"/>
      <dgm:spPr>
        <a:solidFill>
          <a:srgbClr val="D4CEC2"/>
        </a:solidFill>
      </dgm:spPr>
      <dgm:t>
        <a:bodyPr/>
        <a:lstStyle/>
        <a:p>
          <a:r>
            <a:rPr lang="en-US" sz="900"/>
            <a:t>Stratégique</a:t>
          </a:r>
        </a:p>
      </dgm:t>
    </dgm:pt>
    <dgm:pt modelId="{F16D0058-158A-9B46-AC7B-FE74473838AD}" type="parTrans" cxnId="{81478A92-BAC0-2C49-9E95-00001CE9B5F7}">
      <dgm:prSet/>
      <dgm:spPr/>
      <dgm:t>
        <a:bodyPr/>
        <a:lstStyle/>
        <a:p>
          <a:endParaRPr lang="en-US">
            <a:solidFill>
              <a:schemeClr val="bg1"/>
            </a:solidFill>
          </a:endParaRPr>
        </a:p>
      </dgm:t>
    </dgm:pt>
    <dgm:pt modelId="{5F2B86F8-9175-3548-94D8-6E89BA1F2FDD}" type="sibTrans" cxnId="{81478A92-BAC0-2C49-9E95-00001CE9B5F7}">
      <dgm:prSet/>
      <dgm:spPr/>
      <dgm:t>
        <a:bodyPr/>
        <a:lstStyle/>
        <a:p>
          <a:endParaRPr lang="en-US">
            <a:solidFill>
              <a:schemeClr val="bg1"/>
            </a:solidFill>
          </a:endParaRPr>
        </a:p>
      </dgm:t>
    </dgm:pt>
    <dgm:pt modelId="{739D3123-592C-6647-A71F-6EE16B6AD9FE}">
      <dgm:prSet phldrT="[Text]" custT="1"/>
      <dgm:spPr>
        <a:solidFill>
          <a:srgbClr val="D4CEC2"/>
        </a:solidFill>
      </dgm:spPr>
      <dgm:t>
        <a:bodyPr/>
        <a:lstStyle/>
        <a:p>
          <a:r>
            <a:rPr lang="en-US" sz="800"/>
            <a:t>Transparent</a:t>
          </a:r>
        </a:p>
      </dgm:t>
    </dgm:pt>
    <dgm:pt modelId="{D0D2D453-4F40-3C4E-9733-28AD33BA6A23}" type="parTrans" cxnId="{4BD06F72-86ED-1147-A632-A9D1E562C972}">
      <dgm:prSet/>
      <dgm:spPr/>
      <dgm:t>
        <a:bodyPr/>
        <a:lstStyle/>
        <a:p>
          <a:endParaRPr lang="en-US">
            <a:solidFill>
              <a:schemeClr val="bg1"/>
            </a:solidFill>
          </a:endParaRPr>
        </a:p>
      </dgm:t>
    </dgm:pt>
    <dgm:pt modelId="{5938D533-193E-A749-978E-35D92948F784}" type="sibTrans" cxnId="{4BD06F72-86ED-1147-A632-A9D1E562C972}">
      <dgm:prSet/>
      <dgm:spPr/>
      <dgm:t>
        <a:bodyPr/>
        <a:lstStyle/>
        <a:p>
          <a:endParaRPr lang="en-US">
            <a:solidFill>
              <a:schemeClr val="bg1"/>
            </a:solidFill>
          </a:endParaRPr>
        </a:p>
      </dgm:t>
    </dgm:pt>
    <dgm:pt modelId="{62F0B9F4-8AE9-9143-AAED-89B8AB462B17}">
      <dgm:prSet/>
      <dgm:spPr>
        <a:solidFill>
          <a:srgbClr val="D4CEC2"/>
        </a:solidFill>
      </dgm:spPr>
      <dgm:t>
        <a:bodyPr/>
        <a:lstStyle/>
        <a:p>
          <a:r>
            <a:rPr lang="en-US"/>
            <a:t>Compétitif</a:t>
          </a:r>
        </a:p>
      </dgm:t>
    </dgm:pt>
    <dgm:pt modelId="{7CE220E5-6EF2-5F41-B69A-238396D143C3}" type="parTrans" cxnId="{DD7DC96E-AAED-2442-96E3-EA966C7BBCE9}">
      <dgm:prSet/>
      <dgm:spPr/>
      <dgm:t>
        <a:bodyPr/>
        <a:lstStyle/>
        <a:p>
          <a:endParaRPr lang="en-US">
            <a:solidFill>
              <a:schemeClr val="bg1"/>
            </a:solidFill>
          </a:endParaRPr>
        </a:p>
      </dgm:t>
    </dgm:pt>
    <dgm:pt modelId="{B569F92C-5C72-A245-AAEC-3512758F7872}" type="sibTrans" cxnId="{DD7DC96E-AAED-2442-96E3-EA966C7BBCE9}">
      <dgm:prSet/>
      <dgm:spPr/>
      <dgm:t>
        <a:bodyPr/>
        <a:lstStyle/>
        <a:p>
          <a:endParaRPr lang="en-US">
            <a:solidFill>
              <a:schemeClr val="bg1"/>
            </a:solidFill>
          </a:endParaRPr>
        </a:p>
      </dgm:t>
    </dgm:pt>
    <dgm:pt modelId="{C938BFCC-B5FA-0943-B9DF-16CA09417C77}">
      <dgm:prSet/>
      <dgm:spPr>
        <a:solidFill>
          <a:srgbClr val="D4CEC2"/>
        </a:solidFill>
      </dgm:spPr>
      <dgm:t>
        <a:bodyPr/>
        <a:lstStyle/>
        <a:p>
          <a:r>
            <a:rPr lang="en-US"/>
            <a:t>Équitable</a:t>
          </a:r>
        </a:p>
      </dgm:t>
    </dgm:pt>
    <dgm:pt modelId="{589CF1E4-5C52-5040-A39D-5237A5FB8E14}" type="parTrans" cxnId="{A8410824-E727-C545-A9EE-7A3707CB063B}">
      <dgm:prSet/>
      <dgm:spPr/>
      <dgm:t>
        <a:bodyPr/>
        <a:lstStyle/>
        <a:p>
          <a:endParaRPr lang="en-US">
            <a:solidFill>
              <a:schemeClr val="bg1"/>
            </a:solidFill>
          </a:endParaRPr>
        </a:p>
      </dgm:t>
    </dgm:pt>
    <dgm:pt modelId="{561A9D1D-6180-5848-836D-6462A3B4BF45}" type="sibTrans" cxnId="{A8410824-E727-C545-A9EE-7A3707CB063B}">
      <dgm:prSet/>
      <dgm:spPr/>
      <dgm:t>
        <a:bodyPr/>
        <a:lstStyle/>
        <a:p>
          <a:endParaRPr lang="en-US">
            <a:solidFill>
              <a:schemeClr val="bg1"/>
            </a:solidFill>
          </a:endParaRPr>
        </a:p>
      </dgm:t>
    </dgm:pt>
    <dgm:pt modelId="{C3AC3466-2322-2F48-88CD-93BDA0F60A43}" type="pres">
      <dgm:prSet presAssocID="{B8455D25-60CA-7A4E-94D3-00EE7C7A8E61}" presName="composite" presStyleCnt="0">
        <dgm:presLayoutVars>
          <dgm:chMax val="1"/>
          <dgm:dir/>
          <dgm:resizeHandles val="exact"/>
        </dgm:presLayoutVars>
      </dgm:prSet>
      <dgm:spPr/>
    </dgm:pt>
    <dgm:pt modelId="{2D2269DA-9F4F-CD43-9A73-479136768137}" type="pres">
      <dgm:prSet presAssocID="{B8455D25-60CA-7A4E-94D3-00EE7C7A8E61}" presName="radial" presStyleCnt="0">
        <dgm:presLayoutVars>
          <dgm:animLvl val="ctr"/>
        </dgm:presLayoutVars>
      </dgm:prSet>
      <dgm:spPr/>
    </dgm:pt>
    <dgm:pt modelId="{8BE9EC84-DB1B-E145-B79A-AC02EB372FE9}" type="pres">
      <dgm:prSet presAssocID="{D6F730D2-2E0B-964D-904A-5F9114964303}" presName="centerShape" presStyleLbl="vennNode1" presStyleIdx="0" presStyleCnt="5" custScaleX="204381"/>
      <dgm:spPr/>
    </dgm:pt>
    <dgm:pt modelId="{0F3C0BDB-5438-3D47-B7D1-E25BBB048494}" type="pres">
      <dgm:prSet presAssocID="{0D284626-5E44-5946-8D78-D7709E492E64}" presName="node" presStyleLbl="vennNode1" presStyleIdx="1" presStyleCnt="5" custScaleX="152093" custScaleY="155573" custRadScaleRad="208883" custRadScaleInc="117654">
        <dgm:presLayoutVars>
          <dgm:bulletEnabled val="1"/>
        </dgm:presLayoutVars>
      </dgm:prSet>
      <dgm:spPr/>
    </dgm:pt>
    <dgm:pt modelId="{3C50D13A-4F9C-5B4D-A597-8945871F1535}" type="pres">
      <dgm:prSet presAssocID="{739D3123-592C-6647-A71F-6EE16B6AD9FE}" presName="node" presStyleLbl="vennNode1" presStyleIdx="2" presStyleCnt="5" custScaleX="152093" custScaleY="155573" custRadScaleRad="201723" custRadScaleInc="-19267">
        <dgm:presLayoutVars>
          <dgm:bulletEnabled val="1"/>
        </dgm:presLayoutVars>
      </dgm:prSet>
      <dgm:spPr/>
    </dgm:pt>
    <dgm:pt modelId="{C0AD574F-C14B-6245-A111-3C57889962C9}" type="pres">
      <dgm:prSet presAssocID="{62F0B9F4-8AE9-9143-AAED-89B8AB462B17}" presName="node" presStyleLbl="vennNode1" presStyleIdx="3" presStyleCnt="5" custScaleX="152093" custScaleY="155573" custRadScaleRad="209408" custRadScaleInc="118002">
        <dgm:presLayoutVars>
          <dgm:bulletEnabled val="1"/>
        </dgm:presLayoutVars>
      </dgm:prSet>
      <dgm:spPr/>
    </dgm:pt>
    <dgm:pt modelId="{BF6AC4B2-DF00-534F-9022-F80CE53003BB}" type="pres">
      <dgm:prSet presAssocID="{C938BFCC-B5FA-0943-B9DF-16CA09417C77}" presName="node" presStyleLbl="vennNode1" presStyleIdx="4" presStyleCnt="5" custScaleX="152093" custScaleY="155573" custRadScaleRad="209501" custRadScaleInc="-18785">
        <dgm:presLayoutVars>
          <dgm:bulletEnabled val="1"/>
        </dgm:presLayoutVars>
      </dgm:prSet>
      <dgm:spPr/>
    </dgm:pt>
  </dgm:ptLst>
  <dgm:cxnLst>
    <dgm:cxn modelId="{A8410824-E727-C545-A9EE-7A3707CB063B}" srcId="{D6F730D2-2E0B-964D-904A-5F9114964303}" destId="{C938BFCC-B5FA-0943-B9DF-16CA09417C77}" srcOrd="3" destOrd="0" parTransId="{589CF1E4-5C52-5040-A39D-5237A5FB8E14}" sibTransId="{561A9D1D-6180-5848-836D-6462A3B4BF45}"/>
    <dgm:cxn modelId="{DD7DC96E-AAED-2442-96E3-EA966C7BBCE9}" srcId="{D6F730D2-2E0B-964D-904A-5F9114964303}" destId="{62F0B9F4-8AE9-9143-AAED-89B8AB462B17}" srcOrd="2" destOrd="0" parTransId="{7CE220E5-6EF2-5F41-B69A-238396D143C3}" sibTransId="{B569F92C-5C72-A245-AAEC-3512758F7872}"/>
    <dgm:cxn modelId="{4BD06F72-86ED-1147-A632-A9D1E562C972}" srcId="{D6F730D2-2E0B-964D-904A-5F9114964303}" destId="{739D3123-592C-6647-A71F-6EE16B6AD9FE}" srcOrd="1" destOrd="0" parTransId="{D0D2D453-4F40-3C4E-9733-28AD33BA6A23}" sibTransId="{5938D533-193E-A749-978E-35D92948F784}"/>
    <dgm:cxn modelId="{BF1B1774-689C-DE46-AEE2-6CD339237714}" type="presOf" srcId="{C938BFCC-B5FA-0943-B9DF-16CA09417C77}" destId="{BF6AC4B2-DF00-534F-9022-F80CE53003BB}" srcOrd="0" destOrd="0" presId="urn:microsoft.com/office/officeart/2005/8/layout/radial3"/>
    <dgm:cxn modelId="{81478A92-BAC0-2C49-9E95-00001CE9B5F7}" srcId="{D6F730D2-2E0B-964D-904A-5F9114964303}" destId="{0D284626-5E44-5946-8D78-D7709E492E64}" srcOrd="0" destOrd="0" parTransId="{F16D0058-158A-9B46-AC7B-FE74473838AD}" sibTransId="{5F2B86F8-9175-3548-94D8-6E89BA1F2FDD}"/>
    <dgm:cxn modelId="{2898FF9A-1E4D-E24B-BA36-44643A84C87C}" type="presOf" srcId="{D6F730D2-2E0B-964D-904A-5F9114964303}" destId="{8BE9EC84-DB1B-E145-B79A-AC02EB372FE9}" srcOrd="0" destOrd="0" presId="urn:microsoft.com/office/officeart/2005/8/layout/radial3"/>
    <dgm:cxn modelId="{89EB93B2-089C-8745-8C6E-82B065CA1371}" type="presOf" srcId="{B8455D25-60CA-7A4E-94D3-00EE7C7A8E61}" destId="{C3AC3466-2322-2F48-88CD-93BDA0F60A43}" srcOrd="0" destOrd="0" presId="urn:microsoft.com/office/officeart/2005/8/layout/radial3"/>
    <dgm:cxn modelId="{705E71B5-4D3F-654F-BEC3-298A962BDAB3}" type="presOf" srcId="{739D3123-592C-6647-A71F-6EE16B6AD9FE}" destId="{3C50D13A-4F9C-5B4D-A597-8945871F1535}" srcOrd="0" destOrd="0" presId="urn:microsoft.com/office/officeart/2005/8/layout/radial3"/>
    <dgm:cxn modelId="{490255E1-44C6-184B-B0F3-C2F97B314533}" type="presOf" srcId="{62F0B9F4-8AE9-9143-AAED-89B8AB462B17}" destId="{C0AD574F-C14B-6245-A111-3C57889962C9}" srcOrd="0" destOrd="0" presId="urn:microsoft.com/office/officeart/2005/8/layout/radial3"/>
    <dgm:cxn modelId="{179D86F5-C0B9-624C-9988-AA5EC65CAA5C}" type="presOf" srcId="{0D284626-5E44-5946-8D78-D7709E492E64}" destId="{0F3C0BDB-5438-3D47-B7D1-E25BBB048494}" srcOrd="0" destOrd="0" presId="urn:microsoft.com/office/officeart/2005/8/layout/radial3"/>
    <dgm:cxn modelId="{EF3340FE-1E11-5540-B7A6-C321E9ECCEFB}" srcId="{B8455D25-60CA-7A4E-94D3-00EE7C7A8E61}" destId="{D6F730D2-2E0B-964D-904A-5F9114964303}" srcOrd="0" destOrd="0" parTransId="{8E4533C8-408F-9343-A869-C873DC166172}" sibTransId="{EA2F8C28-6F00-FD41-A3DA-193304A9640D}"/>
    <dgm:cxn modelId="{636FE649-19BA-4F4F-8AE7-5E5D80AE7093}" type="presParOf" srcId="{C3AC3466-2322-2F48-88CD-93BDA0F60A43}" destId="{2D2269DA-9F4F-CD43-9A73-479136768137}" srcOrd="0" destOrd="0" presId="urn:microsoft.com/office/officeart/2005/8/layout/radial3"/>
    <dgm:cxn modelId="{4CC27224-4F52-0D42-AE93-219B28B9F559}" type="presParOf" srcId="{2D2269DA-9F4F-CD43-9A73-479136768137}" destId="{8BE9EC84-DB1B-E145-B79A-AC02EB372FE9}" srcOrd="0" destOrd="0" presId="urn:microsoft.com/office/officeart/2005/8/layout/radial3"/>
    <dgm:cxn modelId="{B3297FCE-068B-A745-80DF-D42525C56023}" type="presParOf" srcId="{2D2269DA-9F4F-CD43-9A73-479136768137}" destId="{0F3C0BDB-5438-3D47-B7D1-E25BBB048494}" srcOrd="1" destOrd="0" presId="urn:microsoft.com/office/officeart/2005/8/layout/radial3"/>
    <dgm:cxn modelId="{04F3AE46-94FD-E440-8681-FB21D2D239BE}" type="presParOf" srcId="{2D2269DA-9F4F-CD43-9A73-479136768137}" destId="{3C50D13A-4F9C-5B4D-A597-8945871F1535}" srcOrd="2" destOrd="0" presId="urn:microsoft.com/office/officeart/2005/8/layout/radial3"/>
    <dgm:cxn modelId="{2F8DB2E5-2148-B14D-BA3F-E685C6426C6C}" type="presParOf" srcId="{2D2269DA-9F4F-CD43-9A73-479136768137}" destId="{C0AD574F-C14B-6245-A111-3C57889962C9}" srcOrd="3" destOrd="0" presId="urn:microsoft.com/office/officeart/2005/8/layout/radial3"/>
    <dgm:cxn modelId="{5D68F778-0939-2145-87D6-D421CB6129B0}" type="presParOf" srcId="{2D2269DA-9F4F-CD43-9A73-479136768137}" destId="{BF6AC4B2-DF00-534F-9022-F80CE53003BB}" srcOrd="4" destOrd="0" presId="urn:microsoft.com/office/officeart/2005/8/layout/radial3"/>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597D9AB-5588-104B-B270-460BF1FFDBEF}" type="doc">
      <dgm:prSet loTypeId="urn:microsoft.com/office/officeart/2009/3/layout/StepUpProcess" loCatId="" qsTypeId="urn:microsoft.com/office/officeart/2005/8/quickstyle/simple5" qsCatId="simple" csTypeId="urn:microsoft.com/office/officeart/2005/8/colors/accent6_2" csCatId="accent6" phldr="1"/>
      <dgm:spPr/>
      <dgm:t>
        <a:bodyPr/>
        <a:lstStyle/>
        <a:p>
          <a:endParaRPr lang="en-US"/>
        </a:p>
      </dgm:t>
    </dgm:pt>
    <dgm:pt modelId="{9AA905CA-3CA6-E746-9A01-F5AEA807BB1E}">
      <dgm:prSet phldrT="[Text]" custT="1"/>
      <dgm:spPr/>
      <dgm:t>
        <a:bodyPr/>
        <a:lstStyle/>
        <a:p>
          <a:r>
            <a:rPr lang="fr-FR" sz="1200">
              <a:latin typeface="Times New Roman" panose="02020603050405020304" pitchFamily="18" charset="0"/>
              <a:cs typeface="Times New Roman" panose="02020603050405020304" pitchFamily="18" charset="0"/>
            </a:rPr>
            <a:t>Élaboration du référentiel de compétences</a:t>
          </a:r>
          <a:endParaRPr lang="en-US" sz="1200">
            <a:latin typeface="Times New Roman" panose="02020603050405020304" pitchFamily="18" charset="0"/>
            <a:cs typeface="Times New Roman" panose="02020603050405020304" pitchFamily="18" charset="0"/>
          </a:endParaRPr>
        </a:p>
      </dgm:t>
    </dgm:pt>
    <dgm:pt modelId="{135A21FB-6312-0F46-B894-30780168C5C0}" type="parTrans" cxnId="{A7532192-5AB2-6D43-9847-E03E45E902A4}">
      <dgm:prSet/>
      <dgm:spPr/>
      <dgm:t>
        <a:bodyPr/>
        <a:lstStyle/>
        <a:p>
          <a:endParaRPr lang="en-US" sz="1200">
            <a:latin typeface="Times New Roman" panose="02020603050405020304" pitchFamily="18" charset="0"/>
            <a:cs typeface="Times New Roman" panose="02020603050405020304" pitchFamily="18" charset="0"/>
          </a:endParaRPr>
        </a:p>
      </dgm:t>
    </dgm:pt>
    <dgm:pt modelId="{95B1A539-0D0B-F842-B7A3-440543D38585}" type="sibTrans" cxnId="{A7532192-5AB2-6D43-9847-E03E45E902A4}">
      <dgm:prSet/>
      <dgm:spPr/>
      <dgm:t>
        <a:bodyPr/>
        <a:lstStyle/>
        <a:p>
          <a:endParaRPr lang="en-US" sz="1200">
            <a:latin typeface="Times New Roman" panose="02020603050405020304" pitchFamily="18" charset="0"/>
            <a:cs typeface="Times New Roman" panose="02020603050405020304" pitchFamily="18" charset="0"/>
          </a:endParaRPr>
        </a:p>
      </dgm:t>
    </dgm:pt>
    <dgm:pt modelId="{2FEAC185-8F44-C340-B80D-0059DFE13DF3}">
      <dgm:prSet phldrT="[Text]" custT="1"/>
      <dgm:spPr/>
      <dgm:t>
        <a:bodyPr/>
        <a:lstStyle/>
        <a:p>
          <a:r>
            <a:rPr lang="fr-FR" sz="1200">
              <a:latin typeface="Times New Roman" panose="02020603050405020304" pitchFamily="18" charset="0"/>
              <a:cs typeface="Times New Roman" panose="02020603050405020304" pitchFamily="18" charset="0"/>
            </a:rPr>
            <a:t>Évaluation des compétences internes</a:t>
          </a:r>
          <a:endParaRPr lang="en-US" sz="1200">
            <a:latin typeface="Times New Roman" panose="02020603050405020304" pitchFamily="18" charset="0"/>
            <a:cs typeface="Times New Roman" panose="02020603050405020304" pitchFamily="18" charset="0"/>
          </a:endParaRPr>
        </a:p>
      </dgm:t>
    </dgm:pt>
    <dgm:pt modelId="{F7DB5083-12DD-EF4F-BF05-C3BD6DDAA150}" type="parTrans" cxnId="{670B3717-0E24-CD4C-AFCE-2A256CEBB869}">
      <dgm:prSet/>
      <dgm:spPr/>
      <dgm:t>
        <a:bodyPr/>
        <a:lstStyle/>
        <a:p>
          <a:endParaRPr lang="en-US" sz="1200">
            <a:latin typeface="Times New Roman" panose="02020603050405020304" pitchFamily="18" charset="0"/>
            <a:cs typeface="Times New Roman" panose="02020603050405020304" pitchFamily="18" charset="0"/>
          </a:endParaRPr>
        </a:p>
      </dgm:t>
    </dgm:pt>
    <dgm:pt modelId="{F65E78C5-276B-DB4C-9CCA-F73F879D19F5}" type="sibTrans" cxnId="{670B3717-0E24-CD4C-AFCE-2A256CEBB869}">
      <dgm:prSet/>
      <dgm:spPr/>
      <dgm:t>
        <a:bodyPr/>
        <a:lstStyle/>
        <a:p>
          <a:endParaRPr lang="en-US" sz="1200">
            <a:latin typeface="Times New Roman" panose="02020603050405020304" pitchFamily="18" charset="0"/>
            <a:cs typeface="Times New Roman" panose="02020603050405020304" pitchFamily="18" charset="0"/>
          </a:endParaRPr>
        </a:p>
      </dgm:t>
    </dgm:pt>
    <dgm:pt modelId="{046EC27A-F557-234E-A066-DACD0107734F}">
      <dgm:prSet phldrT="[Text]" custT="1"/>
      <dgm:spPr/>
      <dgm:t>
        <a:bodyPr/>
        <a:lstStyle/>
        <a:p>
          <a:r>
            <a:rPr lang="fr-FR" sz="1200">
              <a:latin typeface="Times New Roman" panose="02020603050405020304" pitchFamily="18" charset="0"/>
              <a:cs typeface="Times New Roman" panose="02020603050405020304" pitchFamily="18" charset="0"/>
            </a:rPr>
            <a:t>Renforcement des compétences</a:t>
          </a:r>
          <a:endParaRPr lang="en-US" sz="1200">
            <a:latin typeface="Times New Roman" panose="02020603050405020304" pitchFamily="18" charset="0"/>
            <a:cs typeface="Times New Roman" panose="02020603050405020304" pitchFamily="18" charset="0"/>
          </a:endParaRPr>
        </a:p>
      </dgm:t>
    </dgm:pt>
    <dgm:pt modelId="{02D3819F-F609-B94A-B673-A43EA7D0FA11}" type="parTrans" cxnId="{D33E9818-DF8F-724E-8259-2525631C4018}">
      <dgm:prSet/>
      <dgm:spPr/>
      <dgm:t>
        <a:bodyPr/>
        <a:lstStyle/>
        <a:p>
          <a:endParaRPr lang="en-US" sz="1200">
            <a:latin typeface="Times New Roman" panose="02020603050405020304" pitchFamily="18" charset="0"/>
            <a:cs typeface="Times New Roman" panose="02020603050405020304" pitchFamily="18" charset="0"/>
          </a:endParaRPr>
        </a:p>
      </dgm:t>
    </dgm:pt>
    <dgm:pt modelId="{599A8BF4-DFC8-F246-B401-C73017FB0F7A}" type="sibTrans" cxnId="{D33E9818-DF8F-724E-8259-2525631C4018}">
      <dgm:prSet/>
      <dgm:spPr/>
      <dgm:t>
        <a:bodyPr/>
        <a:lstStyle/>
        <a:p>
          <a:endParaRPr lang="en-US" sz="1200">
            <a:latin typeface="Times New Roman" panose="02020603050405020304" pitchFamily="18" charset="0"/>
            <a:cs typeface="Times New Roman" panose="02020603050405020304" pitchFamily="18" charset="0"/>
          </a:endParaRPr>
        </a:p>
      </dgm:t>
    </dgm:pt>
    <dgm:pt modelId="{2AFD3CD9-4AF4-6C42-B320-7510E3E96AB1}" type="pres">
      <dgm:prSet presAssocID="{F597D9AB-5588-104B-B270-460BF1FFDBEF}" presName="rootnode" presStyleCnt="0">
        <dgm:presLayoutVars>
          <dgm:chMax/>
          <dgm:chPref/>
          <dgm:dir/>
          <dgm:animLvl val="lvl"/>
        </dgm:presLayoutVars>
      </dgm:prSet>
      <dgm:spPr/>
    </dgm:pt>
    <dgm:pt modelId="{D8AE11CC-0607-D94C-B909-9F49B755997F}" type="pres">
      <dgm:prSet presAssocID="{9AA905CA-3CA6-E746-9A01-F5AEA807BB1E}" presName="composite" presStyleCnt="0"/>
      <dgm:spPr/>
    </dgm:pt>
    <dgm:pt modelId="{EA1C7891-EBD6-D446-B214-F4A2F8E2278F}" type="pres">
      <dgm:prSet presAssocID="{9AA905CA-3CA6-E746-9A01-F5AEA807BB1E}" presName="LShape" presStyleLbl="alignNode1" presStyleIdx="0" presStyleCnt="5"/>
      <dgm:spPr>
        <a:solidFill>
          <a:srgbClr val="D4CEC2"/>
        </a:solidFill>
        <a:ln>
          <a:noFill/>
        </a:ln>
      </dgm:spPr>
    </dgm:pt>
    <dgm:pt modelId="{A7B5E0ED-464D-1F42-A0E4-683DA67FABA7}" type="pres">
      <dgm:prSet presAssocID="{9AA905CA-3CA6-E746-9A01-F5AEA807BB1E}" presName="ParentText" presStyleLbl="revTx" presStyleIdx="0" presStyleCnt="3">
        <dgm:presLayoutVars>
          <dgm:chMax val="0"/>
          <dgm:chPref val="0"/>
          <dgm:bulletEnabled val="1"/>
        </dgm:presLayoutVars>
      </dgm:prSet>
      <dgm:spPr/>
    </dgm:pt>
    <dgm:pt modelId="{A4C4EB2F-AD5D-3140-9F3E-91D73C07E2DB}" type="pres">
      <dgm:prSet presAssocID="{9AA905CA-3CA6-E746-9A01-F5AEA807BB1E}" presName="Triangle" presStyleLbl="alignNode1" presStyleIdx="1" presStyleCnt="5"/>
      <dgm:spPr>
        <a:solidFill>
          <a:srgbClr val="D4CEC2"/>
        </a:solidFill>
        <a:ln>
          <a:noFill/>
        </a:ln>
      </dgm:spPr>
    </dgm:pt>
    <dgm:pt modelId="{59CA8B83-8463-8444-BA87-E9C9A5D25B05}" type="pres">
      <dgm:prSet presAssocID="{95B1A539-0D0B-F842-B7A3-440543D38585}" presName="sibTrans" presStyleCnt="0"/>
      <dgm:spPr/>
    </dgm:pt>
    <dgm:pt modelId="{ED180D96-552D-4B49-96CA-CEE251FDA07B}" type="pres">
      <dgm:prSet presAssocID="{95B1A539-0D0B-F842-B7A3-440543D38585}" presName="space" presStyleCnt="0"/>
      <dgm:spPr/>
    </dgm:pt>
    <dgm:pt modelId="{1E2501F8-C81A-8B42-94A7-926692DD201A}" type="pres">
      <dgm:prSet presAssocID="{2FEAC185-8F44-C340-B80D-0059DFE13DF3}" presName="composite" presStyleCnt="0"/>
      <dgm:spPr/>
    </dgm:pt>
    <dgm:pt modelId="{9F0B9A4C-B41C-8440-BDEB-D9143C826700}" type="pres">
      <dgm:prSet presAssocID="{2FEAC185-8F44-C340-B80D-0059DFE13DF3}" presName="LShape" presStyleLbl="alignNode1" presStyleIdx="2" presStyleCnt="5"/>
      <dgm:spPr>
        <a:solidFill>
          <a:srgbClr val="D4CEC2"/>
        </a:solidFill>
        <a:ln>
          <a:noFill/>
        </a:ln>
      </dgm:spPr>
    </dgm:pt>
    <dgm:pt modelId="{281386FF-9527-9C4E-8AAA-F6EE8819294A}" type="pres">
      <dgm:prSet presAssocID="{2FEAC185-8F44-C340-B80D-0059DFE13DF3}" presName="ParentText" presStyleLbl="revTx" presStyleIdx="1" presStyleCnt="3">
        <dgm:presLayoutVars>
          <dgm:chMax val="0"/>
          <dgm:chPref val="0"/>
          <dgm:bulletEnabled val="1"/>
        </dgm:presLayoutVars>
      </dgm:prSet>
      <dgm:spPr/>
    </dgm:pt>
    <dgm:pt modelId="{D3ACA226-781C-EB4A-8845-37189AA82907}" type="pres">
      <dgm:prSet presAssocID="{2FEAC185-8F44-C340-B80D-0059DFE13DF3}" presName="Triangle" presStyleLbl="alignNode1" presStyleIdx="3" presStyleCnt="5"/>
      <dgm:spPr>
        <a:solidFill>
          <a:srgbClr val="D4CEC2"/>
        </a:solidFill>
        <a:ln>
          <a:noFill/>
        </a:ln>
      </dgm:spPr>
    </dgm:pt>
    <dgm:pt modelId="{7DD8B8CD-0E8F-774B-824B-9C72F2F00107}" type="pres">
      <dgm:prSet presAssocID="{F65E78C5-276B-DB4C-9CCA-F73F879D19F5}" presName="sibTrans" presStyleCnt="0"/>
      <dgm:spPr/>
    </dgm:pt>
    <dgm:pt modelId="{F9E5E352-228B-D64B-B169-4B15E70DC0D7}" type="pres">
      <dgm:prSet presAssocID="{F65E78C5-276B-DB4C-9CCA-F73F879D19F5}" presName="space" presStyleCnt="0"/>
      <dgm:spPr/>
    </dgm:pt>
    <dgm:pt modelId="{6697E64B-B7B9-6749-80A1-6B03876828FB}" type="pres">
      <dgm:prSet presAssocID="{046EC27A-F557-234E-A066-DACD0107734F}" presName="composite" presStyleCnt="0"/>
      <dgm:spPr/>
    </dgm:pt>
    <dgm:pt modelId="{1B684E32-122B-A148-B4C9-4D1B2CD925BF}" type="pres">
      <dgm:prSet presAssocID="{046EC27A-F557-234E-A066-DACD0107734F}" presName="LShape" presStyleLbl="alignNode1" presStyleIdx="4" presStyleCnt="5"/>
      <dgm:spPr>
        <a:solidFill>
          <a:srgbClr val="D4CEC2"/>
        </a:solidFill>
        <a:ln>
          <a:noFill/>
        </a:ln>
      </dgm:spPr>
    </dgm:pt>
    <dgm:pt modelId="{7F3B43E5-CF4E-5C4C-97C0-DA496C8A8856}" type="pres">
      <dgm:prSet presAssocID="{046EC27A-F557-234E-A066-DACD0107734F}" presName="ParentText" presStyleLbl="revTx" presStyleIdx="2" presStyleCnt="3">
        <dgm:presLayoutVars>
          <dgm:chMax val="0"/>
          <dgm:chPref val="0"/>
          <dgm:bulletEnabled val="1"/>
        </dgm:presLayoutVars>
      </dgm:prSet>
      <dgm:spPr/>
    </dgm:pt>
  </dgm:ptLst>
  <dgm:cxnLst>
    <dgm:cxn modelId="{2A7E070D-2C30-2E49-8709-3F6B3FB1857C}" type="presOf" srcId="{F597D9AB-5588-104B-B270-460BF1FFDBEF}" destId="{2AFD3CD9-4AF4-6C42-B320-7510E3E96AB1}" srcOrd="0" destOrd="0" presId="urn:microsoft.com/office/officeart/2009/3/layout/StepUpProcess"/>
    <dgm:cxn modelId="{670B3717-0E24-CD4C-AFCE-2A256CEBB869}" srcId="{F597D9AB-5588-104B-B270-460BF1FFDBEF}" destId="{2FEAC185-8F44-C340-B80D-0059DFE13DF3}" srcOrd="1" destOrd="0" parTransId="{F7DB5083-12DD-EF4F-BF05-C3BD6DDAA150}" sibTransId="{F65E78C5-276B-DB4C-9CCA-F73F879D19F5}"/>
    <dgm:cxn modelId="{D33E9818-DF8F-724E-8259-2525631C4018}" srcId="{F597D9AB-5588-104B-B270-460BF1FFDBEF}" destId="{046EC27A-F557-234E-A066-DACD0107734F}" srcOrd="2" destOrd="0" parTransId="{02D3819F-F609-B94A-B673-A43EA7D0FA11}" sibTransId="{599A8BF4-DFC8-F246-B401-C73017FB0F7A}"/>
    <dgm:cxn modelId="{AAF2502E-ED33-6E4A-9D07-1190E5C4550C}" type="presOf" srcId="{2FEAC185-8F44-C340-B80D-0059DFE13DF3}" destId="{281386FF-9527-9C4E-8AAA-F6EE8819294A}" srcOrd="0" destOrd="0" presId="urn:microsoft.com/office/officeart/2009/3/layout/StepUpProcess"/>
    <dgm:cxn modelId="{A7532192-5AB2-6D43-9847-E03E45E902A4}" srcId="{F597D9AB-5588-104B-B270-460BF1FFDBEF}" destId="{9AA905CA-3CA6-E746-9A01-F5AEA807BB1E}" srcOrd="0" destOrd="0" parTransId="{135A21FB-6312-0F46-B894-30780168C5C0}" sibTransId="{95B1A539-0D0B-F842-B7A3-440543D38585}"/>
    <dgm:cxn modelId="{CEEFC8D4-DC1A-9349-88D4-B98BDAD62925}" type="presOf" srcId="{046EC27A-F557-234E-A066-DACD0107734F}" destId="{7F3B43E5-CF4E-5C4C-97C0-DA496C8A8856}" srcOrd="0" destOrd="0" presId="urn:microsoft.com/office/officeart/2009/3/layout/StepUpProcess"/>
    <dgm:cxn modelId="{85108AE3-E1BB-9B49-B4CE-6511D3F13BB7}" type="presOf" srcId="{9AA905CA-3CA6-E746-9A01-F5AEA807BB1E}" destId="{A7B5E0ED-464D-1F42-A0E4-683DA67FABA7}" srcOrd="0" destOrd="0" presId="urn:microsoft.com/office/officeart/2009/3/layout/StepUpProcess"/>
    <dgm:cxn modelId="{C4D3996E-2B99-8341-884D-FDE201253831}" type="presParOf" srcId="{2AFD3CD9-4AF4-6C42-B320-7510E3E96AB1}" destId="{D8AE11CC-0607-D94C-B909-9F49B755997F}" srcOrd="0" destOrd="0" presId="urn:microsoft.com/office/officeart/2009/3/layout/StepUpProcess"/>
    <dgm:cxn modelId="{ADC33E11-3003-5F44-8A8A-DECFD8CDBD63}" type="presParOf" srcId="{D8AE11CC-0607-D94C-B909-9F49B755997F}" destId="{EA1C7891-EBD6-D446-B214-F4A2F8E2278F}" srcOrd="0" destOrd="0" presId="urn:microsoft.com/office/officeart/2009/3/layout/StepUpProcess"/>
    <dgm:cxn modelId="{9CBA4005-06E5-994C-AA93-0A1AB740B66F}" type="presParOf" srcId="{D8AE11CC-0607-D94C-B909-9F49B755997F}" destId="{A7B5E0ED-464D-1F42-A0E4-683DA67FABA7}" srcOrd="1" destOrd="0" presId="urn:microsoft.com/office/officeart/2009/3/layout/StepUpProcess"/>
    <dgm:cxn modelId="{1F7480FA-D2B9-5C45-A424-13BF00604D81}" type="presParOf" srcId="{D8AE11CC-0607-D94C-B909-9F49B755997F}" destId="{A4C4EB2F-AD5D-3140-9F3E-91D73C07E2DB}" srcOrd="2" destOrd="0" presId="urn:microsoft.com/office/officeart/2009/3/layout/StepUpProcess"/>
    <dgm:cxn modelId="{288C8751-3E40-524B-91E9-A98092C8C433}" type="presParOf" srcId="{2AFD3CD9-4AF4-6C42-B320-7510E3E96AB1}" destId="{59CA8B83-8463-8444-BA87-E9C9A5D25B05}" srcOrd="1" destOrd="0" presId="urn:microsoft.com/office/officeart/2009/3/layout/StepUpProcess"/>
    <dgm:cxn modelId="{9412955D-194D-5C43-A263-75B8A88E14C4}" type="presParOf" srcId="{59CA8B83-8463-8444-BA87-E9C9A5D25B05}" destId="{ED180D96-552D-4B49-96CA-CEE251FDA07B}" srcOrd="0" destOrd="0" presId="urn:microsoft.com/office/officeart/2009/3/layout/StepUpProcess"/>
    <dgm:cxn modelId="{CA62BF1D-9802-834D-B5A7-387448FD2030}" type="presParOf" srcId="{2AFD3CD9-4AF4-6C42-B320-7510E3E96AB1}" destId="{1E2501F8-C81A-8B42-94A7-926692DD201A}" srcOrd="2" destOrd="0" presId="urn:microsoft.com/office/officeart/2009/3/layout/StepUpProcess"/>
    <dgm:cxn modelId="{F1AA408B-616D-CC42-9EEE-6F1A3878DF8F}" type="presParOf" srcId="{1E2501F8-C81A-8B42-94A7-926692DD201A}" destId="{9F0B9A4C-B41C-8440-BDEB-D9143C826700}" srcOrd="0" destOrd="0" presId="urn:microsoft.com/office/officeart/2009/3/layout/StepUpProcess"/>
    <dgm:cxn modelId="{0B76713A-0329-DD48-92C2-7D3D469D42E3}" type="presParOf" srcId="{1E2501F8-C81A-8B42-94A7-926692DD201A}" destId="{281386FF-9527-9C4E-8AAA-F6EE8819294A}" srcOrd="1" destOrd="0" presId="urn:microsoft.com/office/officeart/2009/3/layout/StepUpProcess"/>
    <dgm:cxn modelId="{734EE863-9177-F245-8125-EAC5078F2E09}" type="presParOf" srcId="{1E2501F8-C81A-8B42-94A7-926692DD201A}" destId="{D3ACA226-781C-EB4A-8845-37189AA82907}" srcOrd="2" destOrd="0" presId="urn:microsoft.com/office/officeart/2009/3/layout/StepUpProcess"/>
    <dgm:cxn modelId="{12413EFA-344C-1F4C-9DB9-BC6DBC1290CE}" type="presParOf" srcId="{2AFD3CD9-4AF4-6C42-B320-7510E3E96AB1}" destId="{7DD8B8CD-0E8F-774B-824B-9C72F2F00107}" srcOrd="3" destOrd="0" presId="urn:microsoft.com/office/officeart/2009/3/layout/StepUpProcess"/>
    <dgm:cxn modelId="{37272078-3D9B-0D42-B663-CF70D05D1F76}" type="presParOf" srcId="{7DD8B8CD-0E8F-774B-824B-9C72F2F00107}" destId="{F9E5E352-228B-D64B-B169-4B15E70DC0D7}" srcOrd="0" destOrd="0" presId="urn:microsoft.com/office/officeart/2009/3/layout/StepUpProcess"/>
    <dgm:cxn modelId="{806B63F1-7650-1945-94D1-9CC88A3574F1}" type="presParOf" srcId="{2AFD3CD9-4AF4-6C42-B320-7510E3E96AB1}" destId="{6697E64B-B7B9-6749-80A1-6B03876828FB}" srcOrd="4" destOrd="0" presId="urn:microsoft.com/office/officeart/2009/3/layout/StepUpProcess"/>
    <dgm:cxn modelId="{59C911CF-C312-934E-BF8B-20F32D94D7A2}" type="presParOf" srcId="{6697E64B-B7B9-6749-80A1-6B03876828FB}" destId="{1B684E32-122B-A148-B4C9-4D1B2CD925BF}" srcOrd="0" destOrd="0" presId="urn:microsoft.com/office/officeart/2009/3/layout/StepUpProcess"/>
    <dgm:cxn modelId="{77E2057F-CFE4-9C41-9BD9-6D4F904CACE9}" type="presParOf" srcId="{6697E64B-B7B9-6749-80A1-6B03876828FB}" destId="{7F3B43E5-CF4E-5C4C-97C0-DA496C8A8856}" srcOrd="1" destOrd="0" presId="urn:microsoft.com/office/officeart/2009/3/layout/StepUpProcess"/>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D00DF3C-5135-064B-AC59-6CD2429976DF}" type="doc">
      <dgm:prSet loTypeId="urn:microsoft.com/office/officeart/2005/8/layout/lProcess3" loCatId="" qsTypeId="urn:microsoft.com/office/officeart/2005/8/quickstyle/simple5" qsCatId="simple" csTypeId="urn:microsoft.com/office/officeart/2005/8/colors/colorful1" csCatId="colorful" phldr="1"/>
      <dgm:spPr/>
      <dgm:t>
        <a:bodyPr/>
        <a:lstStyle/>
        <a:p>
          <a:endParaRPr lang="en-US"/>
        </a:p>
      </dgm:t>
    </dgm:pt>
    <dgm:pt modelId="{E249D1D5-11E9-2D49-A5AB-ECBA3F1F2A35}">
      <dgm:prSet phldrT="[Text]" custT="1"/>
      <dgm:spPr>
        <a:solidFill>
          <a:srgbClr val="D4CEC2"/>
        </a:solidFill>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Différences culturelles</a:t>
          </a:r>
        </a:p>
      </dgm:t>
    </dgm:pt>
    <dgm:pt modelId="{6AFC84E0-5CAC-4C42-8335-6099BB13327B}" type="parTrans" cxnId="{D7933233-7CDA-8B43-9929-FF1B486A2DE3}">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0810F6F-0081-EB4A-9223-F08A53FF7B3C}" type="sibTrans" cxnId="{D7933233-7CDA-8B43-9929-FF1B486A2DE3}">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DFFAB5CF-DC05-554A-8615-F6D1E1F12D1B}">
      <dgm:prSet phldrT="[Text]" custT="1"/>
      <dgm:spPr>
        <a:solidFill>
          <a:srgbClr val="D8DCD1"/>
        </a:solidFill>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Acquisition et rétention de
talents</a:t>
          </a:r>
        </a:p>
      </dgm:t>
    </dgm:pt>
    <dgm:pt modelId="{A7FDE2B2-310B-3143-9822-492E86E55DC9}" type="parTrans" cxnId="{FD0DDE8A-66FF-C744-A92F-7B1CACE1A9F0}">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D5A5A108-D6B3-C342-80A2-738637ECE77D}" type="sibTrans" cxnId="{FD0DDE8A-66FF-C744-A92F-7B1CACE1A9F0}">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09D2FCFA-784F-2443-BE6F-401A60E51D17}">
      <dgm:prSet custT="1"/>
      <dgm:spPr>
        <a:solidFill>
          <a:srgbClr val="D8DCD1"/>
        </a:solidFill>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Barrières linguistiques</a:t>
          </a:r>
        </a:p>
      </dgm:t>
    </dgm:pt>
    <dgm:pt modelId="{29D4A021-9A5F-6341-8F63-D9725DCEEA72}" type="parTrans" cxnId="{E6979068-84C8-C542-A376-1605C9729823}">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FC950E38-70E5-E840-835D-F693543E8292}" type="sibTrans" cxnId="{E6979068-84C8-C542-A376-1605C9729823}">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807E35A0-2087-F841-8E09-822690CD620A}">
      <dgm:prSet custT="1"/>
      <dgm:spPr>
        <a:solidFill>
          <a:srgbClr val="D4CEC2"/>
        </a:solidFill>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Technologie</a:t>
          </a:r>
        </a:p>
      </dgm:t>
    </dgm:pt>
    <dgm:pt modelId="{BB76D27F-E869-EF46-998B-F01033EBA8D1}" type="parTrans" cxnId="{C2328C20-26DF-A340-8F73-AE65FA560DA8}">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21F4A80C-FACF-D44A-B501-E9723BA00B83}" type="sibTrans" cxnId="{C2328C20-26DF-A340-8F73-AE65FA560DA8}">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998324FD-04A5-7D43-8B78-EAC23F157E66}">
      <dgm:prSet phldrT="[Text]" custT="1"/>
      <dgm:spPr>
        <a:solidFill>
          <a:srgbClr val="D4CEC2"/>
        </a:solidFill>
      </dgm:spPr>
      <dgm:t>
        <a:bodyPr/>
        <a:lstStyle/>
        <a:p>
          <a:pPr algn="ctr"/>
          <a:r>
            <a:rPr lang="en-US" sz="1200">
              <a:solidFill>
                <a:sysClr val="windowText" lastClr="000000"/>
              </a:solidFill>
              <a:latin typeface="Times New Roman" panose="02020603050405020304" pitchFamily="18" charset="0"/>
              <a:cs typeface="Times New Roman" panose="02020603050405020304" pitchFamily="18" charset="0"/>
            </a:rPr>
            <a:t>Conformité légale et
réglementaire</a:t>
          </a:r>
        </a:p>
      </dgm:t>
    </dgm:pt>
    <dgm:pt modelId="{8D64F865-35C4-A34C-8DE9-5EE6280A4E04}" type="sibTrans" cxnId="{0765163C-F049-454C-B5D9-99942B554D1D}">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4A9FBEA0-D155-4948-A935-6B9E5A79B32A}" type="parTrans" cxnId="{0765163C-F049-454C-B5D9-99942B554D1D}">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B05B8BAC-76E2-3842-A5DC-2CA368218F4C}" type="pres">
      <dgm:prSet presAssocID="{3D00DF3C-5135-064B-AC59-6CD2429976DF}" presName="Name0" presStyleCnt="0">
        <dgm:presLayoutVars>
          <dgm:chPref val="3"/>
          <dgm:dir/>
          <dgm:animLvl val="lvl"/>
          <dgm:resizeHandles/>
        </dgm:presLayoutVars>
      </dgm:prSet>
      <dgm:spPr/>
    </dgm:pt>
    <dgm:pt modelId="{EF411A54-5FF3-2046-8105-DC7385CB3C16}" type="pres">
      <dgm:prSet presAssocID="{E249D1D5-11E9-2D49-A5AB-ECBA3F1F2A35}" presName="horFlow" presStyleCnt="0"/>
      <dgm:spPr/>
    </dgm:pt>
    <dgm:pt modelId="{2493B788-7653-4F4F-AB24-61DFF8E5E9C1}" type="pres">
      <dgm:prSet presAssocID="{E249D1D5-11E9-2D49-A5AB-ECBA3F1F2A35}" presName="bigChev" presStyleLbl="node1" presStyleIdx="0" presStyleCnt="5"/>
      <dgm:spPr/>
    </dgm:pt>
    <dgm:pt modelId="{E59489BB-BE96-CB4F-8E57-E97C309AB16B}" type="pres">
      <dgm:prSet presAssocID="{E249D1D5-11E9-2D49-A5AB-ECBA3F1F2A35}" presName="vSp" presStyleCnt="0"/>
      <dgm:spPr/>
    </dgm:pt>
    <dgm:pt modelId="{287F7DC9-5BB9-7D49-97A3-804DBCE50FC9}" type="pres">
      <dgm:prSet presAssocID="{09D2FCFA-784F-2443-BE6F-401A60E51D17}" presName="horFlow" presStyleCnt="0"/>
      <dgm:spPr/>
    </dgm:pt>
    <dgm:pt modelId="{2D54A0A9-7649-A640-AEF5-0310C1941B32}" type="pres">
      <dgm:prSet presAssocID="{09D2FCFA-784F-2443-BE6F-401A60E51D17}" presName="bigChev" presStyleLbl="node1" presStyleIdx="1" presStyleCnt="5"/>
      <dgm:spPr/>
    </dgm:pt>
    <dgm:pt modelId="{23D7C991-1984-5142-BD31-0D4011834EBF}" type="pres">
      <dgm:prSet presAssocID="{09D2FCFA-784F-2443-BE6F-401A60E51D17}" presName="vSp" presStyleCnt="0"/>
      <dgm:spPr/>
    </dgm:pt>
    <dgm:pt modelId="{67E4E4BA-3615-BE40-A02A-62586768FF28}" type="pres">
      <dgm:prSet presAssocID="{998324FD-04A5-7D43-8B78-EAC23F157E66}" presName="horFlow" presStyleCnt="0"/>
      <dgm:spPr/>
    </dgm:pt>
    <dgm:pt modelId="{E1B81165-DEAB-E544-BB16-F815DC6B4AF3}" type="pres">
      <dgm:prSet presAssocID="{998324FD-04A5-7D43-8B78-EAC23F157E66}" presName="bigChev" presStyleLbl="node1" presStyleIdx="2" presStyleCnt="5"/>
      <dgm:spPr/>
    </dgm:pt>
    <dgm:pt modelId="{524E53F5-CEBE-7F4B-A9CE-1884936ED200}" type="pres">
      <dgm:prSet presAssocID="{998324FD-04A5-7D43-8B78-EAC23F157E66}" presName="vSp" presStyleCnt="0"/>
      <dgm:spPr/>
    </dgm:pt>
    <dgm:pt modelId="{DC38C3B4-06BF-8C42-9520-3F62EB622724}" type="pres">
      <dgm:prSet presAssocID="{DFFAB5CF-DC05-554A-8615-F6D1E1F12D1B}" presName="horFlow" presStyleCnt="0"/>
      <dgm:spPr/>
    </dgm:pt>
    <dgm:pt modelId="{AC845D65-E6E0-DB43-9F5D-FDCE022B115A}" type="pres">
      <dgm:prSet presAssocID="{DFFAB5CF-DC05-554A-8615-F6D1E1F12D1B}" presName="bigChev" presStyleLbl="node1" presStyleIdx="3" presStyleCnt="5"/>
      <dgm:spPr/>
    </dgm:pt>
    <dgm:pt modelId="{88BAEBA8-7316-C04A-B4B0-2E63481BC823}" type="pres">
      <dgm:prSet presAssocID="{DFFAB5CF-DC05-554A-8615-F6D1E1F12D1B}" presName="vSp" presStyleCnt="0"/>
      <dgm:spPr/>
    </dgm:pt>
    <dgm:pt modelId="{AD577B05-1D33-124D-A933-112A9FB0031A}" type="pres">
      <dgm:prSet presAssocID="{807E35A0-2087-F841-8E09-822690CD620A}" presName="horFlow" presStyleCnt="0"/>
      <dgm:spPr/>
    </dgm:pt>
    <dgm:pt modelId="{60541F6B-84AC-564C-B27E-85E49AEB8167}" type="pres">
      <dgm:prSet presAssocID="{807E35A0-2087-F841-8E09-822690CD620A}" presName="bigChev" presStyleLbl="node1" presStyleIdx="4" presStyleCnt="5"/>
      <dgm:spPr/>
    </dgm:pt>
  </dgm:ptLst>
  <dgm:cxnLst>
    <dgm:cxn modelId="{5C862E07-EAAB-E94B-8B74-9CC07F69F907}" type="presOf" srcId="{DFFAB5CF-DC05-554A-8615-F6D1E1F12D1B}" destId="{AC845D65-E6E0-DB43-9F5D-FDCE022B115A}" srcOrd="0" destOrd="0" presId="urn:microsoft.com/office/officeart/2005/8/layout/lProcess3"/>
    <dgm:cxn modelId="{37D9DE07-9938-7942-BC99-5CF07F8B912F}" type="presOf" srcId="{807E35A0-2087-F841-8E09-822690CD620A}" destId="{60541F6B-84AC-564C-B27E-85E49AEB8167}" srcOrd="0" destOrd="0" presId="urn:microsoft.com/office/officeart/2005/8/layout/lProcess3"/>
    <dgm:cxn modelId="{3072110E-E8E4-0F4E-8D5E-54C16EA6D920}" type="presOf" srcId="{E249D1D5-11E9-2D49-A5AB-ECBA3F1F2A35}" destId="{2493B788-7653-4F4F-AB24-61DFF8E5E9C1}" srcOrd="0" destOrd="0" presId="urn:microsoft.com/office/officeart/2005/8/layout/lProcess3"/>
    <dgm:cxn modelId="{FBDB5A20-208F-484E-A82B-85A001A5A016}" type="presOf" srcId="{998324FD-04A5-7D43-8B78-EAC23F157E66}" destId="{E1B81165-DEAB-E544-BB16-F815DC6B4AF3}" srcOrd="0" destOrd="0" presId="urn:microsoft.com/office/officeart/2005/8/layout/lProcess3"/>
    <dgm:cxn modelId="{C2328C20-26DF-A340-8F73-AE65FA560DA8}" srcId="{3D00DF3C-5135-064B-AC59-6CD2429976DF}" destId="{807E35A0-2087-F841-8E09-822690CD620A}" srcOrd="4" destOrd="0" parTransId="{BB76D27F-E869-EF46-998B-F01033EBA8D1}" sibTransId="{21F4A80C-FACF-D44A-B501-E9723BA00B83}"/>
    <dgm:cxn modelId="{D7933233-7CDA-8B43-9929-FF1B486A2DE3}" srcId="{3D00DF3C-5135-064B-AC59-6CD2429976DF}" destId="{E249D1D5-11E9-2D49-A5AB-ECBA3F1F2A35}" srcOrd="0" destOrd="0" parTransId="{6AFC84E0-5CAC-4C42-8335-6099BB13327B}" sibTransId="{B0810F6F-0081-EB4A-9223-F08A53FF7B3C}"/>
    <dgm:cxn modelId="{0765163C-F049-454C-B5D9-99942B554D1D}" srcId="{3D00DF3C-5135-064B-AC59-6CD2429976DF}" destId="{998324FD-04A5-7D43-8B78-EAC23F157E66}" srcOrd="2" destOrd="0" parTransId="{4A9FBEA0-D155-4948-A935-6B9E5A79B32A}" sibTransId="{8D64F865-35C4-A34C-8DE9-5EE6280A4E04}"/>
    <dgm:cxn modelId="{E6979068-84C8-C542-A376-1605C9729823}" srcId="{3D00DF3C-5135-064B-AC59-6CD2429976DF}" destId="{09D2FCFA-784F-2443-BE6F-401A60E51D17}" srcOrd="1" destOrd="0" parTransId="{29D4A021-9A5F-6341-8F63-D9725DCEEA72}" sibTransId="{FC950E38-70E5-E840-835D-F693543E8292}"/>
    <dgm:cxn modelId="{B9740D81-C990-4644-ADFC-5657BCCB59E5}" type="presOf" srcId="{3D00DF3C-5135-064B-AC59-6CD2429976DF}" destId="{B05B8BAC-76E2-3842-A5DC-2CA368218F4C}" srcOrd="0" destOrd="0" presId="urn:microsoft.com/office/officeart/2005/8/layout/lProcess3"/>
    <dgm:cxn modelId="{FD0DDE8A-66FF-C744-A92F-7B1CACE1A9F0}" srcId="{3D00DF3C-5135-064B-AC59-6CD2429976DF}" destId="{DFFAB5CF-DC05-554A-8615-F6D1E1F12D1B}" srcOrd="3" destOrd="0" parTransId="{A7FDE2B2-310B-3143-9822-492E86E55DC9}" sibTransId="{D5A5A108-D6B3-C342-80A2-738637ECE77D}"/>
    <dgm:cxn modelId="{4DDC53E5-B2B8-F849-81D5-8524873A3BAB}" type="presOf" srcId="{09D2FCFA-784F-2443-BE6F-401A60E51D17}" destId="{2D54A0A9-7649-A640-AEF5-0310C1941B32}" srcOrd="0" destOrd="0" presId="urn:microsoft.com/office/officeart/2005/8/layout/lProcess3"/>
    <dgm:cxn modelId="{636512A0-5B4E-7742-8F26-15587F8F6A68}" type="presParOf" srcId="{B05B8BAC-76E2-3842-A5DC-2CA368218F4C}" destId="{EF411A54-5FF3-2046-8105-DC7385CB3C16}" srcOrd="0" destOrd="0" presId="urn:microsoft.com/office/officeart/2005/8/layout/lProcess3"/>
    <dgm:cxn modelId="{9C81D624-56A0-2041-AFC7-F99125111F78}" type="presParOf" srcId="{EF411A54-5FF3-2046-8105-DC7385CB3C16}" destId="{2493B788-7653-4F4F-AB24-61DFF8E5E9C1}" srcOrd="0" destOrd="0" presId="urn:microsoft.com/office/officeart/2005/8/layout/lProcess3"/>
    <dgm:cxn modelId="{68449C32-682F-3947-A2FC-F4653CAF4EA4}" type="presParOf" srcId="{B05B8BAC-76E2-3842-A5DC-2CA368218F4C}" destId="{E59489BB-BE96-CB4F-8E57-E97C309AB16B}" srcOrd="1" destOrd="0" presId="urn:microsoft.com/office/officeart/2005/8/layout/lProcess3"/>
    <dgm:cxn modelId="{AB205C82-935D-5043-9817-2705D7324FC9}" type="presParOf" srcId="{B05B8BAC-76E2-3842-A5DC-2CA368218F4C}" destId="{287F7DC9-5BB9-7D49-97A3-804DBCE50FC9}" srcOrd="2" destOrd="0" presId="urn:microsoft.com/office/officeart/2005/8/layout/lProcess3"/>
    <dgm:cxn modelId="{E7DAE2A6-5BB8-5E42-9FD4-6E7734B2D7C4}" type="presParOf" srcId="{287F7DC9-5BB9-7D49-97A3-804DBCE50FC9}" destId="{2D54A0A9-7649-A640-AEF5-0310C1941B32}" srcOrd="0" destOrd="0" presId="urn:microsoft.com/office/officeart/2005/8/layout/lProcess3"/>
    <dgm:cxn modelId="{6085E9FC-E468-134B-849A-FEEDD7EE8943}" type="presParOf" srcId="{B05B8BAC-76E2-3842-A5DC-2CA368218F4C}" destId="{23D7C991-1984-5142-BD31-0D4011834EBF}" srcOrd="3" destOrd="0" presId="urn:microsoft.com/office/officeart/2005/8/layout/lProcess3"/>
    <dgm:cxn modelId="{9444F249-40F8-C243-9E79-D25D0136A81C}" type="presParOf" srcId="{B05B8BAC-76E2-3842-A5DC-2CA368218F4C}" destId="{67E4E4BA-3615-BE40-A02A-62586768FF28}" srcOrd="4" destOrd="0" presId="urn:microsoft.com/office/officeart/2005/8/layout/lProcess3"/>
    <dgm:cxn modelId="{51EC6CBB-B8FE-4C4D-B70C-467739536837}" type="presParOf" srcId="{67E4E4BA-3615-BE40-A02A-62586768FF28}" destId="{E1B81165-DEAB-E544-BB16-F815DC6B4AF3}" srcOrd="0" destOrd="0" presId="urn:microsoft.com/office/officeart/2005/8/layout/lProcess3"/>
    <dgm:cxn modelId="{935CAEA9-39DB-DE47-AAB8-158FAD0F62B9}" type="presParOf" srcId="{B05B8BAC-76E2-3842-A5DC-2CA368218F4C}" destId="{524E53F5-CEBE-7F4B-A9CE-1884936ED200}" srcOrd="5" destOrd="0" presId="urn:microsoft.com/office/officeart/2005/8/layout/lProcess3"/>
    <dgm:cxn modelId="{0ED61BF8-7FAC-5441-98FA-278589CF78EA}" type="presParOf" srcId="{B05B8BAC-76E2-3842-A5DC-2CA368218F4C}" destId="{DC38C3B4-06BF-8C42-9520-3F62EB622724}" srcOrd="6" destOrd="0" presId="urn:microsoft.com/office/officeart/2005/8/layout/lProcess3"/>
    <dgm:cxn modelId="{D29D20A6-390D-D341-B6D6-B0BEF9C1A681}" type="presParOf" srcId="{DC38C3B4-06BF-8C42-9520-3F62EB622724}" destId="{AC845D65-E6E0-DB43-9F5D-FDCE022B115A}" srcOrd="0" destOrd="0" presId="urn:microsoft.com/office/officeart/2005/8/layout/lProcess3"/>
    <dgm:cxn modelId="{42892307-A054-F448-A1F2-A762FFEB5491}" type="presParOf" srcId="{B05B8BAC-76E2-3842-A5DC-2CA368218F4C}" destId="{88BAEBA8-7316-C04A-B4B0-2E63481BC823}" srcOrd="7" destOrd="0" presId="urn:microsoft.com/office/officeart/2005/8/layout/lProcess3"/>
    <dgm:cxn modelId="{02987550-8B56-FB48-990A-B0D9B4FF7D0E}" type="presParOf" srcId="{B05B8BAC-76E2-3842-A5DC-2CA368218F4C}" destId="{AD577B05-1D33-124D-A933-112A9FB0031A}" srcOrd="8" destOrd="0" presId="urn:microsoft.com/office/officeart/2005/8/layout/lProcess3"/>
    <dgm:cxn modelId="{0AD24AAC-F68A-1F47-9A78-5CF74C65CEBC}" type="presParOf" srcId="{AD577B05-1D33-124D-A933-112A9FB0031A}" destId="{60541F6B-84AC-564C-B27E-85E49AEB8167}" srcOrd="0" destOrd="0" presId="urn:microsoft.com/office/officeart/2005/8/layout/lProcess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48087CD-F756-8E45-9984-2B3919621186}" type="doc">
      <dgm:prSet loTypeId="urn:microsoft.com/office/officeart/2005/8/layout/hProcess9" loCatId="" qsTypeId="urn:microsoft.com/office/officeart/2005/8/quickstyle/simple5" qsCatId="simple" csTypeId="urn:microsoft.com/office/officeart/2005/8/colors/accent5_1" csCatId="accent5" phldr="1"/>
      <dgm:spPr/>
      <dgm:t>
        <a:bodyPr/>
        <a:lstStyle/>
        <a:p>
          <a:endParaRPr lang="en-US"/>
        </a:p>
      </dgm:t>
    </dgm:pt>
    <dgm:pt modelId="{77663A6F-4C87-4E4F-8F0F-BA6A004D7763}">
      <dgm:prSet phldrT="[Text]" custT="1"/>
      <dgm:spPr>
        <a:solidFill>
          <a:schemeClr val="bg1"/>
        </a:solidFill>
      </dgm:spPr>
      <dgm:t>
        <a:bodyPr/>
        <a:lstStyle/>
        <a:p>
          <a:r>
            <a:rPr lang="en-US" sz="800">
              <a:latin typeface="Times New Roman" panose="02020603050405020304" pitchFamily="18" charset="0"/>
              <a:cs typeface="Times New Roman" panose="02020603050405020304" pitchFamily="18" charset="0"/>
            </a:rPr>
            <a:t>Définition du besoin </a:t>
          </a:r>
        </a:p>
      </dgm:t>
    </dgm:pt>
    <dgm:pt modelId="{CE02F651-814D-E747-82ED-74136C70F974}" type="parTrans" cxnId="{EF5E19B7-8D4F-474D-AB78-DD2B7594DDAF}">
      <dgm:prSet/>
      <dgm:spPr/>
      <dgm:t>
        <a:bodyPr/>
        <a:lstStyle/>
        <a:p>
          <a:endParaRPr lang="en-US" sz="800">
            <a:latin typeface="Times New Roman" panose="02020603050405020304" pitchFamily="18" charset="0"/>
            <a:cs typeface="Times New Roman" panose="02020603050405020304" pitchFamily="18" charset="0"/>
          </a:endParaRPr>
        </a:p>
      </dgm:t>
    </dgm:pt>
    <dgm:pt modelId="{190D9C8F-8A27-D449-BBF7-C026DAB667C3}" type="sibTrans" cxnId="{EF5E19B7-8D4F-474D-AB78-DD2B7594DDAF}">
      <dgm:prSet/>
      <dgm:spPr/>
      <dgm:t>
        <a:bodyPr/>
        <a:lstStyle/>
        <a:p>
          <a:endParaRPr lang="en-US" sz="800">
            <a:latin typeface="Times New Roman" panose="02020603050405020304" pitchFamily="18" charset="0"/>
            <a:cs typeface="Times New Roman" panose="02020603050405020304" pitchFamily="18" charset="0"/>
          </a:endParaRPr>
        </a:p>
      </dgm:t>
    </dgm:pt>
    <dgm:pt modelId="{C05CBAE5-6FB8-A649-BB2C-3DC26361B5C3}">
      <dgm:prSet phldrT="[Text]" custT="1"/>
      <dgm:spPr>
        <a:solidFill>
          <a:schemeClr val="bg1"/>
        </a:solidFill>
      </dgm:spPr>
      <dgm:t>
        <a:bodyPr/>
        <a:lstStyle/>
        <a:p>
          <a:r>
            <a:rPr lang="en-US" sz="800">
              <a:latin typeface="Times New Roman" panose="02020603050405020304" pitchFamily="18" charset="0"/>
              <a:cs typeface="Times New Roman" panose="02020603050405020304" pitchFamily="18" charset="0"/>
            </a:rPr>
            <a:t>Recherche des candidats</a:t>
          </a:r>
        </a:p>
      </dgm:t>
    </dgm:pt>
    <dgm:pt modelId="{6D337AAD-1C94-0A4F-B63A-55F88AA2156F}" type="parTrans" cxnId="{5B82A3BF-1501-A947-B346-8FC94FAFD5EC}">
      <dgm:prSet/>
      <dgm:spPr/>
      <dgm:t>
        <a:bodyPr/>
        <a:lstStyle/>
        <a:p>
          <a:endParaRPr lang="en-US" sz="800">
            <a:latin typeface="Times New Roman" panose="02020603050405020304" pitchFamily="18" charset="0"/>
            <a:cs typeface="Times New Roman" panose="02020603050405020304" pitchFamily="18" charset="0"/>
          </a:endParaRPr>
        </a:p>
      </dgm:t>
    </dgm:pt>
    <dgm:pt modelId="{9FF0E080-6180-D847-B9BD-01963AD77E64}" type="sibTrans" cxnId="{5B82A3BF-1501-A947-B346-8FC94FAFD5EC}">
      <dgm:prSet/>
      <dgm:spPr/>
      <dgm:t>
        <a:bodyPr/>
        <a:lstStyle/>
        <a:p>
          <a:endParaRPr lang="en-US" sz="800">
            <a:latin typeface="Times New Roman" panose="02020603050405020304" pitchFamily="18" charset="0"/>
            <a:cs typeface="Times New Roman" panose="02020603050405020304" pitchFamily="18" charset="0"/>
          </a:endParaRPr>
        </a:p>
      </dgm:t>
    </dgm:pt>
    <dgm:pt modelId="{1ED2C401-EC32-9A4C-BB5F-09CD48F0385E}">
      <dgm:prSet phldrT="[Text]" custT="1"/>
      <dgm:spPr>
        <a:solidFill>
          <a:schemeClr val="bg1"/>
        </a:solidFill>
      </dgm:spPr>
      <dgm:t>
        <a:bodyPr/>
        <a:lstStyle/>
        <a:p>
          <a:r>
            <a:rPr lang="en-US" sz="800">
              <a:latin typeface="Times New Roman" panose="02020603050405020304" pitchFamily="18" charset="0"/>
              <a:cs typeface="Times New Roman" panose="02020603050405020304" pitchFamily="18" charset="0"/>
            </a:rPr>
            <a:t>La présélection des candidatures</a:t>
          </a:r>
        </a:p>
      </dgm:t>
    </dgm:pt>
    <dgm:pt modelId="{3ADC9E4E-70C3-1F4E-B5A3-4E3A9317AB2B}" type="parTrans" cxnId="{A73F2D8B-0E72-5449-B483-0D58CF388CEC}">
      <dgm:prSet/>
      <dgm:spPr/>
      <dgm:t>
        <a:bodyPr/>
        <a:lstStyle/>
        <a:p>
          <a:endParaRPr lang="en-US" sz="800">
            <a:latin typeface="Times New Roman" panose="02020603050405020304" pitchFamily="18" charset="0"/>
            <a:cs typeface="Times New Roman" panose="02020603050405020304" pitchFamily="18" charset="0"/>
          </a:endParaRPr>
        </a:p>
      </dgm:t>
    </dgm:pt>
    <dgm:pt modelId="{27712CB7-7EA1-A74D-911C-1532AF5FC37A}" type="sibTrans" cxnId="{A73F2D8B-0E72-5449-B483-0D58CF388CEC}">
      <dgm:prSet/>
      <dgm:spPr/>
      <dgm:t>
        <a:bodyPr/>
        <a:lstStyle/>
        <a:p>
          <a:endParaRPr lang="en-US" sz="800">
            <a:latin typeface="Times New Roman" panose="02020603050405020304" pitchFamily="18" charset="0"/>
            <a:cs typeface="Times New Roman" panose="02020603050405020304" pitchFamily="18" charset="0"/>
          </a:endParaRPr>
        </a:p>
      </dgm:t>
    </dgm:pt>
    <dgm:pt modelId="{21F91579-8BCC-E34E-BD6D-AD38BC5B28A9}">
      <dgm:prSet custT="1"/>
      <dgm:spPr>
        <a:solidFill>
          <a:schemeClr val="bg1"/>
        </a:solidFill>
      </dgm:spPr>
      <dgm:t>
        <a:bodyPr/>
        <a:lstStyle/>
        <a:p>
          <a:r>
            <a:rPr lang="en-US" sz="800">
              <a:latin typeface="Times New Roman" panose="02020603050405020304" pitchFamily="18" charset="0"/>
              <a:cs typeface="Times New Roman" panose="02020603050405020304" pitchFamily="18" charset="0"/>
            </a:rPr>
            <a:t>Les entretiens de recrutement</a:t>
          </a:r>
        </a:p>
      </dgm:t>
    </dgm:pt>
    <dgm:pt modelId="{1AC2620F-C359-8949-9488-D6D98FC05D7D}" type="parTrans" cxnId="{295E04A1-151D-6A4E-B61E-9F82481BA461}">
      <dgm:prSet/>
      <dgm:spPr/>
      <dgm:t>
        <a:bodyPr/>
        <a:lstStyle/>
        <a:p>
          <a:endParaRPr lang="en-US" sz="800">
            <a:latin typeface="Times New Roman" panose="02020603050405020304" pitchFamily="18" charset="0"/>
            <a:cs typeface="Times New Roman" panose="02020603050405020304" pitchFamily="18" charset="0"/>
          </a:endParaRPr>
        </a:p>
      </dgm:t>
    </dgm:pt>
    <dgm:pt modelId="{CD85578D-239C-E949-A23F-BC57A90C96B8}" type="sibTrans" cxnId="{295E04A1-151D-6A4E-B61E-9F82481BA461}">
      <dgm:prSet/>
      <dgm:spPr/>
      <dgm:t>
        <a:bodyPr/>
        <a:lstStyle/>
        <a:p>
          <a:endParaRPr lang="en-US" sz="800">
            <a:latin typeface="Times New Roman" panose="02020603050405020304" pitchFamily="18" charset="0"/>
            <a:cs typeface="Times New Roman" panose="02020603050405020304" pitchFamily="18" charset="0"/>
          </a:endParaRPr>
        </a:p>
      </dgm:t>
    </dgm:pt>
    <dgm:pt modelId="{87838F73-8EBC-B34D-A9B5-6C6D77D2BF34}">
      <dgm:prSet custT="1"/>
      <dgm:spPr>
        <a:solidFill>
          <a:schemeClr val="bg1"/>
        </a:solidFill>
      </dgm:spPr>
      <dgm:t>
        <a:bodyPr/>
        <a:lstStyle/>
        <a:p>
          <a:r>
            <a:rPr lang="en-US" sz="800">
              <a:latin typeface="Times New Roman" panose="02020603050405020304" pitchFamily="18" charset="0"/>
              <a:cs typeface="Times New Roman" panose="02020603050405020304" pitchFamily="18" charset="0"/>
            </a:rPr>
            <a:t>La décision d'embauche</a:t>
          </a:r>
        </a:p>
      </dgm:t>
    </dgm:pt>
    <dgm:pt modelId="{902C3A4B-2A6D-154E-9142-030AF1E643C2}" type="parTrans" cxnId="{6E2D645F-B346-E248-A342-E8988C5D0503}">
      <dgm:prSet/>
      <dgm:spPr/>
      <dgm:t>
        <a:bodyPr/>
        <a:lstStyle/>
        <a:p>
          <a:endParaRPr lang="en-US" sz="800">
            <a:latin typeface="Times New Roman" panose="02020603050405020304" pitchFamily="18" charset="0"/>
            <a:cs typeface="Times New Roman" panose="02020603050405020304" pitchFamily="18" charset="0"/>
          </a:endParaRPr>
        </a:p>
      </dgm:t>
    </dgm:pt>
    <dgm:pt modelId="{4C513C7F-E2C3-7E49-9F89-E69CBF77ABFC}" type="sibTrans" cxnId="{6E2D645F-B346-E248-A342-E8988C5D0503}">
      <dgm:prSet/>
      <dgm:spPr/>
      <dgm:t>
        <a:bodyPr/>
        <a:lstStyle/>
        <a:p>
          <a:endParaRPr lang="en-US" sz="800">
            <a:latin typeface="Times New Roman" panose="02020603050405020304" pitchFamily="18" charset="0"/>
            <a:cs typeface="Times New Roman" panose="02020603050405020304" pitchFamily="18" charset="0"/>
          </a:endParaRPr>
        </a:p>
      </dgm:t>
    </dgm:pt>
    <dgm:pt modelId="{E43D76A4-AADF-5B4C-AC1B-D3BA050CC52C}">
      <dgm:prSet custT="1"/>
      <dgm:spPr>
        <a:solidFill>
          <a:schemeClr val="bg1"/>
        </a:solidFill>
      </dgm:spPr>
      <dgm:t>
        <a:bodyPr/>
        <a:lstStyle/>
        <a:p>
          <a:r>
            <a:rPr lang="en-US" sz="800">
              <a:latin typeface="Times New Roman" panose="02020603050405020304" pitchFamily="18" charset="0"/>
              <a:cs typeface="Times New Roman" panose="02020603050405020304" pitchFamily="18" charset="0"/>
            </a:rPr>
            <a:t>La période d'essai</a:t>
          </a:r>
        </a:p>
      </dgm:t>
    </dgm:pt>
    <dgm:pt modelId="{9B37E8E6-989B-6C49-B8A5-FDF9B1C51455}" type="parTrans" cxnId="{C6EFBDAC-D89B-BC48-962A-BF18C8800339}">
      <dgm:prSet/>
      <dgm:spPr/>
      <dgm:t>
        <a:bodyPr/>
        <a:lstStyle/>
        <a:p>
          <a:endParaRPr lang="en-US" sz="800">
            <a:latin typeface="Times New Roman" panose="02020603050405020304" pitchFamily="18" charset="0"/>
            <a:cs typeface="Times New Roman" panose="02020603050405020304" pitchFamily="18" charset="0"/>
          </a:endParaRPr>
        </a:p>
      </dgm:t>
    </dgm:pt>
    <dgm:pt modelId="{6D82113E-0757-834C-8648-150C661F67B6}" type="sibTrans" cxnId="{C6EFBDAC-D89B-BC48-962A-BF18C8800339}">
      <dgm:prSet/>
      <dgm:spPr/>
      <dgm:t>
        <a:bodyPr/>
        <a:lstStyle/>
        <a:p>
          <a:endParaRPr lang="en-US" sz="800">
            <a:latin typeface="Times New Roman" panose="02020603050405020304" pitchFamily="18" charset="0"/>
            <a:cs typeface="Times New Roman" panose="02020603050405020304" pitchFamily="18" charset="0"/>
          </a:endParaRPr>
        </a:p>
      </dgm:t>
    </dgm:pt>
    <dgm:pt modelId="{38B67C71-5265-4944-B1DC-2B3F4900EC22}">
      <dgm:prSet custT="1"/>
      <dgm:spPr>
        <a:solidFill>
          <a:schemeClr val="bg1"/>
        </a:solidFill>
      </dgm:spPr>
      <dgm:t>
        <a:bodyPr/>
        <a:lstStyle/>
        <a:p>
          <a:r>
            <a:rPr lang="en-US" sz="800">
              <a:latin typeface="Times New Roman" panose="02020603050405020304" pitchFamily="18" charset="0"/>
              <a:cs typeface="Times New Roman" panose="02020603050405020304" pitchFamily="18" charset="0"/>
            </a:rPr>
            <a:t>L'embauche définitive</a:t>
          </a:r>
        </a:p>
      </dgm:t>
    </dgm:pt>
    <dgm:pt modelId="{950462BD-22B8-2140-BA0C-7C37B7C6D3EF}" type="parTrans" cxnId="{459487D4-9028-684D-876C-BF54AC79A24E}">
      <dgm:prSet/>
      <dgm:spPr/>
      <dgm:t>
        <a:bodyPr/>
        <a:lstStyle/>
        <a:p>
          <a:endParaRPr lang="en-US" sz="800">
            <a:latin typeface="Times New Roman" panose="02020603050405020304" pitchFamily="18" charset="0"/>
            <a:cs typeface="Times New Roman" panose="02020603050405020304" pitchFamily="18" charset="0"/>
          </a:endParaRPr>
        </a:p>
      </dgm:t>
    </dgm:pt>
    <dgm:pt modelId="{1877B176-9EA9-634A-AB5B-452587E5E2FA}" type="sibTrans" cxnId="{459487D4-9028-684D-876C-BF54AC79A24E}">
      <dgm:prSet/>
      <dgm:spPr/>
      <dgm:t>
        <a:bodyPr/>
        <a:lstStyle/>
        <a:p>
          <a:endParaRPr lang="en-US" sz="800">
            <a:latin typeface="Times New Roman" panose="02020603050405020304" pitchFamily="18" charset="0"/>
            <a:cs typeface="Times New Roman" panose="02020603050405020304" pitchFamily="18" charset="0"/>
          </a:endParaRPr>
        </a:p>
      </dgm:t>
    </dgm:pt>
    <dgm:pt modelId="{7389FB8E-9C6A-BA4A-8438-F8DD42A86FCA}" type="pres">
      <dgm:prSet presAssocID="{C48087CD-F756-8E45-9984-2B3919621186}" presName="CompostProcess" presStyleCnt="0">
        <dgm:presLayoutVars>
          <dgm:dir/>
          <dgm:resizeHandles val="exact"/>
        </dgm:presLayoutVars>
      </dgm:prSet>
      <dgm:spPr/>
    </dgm:pt>
    <dgm:pt modelId="{A078553E-4F67-7944-B9B4-76B9A5069733}" type="pres">
      <dgm:prSet presAssocID="{C48087CD-F756-8E45-9984-2B3919621186}" presName="arrow" presStyleLbl="bgShp" presStyleIdx="0" presStyleCnt="1"/>
      <dgm:spPr>
        <a:solidFill>
          <a:srgbClr val="D4CEC2"/>
        </a:solidFill>
      </dgm:spPr>
    </dgm:pt>
    <dgm:pt modelId="{64A54182-3383-2742-BDCA-1ED6D21D331D}" type="pres">
      <dgm:prSet presAssocID="{C48087CD-F756-8E45-9984-2B3919621186}" presName="linearProcess" presStyleCnt="0"/>
      <dgm:spPr/>
    </dgm:pt>
    <dgm:pt modelId="{78EF96CA-301E-3C49-B685-8DB5ACAE2EA0}" type="pres">
      <dgm:prSet presAssocID="{77663A6F-4C87-4E4F-8F0F-BA6A004D7763}" presName="textNode" presStyleLbl="node1" presStyleIdx="0" presStyleCnt="7">
        <dgm:presLayoutVars>
          <dgm:bulletEnabled val="1"/>
        </dgm:presLayoutVars>
      </dgm:prSet>
      <dgm:spPr/>
    </dgm:pt>
    <dgm:pt modelId="{93695DD5-AB9A-3D42-BD65-B29A4DE75C35}" type="pres">
      <dgm:prSet presAssocID="{190D9C8F-8A27-D449-BBF7-C026DAB667C3}" presName="sibTrans" presStyleCnt="0"/>
      <dgm:spPr/>
    </dgm:pt>
    <dgm:pt modelId="{4F5A10A7-D9BA-7646-8EAF-39848556CA30}" type="pres">
      <dgm:prSet presAssocID="{C05CBAE5-6FB8-A649-BB2C-3DC26361B5C3}" presName="textNode" presStyleLbl="node1" presStyleIdx="1" presStyleCnt="7">
        <dgm:presLayoutVars>
          <dgm:bulletEnabled val="1"/>
        </dgm:presLayoutVars>
      </dgm:prSet>
      <dgm:spPr/>
    </dgm:pt>
    <dgm:pt modelId="{66728F78-FE70-F445-BD24-47E814399849}" type="pres">
      <dgm:prSet presAssocID="{9FF0E080-6180-D847-B9BD-01963AD77E64}" presName="sibTrans" presStyleCnt="0"/>
      <dgm:spPr/>
    </dgm:pt>
    <dgm:pt modelId="{0E4E1029-C838-3E47-AFFB-678181D3679D}" type="pres">
      <dgm:prSet presAssocID="{1ED2C401-EC32-9A4C-BB5F-09CD48F0385E}" presName="textNode" presStyleLbl="node1" presStyleIdx="2" presStyleCnt="7">
        <dgm:presLayoutVars>
          <dgm:bulletEnabled val="1"/>
        </dgm:presLayoutVars>
      </dgm:prSet>
      <dgm:spPr/>
    </dgm:pt>
    <dgm:pt modelId="{43699A03-CF38-DA4B-9647-9968878E1110}" type="pres">
      <dgm:prSet presAssocID="{27712CB7-7EA1-A74D-911C-1532AF5FC37A}" presName="sibTrans" presStyleCnt="0"/>
      <dgm:spPr/>
    </dgm:pt>
    <dgm:pt modelId="{01A1DE8A-13BB-9F43-A0CB-FF71C98190DA}" type="pres">
      <dgm:prSet presAssocID="{21F91579-8BCC-E34E-BD6D-AD38BC5B28A9}" presName="textNode" presStyleLbl="node1" presStyleIdx="3" presStyleCnt="7">
        <dgm:presLayoutVars>
          <dgm:bulletEnabled val="1"/>
        </dgm:presLayoutVars>
      </dgm:prSet>
      <dgm:spPr/>
    </dgm:pt>
    <dgm:pt modelId="{61749E5E-C72A-B146-BDB6-CAEF7B5CCDF0}" type="pres">
      <dgm:prSet presAssocID="{CD85578D-239C-E949-A23F-BC57A90C96B8}" presName="sibTrans" presStyleCnt="0"/>
      <dgm:spPr/>
    </dgm:pt>
    <dgm:pt modelId="{CFE7A39B-3406-4542-8686-5E38049AB687}" type="pres">
      <dgm:prSet presAssocID="{87838F73-8EBC-B34D-A9B5-6C6D77D2BF34}" presName="textNode" presStyleLbl="node1" presStyleIdx="4" presStyleCnt="7">
        <dgm:presLayoutVars>
          <dgm:bulletEnabled val="1"/>
        </dgm:presLayoutVars>
      </dgm:prSet>
      <dgm:spPr/>
    </dgm:pt>
    <dgm:pt modelId="{754ACD7C-330E-9E41-9BDC-203EB47ED80B}" type="pres">
      <dgm:prSet presAssocID="{4C513C7F-E2C3-7E49-9F89-E69CBF77ABFC}" presName="sibTrans" presStyleCnt="0"/>
      <dgm:spPr/>
    </dgm:pt>
    <dgm:pt modelId="{D199B073-179D-6648-A6CA-4205852949AC}" type="pres">
      <dgm:prSet presAssocID="{E43D76A4-AADF-5B4C-AC1B-D3BA050CC52C}" presName="textNode" presStyleLbl="node1" presStyleIdx="5" presStyleCnt="7">
        <dgm:presLayoutVars>
          <dgm:bulletEnabled val="1"/>
        </dgm:presLayoutVars>
      </dgm:prSet>
      <dgm:spPr/>
    </dgm:pt>
    <dgm:pt modelId="{A43F4BE1-C043-A041-881C-1B1982857BA5}" type="pres">
      <dgm:prSet presAssocID="{6D82113E-0757-834C-8648-150C661F67B6}" presName="sibTrans" presStyleCnt="0"/>
      <dgm:spPr/>
    </dgm:pt>
    <dgm:pt modelId="{58D00D2A-E368-1B49-BEE0-AFB096E73862}" type="pres">
      <dgm:prSet presAssocID="{38B67C71-5265-4944-B1DC-2B3F4900EC22}" presName="textNode" presStyleLbl="node1" presStyleIdx="6" presStyleCnt="7">
        <dgm:presLayoutVars>
          <dgm:bulletEnabled val="1"/>
        </dgm:presLayoutVars>
      </dgm:prSet>
      <dgm:spPr/>
    </dgm:pt>
  </dgm:ptLst>
  <dgm:cxnLst>
    <dgm:cxn modelId="{9EDC6E25-CFC6-314F-A846-22BB435F472A}" type="presOf" srcId="{87838F73-8EBC-B34D-A9B5-6C6D77D2BF34}" destId="{CFE7A39B-3406-4542-8686-5E38049AB687}" srcOrd="0" destOrd="0" presId="urn:microsoft.com/office/officeart/2005/8/layout/hProcess9"/>
    <dgm:cxn modelId="{0EC5E63E-F6E6-E049-BC55-9391DE39F9C8}" type="presOf" srcId="{E43D76A4-AADF-5B4C-AC1B-D3BA050CC52C}" destId="{D199B073-179D-6648-A6CA-4205852949AC}" srcOrd="0" destOrd="0" presId="urn:microsoft.com/office/officeart/2005/8/layout/hProcess9"/>
    <dgm:cxn modelId="{6E2D645F-B346-E248-A342-E8988C5D0503}" srcId="{C48087CD-F756-8E45-9984-2B3919621186}" destId="{87838F73-8EBC-B34D-A9B5-6C6D77D2BF34}" srcOrd="4" destOrd="0" parTransId="{902C3A4B-2A6D-154E-9142-030AF1E643C2}" sibTransId="{4C513C7F-E2C3-7E49-9F89-E69CBF77ABFC}"/>
    <dgm:cxn modelId="{44D5837F-C776-0A4C-B7FF-FEB581911CA3}" type="presOf" srcId="{1ED2C401-EC32-9A4C-BB5F-09CD48F0385E}" destId="{0E4E1029-C838-3E47-AFFB-678181D3679D}" srcOrd="0" destOrd="0" presId="urn:microsoft.com/office/officeart/2005/8/layout/hProcess9"/>
    <dgm:cxn modelId="{666EFD85-AEF6-8F4F-BA71-B75D86EF77A8}" type="presOf" srcId="{77663A6F-4C87-4E4F-8F0F-BA6A004D7763}" destId="{78EF96CA-301E-3C49-B685-8DB5ACAE2EA0}" srcOrd="0" destOrd="0" presId="urn:microsoft.com/office/officeart/2005/8/layout/hProcess9"/>
    <dgm:cxn modelId="{A73F2D8B-0E72-5449-B483-0D58CF388CEC}" srcId="{C48087CD-F756-8E45-9984-2B3919621186}" destId="{1ED2C401-EC32-9A4C-BB5F-09CD48F0385E}" srcOrd="2" destOrd="0" parTransId="{3ADC9E4E-70C3-1F4E-B5A3-4E3A9317AB2B}" sibTransId="{27712CB7-7EA1-A74D-911C-1532AF5FC37A}"/>
    <dgm:cxn modelId="{26748391-A9DF-0041-BBFE-BE9B1AB02D8B}" type="presOf" srcId="{C05CBAE5-6FB8-A649-BB2C-3DC26361B5C3}" destId="{4F5A10A7-D9BA-7646-8EAF-39848556CA30}" srcOrd="0" destOrd="0" presId="urn:microsoft.com/office/officeart/2005/8/layout/hProcess9"/>
    <dgm:cxn modelId="{295E04A1-151D-6A4E-B61E-9F82481BA461}" srcId="{C48087CD-F756-8E45-9984-2B3919621186}" destId="{21F91579-8BCC-E34E-BD6D-AD38BC5B28A9}" srcOrd="3" destOrd="0" parTransId="{1AC2620F-C359-8949-9488-D6D98FC05D7D}" sibTransId="{CD85578D-239C-E949-A23F-BC57A90C96B8}"/>
    <dgm:cxn modelId="{C6EFBDAC-D89B-BC48-962A-BF18C8800339}" srcId="{C48087CD-F756-8E45-9984-2B3919621186}" destId="{E43D76A4-AADF-5B4C-AC1B-D3BA050CC52C}" srcOrd="5" destOrd="0" parTransId="{9B37E8E6-989B-6C49-B8A5-FDF9B1C51455}" sibTransId="{6D82113E-0757-834C-8648-150C661F67B6}"/>
    <dgm:cxn modelId="{EF5E19B7-8D4F-474D-AB78-DD2B7594DDAF}" srcId="{C48087CD-F756-8E45-9984-2B3919621186}" destId="{77663A6F-4C87-4E4F-8F0F-BA6A004D7763}" srcOrd="0" destOrd="0" parTransId="{CE02F651-814D-E747-82ED-74136C70F974}" sibTransId="{190D9C8F-8A27-D449-BBF7-C026DAB667C3}"/>
    <dgm:cxn modelId="{5B82A3BF-1501-A947-B346-8FC94FAFD5EC}" srcId="{C48087CD-F756-8E45-9984-2B3919621186}" destId="{C05CBAE5-6FB8-A649-BB2C-3DC26361B5C3}" srcOrd="1" destOrd="0" parTransId="{6D337AAD-1C94-0A4F-B63A-55F88AA2156F}" sibTransId="{9FF0E080-6180-D847-B9BD-01963AD77E64}"/>
    <dgm:cxn modelId="{152FA5C2-7B81-E349-9A36-C5F98B3226B8}" type="presOf" srcId="{21F91579-8BCC-E34E-BD6D-AD38BC5B28A9}" destId="{01A1DE8A-13BB-9F43-A0CB-FF71C98190DA}" srcOrd="0" destOrd="0" presId="urn:microsoft.com/office/officeart/2005/8/layout/hProcess9"/>
    <dgm:cxn modelId="{7821FEC3-484B-DF4A-9194-6EC07CD182D5}" type="presOf" srcId="{C48087CD-F756-8E45-9984-2B3919621186}" destId="{7389FB8E-9C6A-BA4A-8438-F8DD42A86FCA}" srcOrd="0" destOrd="0" presId="urn:microsoft.com/office/officeart/2005/8/layout/hProcess9"/>
    <dgm:cxn modelId="{459487D4-9028-684D-876C-BF54AC79A24E}" srcId="{C48087CD-F756-8E45-9984-2B3919621186}" destId="{38B67C71-5265-4944-B1DC-2B3F4900EC22}" srcOrd="6" destOrd="0" parTransId="{950462BD-22B8-2140-BA0C-7C37B7C6D3EF}" sibTransId="{1877B176-9EA9-634A-AB5B-452587E5E2FA}"/>
    <dgm:cxn modelId="{D3F778E8-F3B6-DE4D-B5AB-78DBE079D6F6}" type="presOf" srcId="{38B67C71-5265-4944-B1DC-2B3F4900EC22}" destId="{58D00D2A-E368-1B49-BEE0-AFB096E73862}" srcOrd="0" destOrd="0" presId="urn:microsoft.com/office/officeart/2005/8/layout/hProcess9"/>
    <dgm:cxn modelId="{D6A59F9F-7D44-2444-A249-C5A72CDC6589}" type="presParOf" srcId="{7389FB8E-9C6A-BA4A-8438-F8DD42A86FCA}" destId="{A078553E-4F67-7944-B9B4-76B9A5069733}" srcOrd="0" destOrd="0" presId="urn:microsoft.com/office/officeart/2005/8/layout/hProcess9"/>
    <dgm:cxn modelId="{6D09730C-DE73-A343-8957-961C6BFF9F51}" type="presParOf" srcId="{7389FB8E-9C6A-BA4A-8438-F8DD42A86FCA}" destId="{64A54182-3383-2742-BDCA-1ED6D21D331D}" srcOrd="1" destOrd="0" presId="urn:microsoft.com/office/officeart/2005/8/layout/hProcess9"/>
    <dgm:cxn modelId="{31F382B1-278B-7245-9BD6-E3D33D952DA8}" type="presParOf" srcId="{64A54182-3383-2742-BDCA-1ED6D21D331D}" destId="{78EF96CA-301E-3C49-B685-8DB5ACAE2EA0}" srcOrd="0" destOrd="0" presId="urn:microsoft.com/office/officeart/2005/8/layout/hProcess9"/>
    <dgm:cxn modelId="{5F7CFC01-1CDB-8B4D-8F36-17A6CD30852D}" type="presParOf" srcId="{64A54182-3383-2742-BDCA-1ED6D21D331D}" destId="{93695DD5-AB9A-3D42-BD65-B29A4DE75C35}" srcOrd="1" destOrd="0" presId="urn:microsoft.com/office/officeart/2005/8/layout/hProcess9"/>
    <dgm:cxn modelId="{F6D36973-4CEF-324F-A1A7-FF2AEE7CE288}" type="presParOf" srcId="{64A54182-3383-2742-BDCA-1ED6D21D331D}" destId="{4F5A10A7-D9BA-7646-8EAF-39848556CA30}" srcOrd="2" destOrd="0" presId="urn:microsoft.com/office/officeart/2005/8/layout/hProcess9"/>
    <dgm:cxn modelId="{3C986E3E-F5F1-4B49-9930-8B17BDC84C37}" type="presParOf" srcId="{64A54182-3383-2742-BDCA-1ED6D21D331D}" destId="{66728F78-FE70-F445-BD24-47E814399849}" srcOrd="3" destOrd="0" presId="urn:microsoft.com/office/officeart/2005/8/layout/hProcess9"/>
    <dgm:cxn modelId="{5356CA00-FC05-4345-932A-2EE3F165C0BC}" type="presParOf" srcId="{64A54182-3383-2742-BDCA-1ED6D21D331D}" destId="{0E4E1029-C838-3E47-AFFB-678181D3679D}" srcOrd="4" destOrd="0" presId="urn:microsoft.com/office/officeart/2005/8/layout/hProcess9"/>
    <dgm:cxn modelId="{B6F0831E-3764-0540-BDB8-8ED6D6B58C2F}" type="presParOf" srcId="{64A54182-3383-2742-BDCA-1ED6D21D331D}" destId="{43699A03-CF38-DA4B-9647-9968878E1110}" srcOrd="5" destOrd="0" presId="urn:microsoft.com/office/officeart/2005/8/layout/hProcess9"/>
    <dgm:cxn modelId="{DC3C9A01-70DD-B949-AD30-E1453B8617DD}" type="presParOf" srcId="{64A54182-3383-2742-BDCA-1ED6D21D331D}" destId="{01A1DE8A-13BB-9F43-A0CB-FF71C98190DA}" srcOrd="6" destOrd="0" presId="urn:microsoft.com/office/officeart/2005/8/layout/hProcess9"/>
    <dgm:cxn modelId="{63B2B1AD-7A0C-CD4F-AE45-AB102F18F16F}" type="presParOf" srcId="{64A54182-3383-2742-BDCA-1ED6D21D331D}" destId="{61749E5E-C72A-B146-BDB6-CAEF7B5CCDF0}" srcOrd="7" destOrd="0" presId="urn:microsoft.com/office/officeart/2005/8/layout/hProcess9"/>
    <dgm:cxn modelId="{B5E8226B-EE97-5144-B3BE-55F256F76CC7}" type="presParOf" srcId="{64A54182-3383-2742-BDCA-1ED6D21D331D}" destId="{CFE7A39B-3406-4542-8686-5E38049AB687}" srcOrd="8" destOrd="0" presId="urn:microsoft.com/office/officeart/2005/8/layout/hProcess9"/>
    <dgm:cxn modelId="{4459FF8B-6602-A64E-9D61-DFB2D9EFC115}" type="presParOf" srcId="{64A54182-3383-2742-BDCA-1ED6D21D331D}" destId="{754ACD7C-330E-9E41-9BDC-203EB47ED80B}" srcOrd="9" destOrd="0" presId="urn:microsoft.com/office/officeart/2005/8/layout/hProcess9"/>
    <dgm:cxn modelId="{7ADC096B-1E23-4643-9CBB-CD180C63B7C6}" type="presParOf" srcId="{64A54182-3383-2742-BDCA-1ED6D21D331D}" destId="{D199B073-179D-6648-A6CA-4205852949AC}" srcOrd="10" destOrd="0" presId="urn:microsoft.com/office/officeart/2005/8/layout/hProcess9"/>
    <dgm:cxn modelId="{D43310C0-CC09-394E-95AF-AD30E005E747}" type="presParOf" srcId="{64A54182-3383-2742-BDCA-1ED6D21D331D}" destId="{A43F4BE1-C043-A041-881C-1B1982857BA5}" srcOrd="11" destOrd="0" presId="urn:microsoft.com/office/officeart/2005/8/layout/hProcess9"/>
    <dgm:cxn modelId="{DC90BF91-EE7B-3B43-AA73-0B48B77C7123}" type="presParOf" srcId="{64A54182-3383-2742-BDCA-1ED6D21D331D}" destId="{58D00D2A-E368-1B49-BEE0-AFB096E73862}" srcOrd="12" destOrd="0" presId="urn:microsoft.com/office/officeart/2005/8/layout/hProcess9"/>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96800B6-6A37-8D45-8502-6EF2606DA48B}" type="doc">
      <dgm:prSet loTypeId="urn:microsoft.com/office/officeart/2005/8/layout/pyramid4" loCatId="" qsTypeId="urn:microsoft.com/office/officeart/2005/8/quickstyle/simple5" qsCatId="simple" csTypeId="urn:microsoft.com/office/officeart/2005/8/colors/accent5_3" csCatId="accent5" phldr="1"/>
      <dgm:spPr/>
      <dgm:t>
        <a:bodyPr/>
        <a:lstStyle/>
        <a:p>
          <a:endParaRPr lang="en-US"/>
        </a:p>
      </dgm:t>
    </dgm:pt>
    <dgm:pt modelId="{F8EE6AE3-BAC0-6047-A308-2A087700CB8C}">
      <dgm:prSet phldrT="[Text]" custT="1"/>
      <dgm:spPr>
        <a:solidFill>
          <a:srgbClr val="D4CEC2"/>
        </a:solidFill>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Savoir</a:t>
          </a:r>
        </a:p>
      </dgm:t>
    </dgm:pt>
    <dgm:pt modelId="{873E5836-B0CE-1F47-9062-4836BA8E73DE}" type="parTrans" cxnId="{7274D5AF-247E-594B-82F6-23E847251BB7}">
      <dgm:prSet/>
      <dgm:spPr/>
      <dgm:t>
        <a:bodyPr/>
        <a:lstStyle/>
        <a:p>
          <a:endParaRPr lang="en-US" sz="1000">
            <a:latin typeface="Times New Roman" panose="02020603050405020304" pitchFamily="18" charset="0"/>
            <a:cs typeface="Times New Roman" panose="02020603050405020304" pitchFamily="18" charset="0"/>
          </a:endParaRPr>
        </a:p>
      </dgm:t>
    </dgm:pt>
    <dgm:pt modelId="{4FBF7462-A24C-F748-BCA1-6FC717055AF0}" type="sibTrans" cxnId="{7274D5AF-247E-594B-82F6-23E847251BB7}">
      <dgm:prSet/>
      <dgm:spPr/>
      <dgm:t>
        <a:bodyPr/>
        <a:lstStyle/>
        <a:p>
          <a:endParaRPr lang="en-US" sz="1000">
            <a:latin typeface="Times New Roman" panose="02020603050405020304" pitchFamily="18" charset="0"/>
            <a:cs typeface="Times New Roman" panose="02020603050405020304" pitchFamily="18" charset="0"/>
          </a:endParaRPr>
        </a:p>
      </dgm:t>
    </dgm:pt>
    <dgm:pt modelId="{0D12C147-9CB2-BB47-AB61-BDD0F0B6D843}">
      <dgm:prSet phldrT="[Text]" custT="1"/>
      <dgm:spPr>
        <a:solidFill>
          <a:srgbClr val="D4CEC2"/>
        </a:solidFill>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Savoir-faire</a:t>
          </a:r>
        </a:p>
      </dgm:t>
    </dgm:pt>
    <dgm:pt modelId="{87A5B10F-5068-7F4F-8F47-2F9A9D01D2D1}" type="parTrans" cxnId="{4E27D17A-919C-394D-A6CF-997ABA0C0EA0}">
      <dgm:prSet/>
      <dgm:spPr/>
      <dgm:t>
        <a:bodyPr/>
        <a:lstStyle/>
        <a:p>
          <a:endParaRPr lang="en-US" sz="1000">
            <a:latin typeface="Times New Roman" panose="02020603050405020304" pitchFamily="18" charset="0"/>
            <a:cs typeface="Times New Roman" panose="02020603050405020304" pitchFamily="18" charset="0"/>
          </a:endParaRPr>
        </a:p>
      </dgm:t>
    </dgm:pt>
    <dgm:pt modelId="{D4984DB2-43EE-A040-9D1D-A979081D7D0B}" type="sibTrans" cxnId="{4E27D17A-919C-394D-A6CF-997ABA0C0EA0}">
      <dgm:prSet/>
      <dgm:spPr/>
      <dgm:t>
        <a:bodyPr/>
        <a:lstStyle/>
        <a:p>
          <a:endParaRPr lang="en-US" sz="1000">
            <a:latin typeface="Times New Roman" panose="02020603050405020304" pitchFamily="18" charset="0"/>
            <a:cs typeface="Times New Roman" panose="02020603050405020304" pitchFamily="18" charset="0"/>
          </a:endParaRPr>
        </a:p>
      </dgm:t>
    </dgm:pt>
    <dgm:pt modelId="{41180E41-5BF0-014F-9884-FE42E63056C5}">
      <dgm:prSet phldrT="[Text]" custT="1"/>
      <dgm:spPr>
        <a:solidFill>
          <a:srgbClr val="D8DCD1"/>
        </a:solidFill>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Données objectives</a:t>
          </a:r>
        </a:p>
      </dgm:t>
    </dgm:pt>
    <dgm:pt modelId="{846CA9DC-C107-3948-893D-3A7586CF3CE2}" type="parTrans" cxnId="{B88B8FBD-FB21-CD41-A37B-AF5C9528FFAC}">
      <dgm:prSet/>
      <dgm:spPr/>
      <dgm:t>
        <a:bodyPr/>
        <a:lstStyle/>
        <a:p>
          <a:endParaRPr lang="en-US" sz="1000">
            <a:latin typeface="Times New Roman" panose="02020603050405020304" pitchFamily="18" charset="0"/>
            <a:cs typeface="Times New Roman" panose="02020603050405020304" pitchFamily="18" charset="0"/>
          </a:endParaRPr>
        </a:p>
      </dgm:t>
    </dgm:pt>
    <dgm:pt modelId="{A89DA253-5BBF-FA46-A720-20646D6E7846}" type="sibTrans" cxnId="{B88B8FBD-FB21-CD41-A37B-AF5C9528FFAC}">
      <dgm:prSet/>
      <dgm:spPr/>
      <dgm:t>
        <a:bodyPr/>
        <a:lstStyle/>
        <a:p>
          <a:endParaRPr lang="en-US" sz="1000">
            <a:latin typeface="Times New Roman" panose="02020603050405020304" pitchFamily="18" charset="0"/>
            <a:cs typeface="Times New Roman" panose="02020603050405020304" pitchFamily="18" charset="0"/>
          </a:endParaRPr>
        </a:p>
      </dgm:t>
    </dgm:pt>
    <dgm:pt modelId="{00986425-A488-5944-AB3A-8C3D9BC5254C}">
      <dgm:prSet phldrT="[Text]" custT="1"/>
      <dgm:spPr>
        <a:solidFill>
          <a:srgbClr val="D4CEC2"/>
        </a:solidFill>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Savoir-être</a:t>
          </a:r>
        </a:p>
      </dgm:t>
    </dgm:pt>
    <dgm:pt modelId="{8D26BF64-EAC4-D949-8721-32AB0AA0C8D1}" type="parTrans" cxnId="{0CC6EC36-0576-0644-9A35-08C0514AC469}">
      <dgm:prSet/>
      <dgm:spPr/>
      <dgm:t>
        <a:bodyPr/>
        <a:lstStyle/>
        <a:p>
          <a:endParaRPr lang="en-US" sz="1000">
            <a:latin typeface="Times New Roman" panose="02020603050405020304" pitchFamily="18" charset="0"/>
            <a:cs typeface="Times New Roman" panose="02020603050405020304" pitchFamily="18" charset="0"/>
          </a:endParaRPr>
        </a:p>
      </dgm:t>
    </dgm:pt>
    <dgm:pt modelId="{648A1E9C-C9F6-2940-BFE1-C74FA3E8DBE5}" type="sibTrans" cxnId="{0CC6EC36-0576-0644-9A35-08C0514AC469}">
      <dgm:prSet/>
      <dgm:spPr/>
      <dgm:t>
        <a:bodyPr/>
        <a:lstStyle/>
        <a:p>
          <a:endParaRPr lang="en-US" sz="1000">
            <a:latin typeface="Times New Roman" panose="02020603050405020304" pitchFamily="18" charset="0"/>
            <a:cs typeface="Times New Roman" panose="02020603050405020304" pitchFamily="18" charset="0"/>
          </a:endParaRPr>
        </a:p>
      </dgm:t>
    </dgm:pt>
    <dgm:pt modelId="{19DC591B-93EC-154E-A53F-94111E5A2D02}" type="pres">
      <dgm:prSet presAssocID="{696800B6-6A37-8D45-8502-6EF2606DA48B}" presName="compositeShape" presStyleCnt="0">
        <dgm:presLayoutVars>
          <dgm:chMax val="9"/>
          <dgm:dir/>
          <dgm:resizeHandles val="exact"/>
        </dgm:presLayoutVars>
      </dgm:prSet>
      <dgm:spPr/>
    </dgm:pt>
    <dgm:pt modelId="{E9EDB621-CA31-B540-A28F-703365B0795F}" type="pres">
      <dgm:prSet presAssocID="{696800B6-6A37-8D45-8502-6EF2606DA48B}" presName="triangle1" presStyleLbl="node1" presStyleIdx="0" presStyleCnt="4">
        <dgm:presLayoutVars>
          <dgm:bulletEnabled val="1"/>
        </dgm:presLayoutVars>
      </dgm:prSet>
      <dgm:spPr/>
    </dgm:pt>
    <dgm:pt modelId="{85EE7DEF-D067-5C47-9376-9E31BABC2120}" type="pres">
      <dgm:prSet presAssocID="{696800B6-6A37-8D45-8502-6EF2606DA48B}" presName="triangle2" presStyleLbl="node1" presStyleIdx="1" presStyleCnt="4">
        <dgm:presLayoutVars>
          <dgm:bulletEnabled val="1"/>
        </dgm:presLayoutVars>
      </dgm:prSet>
      <dgm:spPr/>
    </dgm:pt>
    <dgm:pt modelId="{66A82E8C-5682-9D4D-9F65-D10F88FD1716}" type="pres">
      <dgm:prSet presAssocID="{696800B6-6A37-8D45-8502-6EF2606DA48B}" presName="triangle3" presStyleLbl="node1" presStyleIdx="2" presStyleCnt="4">
        <dgm:presLayoutVars>
          <dgm:bulletEnabled val="1"/>
        </dgm:presLayoutVars>
      </dgm:prSet>
      <dgm:spPr/>
    </dgm:pt>
    <dgm:pt modelId="{14E0F2E9-107B-7F41-9F57-4165B6B1EEF6}" type="pres">
      <dgm:prSet presAssocID="{696800B6-6A37-8D45-8502-6EF2606DA48B}" presName="triangle4" presStyleLbl="node1" presStyleIdx="3" presStyleCnt="4">
        <dgm:presLayoutVars>
          <dgm:bulletEnabled val="1"/>
        </dgm:presLayoutVars>
      </dgm:prSet>
      <dgm:spPr/>
    </dgm:pt>
  </dgm:ptLst>
  <dgm:cxnLst>
    <dgm:cxn modelId="{BA9B9A2F-B517-1B42-8A9B-A63129AD339C}" type="presOf" srcId="{0D12C147-9CB2-BB47-AB61-BDD0F0B6D843}" destId="{85EE7DEF-D067-5C47-9376-9E31BABC2120}" srcOrd="0" destOrd="0" presId="urn:microsoft.com/office/officeart/2005/8/layout/pyramid4"/>
    <dgm:cxn modelId="{0CC6EC36-0576-0644-9A35-08C0514AC469}" srcId="{696800B6-6A37-8D45-8502-6EF2606DA48B}" destId="{00986425-A488-5944-AB3A-8C3D9BC5254C}" srcOrd="3" destOrd="0" parTransId="{8D26BF64-EAC4-D949-8721-32AB0AA0C8D1}" sibTransId="{648A1E9C-C9F6-2940-BFE1-C74FA3E8DBE5}"/>
    <dgm:cxn modelId="{3693E066-34E7-3643-BC70-39CC8F802272}" type="presOf" srcId="{F8EE6AE3-BAC0-6047-A308-2A087700CB8C}" destId="{E9EDB621-CA31-B540-A28F-703365B0795F}" srcOrd="0" destOrd="0" presId="urn:microsoft.com/office/officeart/2005/8/layout/pyramid4"/>
    <dgm:cxn modelId="{4E27D17A-919C-394D-A6CF-997ABA0C0EA0}" srcId="{696800B6-6A37-8D45-8502-6EF2606DA48B}" destId="{0D12C147-9CB2-BB47-AB61-BDD0F0B6D843}" srcOrd="1" destOrd="0" parTransId="{87A5B10F-5068-7F4F-8F47-2F9A9D01D2D1}" sibTransId="{D4984DB2-43EE-A040-9D1D-A979081D7D0B}"/>
    <dgm:cxn modelId="{C8C29294-2853-014B-BBF5-9F008EFD5070}" type="presOf" srcId="{41180E41-5BF0-014F-9884-FE42E63056C5}" destId="{66A82E8C-5682-9D4D-9F65-D10F88FD1716}" srcOrd="0" destOrd="0" presId="urn:microsoft.com/office/officeart/2005/8/layout/pyramid4"/>
    <dgm:cxn modelId="{357977AC-EF7E-8244-9F7C-CD64A2FAECF1}" type="presOf" srcId="{696800B6-6A37-8D45-8502-6EF2606DA48B}" destId="{19DC591B-93EC-154E-A53F-94111E5A2D02}" srcOrd="0" destOrd="0" presId="urn:microsoft.com/office/officeart/2005/8/layout/pyramid4"/>
    <dgm:cxn modelId="{7274D5AF-247E-594B-82F6-23E847251BB7}" srcId="{696800B6-6A37-8D45-8502-6EF2606DA48B}" destId="{F8EE6AE3-BAC0-6047-A308-2A087700CB8C}" srcOrd="0" destOrd="0" parTransId="{873E5836-B0CE-1F47-9062-4836BA8E73DE}" sibTransId="{4FBF7462-A24C-F748-BCA1-6FC717055AF0}"/>
    <dgm:cxn modelId="{E5F3C1B8-B6C6-074F-AEB7-4DB6698E33AA}" type="presOf" srcId="{00986425-A488-5944-AB3A-8C3D9BC5254C}" destId="{14E0F2E9-107B-7F41-9F57-4165B6B1EEF6}" srcOrd="0" destOrd="0" presId="urn:microsoft.com/office/officeart/2005/8/layout/pyramid4"/>
    <dgm:cxn modelId="{B88B8FBD-FB21-CD41-A37B-AF5C9528FFAC}" srcId="{696800B6-6A37-8D45-8502-6EF2606DA48B}" destId="{41180E41-5BF0-014F-9884-FE42E63056C5}" srcOrd="2" destOrd="0" parTransId="{846CA9DC-C107-3948-893D-3A7586CF3CE2}" sibTransId="{A89DA253-5BBF-FA46-A720-20646D6E7846}"/>
    <dgm:cxn modelId="{95686EA0-B495-4644-8C1F-472D47493087}" type="presParOf" srcId="{19DC591B-93EC-154E-A53F-94111E5A2D02}" destId="{E9EDB621-CA31-B540-A28F-703365B0795F}" srcOrd="0" destOrd="0" presId="urn:microsoft.com/office/officeart/2005/8/layout/pyramid4"/>
    <dgm:cxn modelId="{BC94ACD1-A2D8-4043-94CD-54D3233242A5}" type="presParOf" srcId="{19DC591B-93EC-154E-A53F-94111E5A2D02}" destId="{85EE7DEF-D067-5C47-9376-9E31BABC2120}" srcOrd="1" destOrd="0" presId="urn:microsoft.com/office/officeart/2005/8/layout/pyramid4"/>
    <dgm:cxn modelId="{F67FB6AF-CB72-D442-8EE9-15AA92C1060E}" type="presParOf" srcId="{19DC591B-93EC-154E-A53F-94111E5A2D02}" destId="{66A82E8C-5682-9D4D-9F65-D10F88FD1716}" srcOrd="2" destOrd="0" presId="urn:microsoft.com/office/officeart/2005/8/layout/pyramid4"/>
    <dgm:cxn modelId="{D4AF82BB-63D6-BC44-AD3D-A7E9BC012057}" type="presParOf" srcId="{19DC591B-93EC-154E-A53F-94111E5A2D02}" destId="{14E0F2E9-107B-7F41-9F57-4165B6B1EEF6}" srcOrd="3" destOrd="0" presId="urn:microsoft.com/office/officeart/2005/8/layout/pyramid4"/>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DF25226D-ED84-A04A-B685-E3A44EF4F7E1}" type="doc">
      <dgm:prSet loTypeId="urn:microsoft.com/office/officeart/2005/8/layout/process1" loCatId="" qsTypeId="urn:microsoft.com/office/officeart/2005/8/quickstyle/simple5" qsCatId="simple" csTypeId="urn:microsoft.com/office/officeart/2005/8/colors/colorful1" csCatId="colorful" phldr="1"/>
      <dgm:spPr/>
    </dgm:pt>
    <dgm:pt modelId="{1D98C651-2886-584E-9505-23A762EE2A36}">
      <dgm:prSet phldrT="[Text]" custT="1"/>
      <dgm:spPr>
        <a:solidFill>
          <a:srgbClr val="D4CEC2"/>
        </a:solidFill>
      </dgm:spPr>
      <dgm:t>
        <a:bodyPr/>
        <a:lstStyle/>
        <a:p>
          <a:r>
            <a:rPr lang="en-US" sz="1000" b="1">
              <a:solidFill>
                <a:schemeClr val="tx1"/>
              </a:solidFill>
              <a:latin typeface="Times New Roman" panose="02020603050405020304" pitchFamily="18" charset="0"/>
              <a:cs typeface="Times New Roman" panose="02020603050405020304" pitchFamily="18" charset="0"/>
            </a:rPr>
            <a:t>Poste à pourvoir</a:t>
          </a:r>
        </a:p>
      </dgm:t>
    </dgm:pt>
    <dgm:pt modelId="{C4CFD585-A018-C644-A595-71FFF7DB2111}" type="parTrans" cxnId="{E43D9E37-2E8A-8746-B619-1732D7711835}">
      <dgm:prSet/>
      <dgm:spPr/>
      <dgm:t>
        <a:bodyPr/>
        <a:lstStyle/>
        <a:p>
          <a:endParaRPr lang="en-US" sz="1000">
            <a:latin typeface="Times New Roman" panose="02020603050405020304" pitchFamily="18" charset="0"/>
            <a:cs typeface="Times New Roman" panose="02020603050405020304" pitchFamily="18" charset="0"/>
          </a:endParaRPr>
        </a:p>
      </dgm:t>
    </dgm:pt>
    <dgm:pt modelId="{40578BFD-A506-2C4A-8AA2-00BB3F84A56E}" type="sibTrans" cxnId="{E43D9E37-2E8A-8746-B619-1732D7711835}">
      <dgm:prSet custT="1"/>
      <dgm:spPr>
        <a:solidFill>
          <a:srgbClr val="D4CEC2"/>
        </a:solidFill>
      </dgm:spPr>
      <dgm:t>
        <a:bodyPr/>
        <a:lstStyle/>
        <a:p>
          <a:endParaRPr lang="en-US" sz="1000">
            <a:latin typeface="Times New Roman" panose="02020603050405020304" pitchFamily="18" charset="0"/>
            <a:cs typeface="Times New Roman" panose="02020603050405020304" pitchFamily="18" charset="0"/>
          </a:endParaRPr>
        </a:p>
      </dgm:t>
    </dgm:pt>
    <dgm:pt modelId="{04064141-5FAD-3340-815D-7816CD63FDD4}">
      <dgm:prSet phldrT="[Text]" custT="1"/>
      <dgm:spPr>
        <a:solidFill>
          <a:srgbClr val="D8DCD1"/>
        </a:solidFill>
      </dgm:spPr>
      <dgm:t>
        <a:bodyPr/>
        <a:lstStyle/>
        <a:p>
          <a:r>
            <a:rPr lang="en-US" sz="1000" b="1">
              <a:solidFill>
                <a:schemeClr val="tx1"/>
              </a:solidFill>
              <a:latin typeface="Times New Roman" panose="02020603050405020304" pitchFamily="18" charset="0"/>
              <a:cs typeface="Times New Roman" panose="02020603050405020304" pitchFamily="18" charset="0"/>
            </a:rPr>
            <a:t>Description du poste</a:t>
          </a:r>
        </a:p>
      </dgm:t>
    </dgm:pt>
    <dgm:pt modelId="{4B702208-D557-A247-B18B-43EFF0A838F2}" type="parTrans" cxnId="{D5729544-26F4-6A4B-A359-6394FC9DBAD5}">
      <dgm:prSet/>
      <dgm:spPr/>
      <dgm:t>
        <a:bodyPr/>
        <a:lstStyle/>
        <a:p>
          <a:endParaRPr lang="en-US" sz="1000">
            <a:latin typeface="Times New Roman" panose="02020603050405020304" pitchFamily="18" charset="0"/>
            <a:cs typeface="Times New Roman" panose="02020603050405020304" pitchFamily="18" charset="0"/>
          </a:endParaRPr>
        </a:p>
      </dgm:t>
    </dgm:pt>
    <dgm:pt modelId="{5AE70165-1DB1-DD45-AB6A-1F5FF69F8FCF}" type="sibTrans" cxnId="{D5729544-26F4-6A4B-A359-6394FC9DBAD5}">
      <dgm:prSet custT="1"/>
      <dgm:spPr>
        <a:solidFill>
          <a:srgbClr val="D8DCD1"/>
        </a:solidFill>
      </dgm:spPr>
      <dgm:t>
        <a:bodyPr/>
        <a:lstStyle/>
        <a:p>
          <a:endParaRPr lang="en-US" sz="1000">
            <a:latin typeface="Times New Roman" panose="02020603050405020304" pitchFamily="18" charset="0"/>
            <a:cs typeface="Times New Roman" panose="02020603050405020304" pitchFamily="18" charset="0"/>
          </a:endParaRPr>
        </a:p>
      </dgm:t>
    </dgm:pt>
    <dgm:pt modelId="{69AFDC6F-450B-394F-BF23-1D4D1A77DEF3}">
      <dgm:prSet phldrT="[Text]" custT="1"/>
      <dgm:spPr>
        <a:solidFill>
          <a:srgbClr val="D4CEC2"/>
        </a:solidFill>
      </dgm:spPr>
      <dgm:t>
        <a:bodyPr/>
        <a:lstStyle/>
        <a:p>
          <a:r>
            <a:rPr lang="en-US" sz="1000" b="1">
              <a:solidFill>
                <a:schemeClr val="tx1"/>
              </a:solidFill>
              <a:latin typeface="Times New Roman" panose="02020603050405020304" pitchFamily="18" charset="0"/>
              <a:cs typeface="Times New Roman" panose="02020603050405020304" pitchFamily="18" charset="0"/>
            </a:rPr>
            <a:t>Profil recherché</a:t>
          </a:r>
        </a:p>
      </dgm:t>
    </dgm:pt>
    <dgm:pt modelId="{7C431A8D-12E2-B044-BEAD-8B7993D0C149}" type="parTrans" cxnId="{5B1501DB-D186-A149-A01E-D791D44B8A19}">
      <dgm:prSet/>
      <dgm:spPr/>
      <dgm:t>
        <a:bodyPr/>
        <a:lstStyle/>
        <a:p>
          <a:endParaRPr lang="en-US" sz="1000">
            <a:latin typeface="Times New Roman" panose="02020603050405020304" pitchFamily="18" charset="0"/>
            <a:cs typeface="Times New Roman" panose="02020603050405020304" pitchFamily="18" charset="0"/>
          </a:endParaRPr>
        </a:p>
      </dgm:t>
    </dgm:pt>
    <dgm:pt modelId="{058C2379-36FD-CF48-9399-1770FA52CED2}" type="sibTrans" cxnId="{5B1501DB-D186-A149-A01E-D791D44B8A19}">
      <dgm:prSet custT="1"/>
      <dgm:spPr>
        <a:solidFill>
          <a:srgbClr val="D4CEC2"/>
        </a:solidFill>
      </dgm:spPr>
      <dgm:t>
        <a:bodyPr/>
        <a:lstStyle/>
        <a:p>
          <a:endParaRPr lang="en-US" sz="1000">
            <a:latin typeface="Times New Roman" panose="02020603050405020304" pitchFamily="18" charset="0"/>
            <a:cs typeface="Times New Roman" panose="02020603050405020304" pitchFamily="18" charset="0"/>
          </a:endParaRPr>
        </a:p>
      </dgm:t>
    </dgm:pt>
    <dgm:pt modelId="{A80778FA-2D98-2A4B-A4F2-82473EF14144}">
      <dgm:prSet custT="1"/>
      <dgm:spPr>
        <a:solidFill>
          <a:srgbClr val="D8DCD1"/>
        </a:solidFill>
      </dgm:spPr>
      <dgm:t>
        <a:bodyPr/>
        <a:lstStyle/>
        <a:p>
          <a:r>
            <a:rPr lang="en-US" sz="1000" b="1">
              <a:solidFill>
                <a:schemeClr val="tx1"/>
              </a:solidFill>
              <a:latin typeface="Times New Roman" panose="02020603050405020304" pitchFamily="18" charset="0"/>
              <a:cs typeface="Times New Roman" panose="02020603050405020304" pitchFamily="18" charset="0"/>
            </a:rPr>
            <a:t>Nouveau collaborateur</a:t>
          </a:r>
        </a:p>
      </dgm:t>
    </dgm:pt>
    <dgm:pt modelId="{D325C470-83FC-FA40-B81B-A47601D74F8D}" type="parTrans" cxnId="{0D6A4BC4-EB3C-ED44-BD15-90D27BDB134A}">
      <dgm:prSet/>
      <dgm:spPr/>
      <dgm:t>
        <a:bodyPr/>
        <a:lstStyle/>
        <a:p>
          <a:endParaRPr lang="en-US" sz="1000">
            <a:latin typeface="Times New Roman" panose="02020603050405020304" pitchFamily="18" charset="0"/>
            <a:cs typeface="Times New Roman" panose="02020603050405020304" pitchFamily="18" charset="0"/>
          </a:endParaRPr>
        </a:p>
      </dgm:t>
    </dgm:pt>
    <dgm:pt modelId="{DB48040C-3289-7044-A177-848FC536F199}" type="sibTrans" cxnId="{0D6A4BC4-EB3C-ED44-BD15-90D27BDB134A}">
      <dgm:prSet/>
      <dgm:spPr/>
      <dgm:t>
        <a:bodyPr/>
        <a:lstStyle/>
        <a:p>
          <a:endParaRPr lang="en-US" sz="1000">
            <a:latin typeface="Times New Roman" panose="02020603050405020304" pitchFamily="18" charset="0"/>
            <a:cs typeface="Times New Roman" panose="02020603050405020304" pitchFamily="18" charset="0"/>
          </a:endParaRPr>
        </a:p>
      </dgm:t>
    </dgm:pt>
    <dgm:pt modelId="{EA690F48-8B56-7B44-8763-1F8F6124196C}" type="pres">
      <dgm:prSet presAssocID="{DF25226D-ED84-A04A-B685-E3A44EF4F7E1}" presName="Name0" presStyleCnt="0">
        <dgm:presLayoutVars>
          <dgm:dir/>
          <dgm:resizeHandles val="exact"/>
        </dgm:presLayoutVars>
      </dgm:prSet>
      <dgm:spPr/>
    </dgm:pt>
    <dgm:pt modelId="{B07817CB-F8DB-AF4B-9F52-45B2B11147AB}" type="pres">
      <dgm:prSet presAssocID="{1D98C651-2886-584E-9505-23A762EE2A36}" presName="node" presStyleLbl="node1" presStyleIdx="0" presStyleCnt="4" custLinFactNeighborX="-17758" custLinFactNeighborY="-3435">
        <dgm:presLayoutVars>
          <dgm:bulletEnabled val="1"/>
        </dgm:presLayoutVars>
      </dgm:prSet>
      <dgm:spPr/>
    </dgm:pt>
    <dgm:pt modelId="{8C16AF7B-D47D-2C48-8B99-3EADBA6EFA3A}" type="pres">
      <dgm:prSet presAssocID="{40578BFD-A506-2C4A-8AA2-00BB3F84A56E}" presName="sibTrans" presStyleLbl="sibTrans2D1" presStyleIdx="0" presStyleCnt="3"/>
      <dgm:spPr/>
    </dgm:pt>
    <dgm:pt modelId="{8B4F2942-0050-F44C-90CF-CE95BAA76800}" type="pres">
      <dgm:prSet presAssocID="{40578BFD-A506-2C4A-8AA2-00BB3F84A56E}" presName="connectorText" presStyleLbl="sibTrans2D1" presStyleIdx="0" presStyleCnt="3"/>
      <dgm:spPr/>
    </dgm:pt>
    <dgm:pt modelId="{BA67AF1F-6D90-F944-8210-2D177DB3A98A}" type="pres">
      <dgm:prSet presAssocID="{04064141-5FAD-3340-815D-7816CD63FDD4}" presName="node" presStyleLbl="node1" presStyleIdx="1" presStyleCnt="4">
        <dgm:presLayoutVars>
          <dgm:bulletEnabled val="1"/>
        </dgm:presLayoutVars>
      </dgm:prSet>
      <dgm:spPr/>
    </dgm:pt>
    <dgm:pt modelId="{038CF1CF-0E04-BC42-BD7D-7C7F544D8EA6}" type="pres">
      <dgm:prSet presAssocID="{5AE70165-1DB1-DD45-AB6A-1F5FF69F8FCF}" presName="sibTrans" presStyleLbl="sibTrans2D1" presStyleIdx="1" presStyleCnt="3"/>
      <dgm:spPr/>
    </dgm:pt>
    <dgm:pt modelId="{3B3D48E8-7B95-834E-84B0-2D32902C241F}" type="pres">
      <dgm:prSet presAssocID="{5AE70165-1DB1-DD45-AB6A-1F5FF69F8FCF}" presName="connectorText" presStyleLbl="sibTrans2D1" presStyleIdx="1" presStyleCnt="3"/>
      <dgm:spPr/>
    </dgm:pt>
    <dgm:pt modelId="{0D6AF6EE-B4F3-AE46-BAA5-9FB899CDFE77}" type="pres">
      <dgm:prSet presAssocID="{69AFDC6F-450B-394F-BF23-1D4D1A77DEF3}" presName="node" presStyleLbl="node1" presStyleIdx="2" presStyleCnt="4">
        <dgm:presLayoutVars>
          <dgm:bulletEnabled val="1"/>
        </dgm:presLayoutVars>
      </dgm:prSet>
      <dgm:spPr/>
    </dgm:pt>
    <dgm:pt modelId="{DA4CE9FB-429F-7442-992B-CA5AFEA84F5D}" type="pres">
      <dgm:prSet presAssocID="{058C2379-36FD-CF48-9399-1770FA52CED2}" presName="sibTrans" presStyleLbl="sibTrans2D1" presStyleIdx="2" presStyleCnt="3"/>
      <dgm:spPr/>
    </dgm:pt>
    <dgm:pt modelId="{D731005C-0CF0-FC44-BB3C-4049F761271A}" type="pres">
      <dgm:prSet presAssocID="{058C2379-36FD-CF48-9399-1770FA52CED2}" presName="connectorText" presStyleLbl="sibTrans2D1" presStyleIdx="2" presStyleCnt="3"/>
      <dgm:spPr/>
    </dgm:pt>
    <dgm:pt modelId="{8022AEB8-F80F-F24F-887A-3A000D569CEC}" type="pres">
      <dgm:prSet presAssocID="{A80778FA-2D98-2A4B-A4F2-82473EF14144}" presName="node" presStyleLbl="node1" presStyleIdx="3" presStyleCnt="4">
        <dgm:presLayoutVars>
          <dgm:bulletEnabled val="1"/>
        </dgm:presLayoutVars>
      </dgm:prSet>
      <dgm:spPr/>
    </dgm:pt>
  </dgm:ptLst>
  <dgm:cxnLst>
    <dgm:cxn modelId="{C2032B05-3F30-8B43-82B5-647C18CA3BD6}" type="presOf" srcId="{40578BFD-A506-2C4A-8AA2-00BB3F84A56E}" destId="{8B4F2942-0050-F44C-90CF-CE95BAA76800}" srcOrd="1" destOrd="0" presId="urn:microsoft.com/office/officeart/2005/8/layout/process1"/>
    <dgm:cxn modelId="{BFB4D513-3C16-7649-87C4-B4D46B47CD7A}" type="presOf" srcId="{40578BFD-A506-2C4A-8AA2-00BB3F84A56E}" destId="{8C16AF7B-D47D-2C48-8B99-3EADBA6EFA3A}" srcOrd="0" destOrd="0" presId="urn:microsoft.com/office/officeart/2005/8/layout/process1"/>
    <dgm:cxn modelId="{B4CC1827-7191-BB42-AED0-16D4DD3DB90E}" type="presOf" srcId="{5AE70165-1DB1-DD45-AB6A-1F5FF69F8FCF}" destId="{3B3D48E8-7B95-834E-84B0-2D32902C241F}" srcOrd="1" destOrd="0" presId="urn:microsoft.com/office/officeart/2005/8/layout/process1"/>
    <dgm:cxn modelId="{8F51FE33-ED13-8044-8FB9-E582E40EBC93}" type="presOf" srcId="{DF25226D-ED84-A04A-B685-E3A44EF4F7E1}" destId="{EA690F48-8B56-7B44-8763-1F8F6124196C}" srcOrd="0" destOrd="0" presId="urn:microsoft.com/office/officeart/2005/8/layout/process1"/>
    <dgm:cxn modelId="{E43D9E37-2E8A-8746-B619-1732D7711835}" srcId="{DF25226D-ED84-A04A-B685-E3A44EF4F7E1}" destId="{1D98C651-2886-584E-9505-23A762EE2A36}" srcOrd="0" destOrd="0" parTransId="{C4CFD585-A018-C644-A595-71FFF7DB2111}" sibTransId="{40578BFD-A506-2C4A-8AA2-00BB3F84A56E}"/>
    <dgm:cxn modelId="{D5729544-26F4-6A4B-A359-6394FC9DBAD5}" srcId="{DF25226D-ED84-A04A-B685-E3A44EF4F7E1}" destId="{04064141-5FAD-3340-815D-7816CD63FDD4}" srcOrd="1" destOrd="0" parTransId="{4B702208-D557-A247-B18B-43EFF0A838F2}" sibTransId="{5AE70165-1DB1-DD45-AB6A-1F5FF69F8FCF}"/>
    <dgm:cxn modelId="{C871A658-2654-CF4E-BDC6-2BE3179A738C}" type="presOf" srcId="{1D98C651-2886-584E-9505-23A762EE2A36}" destId="{B07817CB-F8DB-AF4B-9F52-45B2B11147AB}" srcOrd="0" destOrd="0" presId="urn:microsoft.com/office/officeart/2005/8/layout/process1"/>
    <dgm:cxn modelId="{81853F5F-BE4B-8147-8F3E-A3BB8DDF4F48}" type="presOf" srcId="{A80778FA-2D98-2A4B-A4F2-82473EF14144}" destId="{8022AEB8-F80F-F24F-887A-3A000D569CEC}" srcOrd="0" destOrd="0" presId="urn:microsoft.com/office/officeart/2005/8/layout/process1"/>
    <dgm:cxn modelId="{552C1B8D-50F7-7F40-88F1-54009B0DFD67}" type="presOf" srcId="{058C2379-36FD-CF48-9399-1770FA52CED2}" destId="{DA4CE9FB-429F-7442-992B-CA5AFEA84F5D}" srcOrd="0" destOrd="0" presId="urn:microsoft.com/office/officeart/2005/8/layout/process1"/>
    <dgm:cxn modelId="{D2B045AD-6946-C340-8C45-460692CFF7A0}" type="presOf" srcId="{69AFDC6F-450B-394F-BF23-1D4D1A77DEF3}" destId="{0D6AF6EE-B4F3-AE46-BAA5-9FB899CDFE77}" srcOrd="0" destOrd="0" presId="urn:microsoft.com/office/officeart/2005/8/layout/process1"/>
    <dgm:cxn modelId="{A008E3AF-E7E1-F440-A9B4-B6CE963A28BE}" type="presOf" srcId="{5AE70165-1DB1-DD45-AB6A-1F5FF69F8FCF}" destId="{038CF1CF-0E04-BC42-BD7D-7C7F544D8EA6}" srcOrd="0" destOrd="0" presId="urn:microsoft.com/office/officeart/2005/8/layout/process1"/>
    <dgm:cxn modelId="{4377FCC0-329C-A44F-B7F9-6E9928DE7E31}" type="presOf" srcId="{058C2379-36FD-CF48-9399-1770FA52CED2}" destId="{D731005C-0CF0-FC44-BB3C-4049F761271A}" srcOrd="1" destOrd="0" presId="urn:microsoft.com/office/officeart/2005/8/layout/process1"/>
    <dgm:cxn modelId="{0D6A4BC4-EB3C-ED44-BD15-90D27BDB134A}" srcId="{DF25226D-ED84-A04A-B685-E3A44EF4F7E1}" destId="{A80778FA-2D98-2A4B-A4F2-82473EF14144}" srcOrd="3" destOrd="0" parTransId="{D325C470-83FC-FA40-B81B-A47601D74F8D}" sibTransId="{DB48040C-3289-7044-A177-848FC536F199}"/>
    <dgm:cxn modelId="{84CDDDC8-BD5F-1E48-A044-10B8DC0B1E35}" type="presOf" srcId="{04064141-5FAD-3340-815D-7816CD63FDD4}" destId="{BA67AF1F-6D90-F944-8210-2D177DB3A98A}" srcOrd="0" destOrd="0" presId="urn:microsoft.com/office/officeart/2005/8/layout/process1"/>
    <dgm:cxn modelId="{5B1501DB-D186-A149-A01E-D791D44B8A19}" srcId="{DF25226D-ED84-A04A-B685-E3A44EF4F7E1}" destId="{69AFDC6F-450B-394F-BF23-1D4D1A77DEF3}" srcOrd="2" destOrd="0" parTransId="{7C431A8D-12E2-B044-BEAD-8B7993D0C149}" sibTransId="{058C2379-36FD-CF48-9399-1770FA52CED2}"/>
    <dgm:cxn modelId="{9F82C2E1-E605-4540-987C-4F8E5A05A8D2}" type="presParOf" srcId="{EA690F48-8B56-7B44-8763-1F8F6124196C}" destId="{B07817CB-F8DB-AF4B-9F52-45B2B11147AB}" srcOrd="0" destOrd="0" presId="urn:microsoft.com/office/officeart/2005/8/layout/process1"/>
    <dgm:cxn modelId="{7357B918-E091-F04A-B25F-A992F89E32D6}" type="presParOf" srcId="{EA690F48-8B56-7B44-8763-1F8F6124196C}" destId="{8C16AF7B-D47D-2C48-8B99-3EADBA6EFA3A}" srcOrd="1" destOrd="0" presId="urn:microsoft.com/office/officeart/2005/8/layout/process1"/>
    <dgm:cxn modelId="{08E47450-DDB7-1649-8271-D5AC6D726EC7}" type="presParOf" srcId="{8C16AF7B-D47D-2C48-8B99-3EADBA6EFA3A}" destId="{8B4F2942-0050-F44C-90CF-CE95BAA76800}" srcOrd="0" destOrd="0" presId="urn:microsoft.com/office/officeart/2005/8/layout/process1"/>
    <dgm:cxn modelId="{A437C023-9F49-6B48-AA31-80C625A957CC}" type="presParOf" srcId="{EA690F48-8B56-7B44-8763-1F8F6124196C}" destId="{BA67AF1F-6D90-F944-8210-2D177DB3A98A}" srcOrd="2" destOrd="0" presId="urn:microsoft.com/office/officeart/2005/8/layout/process1"/>
    <dgm:cxn modelId="{9AFBB840-C54D-B143-91C8-87B49490CB46}" type="presParOf" srcId="{EA690F48-8B56-7B44-8763-1F8F6124196C}" destId="{038CF1CF-0E04-BC42-BD7D-7C7F544D8EA6}" srcOrd="3" destOrd="0" presId="urn:microsoft.com/office/officeart/2005/8/layout/process1"/>
    <dgm:cxn modelId="{10F912F9-FF90-0F4B-9854-D2DD88099587}" type="presParOf" srcId="{038CF1CF-0E04-BC42-BD7D-7C7F544D8EA6}" destId="{3B3D48E8-7B95-834E-84B0-2D32902C241F}" srcOrd="0" destOrd="0" presId="urn:microsoft.com/office/officeart/2005/8/layout/process1"/>
    <dgm:cxn modelId="{DD3E8C3E-CF56-854B-93CC-9FC88F7A35E8}" type="presParOf" srcId="{EA690F48-8B56-7B44-8763-1F8F6124196C}" destId="{0D6AF6EE-B4F3-AE46-BAA5-9FB899CDFE77}" srcOrd="4" destOrd="0" presId="urn:microsoft.com/office/officeart/2005/8/layout/process1"/>
    <dgm:cxn modelId="{ABA23D91-3DD1-FF4B-82B8-2260E95B8A86}" type="presParOf" srcId="{EA690F48-8B56-7B44-8763-1F8F6124196C}" destId="{DA4CE9FB-429F-7442-992B-CA5AFEA84F5D}" srcOrd="5" destOrd="0" presId="urn:microsoft.com/office/officeart/2005/8/layout/process1"/>
    <dgm:cxn modelId="{B53C29FE-03DC-AD43-87A4-EAF030673050}" type="presParOf" srcId="{DA4CE9FB-429F-7442-992B-CA5AFEA84F5D}" destId="{D731005C-0CF0-FC44-BB3C-4049F761271A}" srcOrd="0" destOrd="0" presId="urn:microsoft.com/office/officeart/2005/8/layout/process1"/>
    <dgm:cxn modelId="{E7C50F85-579A-EE4E-993E-7D226EBB8D1C}" type="presParOf" srcId="{EA690F48-8B56-7B44-8763-1F8F6124196C}" destId="{8022AEB8-F80F-F24F-887A-3A000D569CEC}" srcOrd="6" destOrd="0" presId="urn:microsoft.com/office/officeart/2005/8/layout/process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29381EC-C1C9-4443-9639-0D7A28025353}" type="doc">
      <dgm:prSet loTypeId="urn:microsoft.com/office/officeart/2005/8/layout/hList6" loCatId="" qsTypeId="urn:microsoft.com/office/officeart/2005/8/quickstyle/simple5" qsCatId="simple" csTypeId="urn:microsoft.com/office/officeart/2005/8/colors/accent3_1" csCatId="accent3" phldr="1"/>
      <dgm:spPr/>
      <dgm:t>
        <a:bodyPr/>
        <a:lstStyle/>
        <a:p>
          <a:endParaRPr lang="en-US"/>
        </a:p>
      </dgm:t>
    </dgm:pt>
    <dgm:pt modelId="{D1DD6A28-0C49-EA4D-A469-E13EF4F1F8FD}">
      <dgm:prSet phldrT="[Text]" custT="1"/>
      <dgm:spPr>
        <a:solidFill>
          <a:srgbClr val="D4CEC2"/>
        </a:solidFill>
      </dgm:spPr>
      <dgm:t>
        <a:bodyPr/>
        <a:lstStyle/>
        <a:p>
          <a:r>
            <a:rPr lang="en-US" sz="1000" b="0" i="0" u="none">
              <a:latin typeface="Times New Roman" panose="02020603050405020304" pitchFamily="18" charset="0"/>
              <a:cs typeface="Times New Roman" panose="02020603050405020304" pitchFamily="18" charset="0"/>
            </a:rPr>
            <a:t>Études de cas</a:t>
          </a:r>
          <a:endParaRPr lang="en-US" sz="1000" b="0">
            <a:latin typeface="Times New Roman" panose="02020603050405020304" pitchFamily="18" charset="0"/>
            <a:cs typeface="Times New Roman" panose="02020603050405020304" pitchFamily="18" charset="0"/>
          </a:endParaRPr>
        </a:p>
      </dgm:t>
    </dgm:pt>
    <dgm:pt modelId="{964A807C-1CD9-0142-B06C-6463113C3FD6}" type="parTrans" cxnId="{ACD75218-C103-774F-9898-3B807294336C}">
      <dgm:prSet/>
      <dgm:spPr/>
      <dgm:t>
        <a:bodyPr/>
        <a:lstStyle/>
        <a:p>
          <a:endParaRPr lang="en-US" b="0">
            <a:latin typeface="Times New Roman" panose="02020603050405020304" pitchFamily="18" charset="0"/>
            <a:cs typeface="Times New Roman" panose="02020603050405020304" pitchFamily="18" charset="0"/>
          </a:endParaRPr>
        </a:p>
      </dgm:t>
    </dgm:pt>
    <dgm:pt modelId="{556F974A-890D-3646-8BE8-2C70C1097448}" type="sibTrans" cxnId="{ACD75218-C103-774F-9898-3B807294336C}">
      <dgm:prSet custT="1"/>
      <dgm:spPr/>
    </dgm:pt>
    <dgm:pt modelId="{73AA9255-A4EB-E143-AD2F-717AA4F60B18}">
      <dgm:prSet custT="1"/>
      <dgm:spPr>
        <a:solidFill>
          <a:srgbClr val="D4CEC2"/>
        </a:solidFill>
      </dgm:spPr>
      <dgm:t>
        <a:bodyPr/>
        <a:lstStyle/>
        <a:p>
          <a:r>
            <a:rPr lang="en-US" sz="1000" b="0" i="0" u="none">
              <a:latin typeface="Times New Roman" panose="02020603050405020304" pitchFamily="18" charset="0"/>
              <a:cs typeface="Times New Roman" panose="02020603050405020304" pitchFamily="18" charset="0"/>
            </a:rPr>
            <a:t>Formation sur le terrain</a:t>
          </a:r>
          <a:endParaRPr lang="en-US" sz="1000" b="0">
            <a:latin typeface="Times New Roman" panose="02020603050405020304" pitchFamily="18" charset="0"/>
            <a:cs typeface="Times New Roman" panose="02020603050405020304" pitchFamily="18" charset="0"/>
          </a:endParaRPr>
        </a:p>
      </dgm:t>
    </dgm:pt>
    <dgm:pt modelId="{7060B0E2-2F5C-6B43-8570-7D38F27CD819}" type="parTrans" cxnId="{9513E29B-7F21-E84A-AE24-C61C6CB43D25}">
      <dgm:prSet/>
      <dgm:spPr/>
      <dgm:t>
        <a:bodyPr/>
        <a:lstStyle/>
        <a:p>
          <a:endParaRPr lang="en-US" b="0">
            <a:latin typeface="Times New Roman" panose="02020603050405020304" pitchFamily="18" charset="0"/>
            <a:cs typeface="Times New Roman" panose="02020603050405020304" pitchFamily="18" charset="0"/>
          </a:endParaRPr>
        </a:p>
      </dgm:t>
    </dgm:pt>
    <dgm:pt modelId="{FE81C2D7-5973-6242-AAA5-34058F1EDC21}" type="sibTrans" cxnId="{9513E29B-7F21-E84A-AE24-C61C6CB43D25}">
      <dgm:prSet custT="1"/>
      <dgm:spPr/>
    </dgm:pt>
    <dgm:pt modelId="{25C623A9-F8FC-1142-8341-34BDB8D8F701}">
      <dgm:prSet custT="1"/>
      <dgm:spPr>
        <a:solidFill>
          <a:srgbClr val="D4CEC2"/>
        </a:solidFill>
      </dgm:spPr>
      <dgm:t>
        <a:bodyPr/>
        <a:lstStyle/>
        <a:p>
          <a:r>
            <a:rPr lang="en-US" sz="1000" b="0" i="0" u="none">
              <a:latin typeface="Times New Roman" panose="02020603050405020304" pitchFamily="18" charset="0"/>
              <a:cs typeface="Times New Roman" panose="02020603050405020304" pitchFamily="18" charset="0"/>
            </a:rPr>
            <a:t>Cours en salle</a:t>
          </a:r>
          <a:endParaRPr lang="en-US" sz="1000" b="0">
            <a:latin typeface="Times New Roman" panose="02020603050405020304" pitchFamily="18" charset="0"/>
            <a:cs typeface="Times New Roman" panose="02020603050405020304" pitchFamily="18" charset="0"/>
          </a:endParaRPr>
        </a:p>
      </dgm:t>
    </dgm:pt>
    <dgm:pt modelId="{D4DB8949-E5D3-254B-A11B-D90CB5C5F938}" type="parTrans" cxnId="{D5738B37-5A60-4F40-ACCF-F16130DF16E7}">
      <dgm:prSet/>
      <dgm:spPr/>
      <dgm:t>
        <a:bodyPr/>
        <a:lstStyle/>
        <a:p>
          <a:endParaRPr lang="en-US" b="0">
            <a:latin typeface="Times New Roman" panose="02020603050405020304" pitchFamily="18" charset="0"/>
            <a:cs typeface="Times New Roman" panose="02020603050405020304" pitchFamily="18" charset="0"/>
          </a:endParaRPr>
        </a:p>
      </dgm:t>
    </dgm:pt>
    <dgm:pt modelId="{EF45B1EF-6752-7543-BA0C-9FFBCCCC3448}" type="sibTrans" cxnId="{D5738B37-5A60-4F40-ACCF-F16130DF16E7}">
      <dgm:prSet custT="1"/>
      <dgm:spPr/>
    </dgm:pt>
    <dgm:pt modelId="{852723A3-8F03-ED49-9B86-A93124186482}">
      <dgm:prSet custT="1"/>
      <dgm:spPr>
        <a:solidFill>
          <a:srgbClr val="D4CEC2"/>
        </a:solidFill>
      </dgm:spPr>
      <dgm:t>
        <a:bodyPr/>
        <a:lstStyle/>
        <a:p>
          <a:r>
            <a:rPr lang="en-US" sz="1000" b="0" i="0" u="none">
              <a:latin typeface="Times New Roman" panose="02020603050405020304" pitchFamily="18" charset="0"/>
              <a:cs typeface="Times New Roman" panose="02020603050405020304" pitchFamily="18" charset="0"/>
            </a:rPr>
            <a:t>Conférences et séminaires</a:t>
          </a:r>
          <a:endParaRPr lang="en-US" sz="1000" b="0">
            <a:latin typeface="Times New Roman" panose="02020603050405020304" pitchFamily="18" charset="0"/>
            <a:cs typeface="Times New Roman" panose="02020603050405020304" pitchFamily="18" charset="0"/>
          </a:endParaRPr>
        </a:p>
      </dgm:t>
    </dgm:pt>
    <dgm:pt modelId="{25F95F92-9808-B640-95AE-F2F9FE043234}" type="parTrans" cxnId="{D2EEC523-547D-D248-A269-21ADE3FB7DAD}">
      <dgm:prSet/>
      <dgm:spPr/>
      <dgm:t>
        <a:bodyPr/>
        <a:lstStyle/>
        <a:p>
          <a:endParaRPr lang="en-US" b="0">
            <a:latin typeface="Times New Roman" panose="02020603050405020304" pitchFamily="18" charset="0"/>
            <a:cs typeface="Times New Roman" panose="02020603050405020304" pitchFamily="18" charset="0"/>
          </a:endParaRPr>
        </a:p>
      </dgm:t>
    </dgm:pt>
    <dgm:pt modelId="{399C138E-8BC2-D248-8FDF-76CA6D957C4F}" type="sibTrans" cxnId="{D2EEC523-547D-D248-A269-21ADE3FB7DAD}">
      <dgm:prSet/>
      <dgm:spPr/>
    </dgm:pt>
    <dgm:pt modelId="{3C3529FF-9776-3848-BA86-8A756558876A}">
      <dgm:prSet custT="1"/>
      <dgm:spPr>
        <a:solidFill>
          <a:srgbClr val="D4CEC2"/>
        </a:solidFill>
      </dgm:spPr>
      <dgm:t>
        <a:bodyPr/>
        <a:lstStyle/>
        <a:p>
          <a:r>
            <a:rPr lang="en-US" sz="1000" b="0" i="0" u="none">
              <a:latin typeface="Times New Roman" panose="02020603050405020304" pitchFamily="18" charset="0"/>
              <a:cs typeface="Times New Roman" panose="02020603050405020304" pitchFamily="18" charset="0"/>
            </a:rPr>
            <a:t>Tutorat et mentorat</a:t>
          </a:r>
          <a:endParaRPr lang="en-US" sz="1000" b="0">
            <a:latin typeface="Times New Roman" panose="02020603050405020304" pitchFamily="18" charset="0"/>
            <a:cs typeface="Times New Roman" panose="02020603050405020304" pitchFamily="18" charset="0"/>
          </a:endParaRPr>
        </a:p>
      </dgm:t>
    </dgm:pt>
    <dgm:pt modelId="{2982ECCD-37C7-EF4E-995D-CBE79FDBBF7F}" type="parTrans" cxnId="{92AFD5CB-CC81-AB4E-BC9C-88823483FA03}">
      <dgm:prSet/>
      <dgm:spPr/>
      <dgm:t>
        <a:bodyPr/>
        <a:lstStyle/>
        <a:p>
          <a:endParaRPr lang="en-US" b="0">
            <a:latin typeface="Times New Roman" panose="02020603050405020304" pitchFamily="18" charset="0"/>
            <a:cs typeface="Times New Roman" panose="02020603050405020304" pitchFamily="18" charset="0"/>
          </a:endParaRPr>
        </a:p>
      </dgm:t>
    </dgm:pt>
    <dgm:pt modelId="{50DDDDD2-4BA3-7049-8E39-2A1E6E0F4EF8}" type="sibTrans" cxnId="{92AFD5CB-CC81-AB4E-BC9C-88823483FA03}">
      <dgm:prSet/>
      <dgm:spPr/>
      <dgm:t>
        <a:bodyPr/>
        <a:lstStyle/>
        <a:p>
          <a:endParaRPr lang="en-US" b="0">
            <a:latin typeface="Times New Roman" panose="02020603050405020304" pitchFamily="18" charset="0"/>
            <a:cs typeface="Times New Roman" panose="02020603050405020304" pitchFamily="18" charset="0"/>
          </a:endParaRPr>
        </a:p>
      </dgm:t>
    </dgm:pt>
    <dgm:pt modelId="{651A680B-E20B-3C4D-95A6-CA11ED60DCDE}">
      <dgm:prSet custT="1"/>
      <dgm:spPr>
        <a:solidFill>
          <a:srgbClr val="D4CEC2"/>
        </a:solidFill>
      </dgm:spPr>
      <dgm:t>
        <a:bodyPr/>
        <a:lstStyle/>
        <a:p>
          <a:r>
            <a:rPr lang="en-US" sz="1050" b="0" i="0" u="none">
              <a:latin typeface="Times New Roman" panose="02020603050405020304" pitchFamily="18" charset="0"/>
              <a:cs typeface="Times New Roman" panose="02020603050405020304" pitchFamily="18" charset="0"/>
            </a:rPr>
            <a:t>Ateliers pratiques et groupes de discussion</a:t>
          </a:r>
          <a:endParaRPr lang="en-US" sz="1050" b="0">
            <a:latin typeface="Times New Roman" panose="02020603050405020304" pitchFamily="18" charset="0"/>
            <a:cs typeface="Times New Roman" panose="02020603050405020304" pitchFamily="18" charset="0"/>
          </a:endParaRPr>
        </a:p>
      </dgm:t>
    </dgm:pt>
    <dgm:pt modelId="{D6ABA30A-D6A9-5249-984F-0ADF741AE8C7}" type="parTrans" cxnId="{DB734AD2-B2F6-9B49-B229-7010A6D3EFF1}">
      <dgm:prSet/>
      <dgm:spPr/>
      <dgm:t>
        <a:bodyPr/>
        <a:lstStyle/>
        <a:p>
          <a:endParaRPr lang="en-US" b="0">
            <a:latin typeface="Times New Roman" panose="02020603050405020304" pitchFamily="18" charset="0"/>
            <a:cs typeface="Times New Roman" panose="02020603050405020304" pitchFamily="18" charset="0"/>
          </a:endParaRPr>
        </a:p>
      </dgm:t>
    </dgm:pt>
    <dgm:pt modelId="{AD28AC10-3B82-4B42-A777-9D10F3183B26}" type="sibTrans" cxnId="{DB734AD2-B2F6-9B49-B229-7010A6D3EFF1}">
      <dgm:prSet/>
      <dgm:spPr/>
      <dgm:t>
        <a:bodyPr/>
        <a:lstStyle/>
        <a:p>
          <a:endParaRPr lang="en-US" b="0">
            <a:latin typeface="Times New Roman" panose="02020603050405020304" pitchFamily="18" charset="0"/>
            <a:cs typeface="Times New Roman" panose="02020603050405020304" pitchFamily="18" charset="0"/>
          </a:endParaRPr>
        </a:p>
      </dgm:t>
    </dgm:pt>
    <dgm:pt modelId="{6356234B-EEFA-534D-B8A1-32A9095413F5}" type="pres">
      <dgm:prSet presAssocID="{D29381EC-C1C9-4443-9639-0D7A28025353}" presName="Name0" presStyleCnt="0">
        <dgm:presLayoutVars>
          <dgm:dir/>
          <dgm:resizeHandles val="exact"/>
        </dgm:presLayoutVars>
      </dgm:prSet>
      <dgm:spPr/>
    </dgm:pt>
    <dgm:pt modelId="{94F4E0DC-DFAC-2744-A19D-572DB91CF2F9}" type="pres">
      <dgm:prSet presAssocID="{25C623A9-F8FC-1142-8341-34BDB8D8F701}" presName="node" presStyleLbl="node1" presStyleIdx="0" presStyleCnt="6" custScaleX="80409">
        <dgm:presLayoutVars>
          <dgm:bulletEnabled val="1"/>
        </dgm:presLayoutVars>
      </dgm:prSet>
      <dgm:spPr/>
    </dgm:pt>
    <dgm:pt modelId="{F2481712-C382-C44F-9FED-68AE90032F8E}" type="pres">
      <dgm:prSet presAssocID="{EF45B1EF-6752-7543-BA0C-9FFBCCCC3448}" presName="sibTrans" presStyleCnt="0"/>
      <dgm:spPr/>
    </dgm:pt>
    <dgm:pt modelId="{705FFA9C-DAA9-814E-AE73-707BF1404E93}" type="pres">
      <dgm:prSet presAssocID="{852723A3-8F03-ED49-9B86-A93124186482}" presName="node" presStyleLbl="node1" presStyleIdx="1" presStyleCnt="6" custScaleX="101484">
        <dgm:presLayoutVars>
          <dgm:bulletEnabled val="1"/>
        </dgm:presLayoutVars>
      </dgm:prSet>
      <dgm:spPr/>
    </dgm:pt>
    <dgm:pt modelId="{78C95D40-9590-544D-A018-37895EFEDC26}" type="pres">
      <dgm:prSet presAssocID="{399C138E-8BC2-D248-8FDF-76CA6D957C4F}" presName="sibTrans" presStyleCnt="0"/>
      <dgm:spPr/>
    </dgm:pt>
    <dgm:pt modelId="{01D2D9F2-05A8-E748-9279-6F7D9CFEE790}" type="pres">
      <dgm:prSet presAssocID="{D1DD6A28-0C49-EA4D-A469-E13EF4F1F8FD}" presName="node" presStyleLbl="node1" presStyleIdx="2" presStyleCnt="6" custScaleX="71571">
        <dgm:presLayoutVars>
          <dgm:bulletEnabled val="1"/>
        </dgm:presLayoutVars>
      </dgm:prSet>
      <dgm:spPr/>
    </dgm:pt>
    <dgm:pt modelId="{C33E6D33-E91C-9745-A62B-518E57CE1F5B}" type="pres">
      <dgm:prSet presAssocID="{556F974A-890D-3646-8BE8-2C70C1097448}" presName="sibTrans" presStyleCnt="0"/>
      <dgm:spPr/>
    </dgm:pt>
    <dgm:pt modelId="{2BAB0212-E448-2F4B-B03E-8CD1A1AB09EA}" type="pres">
      <dgm:prSet presAssocID="{73AA9255-A4EB-E143-AD2F-717AA4F60B18}" presName="node" presStyleLbl="node1" presStyleIdx="3" presStyleCnt="6" custScaleX="95934">
        <dgm:presLayoutVars>
          <dgm:bulletEnabled val="1"/>
        </dgm:presLayoutVars>
      </dgm:prSet>
      <dgm:spPr/>
    </dgm:pt>
    <dgm:pt modelId="{6EECE47A-707F-A544-913C-B23E97FEE583}" type="pres">
      <dgm:prSet presAssocID="{FE81C2D7-5973-6242-AAA5-34058F1EDC21}" presName="sibTrans" presStyleCnt="0"/>
      <dgm:spPr/>
    </dgm:pt>
    <dgm:pt modelId="{C8C1E018-92CC-1E41-AA6C-4B84C87971B5}" type="pres">
      <dgm:prSet presAssocID="{3C3529FF-9776-3848-BA86-8A756558876A}" presName="node" presStyleLbl="node1" presStyleIdx="4" presStyleCnt="6" custScaleX="75776">
        <dgm:presLayoutVars>
          <dgm:bulletEnabled val="1"/>
        </dgm:presLayoutVars>
      </dgm:prSet>
      <dgm:spPr/>
    </dgm:pt>
    <dgm:pt modelId="{51DE83DB-15DC-A344-AED2-88165BBC0464}" type="pres">
      <dgm:prSet presAssocID="{50DDDDD2-4BA3-7049-8E39-2A1E6E0F4EF8}" presName="sibTrans" presStyleCnt="0"/>
      <dgm:spPr/>
    </dgm:pt>
    <dgm:pt modelId="{8A631E75-C0DF-714E-B95B-8E3C86A9DC98}" type="pres">
      <dgm:prSet presAssocID="{651A680B-E20B-3C4D-95A6-CA11ED60DCDE}" presName="node" presStyleLbl="node1" presStyleIdx="5" presStyleCnt="6" custLinFactX="3225" custLinFactNeighborX="100000" custLinFactNeighborY="0">
        <dgm:presLayoutVars>
          <dgm:bulletEnabled val="1"/>
        </dgm:presLayoutVars>
      </dgm:prSet>
      <dgm:spPr/>
    </dgm:pt>
  </dgm:ptLst>
  <dgm:cxnLst>
    <dgm:cxn modelId="{ACD75218-C103-774F-9898-3B807294336C}" srcId="{D29381EC-C1C9-4443-9639-0D7A28025353}" destId="{D1DD6A28-0C49-EA4D-A469-E13EF4F1F8FD}" srcOrd="2" destOrd="0" parTransId="{964A807C-1CD9-0142-B06C-6463113C3FD6}" sibTransId="{556F974A-890D-3646-8BE8-2C70C1097448}"/>
    <dgm:cxn modelId="{D2EEC523-547D-D248-A269-21ADE3FB7DAD}" srcId="{D29381EC-C1C9-4443-9639-0D7A28025353}" destId="{852723A3-8F03-ED49-9B86-A93124186482}" srcOrd="1" destOrd="0" parTransId="{25F95F92-9808-B640-95AE-F2F9FE043234}" sibTransId="{399C138E-8BC2-D248-8FDF-76CA6D957C4F}"/>
    <dgm:cxn modelId="{D5738B37-5A60-4F40-ACCF-F16130DF16E7}" srcId="{D29381EC-C1C9-4443-9639-0D7A28025353}" destId="{25C623A9-F8FC-1142-8341-34BDB8D8F701}" srcOrd="0" destOrd="0" parTransId="{D4DB8949-E5D3-254B-A11B-D90CB5C5F938}" sibTransId="{EF45B1EF-6752-7543-BA0C-9FFBCCCC3448}"/>
    <dgm:cxn modelId="{39E52B3D-7F30-E84D-9B0B-967AD18ED560}" type="presOf" srcId="{73AA9255-A4EB-E143-AD2F-717AA4F60B18}" destId="{2BAB0212-E448-2F4B-B03E-8CD1A1AB09EA}" srcOrd="0" destOrd="0" presId="urn:microsoft.com/office/officeart/2005/8/layout/hList6"/>
    <dgm:cxn modelId="{DFF78B51-E76D-B342-B7EF-CCAE7DB383BF}" type="presOf" srcId="{3C3529FF-9776-3848-BA86-8A756558876A}" destId="{C8C1E018-92CC-1E41-AA6C-4B84C87971B5}" srcOrd="0" destOrd="0" presId="urn:microsoft.com/office/officeart/2005/8/layout/hList6"/>
    <dgm:cxn modelId="{2B3C807F-278B-9441-ABCF-794708159E8D}" type="presOf" srcId="{D29381EC-C1C9-4443-9639-0D7A28025353}" destId="{6356234B-EEFA-534D-B8A1-32A9095413F5}" srcOrd="0" destOrd="0" presId="urn:microsoft.com/office/officeart/2005/8/layout/hList6"/>
    <dgm:cxn modelId="{E58B4782-56C8-FA40-A178-05FB093A820F}" type="presOf" srcId="{25C623A9-F8FC-1142-8341-34BDB8D8F701}" destId="{94F4E0DC-DFAC-2744-A19D-572DB91CF2F9}" srcOrd="0" destOrd="0" presId="urn:microsoft.com/office/officeart/2005/8/layout/hList6"/>
    <dgm:cxn modelId="{9513E29B-7F21-E84A-AE24-C61C6CB43D25}" srcId="{D29381EC-C1C9-4443-9639-0D7A28025353}" destId="{73AA9255-A4EB-E143-AD2F-717AA4F60B18}" srcOrd="3" destOrd="0" parTransId="{7060B0E2-2F5C-6B43-8570-7D38F27CD819}" sibTransId="{FE81C2D7-5973-6242-AAA5-34058F1EDC21}"/>
    <dgm:cxn modelId="{1DC68CC1-C51F-C943-9A73-751C541BB557}" type="presOf" srcId="{651A680B-E20B-3C4D-95A6-CA11ED60DCDE}" destId="{8A631E75-C0DF-714E-B95B-8E3C86A9DC98}" srcOrd="0" destOrd="0" presId="urn:microsoft.com/office/officeart/2005/8/layout/hList6"/>
    <dgm:cxn modelId="{757459C7-2025-384B-8E29-CFC5EDBF20C7}" type="presOf" srcId="{D1DD6A28-0C49-EA4D-A469-E13EF4F1F8FD}" destId="{01D2D9F2-05A8-E748-9279-6F7D9CFEE790}" srcOrd="0" destOrd="0" presId="urn:microsoft.com/office/officeart/2005/8/layout/hList6"/>
    <dgm:cxn modelId="{92AFD5CB-CC81-AB4E-BC9C-88823483FA03}" srcId="{D29381EC-C1C9-4443-9639-0D7A28025353}" destId="{3C3529FF-9776-3848-BA86-8A756558876A}" srcOrd="4" destOrd="0" parTransId="{2982ECCD-37C7-EF4E-995D-CBE79FDBBF7F}" sibTransId="{50DDDDD2-4BA3-7049-8E39-2A1E6E0F4EF8}"/>
    <dgm:cxn modelId="{DB734AD2-B2F6-9B49-B229-7010A6D3EFF1}" srcId="{D29381EC-C1C9-4443-9639-0D7A28025353}" destId="{651A680B-E20B-3C4D-95A6-CA11ED60DCDE}" srcOrd="5" destOrd="0" parTransId="{D6ABA30A-D6A9-5249-984F-0ADF741AE8C7}" sibTransId="{AD28AC10-3B82-4B42-A777-9D10F3183B26}"/>
    <dgm:cxn modelId="{CCC53EDC-B2E4-3B44-AE52-74C3DA5362FE}" type="presOf" srcId="{852723A3-8F03-ED49-9B86-A93124186482}" destId="{705FFA9C-DAA9-814E-AE73-707BF1404E93}" srcOrd="0" destOrd="0" presId="urn:microsoft.com/office/officeart/2005/8/layout/hList6"/>
    <dgm:cxn modelId="{467EDF84-6C1A-7642-94E4-DD50974BCF02}" type="presParOf" srcId="{6356234B-EEFA-534D-B8A1-32A9095413F5}" destId="{94F4E0DC-DFAC-2744-A19D-572DB91CF2F9}" srcOrd="0" destOrd="0" presId="urn:microsoft.com/office/officeart/2005/8/layout/hList6"/>
    <dgm:cxn modelId="{358240E2-97D9-E94A-847F-5EC9F2D98355}" type="presParOf" srcId="{6356234B-EEFA-534D-B8A1-32A9095413F5}" destId="{F2481712-C382-C44F-9FED-68AE90032F8E}" srcOrd="1" destOrd="0" presId="urn:microsoft.com/office/officeart/2005/8/layout/hList6"/>
    <dgm:cxn modelId="{320367C7-52CE-6E49-A8AB-DBA71698D623}" type="presParOf" srcId="{6356234B-EEFA-534D-B8A1-32A9095413F5}" destId="{705FFA9C-DAA9-814E-AE73-707BF1404E93}" srcOrd="2" destOrd="0" presId="urn:microsoft.com/office/officeart/2005/8/layout/hList6"/>
    <dgm:cxn modelId="{6F94872A-C66D-0C46-8842-63E0F42A044F}" type="presParOf" srcId="{6356234B-EEFA-534D-B8A1-32A9095413F5}" destId="{78C95D40-9590-544D-A018-37895EFEDC26}" srcOrd="3" destOrd="0" presId="urn:microsoft.com/office/officeart/2005/8/layout/hList6"/>
    <dgm:cxn modelId="{366C306C-013B-5743-B960-B983E9627D15}" type="presParOf" srcId="{6356234B-EEFA-534D-B8A1-32A9095413F5}" destId="{01D2D9F2-05A8-E748-9279-6F7D9CFEE790}" srcOrd="4" destOrd="0" presId="urn:microsoft.com/office/officeart/2005/8/layout/hList6"/>
    <dgm:cxn modelId="{7729C039-375F-7440-BFA5-E2FF4DD23E9C}" type="presParOf" srcId="{6356234B-EEFA-534D-B8A1-32A9095413F5}" destId="{C33E6D33-E91C-9745-A62B-518E57CE1F5B}" srcOrd="5" destOrd="0" presId="urn:microsoft.com/office/officeart/2005/8/layout/hList6"/>
    <dgm:cxn modelId="{B3B8B8BD-128F-204C-8E1F-B4245A531EB8}" type="presParOf" srcId="{6356234B-EEFA-534D-B8A1-32A9095413F5}" destId="{2BAB0212-E448-2F4B-B03E-8CD1A1AB09EA}" srcOrd="6" destOrd="0" presId="urn:microsoft.com/office/officeart/2005/8/layout/hList6"/>
    <dgm:cxn modelId="{21B93E4A-73F9-B74F-998B-697D4AEA8966}" type="presParOf" srcId="{6356234B-EEFA-534D-B8A1-32A9095413F5}" destId="{6EECE47A-707F-A544-913C-B23E97FEE583}" srcOrd="7" destOrd="0" presId="urn:microsoft.com/office/officeart/2005/8/layout/hList6"/>
    <dgm:cxn modelId="{3DF74FA9-0193-6542-AA7C-5F94168772B1}" type="presParOf" srcId="{6356234B-EEFA-534D-B8A1-32A9095413F5}" destId="{C8C1E018-92CC-1E41-AA6C-4B84C87971B5}" srcOrd="8" destOrd="0" presId="urn:microsoft.com/office/officeart/2005/8/layout/hList6"/>
    <dgm:cxn modelId="{551044E5-A220-3F40-ACA9-3DBDD1449A92}" type="presParOf" srcId="{6356234B-EEFA-534D-B8A1-32A9095413F5}" destId="{51DE83DB-15DC-A344-AED2-88165BBC0464}" srcOrd="9" destOrd="0" presId="urn:microsoft.com/office/officeart/2005/8/layout/hList6"/>
    <dgm:cxn modelId="{9B04995B-2766-654C-A59A-4D919CF3B4B4}" type="presParOf" srcId="{6356234B-EEFA-534D-B8A1-32A9095413F5}" destId="{8A631E75-C0DF-714E-B95B-8E3C86A9DC98}" srcOrd="10" destOrd="0" presId="urn:microsoft.com/office/officeart/2005/8/layout/hList6"/>
  </dgm:cxnLst>
  <dgm:bg/>
  <dgm:whole/>
  <dgm:extLst>
    <a:ext uri="http://schemas.microsoft.com/office/drawing/2008/diagram">
      <dsp:dataModelExt xmlns:dsp="http://schemas.microsoft.com/office/drawing/2008/diagram" relId="rId60" minVer="http://schemas.openxmlformats.org/drawingml/2006/diagram"/>
    </a:ext>
    <a:ext uri="{C62137D5-CB1D-491B-B009-E17868A290BF}">
      <dgm14:recolorImg xmlns:dgm14="http://schemas.microsoft.com/office/drawing/2010/diagram" val="1"/>
    </a:ext>
  </dgm:extLst>
</dgm:dataModel>
</file>

<file path=word/diagrams/data8.xml><?xml version="1.0" encoding="utf-8"?>
<dgm:dataModel xmlns:dgm="http://schemas.openxmlformats.org/drawingml/2006/diagram" xmlns:a="http://schemas.openxmlformats.org/drawingml/2006/main">
  <dgm:ptLst>
    <dgm:pt modelId="{31C9694D-8EE7-7446-A035-15D3B1E7BB84}" type="doc">
      <dgm:prSet loTypeId="urn:microsoft.com/office/officeart/2005/8/layout/hProcess11" loCatId="" qsTypeId="urn:microsoft.com/office/officeart/2005/8/quickstyle/simple5" qsCatId="simple" csTypeId="urn:microsoft.com/office/officeart/2005/8/colors/colorful5" csCatId="colorful" phldr="1"/>
      <dgm:spPr/>
      <dgm:t>
        <a:bodyPr/>
        <a:lstStyle/>
        <a:p>
          <a:endParaRPr lang="en-US"/>
        </a:p>
      </dgm:t>
    </dgm:pt>
    <dgm:pt modelId="{4094CEB1-351C-5444-B432-D3A690CB5FD8}">
      <dgm:prSet phldrT="[Text]" custT="1"/>
      <dgm:spPr/>
      <dgm:t>
        <a:bodyPr/>
        <a:lstStyle/>
        <a:p>
          <a:r>
            <a:rPr lang="en-US" sz="1000" b="0" i="0" u="none">
              <a:latin typeface="Times New Roman" panose="02020603050405020304" pitchFamily="18" charset="0"/>
              <a:cs typeface="Times New Roman" panose="02020603050405020304" pitchFamily="18" charset="0"/>
            </a:rPr>
            <a:t>Analyse des besoins</a:t>
          </a:r>
          <a:endParaRPr lang="en-US" sz="1000" b="0">
            <a:latin typeface="Times New Roman" panose="02020603050405020304" pitchFamily="18" charset="0"/>
            <a:cs typeface="Times New Roman" panose="02020603050405020304" pitchFamily="18" charset="0"/>
          </a:endParaRPr>
        </a:p>
      </dgm:t>
    </dgm:pt>
    <dgm:pt modelId="{724E71B8-47EE-C044-9CCC-1355DFD91E58}" type="parTrans" cxnId="{75B22A3A-B883-874F-96F1-38672A2C8B1D}">
      <dgm:prSet/>
      <dgm:spPr/>
      <dgm:t>
        <a:bodyPr/>
        <a:lstStyle/>
        <a:p>
          <a:endParaRPr lang="en-US" sz="1000" b="0">
            <a:latin typeface="Times New Roman" panose="02020603050405020304" pitchFamily="18" charset="0"/>
            <a:cs typeface="Times New Roman" panose="02020603050405020304" pitchFamily="18" charset="0"/>
          </a:endParaRPr>
        </a:p>
      </dgm:t>
    </dgm:pt>
    <dgm:pt modelId="{A24C1F42-A29F-B94D-94C5-0AB0718660CF}" type="sibTrans" cxnId="{75B22A3A-B883-874F-96F1-38672A2C8B1D}">
      <dgm:prSet/>
      <dgm:spPr/>
      <dgm:t>
        <a:bodyPr/>
        <a:lstStyle/>
        <a:p>
          <a:endParaRPr lang="en-US" sz="1000" b="0">
            <a:latin typeface="Times New Roman" panose="02020603050405020304" pitchFamily="18" charset="0"/>
            <a:cs typeface="Times New Roman" panose="02020603050405020304" pitchFamily="18" charset="0"/>
          </a:endParaRPr>
        </a:p>
      </dgm:t>
    </dgm:pt>
    <dgm:pt modelId="{0F8F56FF-71D3-4B45-874A-48888D6ED76F}">
      <dgm:prSet phldrT="[Text]" custT="1"/>
      <dgm:spPr/>
      <dgm:t>
        <a:bodyPr/>
        <a:lstStyle/>
        <a:p>
          <a:r>
            <a:rPr lang="en-US" sz="1000" b="0" i="0" u="none">
              <a:latin typeface="Times New Roman" panose="02020603050405020304" pitchFamily="18" charset="0"/>
              <a:cs typeface="Times New Roman" panose="02020603050405020304" pitchFamily="18" charset="0"/>
            </a:rPr>
            <a:t>Conception et planification</a:t>
          </a:r>
          <a:endParaRPr lang="en-US" sz="1000" b="0">
            <a:latin typeface="Times New Roman" panose="02020603050405020304" pitchFamily="18" charset="0"/>
            <a:cs typeface="Times New Roman" panose="02020603050405020304" pitchFamily="18" charset="0"/>
          </a:endParaRPr>
        </a:p>
      </dgm:t>
    </dgm:pt>
    <dgm:pt modelId="{5ED6CF15-A372-F54A-8857-770B5777E42B}" type="parTrans" cxnId="{5B01B0D9-268D-9B44-B7F8-4872F51F9E11}">
      <dgm:prSet/>
      <dgm:spPr/>
      <dgm:t>
        <a:bodyPr/>
        <a:lstStyle/>
        <a:p>
          <a:endParaRPr lang="en-US" sz="1000" b="0">
            <a:latin typeface="Times New Roman" panose="02020603050405020304" pitchFamily="18" charset="0"/>
            <a:cs typeface="Times New Roman" panose="02020603050405020304" pitchFamily="18" charset="0"/>
          </a:endParaRPr>
        </a:p>
      </dgm:t>
    </dgm:pt>
    <dgm:pt modelId="{83758FF2-CDC7-E14B-B571-8CEACB0CEC80}" type="sibTrans" cxnId="{5B01B0D9-268D-9B44-B7F8-4872F51F9E11}">
      <dgm:prSet/>
      <dgm:spPr/>
      <dgm:t>
        <a:bodyPr/>
        <a:lstStyle/>
        <a:p>
          <a:endParaRPr lang="en-US" sz="1000" b="0">
            <a:latin typeface="Times New Roman" panose="02020603050405020304" pitchFamily="18" charset="0"/>
            <a:cs typeface="Times New Roman" panose="02020603050405020304" pitchFamily="18" charset="0"/>
          </a:endParaRPr>
        </a:p>
      </dgm:t>
    </dgm:pt>
    <dgm:pt modelId="{65F89613-C698-C74F-8788-883582BD30CD}">
      <dgm:prSet phldrT="[Text]" custT="1"/>
      <dgm:spPr/>
      <dgm:t>
        <a:bodyPr/>
        <a:lstStyle/>
        <a:p>
          <a:r>
            <a:rPr lang="en-US" sz="1000" b="0" i="0" u="none">
              <a:latin typeface="Times New Roman" panose="02020603050405020304" pitchFamily="18" charset="0"/>
              <a:cs typeface="Times New Roman" panose="02020603050405020304" pitchFamily="18" charset="0"/>
            </a:rPr>
            <a:t>Mise en œuvre</a:t>
          </a:r>
          <a:endParaRPr lang="en-US" sz="1000" b="0">
            <a:latin typeface="Times New Roman" panose="02020603050405020304" pitchFamily="18" charset="0"/>
            <a:cs typeface="Times New Roman" panose="02020603050405020304" pitchFamily="18" charset="0"/>
          </a:endParaRPr>
        </a:p>
      </dgm:t>
    </dgm:pt>
    <dgm:pt modelId="{91362E2C-C22E-C247-ACE6-340E3B53B6A5}" type="parTrans" cxnId="{12F383F7-BD84-4C44-8EC3-750311123C8F}">
      <dgm:prSet/>
      <dgm:spPr/>
      <dgm:t>
        <a:bodyPr/>
        <a:lstStyle/>
        <a:p>
          <a:endParaRPr lang="en-US" sz="1000" b="0">
            <a:latin typeface="Times New Roman" panose="02020603050405020304" pitchFamily="18" charset="0"/>
            <a:cs typeface="Times New Roman" panose="02020603050405020304" pitchFamily="18" charset="0"/>
          </a:endParaRPr>
        </a:p>
      </dgm:t>
    </dgm:pt>
    <dgm:pt modelId="{3A5CEC6C-0469-0A44-AA9E-B38D2D11F93C}" type="sibTrans" cxnId="{12F383F7-BD84-4C44-8EC3-750311123C8F}">
      <dgm:prSet/>
      <dgm:spPr/>
      <dgm:t>
        <a:bodyPr/>
        <a:lstStyle/>
        <a:p>
          <a:endParaRPr lang="en-US" sz="1000" b="0">
            <a:latin typeface="Times New Roman" panose="02020603050405020304" pitchFamily="18" charset="0"/>
            <a:cs typeface="Times New Roman" panose="02020603050405020304" pitchFamily="18" charset="0"/>
          </a:endParaRPr>
        </a:p>
      </dgm:t>
    </dgm:pt>
    <dgm:pt modelId="{89CB1FB1-0DA4-D146-9FC1-A345EA09F556}">
      <dgm:prSet phldrT="[Text]" custT="1"/>
      <dgm:spPr/>
      <dgm:t>
        <a:bodyPr/>
        <a:lstStyle/>
        <a:p>
          <a:r>
            <a:rPr lang="en-US" sz="1000" b="0" i="0" u="none">
              <a:latin typeface="Times New Roman" panose="02020603050405020304" pitchFamily="18" charset="0"/>
              <a:cs typeface="Times New Roman" panose="02020603050405020304" pitchFamily="18" charset="0"/>
            </a:rPr>
            <a:t>Suivi et accompagnement</a:t>
          </a:r>
          <a:endParaRPr lang="en-US" sz="1000" b="0">
            <a:latin typeface="Times New Roman" panose="02020603050405020304" pitchFamily="18" charset="0"/>
            <a:cs typeface="Times New Roman" panose="02020603050405020304" pitchFamily="18" charset="0"/>
          </a:endParaRPr>
        </a:p>
      </dgm:t>
    </dgm:pt>
    <dgm:pt modelId="{57F5D8E2-B1DA-2644-843F-7B58E757A258}" type="parTrans" cxnId="{175ED89A-02D0-1445-98AF-AF8CCCF9AFAA}">
      <dgm:prSet/>
      <dgm:spPr/>
      <dgm:t>
        <a:bodyPr/>
        <a:lstStyle/>
        <a:p>
          <a:endParaRPr lang="en-US" sz="1000" b="0">
            <a:latin typeface="Times New Roman" panose="02020603050405020304" pitchFamily="18" charset="0"/>
            <a:cs typeface="Times New Roman" panose="02020603050405020304" pitchFamily="18" charset="0"/>
          </a:endParaRPr>
        </a:p>
      </dgm:t>
    </dgm:pt>
    <dgm:pt modelId="{6DDE1A98-79F1-8341-9BBD-E402C89566DC}" type="sibTrans" cxnId="{175ED89A-02D0-1445-98AF-AF8CCCF9AFAA}">
      <dgm:prSet/>
      <dgm:spPr/>
      <dgm:t>
        <a:bodyPr/>
        <a:lstStyle/>
        <a:p>
          <a:endParaRPr lang="en-US" sz="1000" b="0">
            <a:latin typeface="Times New Roman" panose="02020603050405020304" pitchFamily="18" charset="0"/>
            <a:cs typeface="Times New Roman" panose="02020603050405020304" pitchFamily="18" charset="0"/>
          </a:endParaRPr>
        </a:p>
      </dgm:t>
    </dgm:pt>
    <dgm:pt modelId="{E0F7E5CF-DEE5-C544-8829-6DF39EC29793}">
      <dgm:prSet phldrT="[Text]" custT="1"/>
      <dgm:spPr/>
      <dgm:t>
        <a:bodyPr/>
        <a:lstStyle/>
        <a:p>
          <a:r>
            <a:rPr lang="en-US" sz="1000" b="0" i="0" u="none">
              <a:latin typeface="Times New Roman" panose="02020603050405020304" pitchFamily="18" charset="0"/>
              <a:cs typeface="Times New Roman" panose="02020603050405020304" pitchFamily="18" charset="0"/>
            </a:rPr>
            <a:t>Évaluation et amélioration</a:t>
          </a:r>
          <a:endParaRPr lang="en-US" sz="1000" b="0">
            <a:latin typeface="Times New Roman" panose="02020603050405020304" pitchFamily="18" charset="0"/>
            <a:cs typeface="Times New Roman" panose="02020603050405020304" pitchFamily="18" charset="0"/>
          </a:endParaRPr>
        </a:p>
      </dgm:t>
    </dgm:pt>
    <dgm:pt modelId="{31E72CD8-75F0-B241-9162-73CC06A99FC8}" type="parTrans" cxnId="{F8CA63FF-8F44-284F-BD27-403AB5CE6143}">
      <dgm:prSet/>
      <dgm:spPr/>
      <dgm:t>
        <a:bodyPr/>
        <a:lstStyle/>
        <a:p>
          <a:endParaRPr lang="en-US" sz="1000" b="0">
            <a:latin typeface="Times New Roman" panose="02020603050405020304" pitchFamily="18" charset="0"/>
            <a:cs typeface="Times New Roman" panose="02020603050405020304" pitchFamily="18" charset="0"/>
          </a:endParaRPr>
        </a:p>
      </dgm:t>
    </dgm:pt>
    <dgm:pt modelId="{A18A3CB0-4469-8645-A43C-A846C4A7740C}" type="sibTrans" cxnId="{F8CA63FF-8F44-284F-BD27-403AB5CE6143}">
      <dgm:prSet/>
      <dgm:spPr/>
      <dgm:t>
        <a:bodyPr/>
        <a:lstStyle/>
        <a:p>
          <a:endParaRPr lang="en-US" sz="1000" b="0">
            <a:latin typeface="Times New Roman" panose="02020603050405020304" pitchFamily="18" charset="0"/>
            <a:cs typeface="Times New Roman" panose="02020603050405020304" pitchFamily="18" charset="0"/>
          </a:endParaRPr>
        </a:p>
      </dgm:t>
    </dgm:pt>
    <dgm:pt modelId="{433FB412-FD72-E143-B182-7F3E5A563F3C}" type="pres">
      <dgm:prSet presAssocID="{31C9694D-8EE7-7446-A035-15D3B1E7BB84}" presName="Name0" presStyleCnt="0">
        <dgm:presLayoutVars>
          <dgm:dir/>
          <dgm:resizeHandles val="exact"/>
        </dgm:presLayoutVars>
      </dgm:prSet>
      <dgm:spPr/>
    </dgm:pt>
    <dgm:pt modelId="{E63B7379-3411-8542-9AEE-2DA8E107EE13}" type="pres">
      <dgm:prSet presAssocID="{31C9694D-8EE7-7446-A035-15D3B1E7BB84}" presName="arrow" presStyleLbl="bgShp" presStyleIdx="0" presStyleCnt="1"/>
      <dgm:spPr>
        <a:solidFill>
          <a:srgbClr val="D8DCD1"/>
        </a:solidFill>
      </dgm:spPr>
    </dgm:pt>
    <dgm:pt modelId="{2A2CC07D-44F8-EF4B-B536-FF71BF7CC0D5}" type="pres">
      <dgm:prSet presAssocID="{31C9694D-8EE7-7446-A035-15D3B1E7BB84}" presName="points" presStyleCnt="0"/>
      <dgm:spPr/>
    </dgm:pt>
    <dgm:pt modelId="{32D423DE-762C-5743-91F0-94620FE1FF84}" type="pres">
      <dgm:prSet presAssocID="{4094CEB1-351C-5444-B432-D3A690CB5FD8}" presName="compositeA" presStyleCnt="0"/>
      <dgm:spPr/>
    </dgm:pt>
    <dgm:pt modelId="{487AADFC-B50C-2044-A522-27E97C5A075A}" type="pres">
      <dgm:prSet presAssocID="{4094CEB1-351C-5444-B432-D3A690CB5FD8}" presName="textA" presStyleLbl="revTx" presStyleIdx="0" presStyleCnt="5" custScaleX="183639">
        <dgm:presLayoutVars>
          <dgm:bulletEnabled val="1"/>
        </dgm:presLayoutVars>
      </dgm:prSet>
      <dgm:spPr/>
    </dgm:pt>
    <dgm:pt modelId="{398F4588-08D3-FE4A-9F2F-74B02CC74D31}" type="pres">
      <dgm:prSet presAssocID="{4094CEB1-351C-5444-B432-D3A690CB5FD8}" presName="circleA" presStyleLbl="node1" presStyleIdx="0" presStyleCnt="5"/>
      <dgm:spPr>
        <a:solidFill>
          <a:srgbClr val="D4CEC2"/>
        </a:solidFill>
      </dgm:spPr>
    </dgm:pt>
    <dgm:pt modelId="{72B7734C-C91A-AD4F-B0D3-01DB82BF1E3C}" type="pres">
      <dgm:prSet presAssocID="{4094CEB1-351C-5444-B432-D3A690CB5FD8}" presName="spaceA" presStyleCnt="0"/>
      <dgm:spPr/>
    </dgm:pt>
    <dgm:pt modelId="{3C9E7158-28DA-5749-95D3-866EA905277F}" type="pres">
      <dgm:prSet presAssocID="{A24C1F42-A29F-B94D-94C5-0AB0718660CF}" presName="space" presStyleCnt="0"/>
      <dgm:spPr/>
    </dgm:pt>
    <dgm:pt modelId="{A6B586F1-EDA0-044A-BC74-02A04A806397}" type="pres">
      <dgm:prSet presAssocID="{0F8F56FF-71D3-4B45-874A-48888D6ED76F}" presName="compositeB" presStyleCnt="0"/>
      <dgm:spPr/>
    </dgm:pt>
    <dgm:pt modelId="{D4F409E4-5F62-844B-948B-49F6808A82FC}" type="pres">
      <dgm:prSet presAssocID="{0F8F56FF-71D3-4B45-874A-48888D6ED76F}" presName="textB" presStyleLbl="revTx" presStyleIdx="1" presStyleCnt="5" custScaleX="164843">
        <dgm:presLayoutVars>
          <dgm:bulletEnabled val="1"/>
        </dgm:presLayoutVars>
      </dgm:prSet>
      <dgm:spPr/>
    </dgm:pt>
    <dgm:pt modelId="{73E4D24D-812D-D24E-BD62-403407119EC3}" type="pres">
      <dgm:prSet presAssocID="{0F8F56FF-71D3-4B45-874A-48888D6ED76F}" presName="circleB" presStyleLbl="node1" presStyleIdx="1" presStyleCnt="5"/>
      <dgm:spPr>
        <a:solidFill>
          <a:srgbClr val="D4CEC2"/>
        </a:solidFill>
      </dgm:spPr>
    </dgm:pt>
    <dgm:pt modelId="{F09EFA45-970D-2240-80F3-3A9CEBFE85BA}" type="pres">
      <dgm:prSet presAssocID="{0F8F56FF-71D3-4B45-874A-48888D6ED76F}" presName="spaceB" presStyleCnt="0"/>
      <dgm:spPr/>
    </dgm:pt>
    <dgm:pt modelId="{A05E12F4-7236-8D4C-A02E-AC3DC80DEF4D}" type="pres">
      <dgm:prSet presAssocID="{83758FF2-CDC7-E14B-B571-8CEACB0CEC80}" presName="space" presStyleCnt="0"/>
      <dgm:spPr/>
    </dgm:pt>
    <dgm:pt modelId="{D172C83A-1CF1-C74B-A58C-9C13F211EB6F}" type="pres">
      <dgm:prSet presAssocID="{65F89613-C698-C74F-8788-883582BD30CD}" presName="compositeA" presStyleCnt="0"/>
      <dgm:spPr/>
    </dgm:pt>
    <dgm:pt modelId="{A18314B3-00EF-FE4F-84DC-199321644605}" type="pres">
      <dgm:prSet presAssocID="{65F89613-C698-C74F-8788-883582BD30CD}" presName="textA" presStyleLbl="revTx" presStyleIdx="2" presStyleCnt="5">
        <dgm:presLayoutVars>
          <dgm:bulletEnabled val="1"/>
        </dgm:presLayoutVars>
      </dgm:prSet>
      <dgm:spPr/>
    </dgm:pt>
    <dgm:pt modelId="{A91C0A98-EB90-7C4D-AA95-C3FFF84A6869}" type="pres">
      <dgm:prSet presAssocID="{65F89613-C698-C74F-8788-883582BD30CD}" presName="circleA" presStyleLbl="node1" presStyleIdx="2" presStyleCnt="5"/>
      <dgm:spPr>
        <a:solidFill>
          <a:srgbClr val="D4CEC2"/>
        </a:solidFill>
      </dgm:spPr>
    </dgm:pt>
    <dgm:pt modelId="{03779CC1-E128-6342-B939-B7682EFC1B1A}" type="pres">
      <dgm:prSet presAssocID="{65F89613-C698-C74F-8788-883582BD30CD}" presName="spaceA" presStyleCnt="0"/>
      <dgm:spPr/>
    </dgm:pt>
    <dgm:pt modelId="{60DD98DA-0E08-4E44-8A83-18EBBDB757D1}" type="pres">
      <dgm:prSet presAssocID="{3A5CEC6C-0469-0A44-AA9E-B38D2D11F93C}" presName="space" presStyleCnt="0"/>
      <dgm:spPr/>
    </dgm:pt>
    <dgm:pt modelId="{FE83B66C-C726-CD48-99EA-E55964DD31F9}" type="pres">
      <dgm:prSet presAssocID="{89CB1FB1-0DA4-D146-9FC1-A345EA09F556}" presName="compositeB" presStyleCnt="0"/>
      <dgm:spPr/>
    </dgm:pt>
    <dgm:pt modelId="{67CDA41A-BC2C-8E41-A4F7-D592F4ADCD02}" type="pres">
      <dgm:prSet presAssocID="{89CB1FB1-0DA4-D146-9FC1-A345EA09F556}" presName="textB" presStyleLbl="revTx" presStyleIdx="3" presStyleCnt="5" custScaleX="157992">
        <dgm:presLayoutVars>
          <dgm:bulletEnabled val="1"/>
        </dgm:presLayoutVars>
      </dgm:prSet>
      <dgm:spPr/>
    </dgm:pt>
    <dgm:pt modelId="{A3C1FC27-B2B0-4A4D-9D30-C4270BC906DB}" type="pres">
      <dgm:prSet presAssocID="{89CB1FB1-0DA4-D146-9FC1-A345EA09F556}" presName="circleB" presStyleLbl="node1" presStyleIdx="3" presStyleCnt="5"/>
      <dgm:spPr>
        <a:solidFill>
          <a:srgbClr val="D4CEC2"/>
        </a:solidFill>
      </dgm:spPr>
    </dgm:pt>
    <dgm:pt modelId="{4A00B5E6-B8A1-514C-97C1-23BF78DC5DDB}" type="pres">
      <dgm:prSet presAssocID="{89CB1FB1-0DA4-D146-9FC1-A345EA09F556}" presName="spaceB" presStyleCnt="0"/>
      <dgm:spPr/>
    </dgm:pt>
    <dgm:pt modelId="{32113680-BF50-C546-A914-99D553A9DFC1}" type="pres">
      <dgm:prSet presAssocID="{6DDE1A98-79F1-8341-9BBD-E402C89566DC}" presName="space" presStyleCnt="0"/>
      <dgm:spPr/>
    </dgm:pt>
    <dgm:pt modelId="{1372C7D7-930C-5342-9BE1-D7A1A240E1C3}" type="pres">
      <dgm:prSet presAssocID="{E0F7E5CF-DEE5-C544-8829-6DF39EC29793}" presName="compositeA" presStyleCnt="0"/>
      <dgm:spPr/>
    </dgm:pt>
    <dgm:pt modelId="{652194B8-E159-574C-B869-4C726825C137}" type="pres">
      <dgm:prSet presAssocID="{E0F7E5CF-DEE5-C544-8829-6DF39EC29793}" presName="textA" presStyleLbl="revTx" presStyleIdx="4" presStyleCnt="5" custScaleX="178065">
        <dgm:presLayoutVars>
          <dgm:bulletEnabled val="1"/>
        </dgm:presLayoutVars>
      </dgm:prSet>
      <dgm:spPr/>
    </dgm:pt>
    <dgm:pt modelId="{E161C180-C8C6-FD47-BBDA-0DC71BBAA9BF}" type="pres">
      <dgm:prSet presAssocID="{E0F7E5CF-DEE5-C544-8829-6DF39EC29793}" presName="circleA" presStyleLbl="node1" presStyleIdx="4" presStyleCnt="5"/>
      <dgm:spPr>
        <a:solidFill>
          <a:srgbClr val="D4CEC2"/>
        </a:solidFill>
      </dgm:spPr>
    </dgm:pt>
    <dgm:pt modelId="{37BE8C0C-13FE-D745-91DB-E1C4ED98737B}" type="pres">
      <dgm:prSet presAssocID="{E0F7E5CF-DEE5-C544-8829-6DF39EC29793}" presName="spaceA" presStyleCnt="0"/>
      <dgm:spPr/>
    </dgm:pt>
  </dgm:ptLst>
  <dgm:cxnLst>
    <dgm:cxn modelId="{D68B1022-3512-5D4E-9A74-F25D651A835C}" type="presOf" srcId="{0F8F56FF-71D3-4B45-874A-48888D6ED76F}" destId="{D4F409E4-5F62-844B-948B-49F6808A82FC}" srcOrd="0" destOrd="0" presId="urn:microsoft.com/office/officeart/2005/8/layout/hProcess11"/>
    <dgm:cxn modelId="{6FF1F227-F948-E841-A3BF-6823199A17B1}" type="presOf" srcId="{4094CEB1-351C-5444-B432-D3A690CB5FD8}" destId="{487AADFC-B50C-2044-A522-27E97C5A075A}" srcOrd="0" destOrd="0" presId="urn:microsoft.com/office/officeart/2005/8/layout/hProcess11"/>
    <dgm:cxn modelId="{75B22A3A-B883-874F-96F1-38672A2C8B1D}" srcId="{31C9694D-8EE7-7446-A035-15D3B1E7BB84}" destId="{4094CEB1-351C-5444-B432-D3A690CB5FD8}" srcOrd="0" destOrd="0" parTransId="{724E71B8-47EE-C044-9CCC-1355DFD91E58}" sibTransId="{A24C1F42-A29F-B94D-94C5-0AB0718660CF}"/>
    <dgm:cxn modelId="{5A80455B-C76E-8C4F-ADAB-3050D6D7BDE5}" type="presOf" srcId="{89CB1FB1-0DA4-D146-9FC1-A345EA09F556}" destId="{67CDA41A-BC2C-8E41-A4F7-D592F4ADCD02}" srcOrd="0" destOrd="0" presId="urn:microsoft.com/office/officeart/2005/8/layout/hProcess11"/>
    <dgm:cxn modelId="{FB89378B-E08E-884E-88F2-3E814C25FCC0}" type="presOf" srcId="{65F89613-C698-C74F-8788-883582BD30CD}" destId="{A18314B3-00EF-FE4F-84DC-199321644605}" srcOrd="0" destOrd="0" presId="urn:microsoft.com/office/officeart/2005/8/layout/hProcess11"/>
    <dgm:cxn modelId="{175ED89A-02D0-1445-98AF-AF8CCCF9AFAA}" srcId="{31C9694D-8EE7-7446-A035-15D3B1E7BB84}" destId="{89CB1FB1-0DA4-D146-9FC1-A345EA09F556}" srcOrd="3" destOrd="0" parTransId="{57F5D8E2-B1DA-2644-843F-7B58E757A258}" sibTransId="{6DDE1A98-79F1-8341-9BBD-E402C89566DC}"/>
    <dgm:cxn modelId="{5B01B0D9-268D-9B44-B7F8-4872F51F9E11}" srcId="{31C9694D-8EE7-7446-A035-15D3B1E7BB84}" destId="{0F8F56FF-71D3-4B45-874A-48888D6ED76F}" srcOrd="1" destOrd="0" parTransId="{5ED6CF15-A372-F54A-8857-770B5777E42B}" sibTransId="{83758FF2-CDC7-E14B-B571-8CEACB0CEC80}"/>
    <dgm:cxn modelId="{F621F1DA-42B5-574D-8B31-8381A5FE3151}" type="presOf" srcId="{31C9694D-8EE7-7446-A035-15D3B1E7BB84}" destId="{433FB412-FD72-E143-B182-7F3E5A563F3C}" srcOrd="0" destOrd="0" presId="urn:microsoft.com/office/officeart/2005/8/layout/hProcess11"/>
    <dgm:cxn modelId="{6102D0F3-87BE-224E-A496-C76138939627}" type="presOf" srcId="{E0F7E5CF-DEE5-C544-8829-6DF39EC29793}" destId="{652194B8-E159-574C-B869-4C726825C137}" srcOrd="0" destOrd="0" presId="urn:microsoft.com/office/officeart/2005/8/layout/hProcess11"/>
    <dgm:cxn modelId="{12F383F7-BD84-4C44-8EC3-750311123C8F}" srcId="{31C9694D-8EE7-7446-A035-15D3B1E7BB84}" destId="{65F89613-C698-C74F-8788-883582BD30CD}" srcOrd="2" destOrd="0" parTransId="{91362E2C-C22E-C247-ACE6-340E3B53B6A5}" sibTransId="{3A5CEC6C-0469-0A44-AA9E-B38D2D11F93C}"/>
    <dgm:cxn modelId="{F8CA63FF-8F44-284F-BD27-403AB5CE6143}" srcId="{31C9694D-8EE7-7446-A035-15D3B1E7BB84}" destId="{E0F7E5CF-DEE5-C544-8829-6DF39EC29793}" srcOrd="4" destOrd="0" parTransId="{31E72CD8-75F0-B241-9162-73CC06A99FC8}" sibTransId="{A18A3CB0-4469-8645-A43C-A846C4A7740C}"/>
    <dgm:cxn modelId="{7FB28D7C-DFAB-CC4B-A575-DD104BF44BFD}" type="presParOf" srcId="{433FB412-FD72-E143-B182-7F3E5A563F3C}" destId="{E63B7379-3411-8542-9AEE-2DA8E107EE13}" srcOrd="0" destOrd="0" presId="urn:microsoft.com/office/officeart/2005/8/layout/hProcess11"/>
    <dgm:cxn modelId="{C575CB2C-48CB-F44F-8F98-812D05902429}" type="presParOf" srcId="{433FB412-FD72-E143-B182-7F3E5A563F3C}" destId="{2A2CC07D-44F8-EF4B-B536-FF71BF7CC0D5}" srcOrd="1" destOrd="0" presId="urn:microsoft.com/office/officeart/2005/8/layout/hProcess11"/>
    <dgm:cxn modelId="{94C1AFAE-3573-D14B-B478-2AE54F190213}" type="presParOf" srcId="{2A2CC07D-44F8-EF4B-B536-FF71BF7CC0D5}" destId="{32D423DE-762C-5743-91F0-94620FE1FF84}" srcOrd="0" destOrd="0" presId="urn:microsoft.com/office/officeart/2005/8/layout/hProcess11"/>
    <dgm:cxn modelId="{90AE76EE-CCA3-CE48-81BC-866B11D2083E}" type="presParOf" srcId="{32D423DE-762C-5743-91F0-94620FE1FF84}" destId="{487AADFC-B50C-2044-A522-27E97C5A075A}" srcOrd="0" destOrd="0" presId="urn:microsoft.com/office/officeart/2005/8/layout/hProcess11"/>
    <dgm:cxn modelId="{031AAA1E-171B-E24C-9C0D-B6D374FA87FB}" type="presParOf" srcId="{32D423DE-762C-5743-91F0-94620FE1FF84}" destId="{398F4588-08D3-FE4A-9F2F-74B02CC74D31}" srcOrd="1" destOrd="0" presId="urn:microsoft.com/office/officeart/2005/8/layout/hProcess11"/>
    <dgm:cxn modelId="{236E3643-905B-0D47-9E69-6D27BEE2C896}" type="presParOf" srcId="{32D423DE-762C-5743-91F0-94620FE1FF84}" destId="{72B7734C-C91A-AD4F-B0D3-01DB82BF1E3C}" srcOrd="2" destOrd="0" presId="urn:microsoft.com/office/officeart/2005/8/layout/hProcess11"/>
    <dgm:cxn modelId="{CCD09000-D7E0-3745-A5BE-F03223E2C757}" type="presParOf" srcId="{2A2CC07D-44F8-EF4B-B536-FF71BF7CC0D5}" destId="{3C9E7158-28DA-5749-95D3-866EA905277F}" srcOrd="1" destOrd="0" presId="urn:microsoft.com/office/officeart/2005/8/layout/hProcess11"/>
    <dgm:cxn modelId="{0E1E10F3-4F35-5C4C-801C-2F65A5D0E42F}" type="presParOf" srcId="{2A2CC07D-44F8-EF4B-B536-FF71BF7CC0D5}" destId="{A6B586F1-EDA0-044A-BC74-02A04A806397}" srcOrd="2" destOrd="0" presId="urn:microsoft.com/office/officeart/2005/8/layout/hProcess11"/>
    <dgm:cxn modelId="{B4499A23-DEE9-FC4F-A0A4-E1BD99F93188}" type="presParOf" srcId="{A6B586F1-EDA0-044A-BC74-02A04A806397}" destId="{D4F409E4-5F62-844B-948B-49F6808A82FC}" srcOrd="0" destOrd="0" presId="urn:microsoft.com/office/officeart/2005/8/layout/hProcess11"/>
    <dgm:cxn modelId="{594FC51E-5D91-1645-8C02-1161C38DF22B}" type="presParOf" srcId="{A6B586F1-EDA0-044A-BC74-02A04A806397}" destId="{73E4D24D-812D-D24E-BD62-403407119EC3}" srcOrd="1" destOrd="0" presId="urn:microsoft.com/office/officeart/2005/8/layout/hProcess11"/>
    <dgm:cxn modelId="{FA456F5E-B1D6-0345-8C6A-73EFD8DD5E3A}" type="presParOf" srcId="{A6B586F1-EDA0-044A-BC74-02A04A806397}" destId="{F09EFA45-970D-2240-80F3-3A9CEBFE85BA}" srcOrd="2" destOrd="0" presId="urn:microsoft.com/office/officeart/2005/8/layout/hProcess11"/>
    <dgm:cxn modelId="{8BE5EBDF-2026-C446-9CD1-0983209C2DC5}" type="presParOf" srcId="{2A2CC07D-44F8-EF4B-B536-FF71BF7CC0D5}" destId="{A05E12F4-7236-8D4C-A02E-AC3DC80DEF4D}" srcOrd="3" destOrd="0" presId="urn:microsoft.com/office/officeart/2005/8/layout/hProcess11"/>
    <dgm:cxn modelId="{2C68C5E3-4280-604B-9480-44A9916BA1AF}" type="presParOf" srcId="{2A2CC07D-44F8-EF4B-B536-FF71BF7CC0D5}" destId="{D172C83A-1CF1-C74B-A58C-9C13F211EB6F}" srcOrd="4" destOrd="0" presId="urn:microsoft.com/office/officeart/2005/8/layout/hProcess11"/>
    <dgm:cxn modelId="{C14AFCF6-500B-EB40-B458-E6360220230E}" type="presParOf" srcId="{D172C83A-1CF1-C74B-A58C-9C13F211EB6F}" destId="{A18314B3-00EF-FE4F-84DC-199321644605}" srcOrd="0" destOrd="0" presId="urn:microsoft.com/office/officeart/2005/8/layout/hProcess11"/>
    <dgm:cxn modelId="{B23E6A8D-1F4F-6B44-B857-3E3AD35435C0}" type="presParOf" srcId="{D172C83A-1CF1-C74B-A58C-9C13F211EB6F}" destId="{A91C0A98-EB90-7C4D-AA95-C3FFF84A6869}" srcOrd="1" destOrd="0" presId="urn:microsoft.com/office/officeart/2005/8/layout/hProcess11"/>
    <dgm:cxn modelId="{A544E275-7423-3845-9A7F-9A19AA473703}" type="presParOf" srcId="{D172C83A-1CF1-C74B-A58C-9C13F211EB6F}" destId="{03779CC1-E128-6342-B939-B7682EFC1B1A}" srcOrd="2" destOrd="0" presId="urn:microsoft.com/office/officeart/2005/8/layout/hProcess11"/>
    <dgm:cxn modelId="{A29371FD-2177-D343-AC21-585658EF683F}" type="presParOf" srcId="{2A2CC07D-44F8-EF4B-B536-FF71BF7CC0D5}" destId="{60DD98DA-0E08-4E44-8A83-18EBBDB757D1}" srcOrd="5" destOrd="0" presId="urn:microsoft.com/office/officeart/2005/8/layout/hProcess11"/>
    <dgm:cxn modelId="{A42433DD-4E02-3E46-9535-5B78D65BEBB0}" type="presParOf" srcId="{2A2CC07D-44F8-EF4B-B536-FF71BF7CC0D5}" destId="{FE83B66C-C726-CD48-99EA-E55964DD31F9}" srcOrd="6" destOrd="0" presId="urn:microsoft.com/office/officeart/2005/8/layout/hProcess11"/>
    <dgm:cxn modelId="{162CFACF-B4B7-1E4C-B974-8A8169D40F26}" type="presParOf" srcId="{FE83B66C-C726-CD48-99EA-E55964DD31F9}" destId="{67CDA41A-BC2C-8E41-A4F7-D592F4ADCD02}" srcOrd="0" destOrd="0" presId="urn:microsoft.com/office/officeart/2005/8/layout/hProcess11"/>
    <dgm:cxn modelId="{77C16000-7C19-A047-AA68-231F8102D5D0}" type="presParOf" srcId="{FE83B66C-C726-CD48-99EA-E55964DD31F9}" destId="{A3C1FC27-B2B0-4A4D-9D30-C4270BC906DB}" srcOrd="1" destOrd="0" presId="urn:microsoft.com/office/officeart/2005/8/layout/hProcess11"/>
    <dgm:cxn modelId="{D18066F3-AF48-8143-AD71-4BBCAC536E58}" type="presParOf" srcId="{FE83B66C-C726-CD48-99EA-E55964DD31F9}" destId="{4A00B5E6-B8A1-514C-97C1-23BF78DC5DDB}" srcOrd="2" destOrd="0" presId="urn:microsoft.com/office/officeart/2005/8/layout/hProcess11"/>
    <dgm:cxn modelId="{5C2AE70F-C3D2-DC40-A710-E9A646C9B15B}" type="presParOf" srcId="{2A2CC07D-44F8-EF4B-B536-FF71BF7CC0D5}" destId="{32113680-BF50-C546-A914-99D553A9DFC1}" srcOrd="7" destOrd="0" presId="urn:microsoft.com/office/officeart/2005/8/layout/hProcess11"/>
    <dgm:cxn modelId="{C81DA278-9889-BF41-8853-478D82CEDC6D}" type="presParOf" srcId="{2A2CC07D-44F8-EF4B-B536-FF71BF7CC0D5}" destId="{1372C7D7-930C-5342-9BE1-D7A1A240E1C3}" srcOrd="8" destOrd="0" presId="urn:microsoft.com/office/officeart/2005/8/layout/hProcess11"/>
    <dgm:cxn modelId="{FE1C74C0-B4D1-8F4A-9365-8BA3E02B7E10}" type="presParOf" srcId="{1372C7D7-930C-5342-9BE1-D7A1A240E1C3}" destId="{652194B8-E159-574C-B869-4C726825C137}" srcOrd="0" destOrd="0" presId="urn:microsoft.com/office/officeart/2005/8/layout/hProcess11"/>
    <dgm:cxn modelId="{D4349121-8E14-5648-AF0B-FE2F19D43632}" type="presParOf" srcId="{1372C7D7-930C-5342-9BE1-D7A1A240E1C3}" destId="{E161C180-C8C6-FD47-BBDA-0DC71BBAA9BF}" srcOrd="1" destOrd="0" presId="urn:microsoft.com/office/officeart/2005/8/layout/hProcess11"/>
    <dgm:cxn modelId="{600D9AA1-2314-CA4C-B609-729B7A61BEB3}" type="presParOf" srcId="{1372C7D7-930C-5342-9BE1-D7A1A240E1C3}" destId="{37BE8C0C-13FE-D745-91DB-E1C4ED98737B}" srcOrd="2" destOrd="0" presId="urn:microsoft.com/office/officeart/2005/8/layout/hProcess11"/>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6F552A7C-668D-BB49-B4E9-26118D73E38D}" type="doc">
      <dgm:prSet loTypeId="urn:microsoft.com/office/officeart/2005/8/layout/default" loCatId="" qsTypeId="urn:microsoft.com/office/officeart/2005/8/quickstyle/simple5" qsCatId="simple" csTypeId="urn:microsoft.com/office/officeart/2005/8/colors/colorful2" csCatId="colorful" phldr="1"/>
      <dgm:spPr/>
      <dgm:t>
        <a:bodyPr/>
        <a:lstStyle/>
        <a:p>
          <a:endParaRPr lang="en-US"/>
        </a:p>
      </dgm:t>
    </dgm:pt>
    <dgm:pt modelId="{120AAEFB-1F7A-484B-97D8-CAE09D219F14}">
      <dgm:prSet phldrT="[Text]" custT="1"/>
      <dgm:spPr>
        <a:solidFill>
          <a:srgbClr val="D8DCD1"/>
        </a:solidFill>
      </dgm:spPr>
      <dgm:t>
        <a:bodyPr/>
        <a:lstStyle/>
        <a:p>
          <a:r>
            <a:rPr lang="en-US" sz="1050" b="0" i="0" u="none">
              <a:solidFill>
                <a:sysClr val="windowText" lastClr="000000"/>
              </a:solidFill>
              <a:latin typeface="Times New Roman" panose="02020603050405020304" pitchFamily="18" charset="0"/>
              <a:cs typeface="Times New Roman" panose="02020603050405020304" pitchFamily="18" charset="0"/>
            </a:rPr>
            <a:t>Identification des besoins</a:t>
          </a:r>
          <a:endParaRPr lang="en-US" sz="1050" b="0">
            <a:solidFill>
              <a:sysClr val="windowText" lastClr="000000"/>
            </a:solidFill>
            <a:latin typeface="Times New Roman" panose="02020603050405020304" pitchFamily="18" charset="0"/>
            <a:cs typeface="Times New Roman" panose="02020603050405020304" pitchFamily="18" charset="0"/>
          </a:endParaRPr>
        </a:p>
      </dgm:t>
    </dgm:pt>
    <dgm:pt modelId="{895A4DCA-452A-5841-AB4A-A5189B7734A0}" type="parTrans" cxnId="{CF545AAB-3309-0041-A50A-02BE6C5A6DFE}">
      <dgm:prSet/>
      <dgm:spPr/>
      <dgm:t>
        <a:bodyPr/>
        <a:lstStyle/>
        <a:p>
          <a:endParaRPr lang="en-US" sz="1050" b="0">
            <a:latin typeface="Times New Roman" panose="02020603050405020304" pitchFamily="18" charset="0"/>
            <a:cs typeface="Times New Roman" panose="02020603050405020304" pitchFamily="18" charset="0"/>
          </a:endParaRPr>
        </a:p>
      </dgm:t>
    </dgm:pt>
    <dgm:pt modelId="{EA4758B2-42F7-064C-AB2C-FBBB4DD981CE}" type="sibTrans" cxnId="{CF545AAB-3309-0041-A50A-02BE6C5A6DFE}">
      <dgm:prSet/>
      <dgm:spPr/>
      <dgm:t>
        <a:bodyPr/>
        <a:lstStyle/>
        <a:p>
          <a:endParaRPr lang="en-US" sz="1050" b="0">
            <a:latin typeface="Times New Roman" panose="02020603050405020304" pitchFamily="18" charset="0"/>
            <a:cs typeface="Times New Roman" panose="02020603050405020304" pitchFamily="18" charset="0"/>
          </a:endParaRPr>
        </a:p>
      </dgm:t>
    </dgm:pt>
    <dgm:pt modelId="{7F64B467-CBDB-7046-8AC7-6B3FDC9B6AEA}">
      <dgm:prSet phldrT="[Text]" custT="1"/>
      <dgm:spPr>
        <a:solidFill>
          <a:srgbClr val="D4CEC2"/>
        </a:solidFill>
      </dgm:spPr>
      <dgm:t>
        <a:bodyPr/>
        <a:lstStyle/>
        <a:p>
          <a:r>
            <a:rPr lang="en-US" sz="1050" b="0" i="0" u="none">
              <a:solidFill>
                <a:sysClr val="windowText" lastClr="000000"/>
              </a:solidFill>
              <a:latin typeface="Times New Roman" panose="02020603050405020304" pitchFamily="18" charset="0"/>
              <a:cs typeface="Times New Roman" panose="02020603050405020304" pitchFamily="18" charset="0"/>
            </a:rPr>
            <a:t>Contraintes budgétaires</a:t>
          </a:r>
          <a:endParaRPr lang="en-US" sz="1050" b="0">
            <a:solidFill>
              <a:sysClr val="windowText" lastClr="000000"/>
            </a:solidFill>
            <a:latin typeface="Times New Roman" panose="02020603050405020304" pitchFamily="18" charset="0"/>
            <a:cs typeface="Times New Roman" panose="02020603050405020304" pitchFamily="18" charset="0"/>
          </a:endParaRPr>
        </a:p>
      </dgm:t>
    </dgm:pt>
    <dgm:pt modelId="{E2BDFF8B-7B3B-A645-9FD9-C4AB53A71AD2}" type="parTrans" cxnId="{1E7070E0-B25D-1746-A8CE-21DFE2902793}">
      <dgm:prSet/>
      <dgm:spPr/>
      <dgm:t>
        <a:bodyPr/>
        <a:lstStyle/>
        <a:p>
          <a:endParaRPr lang="en-US" sz="1050" b="0">
            <a:latin typeface="Times New Roman" panose="02020603050405020304" pitchFamily="18" charset="0"/>
            <a:cs typeface="Times New Roman" panose="02020603050405020304" pitchFamily="18" charset="0"/>
          </a:endParaRPr>
        </a:p>
      </dgm:t>
    </dgm:pt>
    <dgm:pt modelId="{B8D79708-98AA-5841-BEAA-5067ADB666C6}" type="sibTrans" cxnId="{1E7070E0-B25D-1746-A8CE-21DFE2902793}">
      <dgm:prSet/>
      <dgm:spPr/>
      <dgm:t>
        <a:bodyPr/>
        <a:lstStyle/>
        <a:p>
          <a:endParaRPr lang="en-US" sz="1050" b="0">
            <a:latin typeface="Times New Roman" panose="02020603050405020304" pitchFamily="18" charset="0"/>
            <a:cs typeface="Times New Roman" panose="02020603050405020304" pitchFamily="18" charset="0"/>
          </a:endParaRPr>
        </a:p>
      </dgm:t>
    </dgm:pt>
    <dgm:pt modelId="{1D8C5457-0EDD-F34B-A537-D7B8468A686F}">
      <dgm:prSet phldrT="[Text]" custT="1"/>
      <dgm:spPr>
        <a:solidFill>
          <a:srgbClr val="D4CEC2"/>
        </a:solidFill>
      </dgm:spPr>
      <dgm:t>
        <a:bodyPr/>
        <a:lstStyle/>
        <a:p>
          <a:r>
            <a:rPr lang="en-US" sz="1050" b="0" i="0" u="none">
              <a:solidFill>
                <a:sysClr val="windowText" lastClr="000000"/>
              </a:solidFill>
              <a:latin typeface="Times New Roman" panose="02020603050405020304" pitchFamily="18" charset="0"/>
              <a:cs typeface="Times New Roman" panose="02020603050405020304" pitchFamily="18" charset="0"/>
            </a:rPr>
            <a:t>Résistance au changement</a:t>
          </a:r>
          <a:endParaRPr lang="en-US" sz="1050" b="0">
            <a:solidFill>
              <a:sysClr val="windowText" lastClr="000000"/>
            </a:solidFill>
            <a:latin typeface="Times New Roman" panose="02020603050405020304" pitchFamily="18" charset="0"/>
            <a:cs typeface="Times New Roman" panose="02020603050405020304" pitchFamily="18" charset="0"/>
          </a:endParaRPr>
        </a:p>
      </dgm:t>
    </dgm:pt>
    <dgm:pt modelId="{7CB0DA06-ED88-9943-BBCE-41AB3B2B480B}" type="parTrans" cxnId="{D96FA852-70B9-124F-B5CF-DB80526EF003}">
      <dgm:prSet/>
      <dgm:spPr/>
      <dgm:t>
        <a:bodyPr/>
        <a:lstStyle/>
        <a:p>
          <a:endParaRPr lang="en-US" sz="1050" b="0">
            <a:latin typeface="Times New Roman" panose="02020603050405020304" pitchFamily="18" charset="0"/>
            <a:cs typeface="Times New Roman" panose="02020603050405020304" pitchFamily="18" charset="0"/>
          </a:endParaRPr>
        </a:p>
      </dgm:t>
    </dgm:pt>
    <dgm:pt modelId="{D4F9A868-5EF1-E341-936D-4D01447B861F}" type="sibTrans" cxnId="{D96FA852-70B9-124F-B5CF-DB80526EF003}">
      <dgm:prSet/>
      <dgm:spPr/>
      <dgm:t>
        <a:bodyPr/>
        <a:lstStyle/>
        <a:p>
          <a:endParaRPr lang="en-US" sz="1050" b="0">
            <a:latin typeface="Times New Roman" panose="02020603050405020304" pitchFamily="18" charset="0"/>
            <a:cs typeface="Times New Roman" panose="02020603050405020304" pitchFamily="18" charset="0"/>
          </a:endParaRPr>
        </a:p>
      </dgm:t>
    </dgm:pt>
    <dgm:pt modelId="{9D122AB8-4003-DB4D-8EE2-E6D65F66591F}">
      <dgm:prSet phldrT="[Text]" custT="1"/>
      <dgm:spPr>
        <a:solidFill>
          <a:srgbClr val="D8DCD1"/>
        </a:solidFill>
      </dgm:spPr>
      <dgm:t>
        <a:bodyPr/>
        <a:lstStyle/>
        <a:p>
          <a:r>
            <a:rPr lang="en-US" sz="1050" b="0" i="0" u="none">
              <a:solidFill>
                <a:sysClr val="windowText" lastClr="000000"/>
              </a:solidFill>
              <a:latin typeface="Times New Roman" panose="02020603050405020304" pitchFamily="18" charset="0"/>
              <a:cs typeface="Times New Roman" panose="02020603050405020304" pitchFamily="18" charset="0"/>
            </a:rPr>
            <a:t>Contraintes organisationnelles</a:t>
          </a:r>
          <a:endParaRPr lang="en-US" sz="1050" b="0">
            <a:solidFill>
              <a:sysClr val="windowText" lastClr="000000"/>
            </a:solidFill>
            <a:latin typeface="Times New Roman" panose="02020603050405020304" pitchFamily="18" charset="0"/>
            <a:cs typeface="Times New Roman" panose="02020603050405020304" pitchFamily="18" charset="0"/>
          </a:endParaRPr>
        </a:p>
      </dgm:t>
    </dgm:pt>
    <dgm:pt modelId="{D7A5955A-3F76-4142-BA9B-0F5AF7A127A9}" type="parTrans" cxnId="{717244B2-3758-4045-92EF-B4F7AECA4918}">
      <dgm:prSet/>
      <dgm:spPr/>
      <dgm:t>
        <a:bodyPr/>
        <a:lstStyle/>
        <a:p>
          <a:endParaRPr lang="en-US" sz="1050" b="0">
            <a:latin typeface="Times New Roman" panose="02020603050405020304" pitchFamily="18" charset="0"/>
            <a:cs typeface="Times New Roman" panose="02020603050405020304" pitchFamily="18" charset="0"/>
          </a:endParaRPr>
        </a:p>
      </dgm:t>
    </dgm:pt>
    <dgm:pt modelId="{FE35DC48-EEF9-3F4C-AC2B-17C532AD8CFD}" type="sibTrans" cxnId="{717244B2-3758-4045-92EF-B4F7AECA4918}">
      <dgm:prSet/>
      <dgm:spPr/>
      <dgm:t>
        <a:bodyPr/>
        <a:lstStyle/>
        <a:p>
          <a:endParaRPr lang="en-US" sz="1050" b="0">
            <a:latin typeface="Times New Roman" panose="02020603050405020304" pitchFamily="18" charset="0"/>
            <a:cs typeface="Times New Roman" panose="02020603050405020304" pitchFamily="18" charset="0"/>
          </a:endParaRPr>
        </a:p>
      </dgm:t>
    </dgm:pt>
    <dgm:pt modelId="{A2585D8F-0850-6340-AEC4-E850ED5FA7F3}">
      <dgm:prSet phldrT="[Text]" custT="1"/>
      <dgm:spPr>
        <a:solidFill>
          <a:srgbClr val="D8DCD1"/>
        </a:solidFill>
      </dgm:spPr>
      <dgm:t>
        <a:bodyPr/>
        <a:lstStyle/>
        <a:p>
          <a:r>
            <a:rPr lang="en-US" sz="1050" b="0" i="0" u="none">
              <a:solidFill>
                <a:sysClr val="windowText" lastClr="000000"/>
              </a:solidFill>
              <a:latin typeface="Times New Roman" panose="02020603050405020304" pitchFamily="18" charset="0"/>
              <a:cs typeface="Times New Roman" panose="02020603050405020304" pitchFamily="18" charset="0"/>
            </a:rPr>
            <a:t>Adaptation aux évolutions technologiques</a:t>
          </a:r>
          <a:endParaRPr lang="en-US" sz="1050" b="0">
            <a:solidFill>
              <a:sysClr val="windowText" lastClr="000000"/>
            </a:solidFill>
            <a:latin typeface="Times New Roman" panose="02020603050405020304" pitchFamily="18" charset="0"/>
            <a:cs typeface="Times New Roman" panose="02020603050405020304" pitchFamily="18" charset="0"/>
          </a:endParaRPr>
        </a:p>
      </dgm:t>
    </dgm:pt>
    <dgm:pt modelId="{9511C386-21CF-644D-8060-82886CECE113}" type="parTrans" cxnId="{63799D5C-BE5F-D341-AF79-D50B7F16F5A7}">
      <dgm:prSet/>
      <dgm:spPr/>
      <dgm:t>
        <a:bodyPr/>
        <a:lstStyle/>
        <a:p>
          <a:endParaRPr lang="en-US" sz="1050" b="0">
            <a:latin typeface="Times New Roman" panose="02020603050405020304" pitchFamily="18" charset="0"/>
            <a:cs typeface="Times New Roman" panose="02020603050405020304" pitchFamily="18" charset="0"/>
          </a:endParaRPr>
        </a:p>
      </dgm:t>
    </dgm:pt>
    <dgm:pt modelId="{0493BAC7-5730-6B4E-B162-8B81D117F5F3}" type="sibTrans" cxnId="{63799D5C-BE5F-D341-AF79-D50B7F16F5A7}">
      <dgm:prSet/>
      <dgm:spPr/>
      <dgm:t>
        <a:bodyPr/>
        <a:lstStyle/>
        <a:p>
          <a:endParaRPr lang="en-US" sz="1050" b="0">
            <a:latin typeface="Times New Roman" panose="02020603050405020304" pitchFamily="18" charset="0"/>
            <a:cs typeface="Times New Roman" panose="02020603050405020304" pitchFamily="18" charset="0"/>
          </a:endParaRPr>
        </a:p>
      </dgm:t>
    </dgm:pt>
    <dgm:pt modelId="{FA68762A-0FF6-794B-839B-92DB07525A99}">
      <dgm:prSet phldrT="[Text]" custT="1"/>
      <dgm:spPr>
        <a:solidFill>
          <a:srgbClr val="D4CEC2"/>
        </a:solidFill>
      </dgm:spPr>
      <dgm:t>
        <a:bodyPr/>
        <a:lstStyle/>
        <a:p>
          <a:r>
            <a:rPr lang="en-US" sz="1050" b="0" i="0" u="none">
              <a:solidFill>
                <a:sysClr val="windowText" lastClr="000000"/>
              </a:solidFill>
              <a:latin typeface="Times New Roman" panose="02020603050405020304" pitchFamily="18" charset="0"/>
              <a:cs typeface="Times New Roman" panose="02020603050405020304" pitchFamily="18" charset="0"/>
            </a:rPr>
            <a:t>Évaluation et impact</a:t>
          </a:r>
          <a:endParaRPr lang="en-US" sz="1050" b="0">
            <a:solidFill>
              <a:sysClr val="windowText" lastClr="000000"/>
            </a:solidFill>
            <a:latin typeface="Times New Roman" panose="02020603050405020304" pitchFamily="18" charset="0"/>
            <a:cs typeface="Times New Roman" panose="02020603050405020304" pitchFamily="18" charset="0"/>
          </a:endParaRPr>
        </a:p>
      </dgm:t>
    </dgm:pt>
    <dgm:pt modelId="{FA2D9161-C5E8-4E45-802D-E84CDC8D26AC}" type="parTrans" cxnId="{83F63340-26A8-7541-A6ED-347B5090F2FF}">
      <dgm:prSet/>
      <dgm:spPr/>
      <dgm:t>
        <a:bodyPr/>
        <a:lstStyle/>
        <a:p>
          <a:endParaRPr lang="en-US" sz="1050" b="0">
            <a:latin typeface="Times New Roman" panose="02020603050405020304" pitchFamily="18" charset="0"/>
            <a:cs typeface="Times New Roman" panose="02020603050405020304" pitchFamily="18" charset="0"/>
          </a:endParaRPr>
        </a:p>
      </dgm:t>
    </dgm:pt>
    <dgm:pt modelId="{F76551A7-DBA6-B34B-B6B7-C0F43249BE77}" type="sibTrans" cxnId="{83F63340-26A8-7541-A6ED-347B5090F2FF}">
      <dgm:prSet/>
      <dgm:spPr/>
      <dgm:t>
        <a:bodyPr/>
        <a:lstStyle/>
        <a:p>
          <a:endParaRPr lang="en-US" sz="1050" b="0">
            <a:latin typeface="Times New Roman" panose="02020603050405020304" pitchFamily="18" charset="0"/>
            <a:cs typeface="Times New Roman" panose="02020603050405020304" pitchFamily="18" charset="0"/>
          </a:endParaRPr>
        </a:p>
      </dgm:t>
    </dgm:pt>
    <dgm:pt modelId="{C0530752-109D-6942-97D8-44E998A11CD2}" type="pres">
      <dgm:prSet presAssocID="{6F552A7C-668D-BB49-B4E9-26118D73E38D}" presName="diagram" presStyleCnt="0">
        <dgm:presLayoutVars>
          <dgm:dir/>
          <dgm:resizeHandles val="exact"/>
        </dgm:presLayoutVars>
      </dgm:prSet>
      <dgm:spPr/>
    </dgm:pt>
    <dgm:pt modelId="{8D62D11B-EBC8-9E4A-8754-2838288C2C41}" type="pres">
      <dgm:prSet presAssocID="{7F64B467-CBDB-7046-8AC7-6B3FDC9B6AEA}" presName="node" presStyleLbl="node1" presStyleIdx="0" presStyleCnt="6">
        <dgm:presLayoutVars>
          <dgm:bulletEnabled val="1"/>
        </dgm:presLayoutVars>
      </dgm:prSet>
      <dgm:spPr/>
    </dgm:pt>
    <dgm:pt modelId="{C04CF3C2-B61F-6E4E-B239-67B1BE27F2AE}" type="pres">
      <dgm:prSet presAssocID="{B8D79708-98AA-5841-BEAA-5067ADB666C6}" presName="sibTrans" presStyleCnt="0"/>
      <dgm:spPr/>
    </dgm:pt>
    <dgm:pt modelId="{68AC421F-B818-504C-A07D-E8A1641F834F}" type="pres">
      <dgm:prSet presAssocID="{120AAEFB-1F7A-484B-97D8-CAE09D219F14}" presName="node" presStyleLbl="node1" presStyleIdx="1" presStyleCnt="6">
        <dgm:presLayoutVars>
          <dgm:bulletEnabled val="1"/>
        </dgm:presLayoutVars>
      </dgm:prSet>
      <dgm:spPr/>
    </dgm:pt>
    <dgm:pt modelId="{B17DED16-91AE-3F47-94CC-9A7DE05009B2}" type="pres">
      <dgm:prSet presAssocID="{EA4758B2-42F7-064C-AB2C-FBBB4DD981CE}" presName="sibTrans" presStyleCnt="0"/>
      <dgm:spPr/>
    </dgm:pt>
    <dgm:pt modelId="{BE2E5C7E-D055-D346-ADA2-8C9160908547}" type="pres">
      <dgm:prSet presAssocID="{1D8C5457-0EDD-F34B-A537-D7B8468A686F}" presName="node" presStyleLbl="node1" presStyleIdx="2" presStyleCnt="6">
        <dgm:presLayoutVars>
          <dgm:bulletEnabled val="1"/>
        </dgm:presLayoutVars>
      </dgm:prSet>
      <dgm:spPr/>
    </dgm:pt>
    <dgm:pt modelId="{6799B423-CA76-4B4B-830E-BC1248525722}" type="pres">
      <dgm:prSet presAssocID="{D4F9A868-5EF1-E341-936D-4D01447B861F}" presName="sibTrans" presStyleCnt="0"/>
      <dgm:spPr/>
    </dgm:pt>
    <dgm:pt modelId="{F66F31E0-9360-E849-BAE0-4BBFB3A806A3}" type="pres">
      <dgm:prSet presAssocID="{9D122AB8-4003-DB4D-8EE2-E6D65F66591F}" presName="node" presStyleLbl="node1" presStyleIdx="3" presStyleCnt="6">
        <dgm:presLayoutVars>
          <dgm:bulletEnabled val="1"/>
        </dgm:presLayoutVars>
      </dgm:prSet>
      <dgm:spPr/>
    </dgm:pt>
    <dgm:pt modelId="{60997774-4C2A-F94A-87FD-F38ABF4CE6E4}" type="pres">
      <dgm:prSet presAssocID="{FE35DC48-EEF9-3F4C-AC2B-17C532AD8CFD}" presName="sibTrans" presStyleCnt="0"/>
      <dgm:spPr/>
    </dgm:pt>
    <dgm:pt modelId="{518EB54D-28F3-1041-94DD-61CA34B79937}" type="pres">
      <dgm:prSet presAssocID="{FA68762A-0FF6-794B-839B-92DB07525A99}" presName="node" presStyleLbl="node1" presStyleIdx="4" presStyleCnt="6">
        <dgm:presLayoutVars>
          <dgm:bulletEnabled val="1"/>
        </dgm:presLayoutVars>
      </dgm:prSet>
      <dgm:spPr/>
    </dgm:pt>
    <dgm:pt modelId="{6047CC9A-B0CC-4643-AB66-A63315407037}" type="pres">
      <dgm:prSet presAssocID="{F76551A7-DBA6-B34B-B6B7-C0F43249BE77}" presName="sibTrans" presStyleCnt="0"/>
      <dgm:spPr/>
    </dgm:pt>
    <dgm:pt modelId="{B10064A7-C334-6B4E-A00B-8B79D239685C}" type="pres">
      <dgm:prSet presAssocID="{A2585D8F-0850-6340-AEC4-E850ED5FA7F3}" presName="node" presStyleLbl="node1" presStyleIdx="5" presStyleCnt="6">
        <dgm:presLayoutVars>
          <dgm:bulletEnabled val="1"/>
        </dgm:presLayoutVars>
      </dgm:prSet>
      <dgm:spPr/>
    </dgm:pt>
  </dgm:ptLst>
  <dgm:cxnLst>
    <dgm:cxn modelId="{668AEB25-A37C-1643-A904-AAE961B78BF9}" type="presOf" srcId="{A2585D8F-0850-6340-AEC4-E850ED5FA7F3}" destId="{B10064A7-C334-6B4E-A00B-8B79D239685C}" srcOrd="0" destOrd="0" presId="urn:microsoft.com/office/officeart/2005/8/layout/default"/>
    <dgm:cxn modelId="{7BD3B22A-E01B-F94D-B21E-613BFB6CCB47}" type="presOf" srcId="{FA68762A-0FF6-794B-839B-92DB07525A99}" destId="{518EB54D-28F3-1041-94DD-61CA34B79937}" srcOrd="0" destOrd="0" presId="urn:microsoft.com/office/officeart/2005/8/layout/default"/>
    <dgm:cxn modelId="{83F63340-26A8-7541-A6ED-347B5090F2FF}" srcId="{6F552A7C-668D-BB49-B4E9-26118D73E38D}" destId="{FA68762A-0FF6-794B-839B-92DB07525A99}" srcOrd="4" destOrd="0" parTransId="{FA2D9161-C5E8-4E45-802D-E84CDC8D26AC}" sibTransId="{F76551A7-DBA6-B34B-B6B7-C0F43249BE77}"/>
    <dgm:cxn modelId="{87EC8C4D-1224-7041-88E4-ABE188BB67ED}" type="presOf" srcId="{6F552A7C-668D-BB49-B4E9-26118D73E38D}" destId="{C0530752-109D-6942-97D8-44E998A11CD2}" srcOrd="0" destOrd="0" presId="urn:microsoft.com/office/officeart/2005/8/layout/default"/>
    <dgm:cxn modelId="{A0EAF750-938F-D44F-93C3-BD42AF41C8A5}" type="presOf" srcId="{1D8C5457-0EDD-F34B-A537-D7B8468A686F}" destId="{BE2E5C7E-D055-D346-ADA2-8C9160908547}" srcOrd="0" destOrd="0" presId="urn:microsoft.com/office/officeart/2005/8/layout/default"/>
    <dgm:cxn modelId="{D96FA852-70B9-124F-B5CF-DB80526EF003}" srcId="{6F552A7C-668D-BB49-B4E9-26118D73E38D}" destId="{1D8C5457-0EDD-F34B-A537-D7B8468A686F}" srcOrd="2" destOrd="0" parTransId="{7CB0DA06-ED88-9943-BBCE-41AB3B2B480B}" sibTransId="{D4F9A868-5EF1-E341-936D-4D01447B861F}"/>
    <dgm:cxn modelId="{63799D5C-BE5F-D341-AF79-D50B7F16F5A7}" srcId="{6F552A7C-668D-BB49-B4E9-26118D73E38D}" destId="{A2585D8F-0850-6340-AEC4-E850ED5FA7F3}" srcOrd="5" destOrd="0" parTransId="{9511C386-21CF-644D-8060-82886CECE113}" sibTransId="{0493BAC7-5730-6B4E-B162-8B81D117F5F3}"/>
    <dgm:cxn modelId="{E2A6BA62-D287-CD43-81DA-A7AB3E1EA439}" type="presOf" srcId="{7F64B467-CBDB-7046-8AC7-6B3FDC9B6AEA}" destId="{8D62D11B-EBC8-9E4A-8754-2838288C2C41}" srcOrd="0" destOrd="0" presId="urn:microsoft.com/office/officeart/2005/8/layout/default"/>
    <dgm:cxn modelId="{CF545AAB-3309-0041-A50A-02BE6C5A6DFE}" srcId="{6F552A7C-668D-BB49-B4E9-26118D73E38D}" destId="{120AAEFB-1F7A-484B-97D8-CAE09D219F14}" srcOrd="1" destOrd="0" parTransId="{895A4DCA-452A-5841-AB4A-A5189B7734A0}" sibTransId="{EA4758B2-42F7-064C-AB2C-FBBB4DD981CE}"/>
    <dgm:cxn modelId="{717244B2-3758-4045-92EF-B4F7AECA4918}" srcId="{6F552A7C-668D-BB49-B4E9-26118D73E38D}" destId="{9D122AB8-4003-DB4D-8EE2-E6D65F66591F}" srcOrd="3" destOrd="0" parTransId="{D7A5955A-3F76-4142-BA9B-0F5AF7A127A9}" sibTransId="{FE35DC48-EEF9-3F4C-AC2B-17C532AD8CFD}"/>
    <dgm:cxn modelId="{309AB7C9-1060-3B49-948E-FDBD89E64A5A}" type="presOf" srcId="{120AAEFB-1F7A-484B-97D8-CAE09D219F14}" destId="{68AC421F-B818-504C-A07D-E8A1641F834F}" srcOrd="0" destOrd="0" presId="urn:microsoft.com/office/officeart/2005/8/layout/default"/>
    <dgm:cxn modelId="{1E7070E0-B25D-1746-A8CE-21DFE2902793}" srcId="{6F552A7C-668D-BB49-B4E9-26118D73E38D}" destId="{7F64B467-CBDB-7046-8AC7-6B3FDC9B6AEA}" srcOrd="0" destOrd="0" parTransId="{E2BDFF8B-7B3B-A645-9FD9-C4AB53A71AD2}" sibTransId="{B8D79708-98AA-5841-BEAA-5067ADB666C6}"/>
    <dgm:cxn modelId="{B8D56AFA-E215-8C40-9B06-9DB5FB580D23}" type="presOf" srcId="{9D122AB8-4003-DB4D-8EE2-E6D65F66591F}" destId="{F66F31E0-9360-E849-BAE0-4BBFB3A806A3}" srcOrd="0" destOrd="0" presId="urn:microsoft.com/office/officeart/2005/8/layout/default"/>
    <dgm:cxn modelId="{61C3129F-FD10-F14A-B0D3-F0E8FFFECFB9}" type="presParOf" srcId="{C0530752-109D-6942-97D8-44E998A11CD2}" destId="{8D62D11B-EBC8-9E4A-8754-2838288C2C41}" srcOrd="0" destOrd="0" presId="urn:microsoft.com/office/officeart/2005/8/layout/default"/>
    <dgm:cxn modelId="{F93E3B85-62A3-8D4A-82D9-C1D7A4D31901}" type="presParOf" srcId="{C0530752-109D-6942-97D8-44E998A11CD2}" destId="{C04CF3C2-B61F-6E4E-B239-67B1BE27F2AE}" srcOrd="1" destOrd="0" presId="urn:microsoft.com/office/officeart/2005/8/layout/default"/>
    <dgm:cxn modelId="{DE34D53F-FF89-2848-86B6-71B017083318}" type="presParOf" srcId="{C0530752-109D-6942-97D8-44E998A11CD2}" destId="{68AC421F-B818-504C-A07D-E8A1641F834F}" srcOrd="2" destOrd="0" presId="urn:microsoft.com/office/officeart/2005/8/layout/default"/>
    <dgm:cxn modelId="{C6EE6635-20C6-0740-8D70-5E0930633338}" type="presParOf" srcId="{C0530752-109D-6942-97D8-44E998A11CD2}" destId="{B17DED16-91AE-3F47-94CC-9A7DE05009B2}" srcOrd="3" destOrd="0" presId="urn:microsoft.com/office/officeart/2005/8/layout/default"/>
    <dgm:cxn modelId="{6FB7E340-B3FA-1442-BCA4-82AD8D5CBE2D}" type="presParOf" srcId="{C0530752-109D-6942-97D8-44E998A11CD2}" destId="{BE2E5C7E-D055-D346-ADA2-8C9160908547}" srcOrd="4" destOrd="0" presId="urn:microsoft.com/office/officeart/2005/8/layout/default"/>
    <dgm:cxn modelId="{21D974AB-6269-9147-86BC-8E8B1E3CDD41}" type="presParOf" srcId="{C0530752-109D-6942-97D8-44E998A11CD2}" destId="{6799B423-CA76-4B4B-830E-BC1248525722}" srcOrd="5" destOrd="0" presId="urn:microsoft.com/office/officeart/2005/8/layout/default"/>
    <dgm:cxn modelId="{51A736D7-BBCC-6643-8E42-15D38905B817}" type="presParOf" srcId="{C0530752-109D-6942-97D8-44E998A11CD2}" destId="{F66F31E0-9360-E849-BAE0-4BBFB3A806A3}" srcOrd="6" destOrd="0" presId="urn:microsoft.com/office/officeart/2005/8/layout/default"/>
    <dgm:cxn modelId="{7234C0FB-F70C-3548-BF57-68DD6FA87177}" type="presParOf" srcId="{C0530752-109D-6942-97D8-44E998A11CD2}" destId="{60997774-4C2A-F94A-87FD-F38ABF4CE6E4}" srcOrd="7" destOrd="0" presId="urn:microsoft.com/office/officeart/2005/8/layout/default"/>
    <dgm:cxn modelId="{413389E9-7E71-B34B-BD8C-06778E42CD68}" type="presParOf" srcId="{C0530752-109D-6942-97D8-44E998A11CD2}" destId="{518EB54D-28F3-1041-94DD-61CA34B79937}" srcOrd="8" destOrd="0" presId="urn:microsoft.com/office/officeart/2005/8/layout/default"/>
    <dgm:cxn modelId="{2476584D-EC21-D44A-9169-6DB97C97DA61}" type="presParOf" srcId="{C0530752-109D-6942-97D8-44E998A11CD2}" destId="{6047CC9A-B0CC-4643-AB66-A63315407037}" srcOrd="9" destOrd="0" presId="urn:microsoft.com/office/officeart/2005/8/layout/default"/>
    <dgm:cxn modelId="{19A167F5-33B9-4341-825A-E1BB95CD07E9}" type="presParOf" srcId="{C0530752-109D-6942-97D8-44E998A11CD2}" destId="{B10064A7-C334-6B4E-A00B-8B79D239685C}" srcOrd="10" destOrd="0" presId="urn:microsoft.com/office/officeart/2005/8/layout/default"/>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4435A167-8616-E74D-8C0B-04EAF4859EDD}" type="doc">
      <dgm:prSet loTypeId="urn:microsoft.com/office/officeart/2005/8/layout/hProcess11" loCatId="" qsTypeId="urn:microsoft.com/office/officeart/2005/8/quickstyle/simple1" qsCatId="simple" csTypeId="urn:microsoft.com/office/officeart/2005/8/colors/accent1_2" csCatId="accent1" phldr="1"/>
      <dgm:spPr/>
    </dgm:pt>
    <dgm:pt modelId="{67F3E67C-8D20-1A48-A5B8-F63F647D5954}">
      <dgm:prSet phldrT="[Text]" custT="1"/>
      <dgm:spPr/>
      <dgm:t>
        <a:bodyPr/>
        <a:lstStyle/>
        <a:p>
          <a:r>
            <a:rPr lang="en-US" sz="800" b="0" i="0" u="none">
              <a:latin typeface="Times New Roman" panose="02020603050405020304" pitchFamily="18" charset="0"/>
              <a:cs typeface="Times New Roman" panose="02020603050405020304" pitchFamily="18" charset="0"/>
            </a:rPr>
            <a:t>Diagnostic numérique</a:t>
          </a:r>
          <a:endParaRPr lang="en-US" sz="800">
            <a:latin typeface="Times New Roman" panose="02020603050405020304" pitchFamily="18" charset="0"/>
            <a:cs typeface="Times New Roman" panose="02020603050405020304" pitchFamily="18" charset="0"/>
          </a:endParaRPr>
        </a:p>
      </dgm:t>
    </dgm:pt>
    <dgm:pt modelId="{8A21F158-54B1-6D43-A06A-FC697D53FC11}" type="parTrans" cxnId="{03F3FF98-FAEB-BE4E-BBE9-33708D6DE439}">
      <dgm:prSet/>
      <dgm:spPr/>
      <dgm:t>
        <a:bodyPr/>
        <a:lstStyle/>
        <a:p>
          <a:endParaRPr lang="en-US" sz="800">
            <a:latin typeface="Times New Roman" panose="02020603050405020304" pitchFamily="18" charset="0"/>
            <a:cs typeface="Times New Roman" panose="02020603050405020304" pitchFamily="18" charset="0"/>
          </a:endParaRPr>
        </a:p>
      </dgm:t>
    </dgm:pt>
    <dgm:pt modelId="{F059A8CC-68F5-8148-B8E1-F539AE0D92F7}" type="sibTrans" cxnId="{03F3FF98-FAEB-BE4E-BBE9-33708D6DE439}">
      <dgm:prSet/>
      <dgm:spPr/>
      <dgm:t>
        <a:bodyPr/>
        <a:lstStyle/>
        <a:p>
          <a:endParaRPr lang="en-US" sz="800">
            <a:latin typeface="Times New Roman" panose="02020603050405020304" pitchFamily="18" charset="0"/>
            <a:cs typeface="Times New Roman" panose="02020603050405020304" pitchFamily="18" charset="0"/>
          </a:endParaRPr>
        </a:p>
      </dgm:t>
    </dgm:pt>
    <dgm:pt modelId="{21B5516B-C99A-0B4E-88F7-10B8300E9864}">
      <dgm:prSet phldrT="[Text]" custT="1"/>
      <dgm:spPr/>
      <dgm:t>
        <a:bodyPr/>
        <a:lstStyle/>
        <a:p>
          <a:r>
            <a:rPr lang="en-US" sz="800" b="0" i="0" u="none">
              <a:latin typeface="Times New Roman" panose="02020603050405020304" pitchFamily="18" charset="0"/>
              <a:cs typeface="Times New Roman" panose="02020603050405020304" pitchFamily="18" charset="0"/>
            </a:rPr>
            <a:t>Intégration technologique</a:t>
          </a:r>
          <a:endParaRPr lang="en-US" sz="800">
            <a:latin typeface="Times New Roman" panose="02020603050405020304" pitchFamily="18" charset="0"/>
            <a:cs typeface="Times New Roman" panose="02020603050405020304" pitchFamily="18" charset="0"/>
          </a:endParaRPr>
        </a:p>
      </dgm:t>
    </dgm:pt>
    <dgm:pt modelId="{147BEEEF-D31E-364C-ABE9-94FE24A19E35}" type="parTrans" cxnId="{D7DCF253-3F1F-7041-84CD-B23BEB2A3C6C}">
      <dgm:prSet/>
      <dgm:spPr/>
      <dgm:t>
        <a:bodyPr/>
        <a:lstStyle/>
        <a:p>
          <a:endParaRPr lang="en-US" sz="800">
            <a:latin typeface="Times New Roman" panose="02020603050405020304" pitchFamily="18" charset="0"/>
            <a:cs typeface="Times New Roman" panose="02020603050405020304" pitchFamily="18" charset="0"/>
          </a:endParaRPr>
        </a:p>
      </dgm:t>
    </dgm:pt>
    <dgm:pt modelId="{2253C5EB-BD71-0647-A242-F030FEAA72DD}" type="sibTrans" cxnId="{D7DCF253-3F1F-7041-84CD-B23BEB2A3C6C}">
      <dgm:prSet/>
      <dgm:spPr/>
      <dgm:t>
        <a:bodyPr/>
        <a:lstStyle/>
        <a:p>
          <a:endParaRPr lang="en-US" sz="800">
            <a:latin typeface="Times New Roman" panose="02020603050405020304" pitchFamily="18" charset="0"/>
            <a:cs typeface="Times New Roman" panose="02020603050405020304" pitchFamily="18" charset="0"/>
          </a:endParaRPr>
        </a:p>
      </dgm:t>
    </dgm:pt>
    <dgm:pt modelId="{BFCF470A-4380-764A-8499-979063524956}">
      <dgm:prSet phldrT="[Text]" custT="1"/>
      <dgm:spPr/>
      <dgm:t>
        <a:bodyPr/>
        <a:lstStyle/>
        <a:p>
          <a:r>
            <a:rPr lang="en-US" sz="800" b="0" i="0" u="none">
              <a:latin typeface="Times New Roman" panose="02020603050405020304" pitchFamily="18" charset="0"/>
              <a:cs typeface="Times New Roman" panose="02020603050405020304" pitchFamily="18" charset="0"/>
            </a:rPr>
            <a:t>Adaptation comportementale</a:t>
          </a:r>
          <a:endParaRPr lang="en-US" sz="800">
            <a:latin typeface="Times New Roman" panose="02020603050405020304" pitchFamily="18" charset="0"/>
            <a:cs typeface="Times New Roman" panose="02020603050405020304" pitchFamily="18" charset="0"/>
          </a:endParaRPr>
        </a:p>
      </dgm:t>
    </dgm:pt>
    <dgm:pt modelId="{DE57465C-42AD-0A4B-9E2C-6A55B1AA4F62}" type="parTrans" cxnId="{1F5C50C7-B11F-4943-B2C7-166F5775C5E1}">
      <dgm:prSet/>
      <dgm:spPr/>
      <dgm:t>
        <a:bodyPr/>
        <a:lstStyle/>
        <a:p>
          <a:endParaRPr lang="en-US" sz="800">
            <a:latin typeface="Times New Roman" panose="02020603050405020304" pitchFamily="18" charset="0"/>
            <a:cs typeface="Times New Roman" panose="02020603050405020304" pitchFamily="18" charset="0"/>
          </a:endParaRPr>
        </a:p>
      </dgm:t>
    </dgm:pt>
    <dgm:pt modelId="{940E4C92-EF1C-2C43-9B43-443365FC5D30}" type="sibTrans" cxnId="{1F5C50C7-B11F-4943-B2C7-166F5775C5E1}">
      <dgm:prSet/>
      <dgm:spPr/>
      <dgm:t>
        <a:bodyPr/>
        <a:lstStyle/>
        <a:p>
          <a:endParaRPr lang="en-US" sz="800">
            <a:latin typeface="Times New Roman" panose="02020603050405020304" pitchFamily="18" charset="0"/>
            <a:cs typeface="Times New Roman" panose="02020603050405020304" pitchFamily="18" charset="0"/>
          </a:endParaRPr>
        </a:p>
      </dgm:t>
    </dgm:pt>
    <dgm:pt modelId="{2490186E-F055-EB43-B842-C5FB3C6C4062}">
      <dgm:prSet custT="1"/>
      <dgm:spPr/>
      <dgm:t>
        <a:bodyPr/>
        <a:lstStyle/>
        <a:p>
          <a:r>
            <a:rPr lang="en-US" sz="800" b="0" i="0" u="none">
              <a:latin typeface="Times New Roman" panose="02020603050405020304" pitchFamily="18" charset="0"/>
              <a:cs typeface="Times New Roman" panose="02020603050405020304" pitchFamily="18" charset="0"/>
            </a:rPr>
            <a:t>Justification stratégique</a:t>
          </a:r>
          <a:endParaRPr lang="en-US" sz="800">
            <a:latin typeface="Times New Roman" panose="02020603050405020304" pitchFamily="18" charset="0"/>
            <a:cs typeface="Times New Roman" panose="02020603050405020304" pitchFamily="18" charset="0"/>
          </a:endParaRPr>
        </a:p>
      </dgm:t>
    </dgm:pt>
    <dgm:pt modelId="{41243E0F-D861-0F4A-AA6A-2B2C07D4F31D}" type="parTrans" cxnId="{DF4A5E3C-19EF-8D4A-A92E-399AC3C0B5DB}">
      <dgm:prSet/>
      <dgm:spPr/>
      <dgm:t>
        <a:bodyPr/>
        <a:lstStyle/>
        <a:p>
          <a:endParaRPr lang="en-US" sz="800">
            <a:latin typeface="Times New Roman" panose="02020603050405020304" pitchFamily="18" charset="0"/>
            <a:cs typeface="Times New Roman" panose="02020603050405020304" pitchFamily="18" charset="0"/>
          </a:endParaRPr>
        </a:p>
      </dgm:t>
    </dgm:pt>
    <dgm:pt modelId="{D8F000C5-E116-4849-846A-764D78DD4D26}" type="sibTrans" cxnId="{DF4A5E3C-19EF-8D4A-A92E-399AC3C0B5DB}">
      <dgm:prSet/>
      <dgm:spPr/>
      <dgm:t>
        <a:bodyPr/>
        <a:lstStyle/>
        <a:p>
          <a:endParaRPr lang="en-US" sz="800">
            <a:latin typeface="Times New Roman" panose="02020603050405020304" pitchFamily="18" charset="0"/>
            <a:cs typeface="Times New Roman" panose="02020603050405020304" pitchFamily="18" charset="0"/>
          </a:endParaRPr>
        </a:p>
      </dgm:t>
    </dgm:pt>
    <dgm:pt modelId="{2B6EDC87-0D0A-D345-8E55-1F8DD7098542}">
      <dgm:prSet custT="1"/>
      <dgm:spPr/>
      <dgm:t>
        <a:bodyPr/>
        <a:lstStyle/>
        <a:p>
          <a:r>
            <a:rPr lang="en-US" sz="800" b="0" i="0" u="none">
              <a:latin typeface="Times New Roman" panose="02020603050405020304" pitchFamily="18" charset="0"/>
              <a:cs typeface="Times New Roman" panose="02020603050405020304" pitchFamily="18" charset="0"/>
            </a:rPr>
            <a:t>Digitalisation RH</a:t>
          </a:r>
          <a:endParaRPr lang="en-US" sz="800">
            <a:latin typeface="Times New Roman" panose="02020603050405020304" pitchFamily="18" charset="0"/>
            <a:cs typeface="Times New Roman" panose="02020603050405020304" pitchFamily="18" charset="0"/>
          </a:endParaRPr>
        </a:p>
      </dgm:t>
    </dgm:pt>
    <dgm:pt modelId="{315570B8-440A-FC40-BE1D-9128CEC6F423}" type="parTrans" cxnId="{303CDFA1-06D4-064A-9B5C-DE3141E4EDC1}">
      <dgm:prSet/>
      <dgm:spPr/>
      <dgm:t>
        <a:bodyPr/>
        <a:lstStyle/>
        <a:p>
          <a:endParaRPr lang="en-US" sz="800">
            <a:latin typeface="Times New Roman" panose="02020603050405020304" pitchFamily="18" charset="0"/>
            <a:cs typeface="Times New Roman" panose="02020603050405020304" pitchFamily="18" charset="0"/>
          </a:endParaRPr>
        </a:p>
      </dgm:t>
    </dgm:pt>
    <dgm:pt modelId="{362B2151-6BD8-2D4D-A96C-F6ABD32F7611}" type="sibTrans" cxnId="{303CDFA1-06D4-064A-9B5C-DE3141E4EDC1}">
      <dgm:prSet/>
      <dgm:spPr/>
      <dgm:t>
        <a:bodyPr/>
        <a:lstStyle/>
        <a:p>
          <a:endParaRPr lang="en-US" sz="800">
            <a:latin typeface="Times New Roman" panose="02020603050405020304" pitchFamily="18" charset="0"/>
            <a:cs typeface="Times New Roman" panose="02020603050405020304" pitchFamily="18" charset="0"/>
          </a:endParaRPr>
        </a:p>
      </dgm:t>
    </dgm:pt>
    <dgm:pt modelId="{11F8F7B0-7A97-E443-AAFC-D5E737F36446}">
      <dgm:prSet custT="1"/>
      <dgm:spPr/>
      <dgm:t>
        <a:bodyPr/>
        <a:lstStyle/>
        <a:p>
          <a:r>
            <a:rPr lang="en-US" sz="800" b="0" i="0" u="none">
              <a:latin typeface="Times New Roman" panose="02020603050405020304" pitchFamily="18" charset="0"/>
              <a:cs typeface="Times New Roman" panose="02020603050405020304" pitchFamily="18" charset="0"/>
            </a:rPr>
            <a:t>Internalisation/Externalisation</a:t>
          </a:r>
          <a:endParaRPr lang="en-US" sz="800">
            <a:latin typeface="Times New Roman" panose="02020603050405020304" pitchFamily="18" charset="0"/>
            <a:cs typeface="Times New Roman" panose="02020603050405020304" pitchFamily="18" charset="0"/>
          </a:endParaRPr>
        </a:p>
      </dgm:t>
    </dgm:pt>
    <dgm:pt modelId="{AC174477-4A1D-1649-A7F6-919B67FA048C}" type="parTrans" cxnId="{DF359839-CAF0-024A-8807-B98A0454FC13}">
      <dgm:prSet/>
      <dgm:spPr/>
      <dgm:t>
        <a:bodyPr/>
        <a:lstStyle/>
        <a:p>
          <a:endParaRPr lang="en-US" sz="800">
            <a:latin typeface="Times New Roman" panose="02020603050405020304" pitchFamily="18" charset="0"/>
            <a:cs typeface="Times New Roman" panose="02020603050405020304" pitchFamily="18" charset="0"/>
          </a:endParaRPr>
        </a:p>
      </dgm:t>
    </dgm:pt>
    <dgm:pt modelId="{1111F9B7-ADFF-0D47-8839-ECF934601D3E}" type="sibTrans" cxnId="{DF359839-CAF0-024A-8807-B98A0454FC13}">
      <dgm:prSet/>
      <dgm:spPr/>
      <dgm:t>
        <a:bodyPr/>
        <a:lstStyle/>
        <a:p>
          <a:endParaRPr lang="en-US" sz="800">
            <a:latin typeface="Times New Roman" panose="02020603050405020304" pitchFamily="18" charset="0"/>
            <a:cs typeface="Times New Roman" panose="02020603050405020304" pitchFamily="18" charset="0"/>
          </a:endParaRPr>
        </a:p>
      </dgm:t>
    </dgm:pt>
    <dgm:pt modelId="{18AFE0E8-D614-3B4E-9952-703700A75722}">
      <dgm:prSet custT="1"/>
      <dgm:spPr/>
      <dgm:t>
        <a:bodyPr/>
        <a:lstStyle/>
        <a:p>
          <a:r>
            <a:rPr lang="en-US" sz="800" b="0" i="0" u="none">
              <a:latin typeface="Times New Roman" panose="02020603050405020304" pitchFamily="18" charset="0"/>
              <a:cs typeface="Times New Roman" panose="02020603050405020304" pitchFamily="18" charset="0"/>
            </a:rPr>
            <a:t>Fidélisation des experts</a:t>
          </a:r>
          <a:endParaRPr lang="en-US" sz="800">
            <a:latin typeface="Times New Roman" panose="02020603050405020304" pitchFamily="18" charset="0"/>
            <a:cs typeface="Times New Roman" panose="02020603050405020304" pitchFamily="18" charset="0"/>
          </a:endParaRPr>
        </a:p>
      </dgm:t>
    </dgm:pt>
    <dgm:pt modelId="{E4BBC8C9-9DCC-3A47-A687-8FB6A804309B}" type="parTrans" cxnId="{F7B74E74-0582-D64D-814E-F3A3D9CEE059}">
      <dgm:prSet/>
      <dgm:spPr/>
      <dgm:t>
        <a:bodyPr/>
        <a:lstStyle/>
        <a:p>
          <a:endParaRPr lang="en-US" sz="800">
            <a:latin typeface="Times New Roman" panose="02020603050405020304" pitchFamily="18" charset="0"/>
            <a:cs typeface="Times New Roman" panose="02020603050405020304" pitchFamily="18" charset="0"/>
          </a:endParaRPr>
        </a:p>
      </dgm:t>
    </dgm:pt>
    <dgm:pt modelId="{F91AAAA5-76D0-6842-9740-45BA756FFE5D}" type="sibTrans" cxnId="{F7B74E74-0582-D64D-814E-F3A3D9CEE059}">
      <dgm:prSet/>
      <dgm:spPr/>
      <dgm:t>
        <a:bodyPr/>
        <a:lstStyle/>
        <a:p>
          <a:endParaRPr lang="en-US" sz="800">
            <a:latin typeface="Times New Roman" panose="02020603050405020304" pitchFamily="18" charset="0"/>
            <a:cs typeface="Times New Roman" panose="02020603050405020304" pitchFamily="18" charset="0"/>
          </a:endParaRPr>
        </a:p>
      </dgm:t>
    </dgm:pt>
    <dgm:pt modelId="{4C1CF05A-C960-2847-81F3-999A2B600C3B}">
      <dgm:prSet custT="1"/>
      <dgm:spPr/>
      <dgm:t>
        <a:bodyPr/>
        <a:lstStyle/>
        <a:p>
          <a:r>
            <a:rPr lang="en-US" sz="800" b="0" i="0" u="none">
              <a:latin typeface="Times New Roman" panose="02020603050405020304" pitchFamily="18" charset="0"/>
              <a:cs typeface="Times New Roman" panose="02020603050405020304" pitchFamily="18" charset="0"/>
            </a:rPr>
            <a:t>Montée en compétences</a:t>
          </a:r>
          <a:endParaRPr lang="en-US" sz="800">
            <a:latin typeface="Times New Roman" panose="02020603050405020304" pitchFamily="18" charset="0"/>
            <a:cs typeface="Times New Roman" panose="02020603050405020304" pitchFamily="18" charset="0"/>
          </a:endParaRPr>
        </a:p>
      </dgm:t>
    </dgm:pt>
    <dgm:pt modelId="{5F30A7C1-6565-3D4C-ABCC-F9B2828490F1}" type="parTrans" cxnId="{53F02859-AFFA-2542-B493-26FBF4BACABB}">
      <dgm:prSet/>
      <dgm:spPr/>
      <dgm:t>
        <a:bodyPr/>
        <a:lstStyle/>
        <a:p>
          <a:endParaRPr lang="en-US" sz="800">
            <a:latin typeface="Times New Roman" panose="02020603050405020304" pitchFamily="18" charset="0"/>
            <a:cs typeface="Times New Roman" panose="02020603050405020304" pitchFamily="18" charset="0"/>
          </a:endParaRPr>
        </a:p>
      </dgm:t>
    </dgm:pt>
    <dgm:pt modelId="{B27EA20E-B504-D542-82C9-E88BE6DB7AC8}" type="sibTrans" cxnId="{53F02859-AFFA-2542-B493-26FBF4BACABB}">
      <dgm:prSet/>
      <dgm:spPr/>
      <dgm:t>
        <a:bodyPr/>
        <a:lstStyle/>
        <a:p>
          <a:endParaRPr lang="en-US" sz="800">
            <a:latin typeface="Times New Roman" panose="02020603050405020304" pitchFamily="18" charset="0"/>
            <a:cs typeface="Times New Roman" panose="02020603050405020304" pitchFamily="18" charset="0"/>
          </a:endParaRPr>
        </a:p>
      </dgm:t>
    </dgm:pt>
    <dgm:pt modelId="{7C6BE4F1-D3CC-5A4B-9508-E3A9F029DCB8}" type="pres">
      <dgm:prSet presAssocID="{4435A167-8616-E74D-8C0B-04EAF4859EDD}" presName="Name0" presStyleCnt="0">
        <dgm:presLayoutVars>
          <dgm:dir/>
          <dgm:resizeHandles val="exact"/>
        </dgm:presLayoutVars>
      </dgm:prSet>
      <dgm:spPr/>
    </dgm:pt>
    <dgm:pt modelId="{76DCD574-0358-8049-A295-F23CA14E779F}" type="pres">
      <dgm:prSet presAssocID="{4435A167-8616-E74D-8C0B-04EAF4859EDD}" presName="arrow" presStyleLbl="bgShp" presStyleIdx="0" presStyleCnt="1"/>
      <dgm:spPr>
        <a:solidFill>
          <a:srgbClr val="D8DCD1"/>
        </a:solidFill>
      </dgm:spPr>
    </dgm:pt>
    <dgm:pt modelId="{17E0D809-B614-D444-B1ED-2AB722270197}" type="pres">
      <dgm:prSet presAssocID="{4435A167-8616-E74D-8C0B-04EAF4859EDD}" presName="points" presStyleCnt="0"/>
      <dgm:spPr/>
    </dgm:pt>
    <dgm:pt modelId="{3DF1E5F9-8E07-D34D-A7B3-2243D83D453B}" type="pres">
      <dgm:prSet presAssocID="{67F3E67C-8D20-1A48-A5B8-F63F647D5954}" presName="compositeA" presStyleCnt="0"/>
      <dgm:spPr/>
    </dgm:pt>
    <dgm:pt modelId="{850E7559-7710-8C41-8B07-6E2EB5C9DDD7}" type="pres">
      <dgm:prSet presAssocID="{67F3E67C-8D20-1A48-A5B8-F63F647D5954}" presName="textA" presStyleLbl="revTx" presStyleIdx="0" presStyleCnt="8" custScaleX="162727">
        <dgm:presLayoutVars>
          <dgm:bulletEnabled val="1"/>
        </dgm:presLayoutVars>
      </dgm:prSet>
      <dgm:spPr/>
    </dgm:pt>
    <dgm:pt modelId="{9DED0567-103F-5649-9033-F2E2FBA418AD}" type="pres">
      <dgm:prSet presAssocID="{67F3E67C-8D20-1A48-A5B8-F63F647D5954}" presName="circleA" presStyleLbl="node1" presStyleIdx="0" presStyleCnt="8"/>
      <dgm:spPr>
        <a:solidFill>
          <a:srgbClr val="D4CEC2"/>
        </a:solidFill>
      </dgm:spPr>
    </dgm:pt>
    <dgm:pt modelId="{84172A55-1B37-2E4E-B0F1-DA2D7C46EE3D}" type="pres">
      <dgm:prSet presAssocID="{67F3E67C-8D20-1A48-A5B8-F63F647D5954}" presName="spaceA" presStyleCnt="0"/>
      <dgm:spPr/>
    </dgm:pt>
    <dgm:pt modelId="{1AA5DCDF-C549-AF48-8FAB-0ABF4DBA7CC1}" type="pres">
      <dgm:prSet presAssocID="{F059A8CC-68F5-8148-B8E1-F539AE0D92F7}" presName="space" presStyleCnt="0"/>
      <dgm:spPr/>
    </dgm:pt>
    <dgm:pt modelId="{60E5329D-97EE-CB47-838C-740840229CF2}" type="pres">
      <dgm:prSet presAssocID="{21B5516B-C99A-0B4E-88F7-10B8300E9864}" presName="compositeB" presStyleCnt="0"/>
      <dgm:spPr/>
    </dgm:pt>
    <dgm:pt modelId="{EE9619D8-4247-5343-A649-7BA7164C0E17}" type="pres">
      <dgm:prSet presAssocID="{21B5516B-C99A-0B4E-88F7-10B8300E9864}" presName="textB" presStyleLbl="revTx" presStyleIdx="1" presStyleCnt="8" custScaleX="214793">
        <dgm:presLayoutVars>
          <dgm:bulletEnabled val="1"/>
        </dgm:presLayoutVars>
      </dgm:prSet>
      <dgm:spPr/>
    </dgm:pt>
    <dgm:pt modelId="{4BE98175-29D7-DA4F-902A-E38096DB3E7B}" type="pres">
      <dgm:prSet presAssocID="{21B5516B-C99A-0B4E-88F7-10B8300E9864}" presName="circleB" presStyleLbl="node1" presStyleIdx="1" presStyleCnt="8"/>
      <dgm:spPr>
        <a:solidFill>
          <a:srgbClr val="D4CEC2"/>
        </a:solidFill>
      </dgm:spPr>
    </dgm:pt>
    <dgm:pt modelId="{C6E60592-8217-5241-953C-8509A6C5CC9E}" type="pres">
      <dgm:prSet presAssocID="{21B5516B-C99A-0B4E-88F7-10B8300E9864}" presName="spaceB" presStyleCnt="0"/>
      <dgm:spPr/>
    </dgm:pt>
    <dgm:pt modelId="{E917F6C1-C30F-0440-A7D4-4B54C97277F2}" type="pres">
      <dgm:prSet presAssocID="{2253C5EB-BD71-0647-A242-F030FEAA72DD}" presName="space" presStyleCnt="0"/>
      <dgm:spPr/>
    </dgm:pt>
    <dgm:pt modelId="{B4A21557-3C03-0147-BA8E-B93B8D21B5AC}" type="pres">
      <dgm:prSet presAssocID="{BFCF470A-4380-764A-8499-979063524956}" presName="compositeA" presStyleCnt="0"/>
      <dgm:spPr/>
    </dgm:pt>
    <dgm:pt modelId="{9C4D3BEB-EB3D-7549-BF43-026D5CA2F056}" type="pres">
      <dgm:prSet presAssocID="{BFCF470A-4380-764A-8499-979063524956}" presName="textA" presStyleLbl="revTx" presStyleIdx="2" presStyleCnt="8" custScaleX="267073">
        <dgm:presLayoutVars>
          <dgm:bulletEnabled val="1"/>
        </dgm:presLayoutVars>
      </dgm:prSet>
      <dgm:spPr/>
    </dgm:pt>
    <dgm:pt modelId="{9DECB544-F235-C246-B87A-6B4A9D477427}" type="pres">
      <dgm:prSet presAssocID="{BFCF470A-4380-764A-8499-979063524956}" presName="circleA" presStyleLbl="node1" presStyleIdx="2" presStyleCnt="8"/>
      <dgm:spPr>
        <a:solidFill>
          <a:srgbClr val="D4CEC2"/>
        </a:solidFill>
      </dgm:spPr>
    </dgm:pt>
    <dgm:pt modelId="{802F0E56-4A42-224C-A32B-7A4953FC51A5}" type="pres">
      <dgm:prSet presAssocID="{BFCF470A-4380-764A-8499-979063524956}" presName="spaceA" presStyleCnt="0"/>
      <dgm:spPr/>
    </dgm:pt>
    <dgm:pt modelId="{EC1EBFB4-3CBA-8541-976A-5C91363E02D7}" type="pres">
      <dgm:prSet presAssocID="{940E4C92-EF1C-2C43-9B43-443365FC5D30}" presName="space" presStyleCnt="0"/>
      <dgm:spPr/>
    </dgm:pt>
    <dgm:pt modelId="{160E974C-6543-224F-8431-D8C35395BBC6}" type="pres">
      <dgm:prSet presAssocID="{2490186E-F055-EB43-B842-C5FB3C6C4062}" presName="compositeB" presStyleCnt="0"/>
      <dgm:spPr/>
    </dgm:pt>
    <dgm:pt modelId="{D8C58CD6-D9F6-BD49-865D-D4DF6A19F56D}" type="pres">
      <dgm:prSet presAssocID="{2490186E-F055-EB43-B842-C5FB3C6C4062}" presName="textB" presStyleLbl="revTx" presStyleIdx="3" presStyleCnt="8" custScaleX="182614">
        <dgm:presLayoutVars>
          <dgm:bulletEnabled val="1"/>
        </dgm:presLayoutVars>
      </dgm:prSet>
      <dgm:spPr/>
    </dgm:pt>
    <dgm:pt modelId="{A88E1B6A-38CB-324F-922F-E166672BBC5F}" type="pres">
      <dgm:prSet presAssocID="{2490186E-F055-EB43-B842-C5FB3C6C4062}" presName="circleB" presStyleLbl="node1" presStyleIdx="3" presStyleCnt="8"/>
      <dgm:spPr>
        <a:solidFill>
          <a:srgbClr val="D4CEC2"/>
        </a:solidFill>
      </dgm:spPr>
    </dgm:pt>
    <dgm:pt modelId="{BED7585A-5DB8-3749-BEC9-4B554E754C1E}" type="pres">
      <dgm:prSet presAssocID="{2490186E-F055-EB43-B842-C5FB3C6C4062}" presName="spaceB" presStyleCnt="0"/>
      <dgm:spPr/>
    </dgm:pt>
    <dgm:pt modelId="{70FD3A0C-876C-B94C-BE78-F88E293CC95F}" type="pres">
      <dgm:prSet presAssocID="{D8F000C5-E116-4849-846A-764D78DD4D26}" presName="space" presStyleCnt="0"/>
      <dgm:spPr/>
    </dgm:pt>
    <dgm:pt modelId="{09E2A75C-AB76-FA4B-BCBE-16F9F090864F}" type="pres">
      <dgm:prSet presAssocID="{2B6EDC87-0D0A-D345-8E55-1F8DD7098542}" presName="compositeA" presStyleCnt="0"/>
      <dgm:spPr/>
    </dgm:pt>
    <dgm:pt modelId="{A4B88411-8644-6E4D-A8E9-95A27294E3B9}" type="pres">
      <dgm:prSet presAssocID="{2B6EDC87-0D0A-D345-8E55-1F8DD7098542}" presName="textA" presStyleLbl="revTx" presStyleIdx="4" presStyleCnt="8" custScaleX="220293">
        <dgm:presLayoutVars>
          <dgm:bulletEnabled val="1"/>
        </dgm:presLayoutVars>
      </dgm:prSet>
      <dgm:spPr/>
    </dgm:pt>
    <dgm:pt modelId="{F7F86CAE-D5CB-3949-BED3-4D740B5D6483}" type="pres">
      <dgm:prSet presAssocID="{2B6EDC87-0D0A-D345-8E55-1F8DD7098542}" presName="circleA" presStyleLbl="node1" presStyleIdx="4" presStyleCnt="8"/>
      <dgm:spPr>
        <a:solidFill>
          <a:srgbClr val="D4CEC2"/>
        </a:solidFill>
      </dgm:spPr>
    </dgm:pt>
    <dgm:pt modelId="{3329196D-7132-8142-8490-C2F60F53D2D1}" type="pres">
      <dgm:prSet presAssocID="{2B6EDC87-0D0A-D345-8E55-1F8DD7098542}" presName="spaceA" presStyleCnt="0"/>
      <dgm:spPr/>
    </dgm:pt>
    <dgm:pt modelId="{3D23843D-434E-4B48-A3F7-D364E07CF19C}" type="pres">
      <dgm:prSet presAssocID="{362B2151-6BD8-2D4D-A96C-F6ABD32F7611}" presName="space" presStyleCnt="0"/>
      <dgm:spPr/>
    </dgm:pt>
    <dgm:pt modelId="{022C09D8-DDEC-B945-91A0-92086B793963}" type="pres">
      <dgm:prSet presAssocID="{11F8F7B0-7A97-E443-AAFC-D5E737F36446}" presName="compositeB" presStyleCnt="0"/>
      <dgm:spPr/>
    </dgm:pt>
    <dgm:pt modelId="{44FFD960-5A7E-E841-9963-1F3E5851D79D}" type="pres">
      <dgm:prSet presAssocID="{11F8F7B0-7A97-E443-AAFC-D5E737F36446}" presName="textB" presStyleLbl="revTx" presStyleIdx="5" presStyleCnt="8" custScaleX="219158">
        <dgm:presLayoutVars>
          <dgm:bulletEnabled val="1"/>
        </dgm:presLayoutVars>
      </dgm:prSet>
      <dgm:spPr/>
    </dgm:pt>
    <dgm:pt modelId="{ACD25020-C70C-A544-A21B-1FC907E9386B}" type="pres">
      <dgm:prSet presAssocID="{11F8F7B0-7A97-E443-AAFC-D5E737F36446}" presName="circleB" presStyleLbl="node1" presStyleIdx="5" presStyleCnt="8"/>
      <dgm:spPr>
        <a:solidFill>
          <a:srgbClr val="D4CEC2"/>
        </a:solidFill>
      </dgm:spPr>
    </dgm:pt>
    <dgm:pt modelId="{FC11161E-E461-1749-9462-0AEEB9555F98}" type="pres">
      <dgm:prSet presAssocID="{11F8F7B0-7A97-E443-AAFC-D5E737F36446}" presName="spaceB" presStyleCnt="0"/>
      <dgm:spPr/>
    </dgm:pt>
    <dgm:pt modelId="{3E1BE40D-E050-084F-B2B9-26E81E7A81AA}" type="pres">
      <dgm:prSet presAssocID="{1111F9B7-ADFF-0D47-8839-ECF934601D3E}" presName="space" presStyleCnt="0"/>
      <dgm:spPr/>
    </dgm:pt>
    <dgm:pt modelId="{57057EC6-C730-7948-87CA-A1C02D1BF7AC}" type="pres">
      <dgm:prSet presAssocID="{18AFE0E8-D614-3B4E-9952-703700A75722}" presName="compositeA" presStyleCnt="0"/>
      <dgm:spPr/>
    </dgm:pt>
    <dgm:pt modelId="{CA90D8B2-78D0-1844-B4FF-236178FD1012}" type="pres">
      <dgm:prSet presAssocID="{18AFE0E8-D614-3B4E-9952-703700A75722}" presName="textA" presStyleLbl="revTx" presStyleIdx="6" presStyleCnt="8" custScaleX="184409">
        <dgm:presLayoutVars>
          <dgm:bulletEnabled val="1"/>
        </dgm:presLayoutVars>
      </dgm:prSet>
      <dgm:spPr/>
    </dgm:pt>
    <dgm:pt modelId="{B829E140-9C83-CF41-8643-A43F4294576D}" type="pres">
      <dgm:prSet presAssocID="{18AFE0E8-D614-3B4E-9952-703700A75722}" presName="circleA" presStyleLbl="node1" presStyleIdx="6" presStyleCnt="8"/>
      <dgm:spPr>
        <a:solidFill>
          <a:srgbClr val="D4CEC2"/>
        </a:solidFill>
      </dgm:spPr>
    </dgm:pt>
    <dgm:pt modelId="{B8A352A4-1DA7-6F44-A09F-372BB98BF25D}" type="pres">
      <dgm:prSet presAssocID="{18AFE0E8-D614-3B4E-9952-703700A75722}" presName="spaceA" presStyleCnt="0"/>
      <dgm:spPr/>
    </dgm:pt>
    <dgm:pt modelId="{0A6B587F-DFA9-8942-A6F4-C55AC51B45CD}" type="pres">
      <dgm:prSet presAssocID="{F91AAAA5-76D0-6842-9740-45BA756FFE5D}" presName="space" presStyleCnt="0"/>
      <dgm:spPr/>
    </dgm:pt>
    <dgm:pt modelId="{A34F55FC-BA46-1C47-A9E6-CFE5746F85CB}" type="pres">
      <dgm:prSet presAssocID="{4C1CF05A-C960-2847-81F3-999A2B600C3B}" presName="compositeB" presStyleCnt="0"/>
      <dgm:spPr/>
    </dgm:pt>
    <dgm:pt modelId="{5C648EF8-F484-384A-9576-751585EEF90C}" type="pres">
      <dgm:prSet presAssocID="{4C1CF05A-C960-2847-81F3-999A2B600C3B}" presName="textB" presStyleLbl="revTx" presStyleIdx="7" presStyleCnt="8" custScaleX="205796">
        <dgm:presLayoutVars>
          <dgm:bulletEnabled val="1"/>
        </dgm:presLayoutVars>
      </dgm:prSet>
      <dgm:spPr/>
    </dgm:pt>
    <dgm:pt modelId="{2F3FD3AE-F1B3-C346-9483-DCA0A1E1451D}" type="pres">
      <dgm:prSet presAssocID="{4C1CF05A-C960-2847-81F3-999A2B600C3B}" presName="circleB" presStyleLbl="node1" presStyleIdx="7" presStyleCnt="8"/>
      <dgm:spPr>
        <a:solidFill>
          <a:srgbClr val="D4CEC2"/>
        </a:solidFill>
      </dgm:spPr>
    </dgm:pt>
    <dgm:pt modelId="{087DFF58-DA2D-F041-B4E1-B80CD5CE7824}" type="pres">
      <dgm:prSet presAssocID="{4C1CF05A-C960-2847-81F3-999A2B600C3B}" presName="spaceB" presStyleCnt="0"/>
      <dgm:spPr/>
    </dgm:pt>
  </dgm:ptLst>
  <dgm:cxnLst>
    <dgm:cxn modelId="{D8686303-4C73-DE44-A460-CD2FB4992321}" type="presOf" srcId="{BFCF470A-4380-764A-8499-979063524956}" destId="{9C4D3BEB-EB3D-7549-BF43-026D5CA2F056}" srcOrd="0" destOrd="0" presId="urn:microsoft.com/office/officeart/2005/8/layout/hProcess11"/>
    <dgm:cxn modelId="{DF359839-CAF0-024A-8807-B98A0454FC13}" srcId="{4435A167-8616-E74D-8C0B-04EAF4859EDD}" destId="{11F8F7B0-7A97-E443-AAFC-D5E737F36446}" srcOrd="5" destOrd="0" parTransId="{AC174477-4A1D-1649-A7F6-919B67FA048C}" sibTransId="{1111F9B7-ADFF-0D47-8839-ECF934601D3E}"/>
    <dgm:cxn modelId="{DF4A5E3C-19EF-8D4A-A92E-399AC3C0B5DB}" srcId="{4435A167-8616-E74D-8C0B-04EAF4859EDD}" destId="{2490186E-F055-EB43-B842-C5FB3C6C4062}" srcOrd="3" destOrd="0" parTransId="{41243E0F-D861-0F4A-AA6A-2B2C07D4F31D}" sibTransId="{D8F000C5-E116-4849-846A-764D78DD4D26}"/>
    <dgm:cxn modelId="{D7DCF253-3F1F-7041-84CD-B23BEB2A3C6C}" srcId="{4435A167-8616-E74D-8C0B-04EAF4859EDD}" destId="{21B5516B-C99A-0B4E-88F7-10B8300E9864}" srcOrd="1" destOrd="0" parTransId="{147BEEEF-D31E-364C-ABE9-94FE24A19E35}" sibTransId="{2253C5EB-BD71-0647-A242-F030FEAA72DD}"/>
    <dgm:cxn modelId="{53F02859-AFFA-2542-B493-26FBF4BACABB}" srcId="{4435A167-8616-E74D-8C0B-04EAF4859EDD}" destId="{4C1CF05A-C960-2847-81F3-999A2B600C3B}" srcOrd="7" destOrd="0" parTransId="{5F30A7C1-6565-3D4C-ABCC-F9B2828490F1}" sibTransId="{B27EA20E-B504-D542-82C9-E88BE6DB7AC8}"/>
    <dgm:cxn modelId="{6BB7A45B-427C-1048-9082-17A1B922AA8E}" type="presOf" srcId="{67F3E67C-8D20-1A48-A5B8-F63F647D5954}" destId="{850E7559-7710-8C41-8B07-6E2EB5C9DDD7}" srcOrd="0" destOrd="0" presId="urn:microsoft.com/office/officeart/2005/8/layout/hProcess11"/>
    <dgm:cxn modelId="{B7A8A25F-889D-0D4E-AB88-6453F9DC389D}" type="presOf" srcId="{21B5516B-C99A-0B4E-88F7-10B8300E9864}" destId="{EE9619D8-4247-5343-A649-7BA7164C0E17}" srcOrd="0" destOrd="0" presId="urn:microsoft.com/office/officeart/2005/8/layout/hProcess11"/>
    <dgm:cxn modelId="{47E19C64-6CAC-BE43-B206-E0ABEE9845D7}" type="presOf" srcId="{18AFE0E8-D614-3B4E-9952-703700A75722}" destId="{CA90D8B2-78D0-1844-B4FF-236178FD1012}" srcOrd="0" destOrd="0" presId="urn:microsoft.com/office/officeart/2005/8/layout/hProcess11"/>
    <dgm:cxn modelId="{31876D65-1D69-C244-9D4E-8AD703444E59}" type="presOf" srcId="{11F8F7B0-7A97-E443-AAFC-D5E737F36446}" destId="{44FFD960-5A7E-E841-9963-1F3E5851D79D}" srcOrd="0" destOrd="0" presId="urn:microsoft.com/office/officeart/2005/8/layout/hProcess11"/>
    <dgm:cxn modelId="{F7B74E74-0582-D64D-814E-F3A3D9CEE059}" srcId="{4435A167-8616-E74D-8C0B-04EAF4859EDD}" destId="{18AFE0E8-D614-3B4E-9952-703700A75722}" srcOrd="6" destOrd="0" parTransId="{E4BBC8C9-9DCC-3A47-A687-8FB6A804309B}" sibTransId="{F91AAAA5-76D0-6842-9740-45BA756FFE5D}"/>
    <dgm:cxn modelId="{73F7EB79-A4DA-0B4E-ABC5-D4B7C5011A0C}" type="presOf" srcId="{4435A167-8616-E74D-8C0B-04EAF4859EDD}" destId="{7C6BE4F1-D3CC-5A4B-9508-E3A9F029DCB8}" srcOrd="0" destOrd="0" presId="urn:microsoft.com/office/officeart/2005/8/layout/hProcess11"/>
    <dgm:cxn modelId="{03F3FF98-FAEB-BE4E-BBE9-33708D6DE439}" srcId="{4435A167-8616-E74D-8C0B-04EAF4859EDD}" destId="{67F3E67C-8D20-1A48-A5B8-F63F647D5954}" srcOrd="0" destOrd="0" parTransId="{8A21F158-54B1-6D43-A06A-FC697D53FC11}" sibTransId="{F059A8CC-68F5-8148-B8E1-F539AE0D92F7}"/>
    <dgm:cxn modelId="{303CDFA1-06D4-064A-9B5C-DE3141E4EDC1}" srcId="{4435A167-8616-E74D-8C0B-04EAF4859EDD}" destId="{2B6EDC87-0D0A-D345-8E55-1F8DD7098542}" srcOrd="4" destOrd="0" parTransId="{315570B8-440A-FC40-BE1D-9128CEC6F423}" sibTransId="{362B2151-6BD8-2D4D-A96C-F6ABD32F7611}"/>
    <dgm:cxn modelId="{7FED44AF-0652-2D42-943B-0CC24290639F}" type="presOf" srcId="{2B6EDC87-0D0A-D345-8E55-1F8DD7098542}" destId="{A4B88411-8644-6E4D-A8E9-95A27294E3B9}" srcOrd="0" destOrd="0" presId="urn:microsoft.com/office/officeart/2005/8/layout/hProcess11"/>
    <dgm:cxn modelId="{2156A8B2-6FC8-A24A-8059-D5DDA58A81C2}" type="presOf" srcId="{2490186E-F055-EB43-B842-C5FB3C6C4062}" destId="{D8C58CD6-D9F6-BD49-865D-D4DF6A19F56D}" srcOrd="0" destOrd="0" presId="urn:microsoft.com/office/officeart/2005/8/layout/hProcess11"/>
    <dgm:cxn modelId="{1F5C50C7-B11F-4943-B2C7-166F5775C5E1}" srcId="{4435A167-8616-E74D-8C0B-04EAF4859EDD}" destId="{BFCF470A-4380-764A-8499-979063524956}" srcOrd="2" destOrd="0" parTransId="{DE57465C-42AD-0A4B-9E2C-6A55B1AA4F62}" sibTransId="{940E4C92-EF1C-2C43-9B43-443365FC5D30}"/>
    <dgm:cxn modelId="{896888D3-43C1-C943-A904-E77E39C177D6}" type="presOf" srcId="{4C1CF05A-C960-2847-81F3-999A2B600C3B}" destId="{5C648EF8-F484-384A-9576-751585EEF90C}" srcOrd="0" destOrd="0" presId="urn:microsoft.com/office/officeart/2005/8/layout/hProcess11"/>
    <dgm:cxn modelId="{C1792698-DFA7-2B48-BD21-69A9917350CE}" type="presParOf" srcId="{7C6BE4F1-D3CC-5A4B-9508-E3A9F029DCB8}" destId="{76DCD574-0358-8049-A295-F23CA14E779F}" srcOrd="0" destOrd="0" presId="urn:microsoft.com/office/officeart/2005/8/layout/hProcess11"/>
    <dgm:cxn modelId="{4C6DBD95-99C5-A245-9895-E89889F9A3AF}" type="presParOf" srcId="{7C6BE4F1-D3CC-5A4B-9508-E3A9F029DCB8}" destId="{17E0D809-B614-D444-B1ED-2AB722270197}" srcOrd="1" destOrd="0" presId="urn:microsoft.com/office/officeart/2005/8/layout/hProcess11"/>
    <dgm:cxn modelId="{A34F55D8-3C4F-E441-93CC-9AA7826D02E6}" type="presParOf" srcId="{17E0D809-B614-D444-B1ED-2AB722270197}" destId="{3DF1E5F9-8E07-D34D-A7B3-2243D83D453B}" srcOrd="0" destOrd="0" presId="urn:microsoft.com/office/officeart/2005/8/layout/hProcess11"/>
    <dgm:cxn modelId="{16AD234E-A349-844F-A2D4-A4DDC8A310EA}" type="presParOf" srcId="{3DF1E5F9-8E07-D34D-A7B3-2243D83D453B}" destId="{850E7559-7710-8C41-8B07-6E2EB5C9DDD7}" srcOrd="0" destOrd="0" presId="urn:microsoft.com/office/officeart/2005/8/layout/hProcess11"/>
    <dgm:cxn modelId="{05C699A0-13BB-5544-9EBF-F540E332C67B}" type="presParOf" srcId="{3DF1E5F9-8E07-D34D-A7B3-2243D83D453B}" destId="{9DED0567-103F-5649-9033-F2E2FBA418AD}" srcOrd="1" destOrd="0" presId="urn:microsoft.com/office/officeart/2005/8/layout/hProcess11"/>
    <dgm:cxn modelId="{FDBD3CC2-5C8A-8345-B9BC-B09E498F295A}" type="presParOf" srcId="{3DF1E5F9-8E07-D34D-A7B3-2243D83D453B}" destId="{84172A55-1B37-2E4E-B0F1-DA2D7C46EE3D}" srcOrd="2" destOrd="0" presId="urn:microsoft.com/office/officeart/2005/8/layout/hProcess11"/>
    <dgm:cxn modelId="{CF072EBF-627B-2943-88F9-9594AA676A7A}" type="presParOf" srcId="{17E0D809-B614-D444-B1ED-2AB722270197}" destId="{1AA5DCDF-C549-AF48-8FAB-0ABF4DBA7CC1}" srcOrd="1" destOrd="0" presId="urn:microsoft.com/office/officeart/2005/8/layout/hProcess11"/>
    <dgm:cxn modelId="{D57522BF-42FE-DD4D-91EC-99F29CF02C81}" type="presParOf" srcId="{17E0D809-B614-D444-B1ED-2AB722270197}" destId="{60E5329D-97EE-CB47-838C-740840229CF2}" srcOrd="2" destOrd="0" presId="urn:microsoft.com/office/officeart/2005/8/layout/hProcess11"/>
    <dgm:cxn modelId="{FD1337B6-87CA-1346-A588-0D7C0AC63CCA}" type="presParOf" srcId="{60E5329D-97EE-CB47-838C-740840229CF2}" destId="{EE9619D8-4247-5343-A649-7BA7164C0E17}" srcOrd="0" destOrd="0" presId="urn:microsoft.com/office/officeart/2005/8/layout/hProcess11"/>
    <dgm:cxn modelId="{37BCB574-7B49-D04E-A476-2A3737EE02B6}" type="presParOf" srcId="{60E5329D-97EE-CB47-838C-740840229CF2}" destId="{4BE98175-29D7-DA4F-902A-E38096DB3E7B}" srcOrd="1" destOrd="0" presId="urn:microsoft.com/office/officeart/2005/8/layout/hProcess11"/>
    <dgm:cxn modelId="{91488A95-BDCF-564C-BCB6-2C3C14EFE12C}" type="presParOf" srcId="{60E5329D-97EE-CB47-838C-740840229CF2}" destId="{C6E60592-8217-5241-953C-8509A6C5CC9E}" srcOrd="2" destOrd="0" presId="urn:microsoft.com/office/officeart/2005/8/layout/hProcess11"/>
    <dgm:cxn modelId="{8CC141D2-DD36-D74B-BDB4-F88D0A129B13}" type="presParOf" srcId="{17E0D809-B614-D444-B1ED-2AB722270197}" destId="{E917F6C1-C30F-0440-A7D4-4B54C97277F2}" srcOrd="3" destOrd="0" presId="urn:microsoft.com/office/officeart/2005/8/layout/hProcess11"/>
    <dgm:cxn modelId="{8535689F-C7A9-2144-A56B-7893CD0F3B2B}" type="presParOf" srcId="{17E0D809-B614-D444-B1ED-2AB722270197}" destId="{B4A21557-3C03-0147-BA8E-B93B8D21B5AC}" srcOrd="4" destOrd="0" presId="urn:microsoft.com/office/officeart/2005/8/layout/hProcess11"/>
    <dgm:cxn modelId="{C3AD7AEE-1380-114E-ABF2-2A7DA414AB71}" type="presParOf" srcId="{B4A21557-3C03-0147-BA8E-B93B8D21B5AC}" destId="{9C4D3BEB-EB3D-7549-BF43-026D5CA2F056}" srcOrd="0" destOrd="0" presId="urn:microsoft.com/office/officeart/2005/8/layout/hProcess11"/>
    <dgm:cxn modelId="{1D3F3143-95D7-BC4B-ABC3-23D73F475B92}" type="presParOf" srcId="{B4A21557-3C03-0147-BA8E-B93B8D21B5AC}" destId="{9DECB544-F235-C246-B87A-6B4A9D477427}" srcOrd="1" destOrd="0" presId="urn:microsoft.com/office/officeart/2005/8/layout/hProcess11"/>
    <dgm:cxn modelId="{AAECFB95-1C2C-254C-8229-2BFE4C1E75F5}" type="presParOf" srcId="{B4A21557-3C03-0147-BA8E-B93B8D21B5AC}" destId="{802F0E56-4A42-224C-A32B-7A4953FC51A5}" srcOrd="2" destOrd="0" presId="urn:microsoft.com/office/officeart/2005/8/layout/hProcess11"/>
    <dgm:cxn modelId="{9C822522-9B2C-4940-9A19-DC78C4806236}" type="presParOf" srcId="{17E0D809-B614-D444-B1ED-2AB722270197}" destId="{EC1EBFB4-3CBA-8541-976A-5C91363E02D7}" srcOrd="5" destOrd="0" presId="urn:microsoft.com/office/officeart/2005/8/layout/hProcess11"/>
    <dgm:cxn modelId="{2A787351-04CC-1846-8F18-A6505ABF7FFE}" type="presParOf" srcId="{17E0D809-B614-D444-B1ED-2AB722270197}" destId="{160E974C-6543-224F-8431-D8C35395BBC6}" srcOrd="6" destOrd="0" presId="urn:microsoft.com/office/officeart/2005/8/layout/hProcess11"/>
    <dgm:cxn modelId="{CDE5FC66-8578-D841-BDAF-4D7DD948AADE}" type="presParOf" srcId="{160E974C-6543-224F-8431-D8C35395BBC6}" destId="{D8C58CD6-D9F6-BD49-865D-D4DF6A19F56D}" srcOrd="0" destOrd="0" presId="urn:microsoft.com/office/officeart/2005/8/layout/hProcess11"/>
    <dgm:cxn modelId="{EC91FFE2-81FB-0E4C-AC50-FAAB1779B3E8}" type="presParOf" srcId="{160E974C-6543-224F-8431-D8C35395BBC6}" destId="{A88E1B6A-38CB-324F-922F-E166672BBC5F}" srcOrd="1" destOrd="0" presId="urn:microsoft.com/office/officeart/2005/8/layout/hProcess11"/>
    <dgm:cxn modelId="{3A8C0048-076C-FB4A-B31C-447401E578B0}" type="presParOf" srcId="{160E974C-6543-224F-8431-D8C35395BBC6}" destId="{BED7585A-5DB8-3749-BEC9-4B554E754C1E}" srcOrd="2" destOrd="0" presId="urn:microsoft.com/office/officeart/2005/8/layout/hProcess11"/>
    <dgm:cxn modelId="{6CD3280E-C7D7-7E4A-88CA-A190B882D4DE}" type="presParOf" srcId="{17E0D809-B614-D444-B1ED-2AB722270197}" destId="{70FD3A0C-876C-B94C-BE78-F88E293CC95F}" srcOrd="7" destOrd="0" presId="urn:microsoft.com/office/officeart/2005/8/layout/hProcess11"/>
    <dgm:cxn modelId="{6FB66748-7171-CF4D-99F9-9E37BA82F316}" type="presParOf" srcId="{17E0D809-B614-D444-B1ED-2AB722270197}" destId="{09E2A75C-AB76-FA4B-BCBE-16F9F090864F}" srcOrd="8" destOrd="0" presId="urn:microsoft.com/office/officeart/2005/8/layout/hProcess11"/>
    <dgm:cxn modelId="{5A1CBCC7-9867-E047-804F-4319652D8934}" type="presParOf" srcId="{09E2A75C-AB76-FA4B-BCBE-16F9F090864F}" destId="{A4B88411-8644-6E4D-A8E9-95A27294E3B9}" srcOrd="0" destOrd="0" presId="urn:microsoft.com/office/officeart/2005/8/layout/hProcess11"/>
    <dgm:cxn modelId="{E43F35BC-D346-2944-99CD-AFAC9040B729}" type="presParOf" srcId="{09E2A75C-AB76-FA4B-BCBE-16F9F090864F}" destId="{F7F86CAE-D5CB-3949-BED3-4D740B5D6483}" srcOrd="1" destOrd="0" presId="urn:microsoft.com/office/officeart/2005/8/layout/hProcess11"/>
    <dgm:cxn modelId="{D5F9855B-6331-6540-A291-0DEFA891527F}" type="presParOf" srcId="{09E2A75C-AB76-FA4B-BCBE-16F9F090864F}" destId="{3329196D-7132-8142-8490-C2F60F53D2D1}" srcOrd="2" destOrd="0" presId="urn:microsoft.com/office/officeart/2005/8/layout/hProcess11"/>
    <dgm:cxn modelId="{5C1EEED3-067A-0647-9B70-738450E56E65}" type="presParOf" srcId="{17E0D809-B614-D444-B1ED-2AB722270197}" destId="{3D23843D-434E-4B48-A3F7-D364E07CF19C}" srcOrd="9" destOrd="0" presId="urn:microsoft.com/office/officeart/2005/8/layout/hProcess11"/>
    <dgm:cxn modelId="{9645DE24-92B8-9041-82F3-36EB85AA170D}" type="presParOf" srcId="{17E0D809-B614-D444-B1ED-2AB722270197}" destId="{022C09D8-DDEC-B945-91A0-92086B793963}" srcOrd="10" destOrd="0" presId="urn:microsoft.com/office/officeart/2005/8/layout/hProcess11"/>
    <dgm:cxn modelId="{38E08232-1FC2-B841-9A50-90334496BF33}" type="presParOf" srcId="{022C09D8-DDEC-B945-91A0-92086B793963}" destId="{44FFD960-5A7E-E841-9963-1F3E5851D79D}" srcOrd="0" destOrd="0" presId="urn:microsoft.com/office/officeart/2005/8/layout/hProcess11"/>
    <dgm:cxn modelId="{094C541F-5E29-744B-BC63-20B8AECE36BB}" type="presParOf" srcId="{022C09D8-DDEC-B945-91A0-92086B793963}" destId="{ACD25020-C70C-A544-A21B-1FC907E9386B}" srcOrd="1" destOrd="0" presId="urn:microsoft.com/office/officeart/2005/8/layout/hProcess11"/>
    <dgm:cxn modelId="{C05D82B3-8B1B-D34F-866A-3B645DCF0EDA}" type="presParOf" srcId="{022C09D8-DDEC-B945-91A0-92086B793963}" destId="{FC11161E-E461-1749-9462-0AEEB9555F98}" srcOrd="2" destOrd="0" presId="urn:microsoft.com/office/officeart/2005/8/layout/hProcess11"/>
    <dgm:cxn modelId="{F75DF24B-E02A-814F-BF7E-922D3CE440CD}" type="presParOf" srcId="{17E0D809-B614-D444-B1ED-2AB722270197}" destId="{3E1BE40D-E050-084F-B2B9-26E81E7A81AA}" srcOrd="11" destOrd="0" presId="urn:microsoft.com/office/officeart/2005/8/layout/hProcess11"/>
    <dgm:cxn modelId="{30E8E8E7-74EA-FB4F-BB5D-9E46F50534D8}" type="presParOf" srcId="{17E0D809-B614-D444-B1ED-2AB722270197}" destId="{57057EC6-C730-7948-87CA-A1C02D1BF7AC}" srcOrd="12" destOrd="0" presId="urn:microsoft.com/office/officeart/2005/8/layout/hProcess11"/>
    <dgm:cxn modelId="{4B562617-85A4-AB40-B790-16C2761440A8}" type="presParOf" srcId="{57057EC6-C730-7948-87CA-A1C02D1BF7AC}" destId="{CA90D8B2-78D0-1844-B4FF-236178FD1012}" srcOrd="0" destOrd="0" presId="urn:microsoft.com/office/officeart/2005/8/layout/hProcess11"/>
    <dgm:cxn modelId="{96A2D805-36A1-4D46-A447-C59F65EF478E}" type="presParOf" srcId="{57057EC6-C730-7948-87CA-A1C02D1BF7AC}" destId="{B829E140-9C83-CF41-8643-A43F4294576D}" srcOrd="1" destOrd="0" presId="urn:microsoft.com/office/officeart/2005/8/layout/hProcess11"/>
    <dgm:cxn modelId="{A6F662C5-2E6F-B143-B3F3-02B5D6FB5CE7}" type="presParOf" srcId="{57057EC6-C730-7948-87CA-A1C02D1BF7AC}" destId="{B8A352A4-1DA7-6F44-A09F-372BB98BF25D}" srcOrd="2" destOrd="0" presId="urn:microsoft.com/office/officeart/2005/8/layout/hProcess11"/>
    <dgm:cxn modelId="{3BC5BAEA-15B7-4042-83C0-4C57187CA47E}" type="presParOf" srcId="{17E0D809-B614-D444-B1ED-2AB722270197}" destId="{0A6B587F-DFA9-8942-A6F4-C55AC51B45CD}" srcOrd="13" destOrd="0" presId="urn:microsoft.com/office/officeart/2005/8/layout/hProcess11"/>
    <dgm:cxn modelId="{CA7460C5-3E32-2D4C-8777-AE6D1B16FEE7}" type="presParOf" srcId="{17E0D809-B614-D444-B1ED-2AB722270197}" destId="{A34F55FC-BA46-1C47-A9E6-CFE5746F85CB}" srcOrd="14" destOrd="0" presId="urn:microsoft.com/office/officeart/2005/8/layout/hProcess11"/>
    <dgm:cxn modelId="{D9DEFAE8-E5E6-3749-9FE7-59CA0068F859}" type="presParOf" srcId="{A34F55FC-BA46-1C47-A9E6-CFE5746F85CB}" destId="{5C648EF8-F484-384A-9576-751585EEF90C}" srcOrd="0" destOrd="0" presId="urn:microsoft.com/office/officeart/2005/8/layout/hProcess11"/>
    <dgm:cxn modelId="{A2FCEEC9-9072-D841-B8C3-455B7867B8D1}" type="presParOf" srcId="{A34F55FC-BA46-1C47-A9E6-CFE5746F85CB}" destId="{2F3FD3AE-F1B3-C346-9483-DCA0A1E1451D}" srcOrd="1" destOrd="0" presId="urn:microsoft.com/office/officeart/2005/8/layout/hProcess11"/>
    <dgm:cxn modelId="{2EA1DB0A-2ECB-6C41-AC8B-9C7C7B94E121}" type="presParOf" srcId="{A34F55FC-BA46-1C47-A9E6-CFE5746F85CB}" destId="{087DFF58-DA2D-F041-B4E1-B80CD5CE7824}" srcOrd="2" destOrd="0" presId="urn:microsoft.com/office/officeart/2005/8/layout/hProcess11"/>
  </dgm:cxnLst>
  <dgm:bg>
    <a:noFill/>
  </dgm:bg>
  <dgm:whole/>
  <dgm:extLst>
    <a:ext uri="http://schemas.microsoft.com/office/drawing/2008/diagram">
      <dsp:dataModelExt xmlns:dsp="http://schemas.microsoft.com/office/drawing/2008/diagram" relId="rId7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2B811467-CE9A-434A-BCE9-E4DDD8FFFFAE}" type="doc">
      <dgm:prSet loTypeId="urn:microsoft.com/office/officeart/2005/8/layout/vList6" loCatId="" qsTypeId="urn:microsoft.com/office/officeart/2005/8/quickstyle/simple5" qsCatId="simple" csTypeId="urn:microsoft.com/office/officeart/2005/8/colors/accent5_3" csCatId="accent5" phldr="1"/>
      <dgm:spPr/>
      <dgm:t>
        <a:bodyPr/>
        <a:lstStyle/>
        <a:p>
          <a:endParaRPr lang="en-US"/>
        </a:p>
      </dgm:t>
    </dgm:pt>
    <dgm:pt modelId="{6B6DD3E0-721C-444B-85E0-D77DBB62D322}">
      <dgm:prSet phldrT="[Text]" custT="1"/>
      <dgm:spPr>
        <a:solidFill>
          <a:srgbClr val="D8DCD1"/>
        </a:solidFill>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1800-1900</a:t>
          </a:r>
        </a:p>
      </dgm:t>
    </dgm:pt>
    <dgm:pt modelId="{CB52D81E-1E8B-B445-B474-69DCC4D57634}" type="parTrans" cxnId="{C92F0D75-B9E6-AE4A-AACC-C2376617668E}">
      <dgm:prSet/>
      <dgm:spPr/>
      <dgm:t>
        <a:bodyPr/>
        <a:lstStyle/>
        <a:p>
          <a:endParaRPr lang="en-US" sz="1100" b="0">
            <a:latin typeface="Times New Roman" panose="02020603050405020304" pitchFamily="18" charset="0"/>
            <a:cs typeface="Times New Roman" panose="02020603050405020304" pitchFamily="18" charset="0"/>
          </a:endParaRPr>
        </a:p>
      </dgm:t>
    </dgm:pt>
    <dgm:pt modelId="{1A643C74-6850-CF4F-A011-18B035E7910A}" type="sibTrans" cxnId="{C92F0D75-B9E6-AE4A-AACC-C2376617668E}">
      <dgm:prSet/>
      <dgm:spPr/>
      <dgm:t>
        <a:bodyPr/>
        <a:lstStyle/>
        <a:p>
          <a:endParaRPr lang="en-US" sz="1100" b="0">
            <a:latin typeface="Times New Roman" panose="02020603050405020304" pitchFamily="18" charset="0"/>
            <a:cs typeface="Times New Roman" panose="02020603050405020304" pitchFamily="18" charset="0"/>
          </a:endParaRPr>
        </a:p>
      </dgm:t>
    </dgm:pt>
    <dgm:pt modelId="{B2FE0A9C-94A4-B044-9576-9CAD3635F81C}">
      <dgm:prSet phldrT="[Text]" custT="1"/>
      <dgm:spPr>
        <a:solidFill>
          <a:srgbClr val="D8DCD1"/>
        </a:solidFill>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1960</a:t>
          </a:r>
        </a:p>
      </dgm:t>
    </dgm:pt>
    <dgm:pt modelId="{A0E56648-2397-C441-BA7A-96DBA5CA1CDD}" type="parTrans" cxnId="{D1B96B34-D01D-1749-84D6-E24E71BE96DE}">
      <dgm:prSet/>
      <dgm:spPr/>
      <dgm:t>
        <a:bodyPr/>
        <a:lstStyle/>
        <a:p>
          <a:endParaRPr lang="en-US" sz="1100" b="0">
            <a:latin typeface="Times New Roman" panose="02020603050405020304" pitchFamily="18" charset="0"/>
            <a:cs typeface="Times New Roman" panose="02020603050405020304" pitchFamily="18" charset="0"/>
          </a:endParaRPr>
        </a:p>
      </dgm:t>
    </dgm:pt>
    <dgm:pt modelId="{82DC680F-4E67-0044-B442-55DA0ACE95A2}" type="sibTrans" cxnId="{D1B96B34-D01D-1749-84D6-E24E71BE96DE}">
      <dgm:prSet/>
      <dgm:spPr/>
      <dgm:t>
        <a:bodyPr/>
        <a:lstStyle/>
        <a:p>
          <a:endParaRPr lang="en-US" sz="1100" b="0">
            <a:latin typeface="Times New Roman" panose="02020603050405020304" pitchFamily="18" charset="0"/>
            <a:cs typeface="Times New Roman" panose="02020603050405020304" pitchFamily="18" charset="0"/>
          </a:endParaRPr>
        </a:p>
      </dgm:t>
    </dgm:pt>
    <dgm:pt modelId="{05BE571A-79C6-C44E-96E1-3542C7250ECE}">
      <dgm:prSet phldrT="[Text]" custT="1"/>
      <dgm:spPr>
        <a:solidFill>
          <a:srgbClr val="D8DCD1"/>
        </a:solidFill>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1990</a:t>
          </a:r>
        </a:p>
      </dgm:t>
    </dgm:pt>
    <dgm:pt modelId="{84775CBA-5B9A-B04E-AC81-13B8D43560AA}" type="parTrans" cxnId="{02C9BD63-AA2A-5948-92D3-9579551CF338}">
      <dgm:prSet/>
      <dgm:spPr/>
      <dgm:t>
        <a:bodyPr/>
        <a:lstStyle/>
        <a:p>
          <a:endParaRPr lang="en-US" sz="1100" b="0">
            <a:latin typeface="Times New Roman" panose="02020603050405020304" pitchFamily="18" charset="0"/>
            <a:cs typeface="Times New Roman" panose="02020603050405020304" pitchFamily="18" charset="0"/>
          </a:endParaRPr>
        </a:p>
      </dgm:t>
    </dgm:pt>
    <dgm:pt modelId="{AE12E252-67BB-9542-B727-03C818478095}" type="sibTrans" cxnId="{02C9BD63-AA2A-5948-92D3-9579551CF338}">
      <dgm:prSet/>
      <dgm:spPr/>
      <dgm:t>
        <a:bodyPr/>
        <a:lstStyle/>
        <a:p>
          <a:endParaRPr lang="en-US" sz="1100" b="0">
            <a:latin typeface="Times New Roman" panose="02020603050405020304" pitchFamily="18" charset="0"/>
            <a:cs typeface="Times New Roman" panose="02020603050405020304" pitchFamily="18" charset="0"/>
          </a:endParaRPr>
        </a:p>
      </dgm:t>
    </dgm:pt>
    <dgm:pt modelId="{6C69B420-6844-A249-B65E-60ECBBAC74FA}">
      <dgm:prSet phldrT="[Text]" custT="1"/>
      <dgm:spPr>
        <a:solidFill>
          <a:srgbClr val="D4CEC2">
            <a:alpha val="90000"/>
          </a:srgbClr>
        </a:solidFill>
      </dgm:spPr>
      <dgm:t>
        <a:bodyPr/>
        <a:lstStyle/>
        <a:p>
          <a:pPr algn="l"/>
          <a:r>
            <a:rPr lang="en-US" sz="1100" b="0" i="0" u="none">
              <a:latin typeface="Times New Roman" panose="02020603050405020304" pitchFamily="18" charset="0"/>
              <a:cs typeface="Times New Roman" panose="02020603050405020304" pitchFamily="18" charset="0"/>
            </a:rPr>
            <a:t>e-learning </a:t>
          </a:r>
          <a:endParaRPr lang="en-US" sz="1100" b="0">
            <a:latin typeface="Times New Roman" panose="02020603050405020304" pitchFamily="18" charset="0"/>
            <a:cs typeface="Times New Roman" panose="02020603050405020304" pitchFamily="18" charset="0"/>
          </a:endParaRPr>
        </a:p>
      </dgm:t>
    </dgm:pt>
    <dgm:pt modelId="{0AF98370-DD71-6C4B-A302-176B72CFE9E1}" type="parTrans" cxnId="{0F8D1A62-D9A3-3F45-8BB2-6957B583EE13}">
      <dgm:prSet/>
      <dgm:spPr/>
      <dgm:t>
        <a:bodyPr/>
        <a:lstStyle/>
        <a:p>
          <a:endParaRPr lang="en-US" sz="1100" b="0">
            <a:latin typeface="Times New Roman" panose="02020603050405020304" pitchFamily="18" charset="0"/>
            <a:cs typeface="Times New Roman" panose="02020603050405020304" pitchFamily="18" charset="0"/>
          </a:endParaRPr>
        </a:p>
      </dgm:t>
    </dgm:pt>
    <dgm:pt modelId="{2E2ED3CC-DDEA-6044-8309-EB6C67293A22}" type="sibTrans" cxnId="{0F8D1A62-D9A3-3F45-8BB2-6957B583EE13}">
      <dgm:prSet/>
      <dgm:spPr/>
      <dgm:t>
        <a:bodyPr/>
        <a:lstStyle/>
        <a:p>
          <a:endParaRPr lang="en-US" sz="1100" b="0">
            <a:latin typeface="Times New Roman" panose="02020603050405020304" pitchFamily="18" charset="0"/>
            <a:cs typeface="Times New Roman" panose="02020603050405020304" pitchFamily="18" charset="0"/>
          </a:endParaRPr>
        </a:p>
      </dgm:t>
    </dgm:pt>
    <dgm:pt modelId="{A3A6E724-53D7-6F43-B6BB-68BEFB7FA396}">
      <dgm:prSet custT="1"/>
      <dgm:spPr>
        <a:solidFill>
          <a:srgbClr val="D8DCD1"/>
        </a:solidFill>
      </dgm:spPr>
      <dgm:t>
        <a:bodyPr/>
        <a:lstStyle/>
        <a:p>
          <a:r>
            <a:rPr lang="en-DZ" sz="1100" b="1" i="0" u="none">
              <a:solidFill>
                <a:sysClr val="windowText" lastClr="000000"/>
              </a:solidFill>
              <a:latin typeface="Times New Roman" panose="02020603050405020304" pitchFamily="18" charset="0"/>
              <a:cs typeface="Times New Roman" panose="02020603050405020304" pitchFamily="18" charset="0"/>
            </a:rPr>
            <a:t>2000-2010</a:t>
          </a:r>
          <a:endParaRPr lang="en-US" sz="1100" b="1">
            <a:solidFill>
              <a:sysClr val="windowText" lastClr="000000"/>
            </a:solidFill>
            <a:latin typeface="Times New Roman" panose="02020603050405020304" pitchFamily="18" charset="0"/>
            <a:cs typeface="Times New Roman" panose="02020603050405020304" pitchFamily="18" charset="0"/>
          </a:endParaRPr>
        </a:p>
      </dgm:t>
    </dgm:pt>
    <dgm:pt modelId="{1AF4B6E3-649D-8745-8B49-E3ED3DA418C3}" type="parTrans" cxnId="{359A9F8B-CB47-0344-9185-F83BE715690A}">
      <dgm:prSet/>
      <dgm:spPr/>
      <dgm:t>
        <a:bodyPr/>
        <a:lstStyle/>
        <a:p>
          <a:endParaRPr lang="en-US" sz="1100" b="0">
            <a:latin typeface="Times New Roman" panose="02020603050405020304" pitchFamily="18" charset="0"/>
            <a:cs typeface="Times New Roman" panose="02020603050405020304" pitchFamily="18" charset="0"/>
          </a:endParaRPr>
        </a:p>
      </dgm:t>
    </dgm:pt>
    <dgm:pt modelId="{EAC5D521-5EF4-934D-B0FF-75B6F564E764}" type="sibTrans" cxnId="{359A9F8B-CB47-0344-9185-F83BE715690A}">
      <dgm:prSet/>
      <dgm:spPr/>
      <dgm:t>
        <a:bodyPr/>
        <a:lstStyle/>
        <a:p>
          <a:endParaRPr lang="en-US" sz="1100" b="0">
            <a:latin typeface="Times New Roman" panose="02020603050405020304" pitchFamily="18" charset="0"/>
            <a:cs typeface="Times New Roman" panose="02020603050405020304" pitchFamily="18" charset="0"/>
          </a:endParaRPr>
        </a:p>
      </dgm:t>
    </dgm:pt>
    <dgm:pt modelId="{32794790-43BE-4D45-AD9D-F15BC57F5D6C}">
      <dgm:prSet custT="1"/>
      <dgm:spPr>
        <a:solidFill>
          <a:srgbClr val="D8DCD1"/>
        </a:solidFill>
      </dgm:spPr>
      <dgm:t>
        <a:bodyPr/>
        <a:lstStyle/>
        <a:p>
          <a:r>
            <a:rPr lang="en-US" sz="1100" b="1" i="0" u="none">
              <a:solidFill>
                <a:sysClr val="windowText" lastClr="000000"/>
              </a:solidFill>
              <a:latin typeface="Times New Roman" panose="02020603050405020304" pitchFamily="18" charset="0"/>
              <a:cs typeface="Times New Roman" panose="02020603050405020304" pitchFamily="18" charset="0"/>
            </a:rPr>
            <a:t>2015 - aujourd’hui</a:t>
          </a:r>
          <a:endParaRPr lang="en-US" sz="1100" b="1">
            <a:solidFill>
              <a:sysClr val="windowText" lastClr="000000"/>
            </a:solidFill>
            <a:latin typeface="Times New Roman" panose="02020603050405020304" pitchFamily="18" charset="0"/>
            <a:cs typeface="Times New Roman" panose="02020603050405020304" pitchFamily="18" charset="0"/>
          </a:endParaRPr>
        </a:p>
      </dgm:t>
    </dgm:pt>
    <dgm:pt modelId="{3EF22385-F1BB-6B47-B707-D5FFA8B5C46D}" type="parTrans" cxnId="{89BB0638-8B6E-B44E-9269-87ED9881B200}">
      <dgm:prSet/>
      <dgm:spPr/>
      <dgm:t>
        <a:bodyPr/>
        <a:lstStyle/>
        <a:p>
          <a:endParaRPr lang="en-US" sz="1100" b="0">
            <a:latin typeface="Times New Roman" panose="02020603050405020304" pitchFamily="18" charset="0"/>
            <a:cs typeface="Times New Roman" panose="02020603050405020304" pitchFamily="18" charset="0"/>
          </a:endParaRPr>
        </a:p>
      </dgm:t>
    </dgm:pt>
    <dgm:pt modelId="{5F4C37E2-5926-5B4C-9231-DB71DB6FF133}" type="sibTrans" cxnId="{89BB0638-8B6E-B44E-9269-87ED9881B200}">
      <dgm:prSet/>
      <dgm:spPr/>
      <dgm:t>
        <a:bodyPr/>
        <a:lstStyle/>
        <a:p>
          <a:endParaRPr lang="en-US" sz="1100" b="0">
            <a:latin typeface="Times New Roman" panose="02020603050405020304" pitchFamily="18" charset="0"/>
            <a:cs typeface="Times New Roman" panose="02020603050405020304" pitchFamily="18" charset="0"/>
          </a:endParaRPr>
        </a:p>
      </dgm:t>
    </dgm:pt>
    <dgm:pt modelId="{BF490984-F12C-9542-9206-527001D0051E}">
      <dgm:prSet custT="1"/>
      <dgm:spPr>
        <a:solidFill>
          <a:srgbClr val="D4CEC2">
            <a:alpha val="90000"/>
          </a:srgbClr>
        </a:solidFill>
      </dgm:spPr>
      <dgm:t>
        <a:bodyPr/>
        <a:lstStyle/>
        <a:p>
          <a:pPr algn="l"/>
          <a:r>
            <a:rPr lang="en-US" sz="1100" b="0" i="0" u="none">
              <a:latin typeface="Times New Roman" panose="02020603050405020304" pitchFamily="18" charset="0"/>
              <a:cs typeface="Times New Roman" panose="02020603050405020304" pitchFamily="18" charset="0"/>
            </a:rPr>
            <a:t>l’intelligence artificielle et de la formation immersive</a:t>
          </a:r>
          <a:endParaRPr lang="en-US" sz="1100" b="0">
            <a:latin typeface="Times New Roman" panose="02020603050405020304" pitchFamily="18" charset="0"/>
            <a:cs typeface="Times New Roman" panose="02020603050405020304" pitchFamily="18" charset="0"/>
          </a:endParaRPr>
        </a:p>
      </dgm:t>
    </dgm:pt>
    <dgm:pt modelId="{1E282FEB-A10C-6D4E-B50C-72352E78CF39}" type="parTrans" cxnId="{56C144D6-2BBE-5D4F-9EC1-BE00F38BB10E}">
      <dgm:prSet/>
      <dgm:spPr/>
      <dgm:t>
        <a:bodyPr/>
        <a:lstStyle/>
        <a:p>
          <a:endParaRPr lang="en-US" sz="1100" b="0">
            <a:latin typeface="Times New Roman" panose="02020603050405020304" pitchFamily="18" charset="0"/>
            <a:cs typeface="Times New Roman" panose="02020603050405020304" pitchFamily="18" charset="0"/>
          </a:endParaRPr>
        </a:p>
      </dgm:t>
    </dgm:pt>
    <dgm:pt modelId="{3FDBE2F2-3C27-1248-ACB2-F7CCB0567732}" type="sibTrans" cxnId="{56C144D6-2BBE-5D4F-9EC1-BE00F38BB10E}">
      <dgm:prSet/>
      <dgm:spPr/>
      <dgm:t>
        <a:bodyPr/>
        <a:lstStyle/>
        <a:p>
          <a:endParaRPr lang="en-US" sz="1100" b="0">
            <a:latin typeface="Times New Roman" panose="02020603050405020304" pitchFamily="18" charset="0"/>
            <a:cs typeface="Times New Roman" panose="02020603050405020304" pitchFamily="18" charset="0"/>
          </a:endParaRPr>
        </a:p>
      </dgm:t>
    </dgm:pt>
    <dgm:pt modelId="{80DC72A5-366B-7B4C-9B1E-81836E0DF6A1}">
      <dgm:prSet phldrT="[Text]" custT="1"/>
      <dgm:spPr>
        <a:solidFill>
          <a:srgbClr val="D4CEC2">
            <a:alpha val="90000"/>
          </a:srgbClr>
        </a:solidFill>
      </dgm:spPr>
      <dgm:t>
        <a:bodyPr/>
        <a:lstStyle/>
        <a:p>
          <a:pPr algn="l"/>
          <a:r>
            <a:rPr lang="en-US" sz="1100" b="0" i="0" u="none">
              <a:latin typeface="Times New Roman" panose="02020603050405020304" pitchFamily="18" charset="0"/>
              <a:cs typeface="Times New Roman" panose="02020603050405020304" pitchFamily="18" charset="0"/>
            </a:rPr>
            <a:t>les premiers systèmes de gestion de l’apprentissage</a:t>
          </a:r>
          <a:endParaRPr lang="en-US" sz="1100" b="0">
            <a:latin typeface="Times New Roman" panose="02020603050405020304" pitchFamily="18" charset="0"/>
            <a:cs typeface="Times New Roman" panose="02020603050405020304" pitchFamily="18" charset="0"/>
          </a:endParaRPr>
        </a:p>
      </dgm:t>
    </dgm:pt>
    <dgm:pt modelId="{BF66E3C0-9FA0-6B41-A4C9-DC7897F497CB}" type="sibTrans" cxnId="{FECCC432-D5F3-A949-A8C2-125BD97E5D31}">
      <dgm:prSet/>
      <dgm:spPr/>
      <dgm:t>
        <a:bodyPr/>
        <a:lstStyle/>
        <a:p>
          <a:endParaRPr lang="en-US" sz="1100" b="0">
            <a:latin typeface="Times New Roman" panose="02020603050405020304" pitchFamily="18" charset="0"/>
            <a:cs typeface="Times New Roman" panose="02020603050405020304" pitchFamily="18" charset="0"/>
          </a:endParaRPr>
        </a:p>
      </dgm:t>
    </dgm:pt>
    <dgm:pt modelId="{C3DB2BC4-DC33-4A4F-8363-79734A345C56}" type="parTrans" cxnId="{FECCC432-D5F3-A949-A8C2-125BD97E5D31}">
      <dgm:prSet/>
      <dgm:spPr/>
      <dgm:t>
        <a:bodyPr/>
        <a:lstStyle/>
        <a:p>
          <a:endParaRPr lang="en-US" sz="1100" b="0">
            <a:latin typeface="Times New Roman" panose="02020603050405020304" pitchFamily="18" charset="0"/>
            <a:cs typeface="Times New Roman" panose="02020603050405020304" pitchFamily="18" charset="0"/>
          </a:endParaRPr>
        </a:p>
      </dgm:t>
    </dgm:pt>
    <dgm:pt modelId="{63161B0D-AE9D-884F-AEFD-2FD0977C2139}">
      <dgm:prSet phldrT="[Text]" custT="1"/>
      <dgm:spPr>
        <a:solidFill>
          <a:srgbClr val="D4CEC2">
            <a:alpha val="90000"/>
          </a:srgbClr>
        </a:solidFill>
      </dgm:spPr>
      <dgm:t>
        <a:bodyPr/>
        <a:lstStyle/>
        <a:p>
          <a:pPr algn="l"/>
          <a:r>
            <a:rPr lang="en-US" sz="1100" b="0" i="0" u="none">
              <a:latin typeface="Times New Roman" panose="02020603050405020304" pitchFamily="18" charset="0"/>
              <a:cs typeface="Times New Roman" panose="02020603050405020304" pitchFamily="18" charset="0"/>
            </a:rPr>
            <a:t>l'enseignement par correspondance</a:t>
          </a:r>
          <a:endParaRPr lang="en-US" sz="1100" b="0">
            <a:latin typeface="Times New Roman" panose="02020603050405020304" pitchFamily="18" charset="0"/>
            <a:cs typeface="Times New Roman" panose="02020603050405020304" pitchFamily="18" charset="0"/>
          </a:endParaRPr>
        </a:p>
      </dgm:t>
    </dgm:pt>
    <dgm:pt modelId="{50CD7706-7711-AD48-A9E8-043151218BEF}" type="sibTrans" cxnId="{2A8FB5E2-37A0-2548-9959-B716BCC7C76D}">
      <dgm:prSet/>
      <dgm:spPr/>
      <dgm:t>
        <a:bodyPr/>
        <a:lstStyle/>
        <a:p>
          <a:endParaRPr lang="en-US" sz="1100" b="0">
            <a:latin typeface="Times New Roman" panose="02020603050405020304" pitchFamily="18" charset="0"/>
            <a:cs typeface="Times New Roman" panose="02020603050405020304" pitchFamily="18" charset="0"/>
          </a:endParaRPr>
        </a:p>
      </dgm:t>
    </dgm:pt>
    <dgm:pt modelId="{CAF1EDB4-7C10-8F48-9F2E-C0947B67CBD5}" type="parTrans" cxnId="{2A8FB5E2-37A0-2548-9959-B716BCC7C76D}">
      <dgm:prSet/>
      <dgm:spPr/>
      <dgm:t>
        <a:bodyPr/>
        <a:lstStyle/>
        <a:p>
          <a:endParaRPr lang="en-US" sz="1100" b="0">
            <a:latin typeface="Times New Roman" panose="02020603050405020304" pitchFamily="18" charset="0"/>
            <a:cs typeface="Times New Roman" panose="02020603050405020304" pitchFamily="18" charset="0"/>
          </a:endParaRPr>
        </a:p>
      </dgm:t>
    </dgm:pt>
    <dgm:pt modelId="{45CF215B-BA28-E84A-84FF-9123A4490390}">
      <dgm:prSet phldrT="[Text]" custT="1"/>
      <dgm:spPr>
        <a:solidFill>
          <a:srgbClr val="D4CEC2">
            <a:alpha val="90000"/>
          </a:srgbClr>
        </a:solidFill>
      </dgm:spPr>
      <dgm:t>
        <a:bodyPr/>
        <a:lstStyle/>
        <a:p>
          <a:pPr algn="ctr"/>
          <a:endParaRPr lang="en-US" sz="1100" b="0">
            <a:latin typeface="Times New Roman" panose="02020603050405020304" pitchFamily="18" charset="0"/>
            <a:cs typeface="Times New Roman" panose="02020603050405020304" pitchFamily="18" charset="0"/>
          </a:endParaRPr>
        </a:p>
      </dgm:t>
    </dgm:pt>
    <dgm:pt modelId="{4E7FBC09-42C5-4D46-91EA-06602DF4598D}" type="parTrans" cxnId="{56D51972-BEDD-7947-99CE-9DA28307715F}">
      <dgm:prSet/>
      <dgm:spPr/>
      <dgm:t>
        <a:bodyPr/>
        <a:lstStyle/>
        <a:p>
          <a:endParaRPr lang="en-US"/>
        </a:p>
      </dgm:t>
    </dgm:pt>
    <dgm:pt modelId="{29972EB9-87B4-6947-8102-54E8C2AC2E74}" type="sibTrans" cxnId="{56D51972-BEDD-7947-99CE-9DA28307715F}">
      <dgm:prSet/>
      <dgm:spPr/>
      <dgm:t>
        <a:bodyPr/>
        <a:lstStyle/>
        <a:p>
          <a:endParaRPr lang="en-US"/>
        </a:p>
      </dgm:t>
    </dgm:pt>
    <dgm:pt modelId="{1F5F9ACA-DA71-B540-A082-8F522D108502}">
      <dgm:prSet phldrT="[Text]" custT="1"/>
      <dgm:spPr>
        <a:solidFill>
          <a:srgbClr val="D4CEC2">
            <a:alpha val="90000"/>
          </a:srgbClr>
        </a:solidFill>
      </dgm:spPr>
      <dgm:t>
        <a:bodyPr/>
        <a:lstStyle/>
        <a:p>
          <a:pPr algn="l"/>
          <a:endParaRPr lang="en-US" sz="1100" b="0">
            <a:latin typeface="Times New Roman" panose="02020603050405020304" pitchFamily="18" charset="0"/>
            <a:cs typeface="Times New Roman" panose="02020603050405020304" pitchFamily="18" charset="0"/>
          </a:endParaRPr>
        </a:p>
      </dgm:t>
    </dgm:pt>
    <dgm:pt modelId="{ECD62E27-44F8-A543-A9FF-923A9479CBF9}" type="parTrans" cxnId="{96101237-E276-5540-8F4F-E67389B05304}">
      <dgm:prSet/>
      <dgm:spPr/>
      <dgm:t>
        <a:bodyPr/>
        <a:lstStyle/>
        <a:p>
          <a:endParaRPr lang="en-US"/>
        </a:p>
      </dgm:t>
    </dgm:pt>
    <dgm:pt modelId="{9774F083-2683-7A46-BEF9-92A636A013D0}" type="sibTrans" cxnId="{96101237-E276-5540-8F4F-E67389B05304}">
      <dgm:prSet/>
      <dgm:spPr/>
      <dgm:t>
        <a:bodyPr/>
        <a:lstStyle/>
        <a:p>
          <a:endParaRPr lang="en-US"/>
        </a:p>
      </dgm:t>
    </dgm:pt>
    <dgm:pt modelId="{8A5F1487-46E6-F64D-BE31-73309BF6DCBE}">
      <dgm:prSet phldrT="[Text]" custT="1"/>
      <dgm:spPr>
        <a:solidFill>
          <a:srgbClr val="D4CEC2">
            <a:alpha val="90000"/>
          </a:srgbClr>
        </a:solidFill>
      </dgm:spPr>
      <dgm:t>
        <a:bodyPr/>
        <a:lstStyle/>
        <a:p>
          <a:pPr algn="l"/>
          <a:endParaRPr lang="en-US" sz="1100" b="0">
            <a:latin typeface="Times New Roman" panose="02020603050405020304" pitchFamily="18" charset="0"/>
            <a:cs typeface="Times New Roman" panose="02020603050405020304" pitchFamily="18" charset="0"/>
          </a:endParaRPr>
        </a:p>
      </dgm:t>
    </dgm:pt>
    <dgm:pt modelId="{2F247A83-A7CD-8F4E-A727-B2CB3CE9B3F0}" type="parTrans" cxnId="{58B956CA-3A9C-3C4E-9863-267C047D40BF}">
      <dgm:prSet/>
      <dgm:spPr/>
      <dgm:t>
        <a:bodyPr/>
        <a:lstStyle/>
        <a:p>
          <a:endParaRPr lang="en-US"/>
        </a:p>
      </dgm:t>
    </dgm:pt>
    <dgm:pt modelId="{9B64B8A8-7257-4744-A60C-6A7D7E152F08}" type="sibTrans" cxnId="{58B956CA-3A9C-3C4E-9863-267C047D40BF}">
      <dgm:prSet/>
      <dgm:spPr/>
      <dgm:t>
        <a:bodyPr/>
        <a:lstStyle/>
        <a:p>
          <a:endParaRPr lang="en-US"/>
        </a:p>
      </dgm:t>
    </dgm:pt>
    <dgm:pt modelId="{4C9B60FA-E857-A048-9DF1-9E953FED36A1}">
      <dgm:prSet custT="1"/>
      <dgm:spPr>
        <a:solidFill>
          <a:srgbClr val="D4CEC2">
            <a:alpha val="90000"/>
          </a:srgbClr>
        </a:solidFill>
      </dgm:spPr>
      <dgm:t>
        <a:bodyPr/>
        <a:lstStyle/>
        <a:p>
          <a:pPr algn="ctr"/>
          <a:endParaRPr lang="en-US" sz="1100" b="0">
            <a:latin typeface="Times New Roman" panose="02020603050405020304" pitchFamily="18" charset="0"/>
            <a:cs typeface="Times New Roman" panose="02020603050405020304" pitchFamily="18" charset="0"/>
          </a:endParaRPr>
        </a:p>
      </dgm:t>
    </dgm:pt>
    <dgm:pt modelId="{3E016AA6-B0B0-AE4A-AAFC-0D72A007BE03}" type="parTrans" cxnId="{7F08670C-9AEE-B146-88C0-454B13B88488}">
      <dgm:prSet/>
      <dgm:spPr/>
      <dgm:t>
        <a:bodyPr/>
        <a:lstStyle/>
        <a:p>
          <a:endParaRPr lang="en-US"/>
        </a:p>
      </dgm:t>
    </dgm:pt>
    <dgm:pt modelId="{585429A9-0726-C549-A581-51DEE5B6FD7A}" type="sibTrans" cxnId="{7F08670C-9AEE-B146-88C0-454B13B88488}">
      <dgm:prSet/>
      <dgm:spPr/>
      <dgm:t>
        <a:bodyPr/>
        <a:lstStyle/>
        <a:p>
          <a:endParaRPr lang="en-US"/>
        </a:p>
      </dgm:t>
    </dgm:pt>
    <dgm:pt modelId="{4FFE9F3D-00EB-4F40-B011-B10826E1985F}">
      <dgm:prSet custT="1"/>
      <dgm:spPr>
        <a:solidFill>
          <a:srgbClr val="D4CEC2">
            <a:alpha val="90000"/>
          </a:srgbClr>
        </a:solidFill>
      </dgm:spPr>
      <dgm:t>
        <a:bodyPr/>
        <a:lstStyle/>
        <a:p>
          <a:pPr algn="ctr"/>
          <a:endParaRPr lang="en-US" sz="1100" b="0">
            <a:latin typeface="Times New Roman" panose="02020603050405020304" pitchFamily="18" charset="0"/>
            <a:cs typeface="Times New Roman" panose="02020603050405020304" pitchFamily="18" charset="0"/>
          </a:endParaRPr>
        </a:p>
      </dgm:t>
    </dgm:pt>
    <dgm:pt modelId="{E3AFFD80-481E-0D4A-BF10-07A118A41B4C}" type="parTrans" cxnId="{B3F709F8-864A-254D-9951-D3E9DF4DBD03}">
      <dgm:prSet/>
      <dgm:spPr/>
      <dgm:t>
        <a:bodyPr/>
        <a:lstStyle/>
        <a:p>
          <a:endParaRPr lang="en-US"/>
        </a:p>
      </dgm:t>
    </dgm:pt>
    <dgm:pt modelId="{B1CA5E17-CD5E-6D4E-ADFD-61FDB21BC122}" type="sibTrans" cxnId="{B3F709F8-864A-254D-9951-D3E9DF4DBD03}">
      <dgm:prSet/>
      <dgm:spPr/>
      <dgm:t>
        <a:bodyPr/>
        <a:lstStyle/>
        <a:p>
          <a:endParaRPr lang="en-US"/>
        </a:p>
      </dgm:t>
    </dgm:pt>
    <dgm:pt modelId="{2B964ABD-D992-1345-8913-DF7FF678F7AC}">
      <dgm:prSet custT="1"/>
      <dgm:spPr>
        <a:solidFill>
          <a:srgbClr val="D4CEC2">
            <a:alpha val="90000"/>
          </a:srgbClr>
        </a:solidFill>
      </dgm:spPr>
      <dgm:t>
        <a:bodyPr/>
        <a:lstStyle/>
        <a:p>
          <a:pPr algn="l"/>
          <a:r>
            <a:rPr lang="en-US" sz="1100" b="0" i="0" u="none">
              <a:latin typeface="Times New Roman" panose="02020603050405020304" pitchFamily="18" charset="0"/>
              <a:cs typeface="Times New Roman" panose="02020603050405020304" pitchFamily="18" charset="0"/>
            </a:rPr>
            <a:t>MOOCs et mobile learning</a:t>
          </a:r>
          <a:endParaRPr lang="en-US" sz="1100" b="0">
            <a:latin typeface="Times New Roman" panose="02020603050405020304" pitchFamily="18" charset="0"/>
            <a:cs typeface="Times New Roman" panose="02020603050405020304" pitchFamily="18" charset="0"/>
          </a:endParaRPr>
        </a:p>
      </dgm:t>
    </dgm:pt>
    <dgm:pt modelId="{8B40E8BD-0ACA-D741-8E8C-E399F253A264}" type="sibTrans" cxnId="{41A577C6-4AA8-2C42-9A6E-0FEA6A54DEC5}">
      <dgm:prSet/>
      <dgm:spPr/>
      <dgm:t>
        <a:bodyPr/>
        <a:lstStyle/>
        <a:p>
          <a:endParaRPr lang="en-US" sz="1100" b="0">
            <a:latin typeface="Times New Roman" panose="02020603050405020304" pitchFamily="18" charset="0"/>
            <a:cs typeface="Times New Roman" panose="02020603050405020304" pitchFamily="18" charset="0"/>
          </a:endParaRPr>
        </a:p>
      </dgm:t>
    </dgm:pt>
    <dgm:pt modelId="{D591D706-51FE-7F45-BB6B-543BD18EEB7F}" type="parTrans" cxnId="{41A577C6-4AA8-2C42-9A6E-0FEA6A54DEC5}">
      <dgm:prSet/>
      <dgm:spPr/>
      <dgm:t>
        <a:bodyPr/>
        <a:lstStyle/>
        <a:p>
          <a:endParaRPr lang="en-US" sz="1100" b="0">
            <a:latin typeface="Times New Roman" panose="02020603050405020304" pitchFamily="18" charset="0"/>
            <a:cs typeface="Times New Roman" panose="02020603050405020304" pitchFamily="18" charset="0"/>
          </a:endParaRPr>
        </a:p>
      </dgm:t>
    </dgm:pt>
    <dgm:pt modelId="{F27DA3E9-6367-2E46-B968-8557200CCA9F}" type="pres">
      <dgm:prSet presAssocID="{2B811467-CE9A-434A-BCE9-E4DDD8FFFFAE}" presName="Name0" presStyleCnt="0">
        <dgm:presLayoutVars>
          <dgm:dir/>
          <dgm:animLvl val="lvl"/>
          <dgm:resizeHandles/>
        </dgm:presLayoutVars>
      </dgm:prSet>
      <dgm:spPr/>
    </dgm:pt>
    <dgm:pt modelId="{A8725C41-146A-604E-AE9A-316D608C0A29}" type="pres">
      <dgm:prSet presAssocID="{6B6DD3E0-721C-444B-85E0-D77DBB62D322}" presName="linNode" presStyleCnt="0"/>
      <dgm:spPr/>
    </dgm:pt>
    <dgm:pt modelId="{678E4EC0-2931-8B46-8A23-7CF894D75EF8}" type="pres">
      <dgm:prSet presAssocID="{6B6DD3E0-721C-444B-85E0-D77DBB62D322}" presName="parentShp" presStyleLbl="node1" presStyleIdx="0" presStyleCnt="5">
        <dgm:presLayoutVars>
          <dgm:bulletEnabled val="1"/>
        </dgm:presLayoutVars>
      </dgm:prSet>
      <dgm:spPr/>
    </dgm:pt>
    <dgm:pt modelId="{6372ABF8-8804-8843-A64F-A57496AB2ECF}" type="pres">
      <dgm:prSet presAssocID="{6B6DD3E0-721C-444B-85E0-D77DBB62D322}" presName="childShp" presStyleLbl="bgAccFollowNode1" presStyleIdx="0" presStyleCnt="5">
        <dgm:presLayoutVars>
          <dgm:bulletEnabled val="1"/>
        </dgm:presLayoutVars>
      </dgm:prSet>
      <dgm:spPr/>
    </dgm:pt>
    <dgm:pt modelId="{58F194EB-19DE-754D-AA17-0BB0972449DB}" type="pres">
      <dgm:prSet presAssocID="{1A643C74-6850-CF4F-A011-18B035E7910A}" presName="spacing" presStyleCnt="0"/>
      <dgm:spPr/>
    </dgm:pt>
    <dgm:pt modelId="{E43F8B70-C0DA-AD46-8620-A90C8CBAA946}" type="pres">
      <dgm:prSet presAssocID="{B2FE0A9C-94A4-B044-9576-9CAD3635F81C}" presName="linNode" presStyleCnt="0"/>
      <dgm:spPr/>
    </dgm:pt>
    <dgm:pt modelId="{CA746F50-F851-8843-9572-6042031D7552}" type="pres">
      <dgm:prSet presAssocID="{B2FE0A9C-94A4-B044-9576-9CAD3635F81C}" presName="parentShp" presStyleLbl="node1" presStyleIdx="1" presStyleCnt="5">
        <dgm:presLayoutVars>
          <dgm:bulletEnabled val="1"/>
        </dgm:presLayoutVars>
      </dgm:prSet>
      <dgm:spPr/>
    </dgm:pt>
    <dgm:pt modelId="{F45A365E-7A88-704F-8736-6CF1015D4D50}" type="pres">
      <dgm:prSet presAssocID="{B2FE0A9C-94A4-B044-9576-9CAD3635F81C}" presName="childShp" presStyleLbl="bgAccFollowNode1" presStyleIdx="1" presStyleCnt="5">
        <dgm:presLayoutVars>
          <dgm:bulletEnabled val="1"/>
        </dgm:presLayoutVars>
      </dgm:prSet>
      <dgm:spPr/>
    </dgm:pt>
    <dgm:pt modelId="{7EC42A2D-78B3-BC47-985B-45ABC621B5BD}" type="pres">
      <dgm:prSet presAssocID="{82DC680F-4E67-0044-B442-55DA0ACE95A2}" presName="spacing" presStyleCnt="0"/>
      <dgm:spPr/>
    </dgm:pt>
    <dgm:pt modelId="{E1487CF2-CD4E-B645-A2E7-9427A253F138}" type="pres">
      <dgm:prSet presAssocID="{05BE571A-79C6-C44E-96E1-3542C7250ECE}" presName="linNode" presStyleCnt="0"/>
      <dgm:spPr/>
    </dgm:pt>
    <dgm:pt modelId="{4E06B65F-C71E-5644-BBEF-259399ED6E55}" type="pres">
      <dgm:prSet presAssocID="{05BE571A-79C6-C44E-96E1-3542C7250ECE}" presName="parentShp" presStyleLbl="node1" presStyleIdx="2" presStyleCnt="5">
        <dgm:presLayoutVars>
          <dgm:bulletEnabled val="1"/>
        </dgm:presLayoutVars>
      </dgm:prSet>
      <dgm:spPr/>
    </dgm:pt>
    <dgm:pt modelId="{233EEA19-244F-DE40-8391-A21CB5FB589A}" type="pres">
      <dgm:prSet presAssocID="{05BE571A-79C6-C44E-96E1-3542C7250ECE}" presName="childShp" presStyleLbl="bgAccFollowNode1" presStyleIdx="2" presStyleCnt="5">
        <dgm:presLayoutVars>
          <dgm:bulletEnabled val="1"/>
        </dgm:presLayoutVars>
      </dgm:prSet>
      <dgm:spPr/>
    </dgm:pt>
    <dgm:pt modelId="{08762721-5D0E-BC4D-964E-B69F2B490F2F}" type="pres">
      <dgm:prSet presAssocID="{AE12E252-67BB-9542-B727-03C818478095}" presName="spacing" presStyleCnt="0"/>
      <dgm:spPr/>
    </dgm:pt>
    <dgm:pt modelId="{880B07C5-783B-0F48-8FEA-1CCB6012E415}" type="pres">
      <dgm:prSet presAssocID="{A3A6E724-53D7-6F43-B6BB-68BEFB7FA396}" presName="linNode" presStyleCnt="0"/>
      <dgm:spPr/>
    </dgm:pt>
    <dgm:pt modelId="{FE2AD397-B2B9-DE44-BCCC-0777CDFEF136}" type="pres">
      <dgm:prSet presAssocID="{A3A6E724-53D7-6F43-B6BB-68BEFB7FA396}" presName="parentShp" presStyleLbl="node1" presStyleIdx="3" presStyleCnt="5">
        <dgm:presLayoutVars>
          <dgm:bulletEnabled val="1"/>
        </dgm:presLayoutVars>
      </dgm:prSet>
      <dgm:spPr/>
    </dgm:pt>
    <dgm:pt modelId="{37330595-D867-2E4D-9C42-3064C1D6FB8F}" type="pres">
      <dgm:prSet presAssocID="{A3A6E724-53D7-6F43-B6BB-68BEFB7FA396}" presName="childShp" presStyleLbl="bgAccFollowNode1" presStyleIdx="3" presStyleCnt="5">
        <dgm:presLayoutVars>
          <dgm:bulletEnabled val="1"/>
        </dgm:presLayoutVars>
      </dgm:prSet>
      <dgm:spPr/>
    </dgm:pt>
    <dgm:pt modelId="{E2540DC3-F969-E745-89C5-430AB316662D}" type="pres">
      <dgm:prSet presAssocID="{EAC5D521-5EF4-934D-B0FF-75B6F564E764}" presName="spacing" presStyleCnt="0"/>
      <dgm:spPr/>
    </dgm:pt>
    <dgm:pt modelId="{342AD28D-67B5-FE45-94EB-15E74034729E}" type="pres">
      <dgm:prSet presAssocID="{32794790-43BE-4D45-AD9D-F15BC57F5D6C}" presName="linNode" presStyleCnt="0"/>
      <dgm:spPr/>
    </dgm:pt>
    <dgm:pt modelId="{98674A2D-9B00-1444-B51A-64F396F9757D}" type="pres">
      <dgm:prSet presAssocID="{32794790-43BE-4D45-AD9D-F15BC57F5D6C}" presName="parentShp" presStyleLbl="node1" presStyleIdx="4" presStyleCnt="5">
        <dgm:presLayoutVars>
          <dgm:bulletEnabled val="1"/>
        </dgm:presLayoutVars>
      </dgm:prSet>
      <dgm:spPr/>
    </dgm:pt>
    <dgm:pt modelId="{3E5E8DAB-4C35-784E-95DB-4A347B7A4E5F}" type="pres">
      <dgm:prSet presAssocID="{32794790-43BE-4D45-AD9D-F15BC57F5D6C}" presName="childShp" presStyleLbl="bgAccFollowNode1" presStyleIdx="4" presStyleCnt="5">
        <dgm:presLayoutVars>
          <dgm:bulletEnabled val="1"/>
        </dgm:presLayoutVars>
      </dgm:prSet>
      <dgm:spPr/>
    </dgm:pt>
  </dgm:ptLst>
  <dgm:cxnLst>
    <dgm:cxn modelId="{7F08670C-9AEE-B146-88C0-454B13B88488}" srcId="{A3A6E724-53D7-6F43-B6BB-68BEFB7FA396}" destId="{4C9B60FA-E857-A048-9DF1-9E953FED36A1}" srcOrd="0" destOrd="0" parTransId="{3E016AA6-B0B0-AE4A-AAFC-0D72A007BE03}" sibTransId="{585429A9-0726-C549-A581-51DEE5B6FD7A}"/>
    <dgm:cxn modelId="{312CC722-CF93-EF43-8FE0-71EDD6070314}" type="presOf" srcId="{80DC72A5-366B-7B4C-9B1E-81836E0DF6A1}" destId="{F45A365E-7A88-704F-8736-6CF1015D4D50}" srcOrd="0" destOrd="1" presId="urn:microsoft.com/office/officeart/2005/8/layout/vList6"/>
    <dgm:cxn modelId="{8476FE2F-E471-DC47-BCCB-EECA08995F17}" type="presOf" srcId="{A3A6E724-53D7-6F43-B6BB-68BEFB7FA396}" destId="{FE2AD397-B2B9-DE44-BCCC-0777CDFEF136}" srcOrd="0" destOrd="0" presId="urn:microsoft.com/office/officeart/2005/8/layout/vList6"/>
    <dgm:cxn modelId="{FECCC432-D5F3-A949-A8C2-125BD97E5D31}" srcId="{B2FE0A9C-94A4-B044-9576-9CAD3635F81C}" destId="{80DC72A5-366B-7B4C-9B1E-81836E0DF6A1}" srcOrd="1" destOrd="0" parTransId="{C3DB2BC4-DC33-4A4F-8363-79734A345C56}" sibTransId="{BF66E3C0-9FA0-6B41-A4C9-DC7897F497CB}"/>
    <dgm:cxn modelId="{D1B96B34-D01D-1749-84D6-E24E71BE96DE}" srcId="{2B811467-CE9A-434A-BCE9-E4DDD8FFFFAE}" destId="{B2FE0A9C-94A4-B044-9576-9CAD3635F81C}" srcOrd="1" destOrd="0" parTransId="{A0E56648-2397-C441-BA7A-96DBA5CA1CDD}" sibTransId="{82DC680F-4E67-0044-B442-55DA0ACE95A2}"/>
    <dgm:cxn modelId="{96101237-E276-5540-8F4F-E67389B05304}" srcId="{B2FE0A9C-94A4-B044-9576-9CAD3635F81C}" destId="{1F5F9ACA-DA71-B540-A082-8F522D108502}" srcOrd="0" destOrd="0" parTransId="{ECD62E27-44F8-A543-A9FF-923A9479CBF9}" sibTransId="{9774F083-2683-7A46-BEF9-92A636A013D0}"/>
    <dgm:cxn modelId="{89BB0638-8B6E-B44E-9269-87ED9881B200}" srcId="{2B811467-CE9A-434A-BCE9-E4DDD8FFFFAE}" destId="{32794790-43BE-4D45-AD9D-F15BC57F5D6C}" srcOrd="4" destOrd="0" parTransId="{3EF22385-F1BB-6B47-B707-D5FFA8B5C46D}" sibTransId="{5F4C37E2-5926-5B4C-9231-DB71DB6FF133}"/>
    <dgm:cxn modelId="{5240C250-37E7-1243-ABA6-6F94D07B411D}" type="presOf" srcId="{1F5F9ACA-DA71-B540-A082-8F522D108502}" destId="{F45A365E-7A88-704F-8736-6CF1015D4D50}" srcOrd="0" destOrd="0" presId="urn:microsoft.com/office/officeart/2005/8/layout/vList6"/>
    <dgm:cxn modelId="{EA419153-0975-2943-BE6A-4B9D91BAE1D9}" type="presOf" srcId="{45CF215B-BA28-E84A-84FF-9123A4490390}" destId="{233EEA19-244F-DE40-8391-A21CB5FB589A}" srcOrd="0" destOrd="0" presId="urn:microsoft.com/office/officeart/2005/8/layout/vList6"/>
    <dgm:cxn modelId="{403D605E-9CA1-D449-BECC-D1479999A49E}" type="presOf" srcId="{8A5F1487-46E6-F64D-BE31-73309BF6DCBE}" destId="{6372ABF8-8804-8843-A64F-A57496AB2ECF}" srcOrd="0" destOrd="0" presId="urn:microsoft.com/office/officeart/2005/8/layout/vList6"/>
    <dgm:cxn modelId="{0F8D1A62-D9A3-3F45-8BB2-6957B583EE13}" srcId="{05BE571A-79C6-C44E-96E1-3542C7250ECE}" destId="{6C69B420-6844-A249-B65E-60ECBBAC74FA}" srcOrd="1" destOrd="0" parTransId="{0AF98370-DD71-6C4B-A302-176B72CFE9E1}" sibTransId="{2E2ED3CC-DDEA-6044-8309-EB6C67293A22}"/>
    <dgm:cxn modelId="{02C9BD63-AA2A-5948-92D3-9579551CF338}" srcId="{2B811467-CE9A-434A-BCE9-E4DDD8FFFFAE}" destId="{05BE571A-79C6-C44E-96E1-3542C7250ECE}" srcOrd="2" destOrd="0" parTransId="{84775CBA-5B9A-B04E-AC81-13B8D43560AA}" sibTransId="{AE12E252-67BB-9542-B727-03C818478095}"/>
    <dgm:cxn modelId="{56D51972-BEDD-7947-99CE-9DA28307715F}" srcId="{05BE571A-79C6-C44E-96E1-3542C7250ECE}" destId="{45CF215B-BA28-E84A-84FF-9123A4490390}" srcOrd="0" destOrd="0" parTransId="{4E7FBC09-42C5-4D46-91EA-06602DF4598D}" sibTransId="{29972EB9-87B4-6947-8102-54E8C2AC2E74}"/>
    <dgm:cxn modelId="{E2E86672-1F98-FA4C-BE8D-CEA394526C24}" type="presOf" srcId="{32794790-43BE-4D45-AD9D-F15BC57F5D6C}" destId="{98674A2D-9B00-1444-B51A-64F396F9757D}" srcOrd="0" destOrd="0" presId="urn:microsoft.com/office/officeart/2005/8/layout/vList6"/>
    <dgm:cxn modelId="{C92F0D75-B9E6-AE4A-AACC-C2376617668E}" srcId="{2B811467-CE9A-434A-BCE9-E4DDD8FFFFAE}" destId="{6B6DD3E0-721C-444B-85E0-D77DBB62D322}" srcOrd="0" destOrd="0" parTransId="{CB52D81E-1E8B-B445-B474-69DCC4D57634}" sibTransId="{1A643C74-6850-CF4F-A011-18B035E7910A}"/>
    <dgm:cxn modelId="{359A9F8B-CB47-0344-9185-F83BE715690A}" srcId="{2B811467-CE9A-434A-BCE9-E4DDD8FFFFAE}" destId="{A3A6E724-53D7-6F43-B6BB-68BEFB7FA396}" srcOrd="3" destOrd="0" parTransId="{1AF4B6E3-649D-8745-8B49-E3ED3DA418C3}" sibTransId="{EAC5D521-5EF4-934D-B0FF-75B6F564E764}"/>
    <dgm:cxn modelId="{C3269D93-6ABB-B04F-8DCB-B02CA43AEABE}" type="presOf" srcId="{6B6DD3E0-721C-444B-85E0-D77DBB62D322}" destId="{678E4EC0-2931-8B46-8A23-7CF894D75EF8}" srcOrd="0" destOrd="0" presId="urn:microsoft.com/office/officeart/2005/8/layout/vList6"/>
    <dgm:cxn modelId="{951CB293-7FE3-FB41-9FC6-70A409D5CEE4}" type="presOf" srcId="{05BE571A-79C6-C44E-96E1-3542C7250ECE}" destId="{4E06B65F-C71E-5644-BBEF-259399ED6E55}" srcOrd="0" destOrd="0" presId="urn:microsoft.com/office/officeart/2005/8/layout/vList6"/>
    <dgm:cxn modelId="{45C5F999-E1AA-A841-BBD0-1E7BF2AA049E}" type="presOf" srcId="{6C69B420-6844-A249-B65E-60ECBBAC74FA}" destId="{233EEA19-244F-DE40-8391-A21CB5FB589A}" srcOrd="0" destOrd="1" presId="urn:microsoft.com/office/officeart/2005/8/layout/vList6"/>
    <dgm:cxn modelId="{458B3AA6-0E8F-6F47-9B4E-6C02B955B402}" type="presOf" srcId="{4C9B60FA-E857-A048-9DF1-9E953FED36A1}" destId="{37330595-D867-2E4D-9C42-3064C1D6FB8F}" srcOrd="0" destOrd="0" presId="urn:microsoft.com/office/officeart/2005/8/layout/vList6"/>
    <dgm:cxn modelId="{C114BEA8-F04D-DE44-853C-C11563416B7B}" type="presOf" srcId="{BF490984-F12C-9542-9206-527001D0051E}" destId="{3E5E8DAB-4C35-784E-95DB-4A347B7A4E5F}" srcOrd="0" destOrd="1" presId="urn:microsoft.com/office/officeart/2005/8/layout/vList6"/>
    <dgm:cxn modelId="{A0E322B5-98F2-F849-A297-F9EA4977B10B}" type="presOf" srcId="{2B964ABD-D992-1345-8913-DF7FF678F7AC}" destId="{37330595-D867-2E4D-9C42-3064C1D6FB8F}" srcOrd="0" destOrd="1" presId="urn:microsoft.com/office/officeart/2005/8/layout/vList6"/>
    <dgm:cxn modelId="{6654CCBD-25D4-7F40-B773-A757B4A4C3C3}" type="presOf" srcId="{63161B0D-AE9D-884F-AEFD-2FD0977C2139}" destId="{6372ABF8-8804-8843-A64F-A57496AB2ECF}" srcOrd="0" destOrd="1" presId="urn:microsoft.com/office/officeart/2005/8/layout/vList6"/>
    <dgm:cxn modelId="{141744C0-39F6-894C-9193-AC5A396AED50}" type="presOf" srcId="{4FFE9F3D-00EB-4F40-B011-B10826E1985F}" destId="{3E5E8DAB-4C35-784E-95DB-4A347B7A4E5F}" srcOrd="0" destOrd="0" presId="urn:microsoft.com/office/officeart/2005/8/layout/vList6"/>
    <dgm:cxn modelId="{41A577C6-4AA8-2C42-9A6E-0FEA6A54DEC5}" srcId="{A3A6E724-53D7-6F43-B6BB-68BEFB7FA396}" destId="{2B964ABD-D992-1345-8913-DF7FF678F7AC}" srcOrd="1" destOrd="0" parTransId="{D591D706-51FE-7F45-BB6B-543BD18EEB7F}" sibTransId="{8B40E8BD-0ACA-D741-8E8C-E399F253A264}"/>
    <dgm:cxn modelId="{58B956CA-3A9C-3C4E-9863-267C047D40BF}" srcId="{6B6DD3E0-721C-444B-85E0-D77DBB62D322}" destId="{8A5F1487-46E6-F64D-BE31-73309BF6DCBE}" srcOrd="0" destOrd="0" parTransId="{2F247A83-A7CD-8F4E-A727-B2CB3CE9B3F0}" sibTransId="{9B64B8A8-7257-4744-A60C-6A7D7E152F08}"/>
    <dgm:cxn modelId="{10283ACD-A11C-AB4C-A848-59A91E01B2C5}" type="presOf" srcId="{2B811467-CE9A-434A-BCE9-E4DDD8FFFFAE}" destId="{F27DA3E9-6367-2E46-B968-8557200CCA9F}" srcOrd="0" destOrd="0" presId="urn:microsoft.com/office/officeart/2005/8/layout/vList6"/>
    <dgm:cxn modelId="{56C144D6-2BBE-5D4F-9EC1-BE00F38BB10E}" srcId="{32794790-43BE-4D45-AD9D-F15BC57F5D6C}" destId="{BF490984-F12C-9542-9206-527001D0051E}" srcOrd="1" destOrd="0" parTransId="{1E282FEB-A10C-6D4E-B50C-72352E78CF39}" sibTransId="{3FDBE2F2-3C27-1248-ACB2-F7CCB0567732}"/>
    <dgm:cxn modelId="{2A8FB5E2-37A0-2548-9959-B716BCC7C76D}" srcId="{6B6DD3E0-721C-444B-85E0-D77DBB62D322}" destId="{63161B0D-AE9D-884F-AEFD-2FD0977C2139}" srcOrd="1" destOrd="0" parTransId="{CAF1EDB4-7C10-8F48-9F2E-C0947B67CBD5}" sibTransId="{50CD7706-7711-AD48-A9E8-043151218BEF}"/>
    <dgm:cxn modelId="{A7A8ACEA-BE9E-464C-A4F9-27B1C9D42859}" type="presOf" srcId="{B2FE0A9C-94A4-B044-9576-9CAD3635F81C}" destId="{CA746F50-F851-8843-9572-6042031D7552}" srcOrd="0" destOrd="0" presId="urn:microsoft.com/office/officeart/2005/8/layout/vList6"/>
    <dgm:cxn modelId="{B3F709F8-864A-254D-9951-D3E9DF4DBD03}" srcId="{32794790-43BE-4D45-AD9D-F15BC57F5D6C}" destId="{4FFE9F3D-00EB-4F40-B011-B10826E1985F}" srcOrd="0" destOrd="0" parTransId="{E3AFFD80-481E-0D4A-BF10-07A118A41B4C}" sibTransId="{B1CA5E17-CD5E-6D4E-ADFD-61FDB21BC122}"/>
    <dgm:cxn modelId="{625049CA-F4AB-2A46-A40B-A1C1024FF782}" type="presParOf" srcId="{F27DA3E9-6367-2E46-B968-8557200CCA9F}" destId="{A8725C41-146A-604E-AE9A-316D608C0A29}" srcOrd="0" destOrd="0" presId="urn:microsoft.com/office/officeart/2005/8/layout/vList6"/>
    <dgm:cxn modelId="{3DB572EB-6C25-5645-97EF-19AF9B3333B4}" type="presParOf" srcId="{A8725C41-146A-604E-AE9A-316D608C0A29}" destId="{678E4EC0-2931-8B46-8A23-7CF894D75EF8}" srcOrd="0" destOrd="0" presId="urn:microsoft.com/office/officeart/2005/8/layout/vList6"/>
    <dgm:cxn modelId="{1AEDA7FA-6E40-EA42-976A-F8B9B498A2CC}" type="presParOf" srcId="{A8725C41-146A-604E-AE9A-316D608C0A29}" destId="{6372ABF8-8804-8843-A64F-A57496AB2ECF}" srcOrd="1" destOrd="0" presId="urn:microsoft.com/office/officeart/2005/8/layout/vList6"/>
    <dgm:cxn modelId="{3FD726BD-3310-854B-A13D-5463BE54E9B2}" type="presParOf" srcId="{F27DA3E9-6367-2E46-B968-8557200CCA9F}" destId="{58F194EB-19DE-754D-AA17-0BB0972449DB}" srcOrd="1" destOrd="0" presId="urn:microsoft.com/office/officeart/2005/8/layout/vList6"/>
    <dgm:cxn modelId="{835D1ADE-137E-0D40-9DD9-EEC3654A6613}" type="presParOf" srcId="{F27DA3E9-6367-2E46-B968-8557200CCA9F}" destId="{E43F8B70-C0DA-AD46-8620-A90C8CBAA946}" srcOrd="2" destOrd="0" presId="urn:microsoft.com/office/officeart/2005/8/layout/vList6"/>
    <dgm:cxn modelId="{FC40353B-6974-3049-B481-4BB04E47193E}" type="presParOf" srcId="{E43F8B70-C0DA-AD46-8620-A90C8CBAA946}" destId="{CA746F50-F851-8843-9572-6042031D7552}" srcOrd="0" destOrd="0" presId="urn:microsoft.com/office/officeart/2005/8/layout/vList6"/>
    <dgm:cxn modelId="{E92759DD-777F-8C44-AB28-A221F0AA6220}" type="presParOf" srcId="{E43F8B70-C0DA-AD46-8620-A90C8CBAA946}" destId="{F45A365E-7A88-704F-8736-6CF1015D4D50}" srcOrd="1" destOrd="0" presId="urn:microsoft.com/office/officeart/2005/8/layout/vList6"/>
    <dgm:cxn modelId="{61991C98-17EC-B342-8941-AD4A6CB8F5C4}" type="presParOf" srcId="{F27DA3E9-6367-2E46-B968-8557200CCA9F}" destId="{7EC42A2D-78B3-BC47-985B-45ABC621B5BD}" srcOrd="3" destOrd="0" presId="urn:microsoft.com/office/officeart/2005/8/layout/vList6"/>
    <dgm:cxn modelId="{5F7CF5AE-0296-2F45-88E0-3CC053B057CC}" type="presParOf" srcId="{F27DA3E9-6367-2E46-B968-8557200CCA9F}" destId="{E1487CF2-CD4E-B645-A2E7-9427A253F138}" srcOrd="4" destOrd="0" presId="urn:microsoft.com/office/officeart/2005/8/layout/vList6"/>
    <dgm:cxn modelId="{35820B5E-C3AD-464B-9DA7-6A66A03DCCAF}" type="presParOf" srcId="{E1487CF2-CD4E-B645-A2E7-9427A253F138}" destId="{4E06B65F-C71E-5644-BBEF-259399ED6E55}" srcOrd="0" destOrd="0" presId="urn:microsoft.com/office/officeart/2005/8/layout/vList6"/>
    <dgm:cxn modelId="{D0B20419-5C55-6340-89AE-556635D17D44}" type="presParOf" srcId="{E1487CF2-CD4E-B645-A2E7-9427A253F138}" destId="{233EEA19-244F-DE40-8391-A21CB5FB589A}" srcOrd="1" destOrd="0" presId="urn:microsoft.com/office/officeart/2005/8/layout/vList6"/>
    <dgm:cxn modelId="{DEE9C8B4-99E4-7F47-8B1C-F3B2E27419C8}" type="presParOf" srcId="{F27DA3E9-6367-2E46-B968-8557200CCA9F}" destId="{08762721-5D0E-BC4D-964E-B69F2B490F2F}" srcOrd="5" destOrd="0" presId="urn:microsoft.com/office/officeart/2005/8/layout/vList6"/>
    <dgm:cxn modelId="{77C5AAB8-E5AD-B249-8B1F-C687568541E3}" type="presParOf" srcId="{F27DA3E9-6367-2E46-B968-8557200CCA9F}" destId="{880B07C5-783B-0F48-8FEA-1CCB6012E415}" srcOrd="6" destOrd="0" presId="urn:microsoft.com/office/officeart/2005/8/layout/vList6"/>
    <dgm:cxn modelId="{1B7E931E-4FA0-CC4B-AC5E-4657B9272F69}" type="presParOf" srcId="{880B07C5-783B-0F48-8FEA-1CCB6012E415}" destId="{FE2AD397-B2B9-DE44-BCCC-0777CDFEF136}" srcOrd="0" destOrd="0" presId="urn:microsoft.com/office/officeart/2005/8/layout/vList6"/>
    <dgm:cxn modelId="{A57DFBAE-4076-6443-9E74-827719B938E2}" type="presParOf" srcId="{880B07C5-783B-0F48-8FEA-1CCB6012E415}" destId="{37330595-D867-2E4D-9C42-3064C1D6FB8F}" srcOrd="1" destOrd="0" presId="urn:microsoft.com/office/officeart/2005/8/layout/vList6"/>
    <dgm:cxn modelId="{F8C3EC52-B6DB-6946-AF5C-04028B6357AE}" type="presParOf" srcId="{F27DA3E9-6367-2E46-B968-8557200CCA9F}" destId="{E2540DC3-F969-E745-89C5-430AB316662D}" srcOrd="7" destOrd="0" presId="urn:microsoft.com/office/officeart/2005/8/layout/vList6"/>
    <dgm:cxn modelId="{B0D23BFA-EB57-254D-B6CF-EFA139FFF6FA}" type="presParOf" srcId="{F27DA3E9-6367-2E46-B968-8557200CCA9F}" destId="{342AD28D-67B5-FE45-94EB-15E74034729E}" srcOrd="8" destOrd="0" presId="urn:microsoft.com/office/officeart/2005/8/layout/vList6"/>
    <dgm:cxn modelId="{43E22851-C202-EA46-B115-BB738826B770}" type="presParOf" srcId="{342AD28D-67B5-FE45-94EB-15E74034729E}" destId="{98674A2D-9B00-1444-B51A-64F396F9757D}" srcOrd="0" destOrd="0" presId="urn:microsoft.com/office/officeart/2005/8/layout/vList6"/>
    <dgm:cxn modelId="{CD0ED1F5-E944-8E4A-86DE-1A56837ECAFC}" type="presParOf" srcId="{342AD28D-67B5-FE45-94EB-15E74034729E}" destId="{3E5E8DAB-4C35-784E-95DB-4A347B7A4E5F}" srcOrd="1" destOrd="0" presId="urn:microsoft.com/office/officeart/2005/8/layout/vList6"/>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BA8039A1-9209-F344-A6DA-E98227016C6E}" type="doc">
      <dgm:prSet loTypeId="urn:microsoft.com/office/officeart/2005/8/layout/hierarchy1" loCatId="" qsTypeId="urn:microsoft.com/office/officeart/2005/8/quickstyle/simple5" qsCatId="simple" csTypeId="urn:microsoft.com/office/officeart/2005/8/colors/accent6_5" csCatId="accent6" phldr="1"/>
      <dgm:spPr/>
      <dgm:t>
        <a:bodyPr/>
        <a:lstStyle/>
        <a:p>
          <a:endParaRPr lang="en-US"/>
        </a:p>
      </dgm:t>
    </dgm:pt>
    <dgm:pt modelId="{C1B52CFC-8B4F-DA42-A5AF-154ED3AEA35F}">
      <dgm:prSet phldrT="[Text]" custT="1"/>
      <dgm:spPr/>
      <dgm:t>
        <a:bodyPr/>
        <a:lstStyle/>
        <a:p>
          <a:r>
            <a:rPr lang="en-US" sz="600">
              <a:latin typeface="Times New Roman" panose="02020603050405020304" pitchFamily="18" charset="0"/>
              <a:cs typeface="Times New Roman" panose="02020603050405020304" pitchFamily="18" charset="0"/>
            </a:rPr>
            <a:t>Direction Général</a:t>
          </a:r>
        </a:p>
      </dgm:t>
    </dgm:pt>
    <dgm:pt modelId="{473BFF53-F669-C141-A35A-A48430E3FCA3}" type="parTrans" cxnId="{4F5E2ECD-E9DC-1449-9C14-66B509DF8BBB}">
      <dgm:prSet/>
      <dgm:spPr/>
      <dgm:t>
        <a:bodyPr/>
        <a:lstStyle/>
        <a:p>
          <a:endParaRPr lang="en-US" sz="600">
            <a:latin typeface="Times New Roman" panose="02020603050405020304" pitchFamily="18" charset="0"/>
            <a:cs typeface="Times New Roman" panose="02020603050405020304" pitchFamily="18" charset="0"/>
          </a:endParaRPr>
        </a:p>
      </dgm:t>
    </dgm:pt>
    <dgm:pt modelId="{45B59A83-F38F-FF42-9454-5E0139605905}" type="sibTrans" cxnId="{4F5E2ECD-E9DC-1449-9C14-66B509DF8BBB}">
      <dgm:prSet/>
      <dgm:spPr/>
      <dgm:t>
        <a:bodyPr/>
        <a:lstStyle/>
        <a:p>
          <a:endParaRPr lang="en-US" sz="600">
            <a:latin typeface="Times New Roman" panose="02020603050405020304" pitchFamily="18" charset="0"/>
            <a:cs typeface="Times New Roman" panose="02020603050405020304" pitchFamily="18" charset="0"/>
          </a:endParaRPr>
        </a:p>
      </dgm:t>
    </dgm:pt>
    <dgm:pt modelId="{C42D81B0-5587-5E49-BF06-9BCA097E96F8}">
      <dgm:prSet phldrT="[Text]" custT="1"/>
      <dgm:spPr/>
      <dgm:t>
        <a:bodyPr/>
        <a:lstStyle/>
        <a:p>
          <a:r>
            <a:rPr lang="en-US" sz="600">
              <a:latin typeface="Times New Roman" panose="02020603050405020304" pitchFamily="18" charset="0"/>
              <a:cs typeface="Times New Roman" panose="02020603050405020304" pitchFamily="18" charset="0"/>
            </a:rPr>
            <a:t>Département
Comptabilité et
Finance</a:t>
          </a:r>
        </a:p>
      </dgm:t>
    </dgm:pt>
    <dgm:pt modelId="{4421868B-84C3-024F-85EA-741E22ACB13C}" type="parTrans" cxnId="{A6EB6676-2BBA-3041-B318-DBF63F0277A1}">
      <dgm:prSet/>
      <dgm:spPr>
        <a:solidFill>
          <a:srgbClr val="D8DCD1"/>
        </a:solidFill>
      </dgm:spPr>
      <dgm:t>
        <a:bodyPr/>
        <a:lstStyle/>
        <a:p>
          <a:endParaRPr lang="en-US" sz="600">
            <a:latin typeface="Times New Roman" panose="02020603050405020304" pitchFamily="18" charset="0"/>
            <a:cs typeface="Times New Roman" panose="02020603050405020304" pitchFamily="18" charset="0"/>
          </a:endParaRPr>
        </a:p>
      </dgm:t>
    </dgm:pt>
    <dgm:pt modelId="{E3DFB243-F2CE-3E4B-B457-3BC2C7F42812}" type="sibTrans" cxnId="{A6EB6676-2BBA-3041-B318-DBF63F0277A1}">
      <dgm:prSet/>
      <dgm:spPr/>
      <dgm:t>
        <a:bodyPr/>
        <a:lstStyle/>
        <a:p>
          <a:endParaRPr lang="en-US" sz="600">
            <a:latin typeface="Times New Roman" panose="02020603050405020304" pitchFamily="18" charset="0"/>
            <a:cs typeface="Times New Roman" panose="02020603050405020304" pitchFamily="18" charset="0"/>
          </a:endParaRPr>
        </a:p>
      </dgm:t>
    </dgm:pt>
    <dgm:pt modelId="{1EA618E5-CA9A-4D4D-986C-B0E12FF53CD6}">
      <dgm:prSet phldrT="[Text]" custT="1"/>
      <dgm:spPr/>
      <dgm:t>
        <a:bodyPr/>
        <a:lstStyle/>
        <a:p>
          <a:r>
            <a:rPr lang="en-US" sz="600">
              <a:latin typeface="Times New Roman" panose="02020603050405020304" pitchFamily="18" charset="0"/>
              <a:cs typeface="Times New Roman" panose="02020603050405020304" pitchFamily="18" charset="0"/>
            </a:rPr>
            <a:t>Direction Exploitation</a:t>
          </a:r>
        </a:p>
      </dgm:t>
    </dgm:pt>
    <dgm:pt modelId="{0613A19A-D057-2047-86A5-A37BDE817014}" type="parTrans" cxnId="{C9278761-B4EF-5748-B07C-DE3A658D2673}">
      <dgm:prSet/>
      <dgm:spPr/>
      <dgm:t>
        <a:bodyPr/>
        <a:lstStyle/>
        <a:p>
          <a:endParaRPr lang="en-US" sz="600">
            <a:latin typeface="Times New Roman" panose="02020603050405020304" pitchFamily="18" charset="0"/>
            <a:cs typeface="Times New Roman" panose="02020603050405020304" pitchFamily="18" charset="0"/>
          </a:endParaRPr>
        </a:p>
      </dgm:t>
    </dgm:pt>
    <dgm:pt modelId="{11BC6130-88F9-824A-B932-FDB3F05998AA}" type="sibTrans" cxnId="{C9278761-B4EF-5748-B07C-DE3A658D2673}">
      <dgm:prSet/>
      <dgm:spPr/>
      <dgm:t>
        <a:bodyPr/>
        <a:lstStyle/>
        <a:p>
          <a:endParaRPr lang="en-US" sz="600">
            <a:latin typeface="Times New Roman" panose="02020603050405020304" pitchFamily="18" charset="0"/>
            <a:cs typeface="Times New Roman" panose="02020603050405020304" pitchFamily="18" charset="0"/>
          </a:endParaRPr>
        </a:p>
      </dgm:t>
    </dgm:pt>
    <dgm:pt modelId="{3EA94777-8AC9-094F-A5A2-8C255527C547}">
      <dgm:prSet phldrT="[Text]" custT="1"/>
      <dgm:spPr/>
      <dgm:t>
        <a:bodyPr/>
        <a:lstStyle/>
        <a:p>
          <a:r>
            <a:rPr lang="en-US" sz="600">
              <a:latin typeface="Times New Roman" panose="02020603050405020304" pitchFamily="18" charset="0"/>
              <a:cs typeface="Times New Roman" panose="02020603050405020304" pitchFamily="18" charset="0"/>
            </a:rPr>
            <a:t>Département
d'Atelier</a:t>
          </a:r>
        </a:p>
      </dgm:t>
    </dgm:pt>
    <dgm:pt modelId="{A41227CF-156E-B14D-9F36-A8402F3C1DB5}" type="parTrans" cxnId="{75C66CF0-2C86-EC4F-A4AC-843571F796CE}">
      <dgm:prSet/>
      <dgm:spPr>
        <a:solidFill>
          <a:srgbClr val="D8DCD1"/>
        </a:solidFill>
      </dgm:spPr>
      <dgm:t>
        <a:bodyPr/>
        <a:lstStyle/>
        <a:p>
          <a:endParaRPr lang="en-US" sz="600">
            <a:latin typeface="Times New Roman" panose="02020603050405020304" pitchFamily="18" charset="0"/>
            <a:cs typeface="Times New Roman" panose="02020603050405020304" pitchFamily="18" charset="0"/>
          </a:endParaRPr>
        </a:p>
      </dgm:t>
    </dgm:pt>
    <dgm:pt modelId="{308448AD-1B8E-1648-BCA6-8F0D14272561}" type="sibTrans" cxnId="{75C66CF0-2C86-EC4F-A4AC-843571F796CE}">
      <dgm:prSet/>
      <dgm:spPr/>
      <dgm:t>
        <a:bodyPr/>
        <a:lstStyle/>
        <a:p>
          <a:endParaRPr lang="en-US" sz="600">
            <a:latin typeface="Times New Roman" panose="02020603050405020304" pitchFamily="18" charset="0"/>
            <a:cs typeface="Times New Roman" panose="02020603050405020304" pitchFamily="18" charset="0"/>
          </a:endParaRPr>
        </a:p>
      </dgm:t>
    </dgm:pt>
    <dgm:pt modelId="{77DBF5AD-FC40-4A4F-8DE9-7D68A5F0C2D6}">
      <dgm:prSet custT="1"/>
      <dgm:spPr/>
      <dgm:t>
        <a:bodyPr/>
        <a:lstStyle/>
        <a:p>
          <a:r>
            <a:rPr lang="en-US" sz="600">
              <a:latin typeface="Times New Roman" panose="02020603050405020304" pitchFamily="18" charset="0"/>
              <a:cs typeface="Times New Roman" panose="02020603050405020304" pitchFamily="18" charset="0"/>
            </a:rPr>
            <a:t> Département Ressources Humaines</a:t>
          </a:r>
        </a:p>
      </dgm:t>
    </dgm:pt>
    <dgm:pt modelId="{1847FE77-5651-AB49-90A7-1225851EC686}" type="parTrans" cxnId="{DF35AA1F-9891-3347-93F0-84BC6FC44EE9}">
      <dgm:prSet/>
      <dgm:spPr>
        <a:solidFill>
          <a:srgbClr val="D8DCD1"/>
        </a:solidFill>
      </dgm:spPr>
      <dgm:t>
        <a:bodyPr/>
        <a:lstStyle/>
        <a:p>
          <a:endParaRPr lang="en-US" sz="600">
            <a:latin typeface="Times New Roman" panose="02020603050405020304" pitchFamily="18" charset="0"/>
            <a:cs typeface="Times New Roman" panose="02020603050405020304" pitchFamily="18" charset="0"/>
          </a:endParaRPr>
        </a:p>
      </dgm:t>
    </dgm:pt>
    <dgm:pt modelId="{475905DE-C56F-CD44-92CF-BB86FB9D1235}" type="sibTrans" cxnId="{DF35AA1F-9891-3347-93F0-84BC6FC44EE9}">
      <dgm:prSet/>
      <dgm:spPr/>
      <dgm:t>
        <a:bodyPr/>
        <a:lstStyle/>
        <a:p>
          <a:endParaRPr lang="en-US" sz="600">
            <a:latin typeface="Times New Roman" panose="02020603050405020304" pitchFamily="18" charset="0"/>
            <a:cs typeface="Times New Roman" panose="02020603050405020304" pitchFamily="18" charset="0"/>
          </a:endParaRPr>
        </a:p>
      </dgm:t>
    </dgm:pt>
    <dgm:pt modelId="{35394140-2402-1C4C-AF42-B6E1436D5612}">
      <dgm:prSet custT="1"/>
      <dgm:spPr/>
      <dgm:t>
        <a:bodyPr/>
        <a:lstStyle/>
        <a:p>
          <a:r>
            <a:rPr lang="en-US" sz="600">
              <a:latin typeface="Times New Roman" panose="02020603050405020304" pitchFamily="18" charset="0"/>
              <a:cs typeface="Times New Roman" panose="02020603050405020304" pitchFamily="18" charset="0"/>
            </a:rPr>
            <a:t>Département Gestion des Stocks et Appro</a:t>
          </a:r>
        </a:p>
      </dgm:t>
    </dgm:pt>
    <dgm:pt modelId="{FB216362-EE4A-CD45-B969-E1E8FA5E14B2}" type="parTrans" cxnId="{DE84BB95-D54F-2D4A-824B-90B044565723}">
      <dgm:prSet/>
      <dgm:spPr/>
      <dgm:t>
        <a:bodyPr/>
        <a:lstStyle/>
        <a:p>
          <a:endParaRPr lang="en-US" sz="600">
            <a:latin typeface="Times New Roman" panose="02020603050405020304" pitchFamily="18" charset="0"/>
            <a:cs typeface="Times New Roman" panose="02020603050405020304" pitchFamily="18" charset="0"/>
          </a:endParaRPr>
        </a:p>
      </dgm:t>
    </dgm:pt>
    <dgm:pt modelId="{D7026AE3-7D2B-FA41-BB22-7CF5C842894C}" type="sibTrans" cxnId="{DE84BB95-D54F-2D4A-824B-90B044565723}">
      <dgm:prSet/>
      <dgm:spPr/>
      <dgm:t>
        <a:bodyPr/>
        <a:lstStyle/>
        <a:p>
          <a:endParaRPr lang="en-US" sz="600">
            <a:latin typeface="Times New Roman" panose="02020603050405020304" pitchFamily="18" charset="0"/>
            <a:cs typeface="Times New Roman" panose="02020603050405020304" pitchFamily="18" charset="0"/>
          </a:endParaRPr>
        </a:p>
      </dgm:t>
    </dgm:pt>
    <dgm:pt modelId="{D37F44CF-EA32-014B-A49B-18926F61D716}">
      <dgm:prSet custT="1"/>
      <dgm:spPr/>
      <dgm:t>
        <a:bodyPr/>
        <a:lstStyle/>
        <a:p>
          <a:r>
            <a:rPr lang="en-US" sz="600">
              <a:latin typeface="Times New Roman" panose="02020603050405020304" pitchFamily="18" charset="0"/>
              <a:cs typeface="Times New Roman" panose="02020603050405020304" pitchFamily="18" charset="0"/>
            </a:rPr>
            <a:t>Département
Logistique</a:t>
          </a:r>
        </a:p>
      </dgm:t>
    </dgm:pt>
    <dgm:pt modelId="{FC029AF9-5060-2E48-A48A-1FAF85F09BAB}" type="parTrans" cxnId="{B629D25E-7164-1240-9BA2-AAAF87DC48B2}">
      <dgm:prSet/>
      <dgm:spPr>
        <a:solidFill>
          <a:srgbClr val="D8DCD1"/>
        </a:solidFill>
      </dgm:spPr>
      <dgm:t>
        <a:bodyPr/>
        <a:lstStyle/>
        <a:p>
          <a:endParaRPr lang="en-US" sz="600">
            <a:latin typeface="Times New Roman" panose="02020603050405020304" pitchFamily="18" charset="0"/>
            <a:cs typeface="Times New Roman" panose="02020603050405020304" pitchFamily="18" charset="0"/>
          </a:endParaRPr>
        </a:p>
      </dgm:t>
    </dgm:pt>
    <dgm:pt modelId="{8B26414A-213E-9742-B44C-1B1CAEC15039}" type="sibTrans" cxnId="{B629D25E-7164-1240-9BA2-AAAF87DC48B2}">
      <dgm:prSet/>
      <dgm:spPr/>
      <dgm:t>
        <a:bodyPr/>
        <a:lstStyle/>
        <a:p>
          <a:endParaRPr lang="en-US" sz="600">
            <a:latin typeface="Times New Roman" panose="02020603050405020304" pitchFamily="18" charset="0"/>
            <a:cs typeface="Times New Roman" panose="02020603050405020304" pitchFamily="18" charset="0"/>
          </a:endParaRPr>
        </a:p>
      </dgm:t>
    </dgm:pt>
    <dgm:pt modelId="{623026C7-3799-2944-83D2-4539C4EB75DA}">
      <dgm:prSet custT="1"/>
      <dgm:spPr/>
      <dgm:t>
        <a:bodyPr/>
        <a:lstStyle/>
        <a:p>
          <a:r>
            <a:rPr lang="en-US" sz="600">
              <a:latin typeface="Times New Roman" panose="02020603050405020304" pitchFamily="18" charset="0"/>
              <a:cs typeface="Times New Roman" panose="02020603050405020304" pitchFamily="18" charset="0"/>
            </a:rPr>
            <a:t>Service
Maintenance</a:t>
          </a:r>
        </a:p>
      </dgm:t>
    </dgm:pt>
    <dgm:pt modelId="{4103EEAB-2EE8-7445-ABD2-464696346041}" type="parTrans" cxnId="{1D0B1D20-864C-DF4D-B8EC-952ADEB32FDC}">
      <dgm:prSet/>
      <dgm:spPr/>
      <dgm:t>
        <a:bodyPr/>
        <a:lstStyle/>
        <a:p>
          <a:endParaRPr lang="en-US" sz="600">
            <a:latin typeface="Times New Roman" panose="02020603050405020304" pitchFamily="18" charset="0"/>
            <a:cs typeface="Times New Roman" panose="02020603050405020304" pitchFamily="18" charset="0"/>
          </a:endParaRPr>
        </a:p>
      </dgm:t>
    </dgm:pt>
    <dgm:pt modelId="{9C854989-0D46-3D49-9F59-693889836CE6}" type="sibTrans" cxnId="{1D0B1D20-864C-DF4D-B8EC-952ADEB32FDC}">
      <dgm:prSet/>
      <dgm:spPr/>
      <dgm:t>
        <a:bodyPr/>
        <a:lstStyle/>
        <a:p>
          <a:endParaRPr lang="en-US" sz="600">
            <a:latin typeface="Times New Roman" panose="02020603050405020304" pitchFamily="18" charset="0"/>
            <a:cs typeface="Times New Roman" panose="02020603050405020304" pitchFamily="18" charset="0"/>
          </a:endParaRPr>
        </a:p>
      </dgm:t>
    </dgm:pt>
    <dgm:pt modelId="{4438C873-9A70-DD40-A875-3DA3A6411B88}">
      <dgm:prSet custT="1"/>
      <dgm:spPr/>
      <dgm:t>
        <a:bodyPr/>
        <a:lstStyle/>
        <a:p>
          <a:r>
            <a:rPr lang="en-US" sz="600">
              <a:latin typeface="Times New Roman" panose="02020603050405020304" pitchFamily="18" charset="0"/>
              <a:cs typeface="Times New Roman" panose="02020603050405020304" pitchFamily="18" charset="0"/>
            </a:rPr>
            <a:t>Service Téchnique</a:t>
          </a:r>
        </a:p>
      </dgm:t>
    </dgm:pt>
    <dgm:pt modelId="{DD26202E-6588-F747-A10B-81A2E262D5B1}" type="parTrans" cxnId="{3D32005A-A7A3-A540-B276-3781CB26C010}">
      <dgm:prSet/>
      <dgm:spPr/>
      <dgm:t>
        <a:bodyPr/>
        <a:lstStyle/>
        <a:p>
          <a:endParaRPr lang="en-US" sz="600">
            <a:latin typeface="Times New Roman" panose="02020603050405020304" pitchFamily="18" charset="0"/>
            <a:cs typeface="Times New Roman" panose="02020603050405020304" pitchFamily="18" charset="0"/>
          </a:endParaRPr>
        </a:p>
      </dgm:t>
    </dgm:pt>
    <dgm:pt modelId="{0B9D8CF7-7FFB-1C47-AAAD-45FBF0B38B59}" type="sibTrans" cxnId="{3D32005A-A7A3-A540-B276-3781CB26C010}">
      <dgm:prSet/>
      <dgm:spPr/>
      <dgm:t>
        <a:bodyPr/>
        <a:lstStyle/>
        <a:p>
          <a:endParaRPr lang="en-US" sz="600">
            <a:latin typeface="Times New Roman" panose="02020603050405020304" pitchFamily="18" charset="0"/>
            <a:cs typeface="Times New Roman" panose="02020603050405020304" pitchFamily="18" charset="0"/>
          </a:endParaRPr>
        </a:p>
      </dgm:t>
    </dgm:pt>
    <dgm:pt modelId="{E722E7DF-F41E-4F40-A1A5-8AAC1374ADAE}">
      <dgm:prSet custT="1"/>
      <dgm:spPr/>
      <dgm:t>
        <a:bodyPr/>
        <a:lstStyle/>
        <a:p>
          <a:r>
            <a:rPr lang="en-US" sz="600">
              <a:latin typeface="Times New Roman" panose="02020603050405020304" pitchFamily="18" charset="0"/>
              <a:cs typeface="Times New Roman" panose="02020603050405020304" pitchFamily="18" charset="0"/>
            </a:rPr>
            <a:t>Service Gestion
des Stocks</a:t>
          </a:r>
        </a:p>
      </dgm:t>
    </dgm:pt>
    <dgm:pt modelId="{7B35D57E-E8FE-3A47-B99D-2394366941AF}" type="parTrans" cxnId="{3A68ACB9-0624-E441-B5B0-8CF96D347629}">
      <dgm:prSet/>
      <dgm:spPr/>
      <dgm:t>
        <a:bodyPr/>
        <a:lstStyle/>
        <a:p>
          <a:endParaRPr lang="en-US" sz="600">
            <a:latin typeface="Times New Roman" panose="02020603050405020304" pitchFamily="18" charset="0"/>
            <a:cs typeface="Times New Roman" panose="02020603050405020304" pitchFamily="18" charset="0"/>
          </a:endParaRPr>
        </a:p>
      </dgm:t>
    </dgm:pt>
    <dgm:pt modelId="{72EA7887-2B6E-F94B-9A19-ACAB109066F5}" type="sibTrans" cxnId="{3A68ACB9-0624-E441-B5B0-8CF96D347629}">
      <dgm:prSet/>
      <dgm:spPr/>
      <dgm:t>
        <a:bodyPr/>
        <a:lstStyle/>
        <a:p>
          <a:endParaRPr lang="en-US" sz="600">
            <a:latin typeface="Times New Roman" panose="02020603050405020304" pitchFamily="18" charset="0"/>
            <a:cs typeface="Times New Roman" panose="02020603050405020304" pitchFamily="18" charset="0"/>
          </a:endParaRPr>
        </a:p>
      </dgm:t>
    </dgm:pt>
    <dgm:pt modelId="{11EC2B75-5B8A-DB43-99D8-99867C173981}">
      <dgm:prSet custT="1"/>
      <dgm:spPr/>
      <dgm:t>
        <a:bodyPr/>
        <a:lstStyle/>
        <a:p>
          <a:r>
            <a:rPr lang="en-US" sz="600">
              <a:latin typeface="Times New Roman" panose="02020603050405020304" pitchFamily="18" charset="0"/>
              <a:cs typeface="Times New Roman" panose="02020603050405020304" pitchFamily="18" charset="0"/>
            </a:rPr>
            <a:t>Service
Approvisionnement</a:t>
          </a:r>
        </a:p>
      </dgm:t>
    </dgm:pt>
    <dgm:pt modelId="{5FE92E43-FF88-2D46-AA30-21B159E8E851}" type="parTrans" cxnId="{D017F5CA-D7FA-4942-8BE3-1EFD08FC5C6C}">
      <dgm:prSet/>
      <dgm:spPr/>
      <dgm:t>
        <a:bodyPr/>
        <a:lstStyle/>
        <a:p>
          <a:endParaRPr lang="en-US" sz="600">
            <a:latin typeface="Times New Roman" panose="02020603050405020304" pitchFamily="18" charset="0"/>
            <a:cs typeface="Times New Roman" panose="02020603050405020304" pitchFamily="18" charset="0"/>
          </a:endParaRPr>
        </a:p>
      </dgm:t>
    </dgm:pt>
    <dgm:pt modelId="{FFE9E622-8B77-FA42-9C95-05CA16A9ACBD}" type="sibTrans" cxnId="{D017F5CA-D7FA-4942-8BE3-1EFD08FC5C6C}">
      <dgm:prSet/>
      <dgm:spPr/>
      <dgm:t>
        <a:bodyPr/>
        <a:lstStyle/>
        <a:p>
          <a:endParaRPr lang="en-US" sz="600">
            <a:latin typeface="Times New Roman" panose="02020603050405020304" pitchFamily="18" charset="0"/>
            <a:cs typeface="Times New Roman" panose="02020603050405020304" pitchFamily="18" charset="0"/>
          </a:endParaRPr>
        </a:p>
      </dgm:t>
    </dgm:pt>
    <dgm:pt modelId="{E86B12FC-90C9-F347-BBAB-D9A9FF9335B8}">
      <dgm:prSet custT="1"/>
      <dgm:spPr/>
      <dgm:t>
        <a:bodyPr/>
        <a:lstStyle/>
        <a:p>
          <a:r>
            <a:rPr lang="en-US" sz="600">
              <a:latin typeface="Times New Roman" panose="02020603050405020304" pitchFamily="18" charset="0"/>
              <a:cs typeface="Times New Roman" panose="02020603050405020304" pitchFamily="18" charset="0"/>
            </a:rPr>
            <a:t>Service Logistique</a:t>
          </a:r>
        </a:p>
      </dgm:t>
    </dgm:pt>
    <dgm:pt modelId="{E5CF812C-3DE9-ED45-AE09-24329BD8F6AD}" type="parTrans" cxnId="{AD12ED65-C3B5-A64D-AC86-C7F0DB697C87}">
      <dgm:prSet/>
      <dgm:spPr/>
      <dgm:t>
        <a:bodyPr/>
        <a:lstStyle/>
        <a:p>
          <a:endParaRPr lang="en-US" sz="600">
            <a:latin typeface="Times New Roman" panose="02020603050405020304" pitchFamily="18" charset="0"/>
            <a:cs typeface="Times New Roman" panose="02020603050405020304" pitchFamily="18" charset="0"/>
          </a:endParaRPr>
        </a:p>
      </dgm:t>
    </dgm:pt>
    <dgm:pt modelId="{8B4B6569-2D15-FB4E-8F96-A201F8D268CE}" type="sibTrans" cxnId="{AD12ED65-C3B5-A64D-AC86-C7F0DB697C87}">
      <dgm:prSet/>
      <dgm:spPr/>
      <dgm:t>
        <a:bodyPr/>
        <a:lstStyle/>
        <a:p>
          <a:endParaRPr lang="en-US" sz="600">
            <a:latin typeface="Times New Roman" panose="02020603050405020304" pitchFamily="18" charset="0"/>
            <a:cs typeface="Times New Roman" panose="02020603050405020304" pitchFamily="18" charset="0"/>
          </a:endParaRPr>
        </a:p>
      </dgm:t>
    </dgm:pt>
    <dgm:pt modelId="{E97A0948-9A3C-1C4F-AF9E-BD475BF5FCCF}">
      <dgm:prSet custT="1"/>
      <dgm:spPr/>
      <dgm:t>
        <a:bodyPr/>
        <a:lstStyle/>
        <a:p>
          <a:r>
            <a:rPr lang="en-US" sz="600">
              <a:latin typeface="Times New Roman" panose="02020603050405020304" pitchFamily="18" charset="0"/>
              <a:cs typeface="Times New Roman" panose="02020603050405020304" pitchFamily="18" charset="0"/>
            </a:rPr>
            <a:t>Service Commercial</a:t>
          </a:r>
        </a:p>
      </dgm:t>
    </dgm:pt>
    <dgm:pt modelId="{A8AE0673-98F5-D44F-8932-0D5152BE4E18}" type="parTrans" cxnId="{847B832F-A308-4D40-8A1B-DA797F9BBF86}">
      <dgm:prSet/>
      <dgm:spPr/>
      <dgm:t>
        <a:bodyPr/>
        <a:lstStyle/>
        <a:p>
          <a:endParaRPr lang="en-US" sz="600">
            <a:latin typeface="Times New Roman" panose="02020603050405020304" pitchFamily="18" charset="0"/>
            <a:cs typeface="Times New Roman" panose="02020603050405020304" pitchFamily="18" charset="0"/>
          </a:endParaRPr>
        </a:p>
      </dgm:t>
    </dgm:pt>
    <dgm:pt modelId="{978762CC-A9D0-FF40-B1F2-261901E566A0}" type="sibTrans" cxnId="{847B832F-A308-4D40-8A1B-DA797F9BBF86}">
      <dgm:prSet/>
      <dgm:spPr/>
      <dgm:t>
        <a:bodyPr/>
        <a:lstStyle/>
        <a:p>
          <a:endParaRPr lang="en-US" sz="600">
            <a:latin typeface="Times New Roman" panose="02020603050405020304" pitchFamily="18" charset="0"/>
            <a:cs typeface="Times New Roman" panose="02020603050405020304" pitchFamily="18" charset="0"/>
          </a:endParaRPr>
        </a:p>
      </dgm:t>
    </dgm:pt>
    <dgm:pt modelId="{1C760DFF-894D-2849-A0EF-2BD158E68219}">
      <dgm:prSet custT="1"/>
      <dgm:spPr/>
      <dgm:t>
        <a:bodyPr/>
        <a:lstStyle/>
        <a:p>
          <a:r>
            <a:rPr lang="en-US" sz="600">
              <a:latin typeface="Times New Roman" panose="02020603050405020304" pitchFamily="18" charset="0"/>
              <a:cs typeface="Times New Roman" panose="02020603050405020304" pitchFamily="18" charset="0"/>
            </a:rPr>
            <a:t>Atelier
Carrosserie</a:t>
          </a:r>
        </a:p>
      </dgm:t>
    </dgm:pt>
    <dgm:pt modelId="{3CCE7FD2-2CF8-A145-8A6C-F440D6F7625C}" type="parTrans" cxnId="{A15ED7F2-27E5-564A-B54A-F2536DD8E03B}">
      <dgm:prSet/>
      <dgm:spPr/>
      <dgm:t>
        <a:bodyPr/>
        <a:lstStyle/>
        <a:p>
          <a:endParaRPr lang="en-US" sz="600">
            <a:latin typeface="Times New Roman" panose="02020603050405020304" pitchFamily="18" charset="0"/>
            <a:cs typeface="Times New Roman" panose="02020603050405020304" pitchFamily="18" charset="0"/>
          </a:endParaRPr>
        </a:p>
      </dgm:t>
    </dgm:pt>
    <dgm:pt modelId="{9DBE1DD4-CFD5-3840-910A-C0B25A122DB0}" type="sibTrans" cxnId="{A15ED7F2-27E5-564A-B54A-F2536DD8E03B}">
      <dgm:prSet/>
      <dgm:spPr/>
      <dgm:t>
        <a:bodyPr/>
        <a:lstStyle/>
        <a:p>
          <a:endParaRPr lang="en-US" sz="600">
            <a:latin typeface="Times New Roman" panose="02020603050405020304" pitchFamily="18" charset="0"/>
            <a:cs typeface="Times New Roman" panose="02020603050405020304" pitchFamily="18" charset="0"/>
          </a:endParaRPr>
        </a:p>
      </dgm:t>
    </dgm:pt>
    <dgm:pt modelId="{20B7C614-1A40-2B48-B01C-AC932974B86C}">
      <dgm:prSet custT="1"/>
      <dgm:spPr/>
      <dgm:t>
        <a:bodyPr/>
        <a:lstStyle/>
        <a:p>
          <a:r>
            <a:rPr lang="en-US" sz="600">
              <a:latin typeface="Times New Roman" panose="02020603050405020304" pitchFamily="18" charset="0"/>
              <a:cs typeface="Times New Roman" panose="02020603050405020304" pitchFamily="18" charset="0"/>
            </a:rPr>
            <a:t>Atelier véhicule
leger
</a:t>
          </a:r>
        </a:p>
      </dgm:t>
    </dgm:pt>
    <dgm:pt modelId="{34913D95-EAF6-3542-AB8B-144C260CB27D}" type="parTrans" cxnId="{030D7D45-7396-664A-B0A8-4F260FF18C7B}">
      <dgm:prSet/>
      <dgm:spPr/>
      <dgm:t>
        <a:bodyPr/>
        <a:lstStyle/>
        <a:p>
          <a:endParaRPr lang="en-US" sz="600">
            <a:latin typeface="Times New Roman" panose="02020603050405020304" pitchFamily="18" charset="0"/>
            <a:cs typeface="Times New Roman" panose="02020603050405020304" pitchFamily="18" charset="0"/>
          </a:endParaRPr>
        </a:p>
      </dgm:t>
    </dgm:pt>
    <dgm:pt modelId="{7FBDF07F-060D-4948-9A9F-10DF5BB80F1E}" type="sibTrans" cxnId="{030D7D45-7396-664A-B0A8-4F260FF18C7B}">
      <dgm:prSet/>
      <dgm:spPr/>
      <dgm:t>
        <a:bodyPr/>
        <a:lstStyle/>
        <a:p>
          <a:endParaRPr lang="en-US" sz="600">
            <a:latin typeface="Times New Roman" panose="02020603050405020304" pitchFamily="18" charset="0"/>
            <a:cs typeface="Times New Roman" panose="02020603050405020304" pitchFamily="18" charset="0"/>
          </a:endParaRPr>
        </a:p>
      </dgm:t>
    </dgm:pt>
    <dgm:pt modelId="{F6422B26-8446-404D-A5E7-D088A0F31AF4}">
      <dgm:prSet custT="1"/>
      <dgm:spPr/>
      <dgm:t>
        <a:bodyPr/>
        <a:lstStyle/>
        <a:p>
          <a:r>
            <a:rPr lang="en-US" sz="600">
              <a:latin typeface="Times New Roman" panose="02020603050405020304" pitchFamily="18" charset="0"/>
              <a:cs typeface="Times New Roman" panose="02020603050405020304" pitchFamily="18" charset="0"/>
            </a:rPr>
            <a:t>Atelier véhicule
lourd</a:t>
          </a:r>
        </a:p>
      </dgm:t>
    </dgm:pt>
    <dgm:pt modelId="{0D40C929-9B7A-DE41-9133-7EBEFFFECA70}" type="parTrans" cxnId="{A8A11C80-A099-2C4B-BF16-DC4EC5F348D0}">
      <dgm:prSet/>
      <dgm:spPr/>
      <dgm:t>
        <a:bodyPr/>
        <a:lstStyle/>
        <a:p>
          <a:endParaRPr lang="en-US" sz="600">
            <a:latin typeface="Times New Roman" panose="02020603050405020304" pitchFamily="18" charset="0"/>
            <a:cs typeface="Times New Roman" panose="02020603050405020304" pitchFamily="18" charset="0"/>
          </a:endParaRPr>
        </a:p>
      </dgm:t>
    </dgm:pt>
    <dgm:pt modelId="{C7E88002-45FF-0B4B-B6AB-34C74202EE38}" type="sibTrans" cxnId="{A8A11C80-A099-2C4B-BF16-DC4EC5F348D0}">
      <dgm:prSet/>
      <dgm:spPr/>
      <dgm:t>
        <a:bodyPr/>
        <a:lstStyle/>
        <a:p>
          <a:endParaRPr lang="en-US" sz="600">
            <a:latin typeface="Times New Roman" panose="02020603050405020304" pitchFamily="18" charset="0"/>
            <a:cs typeface="Times New Roman" panose="02020603050405020304" pitchFamily="18" charset="0"/>
          </a:endParaRPr>
        </a:p>
      </dgm:t>
    </dgm:pt>
    <dgm:pt modelId="{E95E37E8-A24F-4A4F-A0B4-96AE62BB0B58}">
      <dgm:prSet custT="1"/>
      <dgm:spPr/>
      <dgm:t>
        <a:bodyPr/>
        <a:lstStyle/>
        <a:p>
          <a:r>
            <a:rPr lang="en-US" sz="600">
              <a:latin typeface="Times New Roman" panose="02020603050405020304" pitchFamily="18" charset="0"/>
              <a:cs typeface="Times New Roman" panose="02020603050405020304" pitchFamily="18" charset="0"/>
            </a:rPr>
            <a:t>Lavage</a:t>
          </a:r>
        </a:p>
      </dgm:t>
    </dgm:pt>
    <dgm:pt modelId="{7FCF514E-24CA-5B44-89E0-16D6FFE28EB4}" type="parTrans" cxnId="{8DCC80A4-928D-3A4C-ADB6-3EC3E5971947}">
      <dgm:prSet/>
      <dgm:spPr/>
      <dgm:t>
        <a:bodyPr/>
        <a:lstStyle/>
        <a:p>
          <a:endParaRPr lang="en-US" sz="600">
            <a:latin typeface="Times New Roman" panose="02020603050405020304" pitchFamily="18" charset="0"/>
            <a:cs typeface="Times New Roman" panose="02020603050405020304" pitchFamily="18" charset="0"/>
          </a:endParaRPr>
        </a:p>
      </dgm:t>
    </dgm:pt>
    <dgm:pt modelId="{DCCD37CB-ECF1-0443-995A-FDC59B22E2AC}" type="sibTrans" cxnId="{8DCC80A4-928D-3A4C-ADB6-3EC3E5971947}">
      <dgm:prSet/>
      <dgm:spPr/>
      <dgm:t>
        <a:bodyPr/>
        <a:lstStyle/>
        <a:p>
          <a:endParaRPr lang="en-US" sz="600">
            <a:latin typeface="Times New Roman" panose="02020603050405020304" pitchFamily="18" charset="0"/>
            <a:cs typeface="Times New Roman" panose="02020603050405020304" pitchFamily="18" charset="0"/>
          </a:endParaRPr>
        </a:p>
      </dgm:t>
    </dgm:pt>
    <dgm:pt modelId="{11118BC5-62E2-F54B-BF08-41533B1D21A7}">
      <dgm:prSet custT="1"/>
      <dgm:spPr/>
      <dgm:t>
        <a:bodyPr/>
        <a:lstStyle/>
        <a:p>
          <a:r>
            <a:rPr lang="en-US" sz="600">
              <a:latin typeface="Times New Roman" panose="02020603050405020304" pitchFamily="18" charset="0"/>
              <a:cs typeface="Times New Roman" panose="02020603050405020304" pitchFamily="18" charset="0"/>
            </a:rPr>
            <a:t>Chauffeurs</a:t>
          </a:r>
        </a:p>
      </dgm:t>
    </dgm:pt>
    <dgm:pt modelId="{596BF330-9C73-D446-B966-29608030DAE4}" type="parTrans" cxnId="{9672E620-0CB3-704C-B0A9-C81F7B904DF7}">
      <dgm:prSet/>
      <dgm:spPr/>
      <dgm:t>
        <a:bodyPr/>
        <a:lstStyle/>
        <a:p>
          <a:endParaRPr lang="en-US" sz="600">
            <a:latin typeface="Times New Roman" panose="02020603050405020304" pitchFamily="18" charset="0"/>
            <a:cs typeface="Times New Roman" panose="02020603050405020304" pitchFamily="18" charset="0"/>
          </a:endParaRPr>
        </a:p>
      </dgm:t>
    </dgm:pt>
    <dgm:pt modelId="{DD03BDCF-8EF0-4D4B-8EEA-DC7AA655FD0B}" type="sibTrans" cxnId="{9672E620-0CB3-704C-B0A9-C81F7B904DF7}">
      <dgm:prSet/>
      <dgm:spPr/>
      <dgm:t>
        <a:bodyPr/>
        <a:lstStyle/>
        <a:p>
          <a:endParaRPr lang="en-US" sz="600">
            <a:latin typeface="Times New Roman" panose="02020603050405020304" pitchFamily="18" charset="0"/>
            <a:cs typeface="Times New Roman" panose="02020603050405020304" pitchFamily="18" charset="0"/>
          </a:endParaRPr>
        </a:p>
      </dgm:t>
    </dgm:pt>
    <dgm:pt modelId="{1546B4DA-ACAD-7F49-9A48-11D02EDE509F}" type="pres">
      <dgm:prSet presAssocID="{BA8039A1-9209-F344-A6DA-E98227016C6E}" presName="hierChild1" presStyleCnt="0">
        <dgm:presLayoutVars>
          <dgm:chPref val="1"/>
          <dgm:dir/>
          <dgm:animOne val="branch"/>
          <dgm:animLvl val="lvl"/>
          <dgm:resizeHandles/>
        </dgm:presLayoutVars>
      </dgm:prSet>
      <dgm:spPr/>
    </dgm:pt>
    <dgm:pt modelId="{C5E6E28C-8A9A-6541-96CD-0E8B365598CF}" type="pres">
      <dgm:prSet presAssocID="{C1B52CFC-8B4F-DA42-A5AF-154ED3AEA35F}" presName="hierRoot1" presStyleCnt="0"/>
      <dgm:spPr/>
    </dgm:pt>
    <dgm:pt modelId="{2ACFEF09-781D-3C45-88F1-89AA9A57432B}" type="pres">
      <dgm:prSet presAssocID="{C1B52CFC-8B4F-DA42-A5AF-154ED3AEA35F}" presName="composite" presStyleCnt="0"/>
      <dgm:spPr/>
    </dgm:pt>
    <dgm:pt modelId="{6E63B474-304C-FA45-9419-5DD2D5964E86}" type="pres">
      <dgm:prSet presAssocID="{C1B52CFC-8B4F-DA42-A5AF-154ED3AEA35F}" presName="background" presStyleLbl="node0" presStyleIdx="0" presStyleCnt="1"/>
      <dgm:spPr>
        <a:solidFill>
          <a:srgbClr val="D4CEC2"/>
        </a:solidFill>
      </dgm:spPr>
    </dgm:pt>
    <dgm:pt modelId="{19962A0B-0651-A34B-A932-C22E73295210}" type="pres">
      <dgm:prSet presAssocID="{C1B52CFC-8B4F-DA42-A5AF-154ED3AEA35F}" presName="text" presStyleLbl="fgAcc0" presStyleIdx="0" presStyleCnt="1">
        <dgm:presLayoutVars>
          <dgm:chPref val="3"/>
        </dgm:presLayoutVars>
      </dgm:prSet>
      <dgm:spPr/>
    </dgm:pt>
    <dgm:pt modelId="{0EE1E323-8854-DC4F-A7ED-5644DE4497E8}" type="pres">
      <dgm:prSet presAssocID="{C1B52CFC-8B4F-DA42-A5AF-154ED3AEA35F}" presName="hierChild2" presStyleCnt="0"/>
      <dgm:spPr/>
    </dgm:pt>
    <dgm:pt modelId="{97CEDA74-6DEE-2546-A241-689E6956DF02}" type="pres">
      <dgm:prSet presAssocID="{4421868B-84C3-024F-85EA-741E22ACB13C}" presName="Name10" presStyleLbl="parChTrans1D2" presStyleIdx="0" presStyleCnt="3"/>
      <dgm:spPr/>
    </dgm:pt>
    <dgm:pt modelId="{4BF95575-BF33-6647-8442-CE6AE15F3191}" type="pres">
      <dgm:prSet presAssocID="{C42D81B0-5587-5E49-BF06-9BCA097E96F8}" presName="hierRoot2" presStyleCnt="0"/>
      <dgm:spPr/>
    </dgm:pt>
    <dgm:pt modelId="{C2848393-2FCD-C64E-B83C-FCCB2F562D0D}" type="pres">
      <dgm:prSet presAssocID="{C42D81B0-5587-5E49-BF06-9BCA097E96F8}" presName="composite2" presStyleCnt="0"/>
      <dgm:spPr/>
    </dgm:pt>
    <dgm:pt modelId="{009C2396-87F9-414D-A37E-1DC202367C73}" type="pres">
      <dgm:prSet presAssocID="{C42D81B0-5587-5E49-BF06-9BCA097E96F8}" presName="background2" presStyleLbl="node2" presStyleIdx="0" presStyleCnt="3"/>
      <dgm:spPr>
        <a:solidFill>
          <a:srgbClr val="D4CEC2"/>
        </a:solidFill>
      </dgm:spPr>
    </dgm:pt>
    <dgm:pt modelId="{648C9E8E-06AA-ED46-B405-474A118D0172}" type="pres">
      <dgm:prSet presAssocID="{C42D81B0-5587-5E49-BF06-9BCA097E96F8}" presName="text2" presStyleLbl="fgAcc2" presStyleIdx="0" presStyleCnt="3">
        <dgm:presLayoutVars>
          <dgm:chPref val="3"/>
        </dgm:presLayoutVars>
      </dgm:prSet>
      <dgm:spPr/>
    </dgm:pt>
    <dgm:pt modelId="{A731AE84-0434-EE45-9690-F6732A0C928F}" type="pres">
      <dgm:prSet presAssocID="{C42D81B0-5587-5E49-BF06-9BCA097E96F8}" presName="hierChild3" presStyleCnt="0"/>
      <dgm:spPr/>
    </dgm:pt>
    <dgm:pt modelId="{713E7F5F-1F96-D242-ABB0-18FEE730989F}" type="pres">
      <dgm:prSet presAssocID="{0613A19A-D057-2047-86A5-A37BDE817014}" presName="Name10" presStyleLbl="parChTrans1D2" presStyleIdx="1" presStyleCnt="3"/>
      <dgm:spPr/>
    </dgm:pt>
    <dgm:pt modelId="{6818CBB7-50E0-9C48-8634-194DDC50A000}" type="pres">
      <dgm:prSet presAssocID="{1EA618E5-CA9A-4D4D-986C-B0E12FF53CD6}" presName="hierRoot2" presStyleCnt="0"/>
      <dgm:spPr/>
    </dgm:pt>
    <dgm:pt modelId="{36B9E8D0-4FF0-7B4B-9BF5-9124962EEAEE}" type="pres">
      <dgm:prSet presAssocID="{1EA618E5-CA9A-4D4D-986C-B0E12FF53CD6}" presName="composite2" presStyleCnt="0"/>
      <dgm:spPr/>
    </dgm:pt>
    <dgm:pt modelId="{37A0EB28-9FC4-694A-8326-5A19F03522F4}" type="pres">
      <dgm:prSet presAssocID="{1EA618E5-CA9A-4D4D-986C-B0E12FF53CD6}" presName="background2" presStyleLbl="node2" presStyleIdx="1" presStyleCnt="3"/>
      <dgm:spPr>
        <a:solidFill>
          <a:srgbClr val="D4CEC2"/>
        </a:solidFill>
      </dgm:spPr>
    </dgm:pt>
    <dgm:pt modelId="{9FD28732-BA1A-0443-A579-FBECEF5D7BFD}" type="pres">
      <dgm:prSet presAssocID="{1EA618E5-CA9A-4D4D-986C-B0E12FF53CD6}" presName="text2" presStyleLbl="fgAcc2" presStyleIdx="1" presStyleCnt="3">
        <dgm:presLayoutVars>
          <dgm:chPref val="3"/>
        </dgm:presLayoutVars>
      </dgm:prSet>
      <dgm:spPr/>
    </dgm:pt>
    <dgm:pt modelId="{3817B379-1B2C-3D48-8E23-981BC0391231}" type="pres">
      <dgm:prSet presAssocID="{1EA618E5-CA9A-4D4D-986C-B0E12FF53CD6}" presName="hierChild3" presStyleCnt="0"/>
      <dgm:spPr/>
    </dgm:pt>
    <dgm:pt modelId="{91542018-33E5-CB42-AE78-E2CDAB8CA91B}" type="pres">
      <dgm:prSet presAssocID="{A41227CF-156E-B14D-9F36-A8402F3C1DB5}" presName="Name17" presStyleLbl="parChTrans1D3" presStyleIdx="0" presStyleCnt="3"/>
      <dgm:spPr/>
    </dgm:pt>
    <dgm:pt modelId="{C7229A71-C2BF-D242-B556-78E41F4F8CED}" type="pres">
      <dgm:prSet presAssocID="{3EA94777-8AC9-094F-A5A2-8C255527C547}" presName="hierRoot3" presStyleCnt="0"/>
      <dgm:spPr/>
    </dgm:pt>
    <dgm:pt modelId="{78AB1996-0B90-F24C-9C8D-6F3FBF73DA26}" type="pres">
      <dgm:prSet presAssocID="{3EA94777-8AC9-094F-A5A2-8C255527C547}" presName="composite3" presStyleCnt="0"/>
      <dgm:spPr/>
    </dgm:pt>
    <dgm:pt modelId="{E50D0D7C-BCE5-2A42-8D2C-338BE73EDC82}" type="pres">
      <dgm:prSet presAssocID="{3EA94777-8AC9-094F-A5A2-8C255527C547}" presName="background3" presStyleLbl="node3" presStyleIdx="0" presStyleCnt="3"/>
      <dgm:spPr>
        <a:solidFill>
          <a:srgbClr val="D4CEC2"/>
        </a:solidFill>
      </dgm:spPr>
    </dgm:pt>
    <dgm:pt modelId="{0DE070C8-C921-774B-A29A-68FEEA55E5F6}" type="pres">
      <dgm:prSet presAssocID="{3EA94777-8AC9-094F-A5A2-8C255527C547}" presName="text3" presStyleLbl="fgAcc3" presStyleIdx="0" presStyleCnt="3">
        <dgm:presLayoutVars>
          <dgm:chPref val="3"/>
        </dgm:presLayoutVars>
      </dgm:prSet>
      <dgm:spPr/>
    </dgm:pt>
    <dgm:pt modelId="{D794D0C8-8803-4245-8F19-7594CC8DDAA3}" type="pres">
      <dgm:prSet presAssocID="{3EA94777-8AC9-094F-A5A2-8C255527C547}" presName="hierChild4" presStyleCnt="0"/>
      <dgm:spPr/>
    </dgm:pt>
    <dgm:pt modelId="{3B0047CD-0550-3044-A141-5627137C3D47}" type="pres">
      <dgm:prSet presAssocID="{4103EEAB-2EE8-7445-ABD2-464696346041}" presName="Name23" presStyleLbl="parChTrans1D4" presStyleIdx="0" presStyleCnt="11"/>
      <dgm:spPr/>
    </dgm:pt>
    <dgm:pt modelId="{EE1C558C-B987-B242-BC8B-1428293AD931}" type="pres">
      <dgm:prSet presAssocID="{623026C7-3799-2944-83D2-4539C4EB75DA}" presName="hierRoot4" presStyleCnt="0"/>
      <dgm:spPr/>
    </dgm:pt>
    <dgm:pt modelId="{C98415F6-1D30-9A43-B01C-1C7273056C73}" type="pres">
      <dgm:prSet presAssocID="{623026C7-3799-2944-83D2-4539C4EB75DA}" presName="composite4" presStyleCnt="0"/>
      <dgm:spPr/>
    </dgm:pt>
    <dgm:pt modelId="{18383369-525F-F540-82A9-EC926502C435}" type="pres">
      <dgm:prSet presAssocID="{623026C7-3799-2944-83D2-4539C4EB75DA}" presName="background4" presStyleLbl="node4" presStyleIdx="0" presStyleCnt="11"/>
      <dgm:spPr>
        <a:solidFill>
          <a:srgbClr val="D4CEC2"/>
        </a:solidFill>
      </dgm:spPr>
    </dgm:pt>
    <dgm:pt modelId="{7CA764F3-4373-514A-94E7-01A4A37CE067}" type="pres">
      <dgm:prSet presAssocID="{623026C7-3799-2944-83D2-4539C4EB75DA}" presName="text4" presStyleLbl="fgAcc4" presStyleIdx="0" presStyleCnt="11">
        <dgm:presLayoutVars>
          <dgm:chPref val="3"/>
        </dgm:presLayoutVars>
      </dgm:prSet>
      <dgm:spPr/>
    </dgm:pt>
    <dgm:pt modelId="{D6A770E5-EE55-154C-843A-97E7F0D41C54}" type="pres">
      <dgm:prSet presAssocID="{623026C7-3799-2944-83D2-4539C4EB75DA}" presName="hierChild5" presStyleCnt="0"/>
      <dgm:spPr/>
    </dgm:pt>
    <dgm:pt modelId="{6045A4FC-A886-B54D-9D56-0F354C4637B9}" type="pres">
      <dgm:prSet presAssocID="{3CCE7FD2-2CF8-A145-8A6C-F440D6F7625C}" presName="Name23" presStyleLbl="parChTrans1D4" presStyleIdx="1" presStyleCnt="11"/>
      <dgm:spPr/>
    </dgm:pt>
    <dgm:pt modelId="{DB23B137-10CC-1840-A7A6-89F3B4563831}" type="pres">
      <dgm:prSet presAssocID="{1C760DFF-894D-2849-A0EF-2BD158E68219}" presName="hierRoot4" presStyleCnt="0"/>
      <dgm:spPr/>
    </dgm:pt>
    <dgm:pt modelId="{D247F651-3786-9F42-8F1D-D0DDD52D8F81}" type="pres">
      <dgm:prSet presAssocID="{1C760DFF-894D-2849-A0EF-2BD158E68219}" presName="composite4" presStyleCnt="0"/>
      <dgm:spPr/>
    </dgm:pt>
    <dgm:pt modelId="{DA95048B-D1BD-C440-93D7-1B901352BF61}" type="pres">
      <dgm:prSet presAssocID="{1C760DFF-894D-2849-A0EF-2BD158E68219}" presName="background4" presStyleLbl="node4" presStyleIdx="1" presStyleCnt="11"/>
      <dgm:spPr>
        <a:solidFill>
          <a:srgbClr val="D4CEC2"/>
        </a:solidFill>
      </dgm:spPr>
    </dgm:pt>
    <dgm:pt modelId="{65CDDE48-195E-EB49-9F40-C07ED62F8F60}" type="pres">
      <dgm:prSet presAssocID="{1C760DFF-894D-2849-A0EF-2BD158E68219}" presName="text4" presStyleLbl="fgAcc4" presStyleIdx="1" presStyleCnt="11">
        <dgm:presLayoutVars>
          <dgm:chPref val="3"/>
        </dgm:presLayoutVars>
      </dgm:prSet>
      <dgm:spPr/>
    </dgm:pt>
    <dgm:pt modelId="{7E14FB87-988A-7E4A-A7D8-808A10D21A6F}" type="pres">
      <dgm:prSet presAssocID="{1C760DFF-894D-2849-A0EF-2BD158E68219}" presName="hierChild5" presStyleCnt="0"/>
      <dgm:spPr/>
    </dgm:pt>
    <dgm:pt modelId="{D116C3A9-F809-3940-99DA-56CE3B12E810}" type="pres">
      <dgm:prSet presAssocID="{34913D95-EAF6-3542-AB8B-144C260CB27D}" presName="Name23" presStyleLbl="parChTrans1D4" presStyleIdx="2" presStyleCnt="11"/>
      <dgm:spPr/>
    </dgm:pt>
    <dgm:pt modelId="{A2CAED05-03F6-E64C-A65B-DE5B378848C2}" type="pres">
      <dgm:prSet presAssocID="{20B7C614-1A40-2B48-B01C-AC932974B86C}" presName="hierRoot4" presStyleCnt="0"/>
      <dgm:spPr/>
    </dgm:pt>
    <dgm:pt modelId="{06D4A443-4A8B-6942-8E03-A12A7EF2CEB0}" type="pres">
      <dgm:prSet presAssocID="{20B7C614-1A40-2B48-B01C-AC932974B86C}" presName="composite4" presStyleCnt="0"/>
      <dgm:spPr/>
    </dgm:pt>
    <dgm:pt modelId="{F72CE515-A3E3-4249-B444-31938166FE8B}" type="pres">
      <dgm:prSet presAssocID="{20B7C614-1A40-2B48-B01C-AC932974B86C}" presName="background4" presStyleLbl="node4" presStyleIdx="2" presStyleCnt="11"/>
      <dgm:spPr>
        <a:solidFill>
          <a:srgbClr val="D4CEC2"/>
        </a:solidFill>
      </dgm:spPr>
    </dgm:pt>
    <dgm:pt modelId="{0214EF94-5311-7043-B744-F0C4646B4780}" type="pres">
      <dgm:prSet presAssocID="{20B7C614-1A40-2B48-B01C-AC932974B86C}" presName="text4" presStyleLbl="fgAcc4" presStyleIdx="2" presStyleCnt="11">
        <dgm:presLayoutVars>
          <dgm:chPref val="3"/>
        </dgm:presLayoutVars>
      </dgm:prSet>
      <dgm:spPr/>
    </dgm:pt>
    <dgm:pt modelId="{0F67314D-C8A7-894A-A5D0-2E71C822878C}" type="pres">
      <dgm:prSet presAssocID="{20B7C614-1A40-2B48-B01C-AC932974B86C}" presName="hierChild5" presStyleCnt="0"/>
      <dgm:spPr/>
    </dgm:pt>
    <dgm:pt modelId="{5C9740D9-A087-6E48-B95A-FD3B5143CA33}" type="pres">
      <dgm:prSet presAssocID="{0D40C929-9B7A-DE41-9133-7EBEFFFECA70}" presName="Name23" presStyleLbl="parChTrans1D4" presStyleIdx="3" presStyleCnt="11"/>
      <dgm:spPr/>
    </dgm:pt>
    <dgm:pt modelId="{00620628-7B94-C64A-B8E6-EF1E3F92B414}" type="pres">
      <dgm:prSet presAssocID="{F6422B26-8446-404D-A5E7-D088A0F31AF4}" presName="hierRoot4" presStyleCnt="0"/>
      <dgm:spPr/>
    </dgm:pt>
    <dgm:pt modelId="{BDE5E513-E769-714D-8837-3C9B20A44960}" type="pres">
      <dgm:prSet presAssocID="{F6422B26-8446-404D-A5E7-D088A0F31AF4}" presName="composite4" presStyleCnt="0"/>
      <dgm:spPr/>
    </dgm:pt>
    <dgm:pt modelId="{779640BE-033D-C642-91C9-8C9E54F6DFF5}" type="pres">
      <dgm:prSet presAssocID="{F6422B26-8446-404D-A5E7-D088A0F31AF4}" presName="background4" presStyleLbl="node4" presStyleIdx="3" presStyleCnt="11"/>
      <dgm:spPr>
        <a:solidFill>
          <a:srgbClr val="D4CEC2"/>
        </a:solidFill>
      </dgm:spPr>
    </dgm:pt>
    <dgm:pt modelId="{F49CCA1C-E46C-9E43-BA57-FE9AA0C73163}" type="pres">
      <dgm:prSet presAssocID="{F6422B26-8446-404D-A5E7-D088A0F31AF4}" presName="text4" presStyleLbl="fgAcc4" presStyleIdx="3" presStyleCnt="11">
        <dgm:presLayoutVars>
          <dgm:chPref val="3"/>
        </dgm:presLayoutVars>
      </dgm:prSet>
      <dgm:spPr/>
    </dgm:pt>
    <dgm:pt modelId="{819BA153-894F-5D43-A44D-D6380B570C00}" type="pres">
      <dgm:prSet presAssocID="{F6422B26-8446-404D-A5E7-D088A0F31AF4}" presName="hierChild5" presStyleCnt="0"/>
      <dgm:spPr/>
    </dgm:pt>
    <dgm:pt modelId="{0D57E85E-3634-DC40-A076-23AA4509DC5E}" type="pres">
      <dgm:prSet presAssocID="{7FCF514E-24CA-5B44-89E0-16D6FFE28EB4}" presName="Name23" presStyleLbl="parChTrans1D4" presStyleIdx="4" presStyleCnt="11"/>
      <dgm:spPr/>
    </dgm:pt>
    <dgm:pt modelId="{8C7E4C78-EEBD-5647-B0ED-EBDA56A257AE}" type="pres">
      <dgm:prSet presAssocID="{E95E37E8-A24F-4A4F-A0B4-96AE62BB0B58}" presName="hierRoot4" presStyleCnt="0"/>
      <dgm:spPr/>
    </dgm:pt>
    <dgm:pt modelId="{8BDBF36B-D2F3-B64E-A8C2-E7B85DF4B93F}" type="pres">
      <dgm:prSet presAssocID="{E95E37E8-A24F-4A4F-A0B4-96AE62BB0B58}" presName="composite4" presStyleCnt="0"/>
      <dgm:spPr/>
    </dgm:pt>
    <dgm:pt modelId="{C5A7DB75-61C8-584F-A55E-7CDEF7AD1220}" type="pres">
      <dgm:prSet presAssocID="{E95E37E8-A24F-4A4F-A0B4-96AE62BB0B58}" presName="background4" presStyleLbl="node4" presStyleIdx="4" presStyleCnt="11"/>
      <dgm:spPr>
        <a:solidFill>
          <a:srgbClr val="D4CEC2"/>
        </a:solidFill>
      </dgm:spPr>
    </dgm:pt>
    <dgm:pt modelId="{61E20C5D-EDF6-C34A-9B7A-695D7FEEA23A}" type="pres">
      <dgm:prSet presAssocID="{E95E37E8-A24F-4A4F-A0B4-96AE62BB0B58}" presName="text4" presStyleLbl="fgAcc4" presStyleIdx="4" presStyleCnt="11">
        <dgm:presLayoutVars>
          <dgm:chPref val="3"/>
        </dgm:presLayoutVars>
      </dgm:prSet>
      <dgm:spPr/>
    </dgm:pt>
    <dgm:pt modelId="{C12ACC44-5801-EF4F-A76C-0E31F0AA3225}" type="pres">
      <dgm:prSet presAssocID="{E95E37E8-A24F-4A4F-A0B4-96AE62BB0B58}" presName="hierChild5" presStyleCnt="0"/>
      <dgm:spPr/>
    </dgm:pt>
    <dgm:pt modelId="{3460007D-CD9E-4C4D-987C-C790CCD3B132}" type="pres">
      <dgm:prSet presAssocID="{DD26202E-6588-F747-A10B-81A2E262D5B1}" presName="Name23" presStyleLbl="parChTrans1D4" presStyleIdx="5" presStyleCnt="11"/>
      <dgm:spPr/>
    </dgm:pt>
    <dgm:pt modelId="{E7730CEF-B7F4-8E40-A385-192C06BD8A80}" type="pres">
      <dgm:prSet presAssocID="{4438C873-9A70-DD40-A875-3DA3A6411B88}" presName="hierRoot4" presStyleCnt="0"/>
      <dgm:spPr/>
    </dgm:pt>
    <dgm:pt modelId="{943478FE-4794-F542-8C7E-E99BBD6A677D}" type="pres">
      <dgm:prSet presAssocID="{4438C873-9A70-DD40-A875-3DA3A6411B88}" presName="composite4" presStyleCnt="0"/>
      <dgm:spPr/>
    </dgm:pt>
    <dgm:pt modelId="{32296AD4-4457-7547-8218-8BC07D635B4F}" type="pres">
      <dgm:prSet presAssocID="{4438C873-9A70-DD40-A875-3DA3A6411B88}" presName="background4" presStyleLbl="node4" presStyleIdx="5" presStyleCnt="11"/>
      <dgm:spPr>
        <a:solidFill>
          <a:srgbClr val="D4CEC2"/>
        </a:solidFill>
      </dgm:spPr>
    </dgm:pt>
    <dgm:pt modelId="{B74AC99E-1B9B-2E49-8223-B8E42D3AC91E}" type="pres">
      <dgm:prSet presAssocID="{4438C873-9A70-DD40-A875-3DA3A6411B88}" presName="text4" presStyleLbl="fgAcc4" presStyleIdx="5" presStyleCnt="11">
        <dgm:presLayoutVars>
          <dgm:chPref val="3"/>
        </dgm:presLayoutVars>
      </dgm:prSet>
      <dgm:spPr/>
    </dgm:pt>
    <dgm:pt modelId="{2B7B2DA5-0BBC-974B-A4C5-CC03CCC6AD73}" type="pres">
      <dgm:prSet presAssocID="{4438C873-9A70-DD40-A875-3DA3A6411B88}" presName="hierChild5" presStyleCnt="0"/>
      <dgm:spPr/>
    </dgm:pt>
    <dgm:pt modelId="{610645F8-C1A8-1840-B714-EC3390498F50}" type="pres">
      <dgm:prSet presAssocID="{FB216362-EE4A-CD45-B969-E1E8FA5E14B2}" presName="Name17" presStyleLbl="parChTrans1D3" presStyleIdx="1" presStyleCnt="3"/>
      <dgm:spPr/>
    </dgm:pt>
    <dgm:pt modelId="{A8A5E734-808C-4D4A-9A94-2D1EE7D6C5E9}" type="pres">
      <dgm:prSet presAssocID="{35394140-2402-1C4C-AF42-B6E1436D5612}" presName="hierRoot3" presStyleCnt="0"/>
      <dgm:spPr/>
    </dgm:pt>
    <dgm:pt modelId="{1A88D096-CB87-8042-A3A4-CB548499544B}" type="pres">
      <dgm:prSet presAssocID="{35394140-2402-1C4C-AF42-B6E1436D5612}" presName="composite3" presStyleCnt="0"/>
      <dgm:spPr/>
    </dgm:pt>
    <dgm:pt modelId="{18CD865A-40AC-A742-AEA9-28655D44E125}" type="pres">
      <dgm:prSet presAssocID="{35394140-2402-1C4C-AF42-B6E1436D5612}" presName="background3" presStyleLbl="node3" presStyleIdx="1" presStyleCnt="3"/>
      <dgm:spPr>
        <a:solidFill>
          <a:srgbClr val="D4CEC2"/>
        </a:solidFill>
      </dgm:spPr>
    </dgm:pt>
    <dgm:pt modelId="{562747C7-B266-3747-890C-4E833AD36337}" type="pres">
      <dgm:prSet presAssocID="{35394140-2402-1C4C-AF42-B6E1436D5612}" presName="text3" presStyleLbl="fgAcc3" presStyleIdx="1" presStyleCnt="3">
        <dgm:presLayoutVars>
          <dgm:chPref val="3"/>
        </dgm:presLayoutVars>
      </dgm:prSet>
      <dgm:spPr/>
    </dgm:pt>
    <dgm:pt modelId="{01312C7C-4837-3E4D-B4C0-86D69FA35E1C}" type="pres">
      <dgm:prSet presAssocID="{35394140-2402-1C4C-AF42-B6E1436D5612}" presName="hierChild4" presStyleCnt="0"/>
      <dgm:spPr/>
    </dgm:pt>
    <dgm:pt modelId="{8A765B31-4A2C-4940-B8C6-6B2451E9F345}" type="pres">
      <dgm:prSet presAssocID="{7B35D57E-E8FE-3A47-B99D-2394366941AF}" presName="Name23" presStyleLbl="parChTrans1D4" presStyleIdx="6" presStyleCnt="11"/>
      <dgm:spPr/>
    </dgm:pt>
    <dgm:pt modelId="{C6B6FBB3-45AC-0D42-B2C6-DBF28A44149C}" type="pres">
      <dgm:prSet presAssocID="{E722E7DF-F41E-4F40-A1A5-8AAC1374ADAE}" presName="hierRoot4" presStyleCnt="0"/>
      <dgm:spPr/>
    </dgm:pt>
    <dgm:pt modelId="{67D1D8D4-5A4D-AB41-BC09-E29AFB8F6BCC}" type="pres">
      <dgm:prSet presAssocID="{E722E7DF-F41E-4F40-A1A5-8AAC1374ADAE}" presName="composite4" presStyleCnt="0"/>
      <dgm:spPr/>
    </dgm:pt>
    <dgm:pt modelId="{25B8FE10-B77E-8348-AD8C-E7ADCDE1B8A1}" type="pres">
      <dgm:prSet presAssocID="{E722E7DF-F41E-4F40-A1A5-8AAC1374ADAE}" presName="background4" presStyleLbl="node4" presStyleIdx="6" presStyleCnt="11"/>
      <dgm:spPr>
        <a:solidFill>
          <a:srgbClr val="D4CEC2"/>
        </a:solidFill>
      </dgm:spPr>
    </dgm:pt>
    <dgm:pt modelId="{C7C284CA-6336-B04F-AF18-9ED7A267B12F}" type="pres">
      <dgm:prSet presAssocID="{E722E7DF-F41E-4F40-A1A5-8AAC1374ADAE}" presName="text4" presStyleLbl="fgAcc4" presStyleIdx="6" presStyleCnt="11">
        <dgm:presLayoutVars>
          <dgm:chPref val="3"/>
        </dgm:presLayoutVars>
      </dgm:prSet>
      <dgm:spPr/>
    </dgm:pt>
    <dgm:pt modelId="{DCCC30FE-A73B-1844-A781-92E91E1D8475}" type="pres">
      <dgm:prSet presAssocID="{E722E7DF-F41E-4F40-A1A5-8AAC1374ADAE}" presName="hierChild5" presStyleCnt="0"/>
      <dgm:spPr/>
    </dgm:pt>
    <dgm:pt modelId="{79DF1450-DADD-6446-B1A9-A8C8EBA7FEFF}" type="pres">
      <dgm:prSet presAssocID="{5FE92E43-FF88-2D46-AA30-21B159E8E851}" presName="Name23" presStyleLbl="parChTrans1D4" presStyleIdx="7" presStyleCnt="11"/>
      <dgm:spPr/>
    </dgm:pt>
    <dgm:pt modelId="{27354DE3-B998-6240-980F-6A0B640A7379}" type="pres">
      <dgm:prSet presAssocID="{11EC2B75-5B8A-DB43-99D8-99867C173981}" presName="hierRoot4" presStyleCnt="0"/>
      <dgm:spPr/>
    </dgm:pt>
    <dgm:pt modelId="{B0DCB9D4-F04F-4846-BF5A-4FEF3469A25A}" type="pres">
      <dgm:prSet presAssocID="{11EC2B75-5B8A-DB43-99D8-99867C173981}" presName="composite4" presStyleCnt="0"/>
      <dgm:spPr/>
    </dgm:pt>
    <dgm:pt modelId="{1B6A262E-B73A-CB4C-A5C8-735C3DE1DBBA}" type="pres">
      <dgm:prSet presAssocID="{11EC2B75-5B8A-DB43-99D8-99867C173981}" presName="background4" presStyleLbl="node4" presStyleIdx="7" presStyleCnt="11"/>
      <dgm:spPr>
        <a:solidFill>
          <a:srgbClr val="D4CEC2"/>
        </a:solidFill>
      </dgm:spPr>
    </dgm:pt>
    <dgm:pt modelId="{129DA4D2-0408-7C47-AE4E-364954BCF418}" type="pres">
      <dgm:prSet presAssocID="{11EC2B75-5B8A-DB43-99D8-99867C173981}" presName="text4" presStyleLbl="fgAcc4" presStyleIdx="7" presStyleCnt="11">
        <dgm:presLayoutVars>
          <dgm:chPref val="3"/>
        </dgm:presLayoutVars>
      </dgm:prSet>
      <dgm:spPr/>
    </dgm:pt>
    <dgm:pt modelId="{C3506802-5808-4E42-A707-587BE9085CB3}" type="pres">
      <dgm:prSet presAssocID="{11EC2B75-5B8A-DB43-99D8-99867C173981}" presName="hierChild5" presStyleCnt="0"/>
      <dgm:spPr/>
    </dgm:pt>
    <dgm:pt modelId="{A8BC49D5-6802-B943-8BFF-8A695EF6762D}" type="pres">
      <dgm:prSet presAssocID="{FC029AF9-5060-2E48-A48A-1FAF85F09BAB}" presName="Name17" presStyleLbl="parChTrans1D3" presStyleIdx="2" presStyleCnt="3"/>
      <dgm:spPr/>
    </dgm:pt>
    <dgm:pt modelId="{D10BB21B-1CFC-0040-8E27-C9AF3017777B}" type="pres">
      <dgm:prSet presAssocID="{D37F44CF-EA32-014B-A49B-18926F61D716}" presName="hierRoot3" presStyleCnt="0"/>
      <dgm:spPr/>
    </dgm:pt>
    <dgm:pt modelId="{6B80980F-934D-5543-BEB2-F50EAA9FDD79}" type="pres">
      <dgm:prSet presAssocID="{D37F44CF-EA32-014B-A49B-18926F61D716}" presName="composite3" presStyleCnt="0"/>
      <dgm:spPr/>
    </dgm:pt>
    <dgm:pt modelId="{6B4E97F0-6E34-A14F-9E15-2FD4445502E4}" type="pres">
      <dgm:prSet presAssocID="{D37F44CF-EA32-014B-A49B-18926F61D716}" presName="background3" presStyleLbl="node3" presStyleIdx="2" presStyleCnt="3"/>
      <dgm:spPr>
        <a:solidFill>
          <a:srgbClr val="D4CEC2"/>
        </a:solidFill>
      </dgm:spPr>
    </dgm:pt>
    <dgm:pt modelId="{98071677-C2DB-0C41-AD62-F3FD6356A338}" type="pres">
      <dgm:prSet presAssocID="{D37F44CF-EA32-014B-A49B-18926F61D716}" presName="text3" presStyleLbl="fgAcc3" presStyleIdx="2" presStyleCnt="3">
        <dgm:presLayoutVars>
          <dgm:chPref val="3"/>
        </dgm:presLayoutVars>
      </dgm:prSet>
      <dgm:spPr/>
    </dgm:pt>
    <dgm:pt modelId="{72D6C53A-A0E5-3D4F-8E89-BF58F3A49772}" type="pres">
      <dgm:prSet presAssocID="{D37F44CF-EA32-014B-A49B-18926F61D716}" presName="hierChild4" presStyleCnt="0"/>
      <dgm:spPr/>
    </dgm:pt>
    <dgm:pt modelId="{609DC024-D434-1245-92EE-62330CCD936A}" type="pres">
      <dgm:prSet presAssocID="{E5CF812C-3DE9-ED45-AE09-24329BD8F6AD}" presName="Name23" presStyleLbl="parChTrans1D4" presStyleIdx="8" presStyleCnt="11"/>
      <dgm:spPr/>
    </dgm:pt>
    <dgm:pt modelId="{FD12A5E1-5287-F249-A8AB-51C28467D8CD}" type="pres">
      <dgm:prSet presAssocID="{E86B12FC-90C9-F347-BBAB-D9A9FF9335B8}" presName="hierRoot4" presStyleCnt="0"/>
      <dgm:spPr/>
    </dgm:pt>
    <dgm:pt modelId="{15A4A5D3-C9AD-9146-8203-720FF62512D6}" type="pres">
      <dgm:prSet presAssocID="{E86B12FC-90C9-F347-BBAB-D9A9FF9335B8}" presName="composite4" presStyleCnt="0"/>
      <dgm:spPr/>
    </dgm:pt>
    <dgm:pt modelId="{03C8F823-094A-EF4D-958A-DCF43736AEC1}" type="pres">
      <dgm:prSet presAssocID="{E86B12FC-90C9-F347-BBAB-D9A9FF9335B8}" presName="background4" presStyleLbl="node4" presStyleIdx="8" presStyleCnt="11"/>
      <dgm:spPr>
        <a:solidFill>
          <a:srgbClr val="D4CEC2"/>
        </a:solidFill>
      </dgm:spPr>
    </dgm:pt>
    <dgm:pt modelId="{B1C3A72A-17A0-984F-9446-6F503C57F704}" type="pres">
      <dgm:prSet presAssocID="{E86B12FC-90C9-F347-BBAB-D9A9FF9335B8}" presName="text4" presStyleLbl="fgAcc4" presStyleIdx="8" presStyleCnt="11">
        <dgm:presLayoutVars>
          <dgm:chPref val="3"/>
        </dgm:presLayoutVars>
      </dgm:prSet>
      <dgm:spPr/>
    </dgm:pt>
    <dgm:pt modelId="{02297D8B-3D3D-4B48-BE1F-6D7476039492}" type="pres">
      <dgm:prSet presAssocID="{E86B12FC-90C9-F347-BBAB-D9A9FF9335B8}" presName="hierChild5" presStyleCnt="0"/>
      <dgm:spPr/>
    </dgm:pt>
    <dgm:pt modelId="{93F9DCDB-BBA8-024B-8E71-E890CD485590}" type="pres">
      <dgm:prSet presAssocID="{596BF330-9C73-D446-B966-29608030DAE4}" presName="Name23" presStyleLbl="parChTrans1D4" presStyleIdx="9" presStyleCnt="11"/>
      <dgm:spPr/>
    </dgm:pt>
    <dgm:pt modelId="{BB2CD038-ABFD-DF4A-BDF5-5F3A107470AA}" type="pres">
      <dgm:prSet presAssocID="{11118BC5-62E2-F54B-BF08-41533B1D21A7}" presName="hierRoot4" presStyleCnt="0"/>
      <dgm:spPr/>
    </dgm:pt>
    <dgm:pt modelId="{EB55EA12-9E65-8D46-96C8-550B7FE2094C}" type="pres">
      <dgm:prSet presAssocID="{11118BC5-62E2-F54B-BF08-41533B1D21A7}" presName="composite4" presStyleCnt="0"/>
      <dgm:spPr/>
    </dgm:pt>
    <dgm:pt modelId="{AC2F3095-E965-6141-A1C1-70305422C4D5}" type="pres">
      <dgm:prSet presAssocID="{11118BC5-62E2-F54B-BF08-41533B1D21A7}" presName="background4" presStyleLbl="node4" presStyleIdx="9" presStyleCnt="11"/>
      <dgm:spPr>
        <a:solidFill>
          <a:srgbClr val="D4CEC2"/>
        </a:solidFill>
      </dgm:spPr>
    </dgm:pt>
    <dgm:pt modelId="{E1968A49-23C5-AC40-B902-D10BD4975E6F}" type="pres">
      <dgm:prSet presAssocID="{11118BC5-62E2-F54B-BF08-41533B1D21A7}" presName="text4" presStyleLbl="fgAcc4" presStyleIdx="9" presStyleCnt="11">
        <dgm:presLayoutVars>
          <dgm:chPref val="3"/>
        </dgm:presLayoutVars>
      </dgm:prSet>
      <dgm:spPr/>
    </dgm:pt>
    <dgm:pt modelId="{CBCEDBE1-7DAD-654A-9F48-B336ECE20D43}" type="pres">
      <dgm:prSet presAssocID="{11118BC5-62E2-F54B-BF08-41533B1D21A7}" presName="hierChild5" presStyleCnt="0"/>
      <dgm:spPr/>
    </dgm:pt>
    <dgm:pt modelId="{A23AA5D2-0557-4648-B429-C8EB41FCFF69}" type="pres">
      <dgm:prSet presAssocID="{A8AE0673-98F5-D44F-8932-0D5152BE4E18}" presName="Name23" presStyleLbl="parChTrans1D4" presStyleIdx="10" presStyleCnt="11"/>
      <dgm:spPr/>
    </dgm:pt>
    <dgm:pt modelId="{97235632-F0FD-6E4C-A67C-965CCEDD269A}" type="pres">
      <dgm:prSet presAssocID="{E97A0948-9A3C-1C4F-AF9E-BD475BF5FCCF}" presName="hierRoot4" presStyleCnt="0"/>
      <dgm:spPr/>
    </dgm:pt>
    <dgm:pt modelId="{880A7DB6-2F45-4840-BF83-DF7D620FC5BA}" type="pres">
      <dgm:prSet presAssocID="{E97A0948-9A3C-1C4F-AF9E-BD475BF5FCCF}" presName="composite4" presStyleCnt="0"/>
      <dgm:spPr/>
    </dgm:pt>
    <dgm:pt modelId="{73BB8DDD-AE08-4040-A725-BD8B4D0B0E6A}" type="pres">
      <dgm:prSet presAssocID="{E97A0948-9A3C-1C4F-AF9E-BD475BF5FCCF}" presName="background4" presStyleLbl="node4" presStyleIdx="10" presStyleCnt="11"/>
      <dgm:spPr>
        <a:solidFill>
          <a:srgbClr val="D4CEC2"/>
        </a:solidFill>
      </dgm:spPr>
    </dgm:pt>
    <dgm:pt modelId="{C932919A-C41D-F345-9A42-7CFDE40CC72D}" type="pres">
      <dgm:prSet presAssocID="{E97A0948-9A3C-1C4F-AF9E-BD475BF5FCCF}" presName="text4" presStyleLbl="fgAcc4" presStyleIdx="10" presStyleCnt="11">
        <dgm:presLayoutVars>
          <dgm:chPref val="3"/>
        </dgm:presLayoutVars>
      </dgm:prSet>
      <dgm:spPr/>
    </dgm:pt>
    <dgm:pt modelId="{E35F7E7C-301E-8C4F-A4D0-5A83CA973E1B}" type="pres">
      <dgm:prSet presAssocID="{E97A0948-9A3C-1C4F-AF9E-BD475BF5FCCF}" presName="hierChild5" presStyleCnt="0"/>
      <dgm:spPr/>
    </dgm:pt>
    <dgm:pt modelId="{358766D1-1610-3140-897E-74A3D15ABCA5}" type="pres">
      <dgm:prSet presAssocID="{1847FE77-5651-AB49-90A7-1225851EC686}" presName="Name10" presStyleLbl="parChTrans1D2" presStyleIdx="2" presStyleCnt="3"/>
      <dgm:spPr/>
    </dgm:pt>
    <dgm:pt modelId="{C36036D8-1E5D-FA4B-9466-907F5B0040FD}" type="pres">
      <dgm:prSet presAssocID="{77DBF5AD-FC40-4A4F-8DE9-7D68A5F0C2D6}" presName="hierRoot2" presStyleCnt="0"/>
      <dgm:spPr/>
    </dgm:pt>
    <dgm:pt modelId="{5FF5D939-191C-A447-81EE-99AEB8775FFF}" type="pres">
      <dgm:prSet presAssocID="{77DBF5AD-FC40-4A4F-8DE9-7D68A5F0C2D6}" presName="composite2" presStyleCnt="0"/>
      <dgm:spPr/>
    </dgm:pt>
    <dgm:pt modelId="{721FDE62-FFDF-C043-8AC9-38331BC38B83}" type="pres">
      <dgm:prSet presAssocID="{77DBF5AD-FC40-4A4F-8DE9-7D68A5F0C2D6}" presName="background2" presStyleLbl="node2" presStyleIdx="2" presStyleCnt="3"/>
      <dgm:spPr>
        <a:solidFill>
          <a:srgbClr val="D4CEC2"/>
        </a:solidFill>
      </dgm:spPr>
    </dgm:pt>
    <dgm:pt modelId="{2AF156B4-0655-8340-9B90-C9994E734D9F}" type="pres">
      <dgm:prSet presAssocID="{77DBF5AD-FC40-4A4F-8DE9-7D68A5F0C2D6}" presName="text2" presStyleLbl="fgAcc2" presStyleIdx="2" presStyleCnt="3">
        <dgm:presLayoutVars>
          <dgm:chPref val="3"/>
        </dgm:presLayoutVars>
      </dgm:prSet>
      <dgm:spPr/>
    </dgm:pt>
    <dgm:pt modelId="{6B4EB939-E071-CC41-8BC3-93040DA7A682}" type="pres">
      <dgm:prSet presAssocID="{77DBF5AD-FC40-4A4F-8DE9-7D68A5F0C2D6}" presName="hierChild3" presStyleCnt="0"/>
      <dgm:spPr/>
    </dgm:pt>
  </dgm:ptLst>
  <dgm:cxnLst>
    <dgm:cxn modelId="{7A1FD006-D468-BC46-B67A-FF4676E67F52}" type="presOf" srcId="{7FCF514E-24CA-5B44-89E0-16D6FFE28EB4}" destId="{0D57E85E-3634-DC40-A076-23AA4509DC5E}" srcOrd="0" destOrd="0" presId="urn:microsoft.com/office/officeart/2005/8/layout/hierarchy1"/>
    <dgm:cxn modelId="{F272AD09-9339-0743-A142-833D9BCF978B}" type="presOf" srcId="{3CCE7FD2-2CF8-A145-8A6C-F440D6F7625C}" destId="{6045A4FC-A886-B54D-9D56-0F354C4637B9}" srcOrd="0" destOrd="0" presId="urn:microsoft.com/office/officeart/2005/8/layout/hierarchy1"/>
    <dgm:cxn modelId="{A542560A-E547-C146-9E87-C3585F14D488}" type="presOf" srcId="{1C760DFF-894D-2849-A0EF-2BD158E68219}" destId="{65CDDE48-195E-EB49-9F40-C07ED62F8F60}" srcOrd="0" destOrd="0" presId="urn:microsoft.com/office/officeart/2005/8/layout/hierarchy1"/>
    <dgm:cxn modelId="{C8350B18-AA45-8E43-B8D6-0A9E15904EB9}" type="presOf" srcId="{A41227CF-156E-B14D-9F36-A8402F3C1DB5}" destId="{91542018-33E5-CB42-AE78-E2CDAB8CA91B}" srcOrd="0" destOrd="0" presId="urn:microsoft.com/office/officeart/2005/8/layout/hierarchy1"/>
    <dgm:cxn modelId="{30D99D19-8657-7B4C-9C40-12F29BE9BFA0}" type="presOf" srcId="{E86B12FC-90C9-F347-BBAB-D9A9FF9335B8}" destId="{B1C3A72A-17A0-984F-9446-6F503C57F704}" srcOrd="0" destOrd="0" presId="urn:microsoft.com/office/officeart/2005/8/layout/hierarchy1"/>
    <dgm:cxn modelId="{D54B0A1A-F7D3-1C4D-BD36-444CCADC0217}" type="presOf" srcId="{11118BC5-62E2-F54B-BF08-41533B1D21A7}" destId="{E1968A49-23C5-AC40-B902-D10BD4975E6F}" srcOrd="0" destOrd="0" presId="urn:microsoft.com/office/officeart/2005/8/layout/hierarchy1"/>
    <dgm:cxn modelId="{DF35AA1F-9891-3347-93F0-84BC6FC44EE9}" srcId="{C1B52CFC-8B4F-DA42-A5AF-154ED3AEA35F}" destId="{77DBF5AD-FC40-4A4F-8DE9-7D68A5F0C2D6}" srcOrd="2" destOrd="0" parTransId="{1847FE77-5651-AB49-90A7-1225851EC686}" sibTransId="{475905DE-C56F-CD44-92CF-BB86FB9D1235}"/>
    <dgm:cxn modelId="{1D0B1D20-864C-DF4D-B8EC-952ADEB32FDC}" srcId="{3EA94777-8AC9-094F-A5A2-8C255527C547}" destId="{623026C7-3799-2944-83D2-4539C4EB75DA}" srcOrd="0" destOrd="0" parTransId="{4103EEAB-2EE8-7445-ABD2-464696346041}" sibTransId="{9C854989-0D46-3D49-9F59-693889836CE6}"/>
    <dgm:cxn modelId="{9672E620-0CB3-704C-B0A9-C81F7B904DF7}" srcId="{E86B12FC-90C9-F347-BBAB-D9A9FF9335B8}" destId="{11118BC5-62E2-F54B-BF08-41533B1D21A7}" srcOrd="0" destOrd="0" parTransId="{596BF330-9C73-D446-B966-29608030DAE4}" sibTransId="{DD03BDCF-8EF0-4D4B-8EEA-DC7AA655FD0B}"/>
    <dgm:cxn modelId="{1D3B9C26-56FC-E34E-80B3-3DF614B22228}" type="presOf" srcId="{DD26202E-6588-F747-A10B-81A2E262D5B1}" destId="{3460007D-CD9E-4C4D-987C-C790CCD3B132}" srcOrd="0" destOrd="0" presId="urn:microsoft.com/office/officeart/2005/8/layout/hierarchy1"/>
    <dgm:cxn modelId="{6C45BB29-8555-C24A-B117-2FF22398376D}" type="presOf" srcId="{E722E7DF-F41E-4F40-A1A5-8AAC1374ADAE}" destId="{C7C284CA-6336-B04F-AF18-9ED7A267B12F}" srcOrd="0" destOrd="0" presId="urn:microsoft.com/office/officeart/2005/8/layout/hierarchy1"/>
    <dgm:cxn modelId="{A14B9D2D-3743-5A48-9CCE-CFB25E4AF0F9}" type="presOf" srcId="{11EC2B75-5B8A-DB43-99D8-99867C173981}" destId="{129DA4D2-0408-7C47-AE4E-364954BCF418}" srcOrd="0" destOrd="0" presId="urn:microsoft.com/office/officeart/2005/8/layout/hierarchy1"/>
    <dgm:cxn modelId="{C32BDB2E-65C1-254B-8FBA-E839E6EF1E91}" type="presOf" srcId="{34913D95-EAF6-3542-AB8B-144C260CB27D}" destId="{D116C3A9-F809-3940-99DA-56CE3B12E810}" srcOrd="0" destOrd="0" presId="urn:microsoft.com/office/officeart/2005/8/layout/hierarchy1"/>
    <dgm:cxn modelId="{847B832F-A308-4D40-8A1B-DA797F9BBF86}" srcId="{D37F44CF-EA32-014B-A49B-18926F61D716}" destId="{E97A0948-9A3C-1C4F-AF9E-BD475BF5FCCF}" srcOrd="1" destOrd="0" parTransId="{A8AE0673-98F5-D44F-8932-0D5152BE4E18}" sibTransId="{978762CC-A9D0-FF40-B1F2-261901E566A0}"/>
    <dgm:cxn modelId="{FB8D7232-9DC4-8E41-93D6-69C81FCE89C4}" type="presOf" srcId="{4421868B-84C3-024F-85EA-741E22ACB13C}" destId="{97CEDA74-6DEE-2546-A241-689E6956DF02}" srcOrd="0" destOrd="0" presId="urn:microsoft.com/office/officeart/2005/8/layout/hierarchy1"/>
    <dgm:cxn modelId="{37639234-AE38-964F-81AD-5838AFDAFC8A}" type="presOf" srcId="{35394140-2402-1C4C-AF42-B6E1436D5612}" destId="{562747C7-B266-3747-890C-4E833AD36337}" srcOrd="0" destOrd="0" presId="urn:microsoft.com/office/officeart/2005/8/layout/hierarchy1"/>
    <dgm:cxn modelId="{030D7D45-7396-664A-B0A8-4F260FF18C7B}" srcId="{623026C7-3799-2944-83D2-4539C4EB75DA}" destId="{20B7C614-1A40-2B48-B01C-AC932974B86C}" srcOrd="1" destOrd="0" parTransId="{34913D95-EAF6-3542-AB8B-144C260CB27D}" sibTransId="{7FBDF07F-060D-4948-9A9F-10DF5BB80F1E}"/>
    <dgm:cxn modelId="{566E2F4C-EA54-D541-9C36-854D17C02E6C}" type="presOf" srcId="{1EA618E5-CA9A-4D4D-986C-B0E12FF53CD6}" destId="{9FD28732-BA1A-0443-A579-FBECEF5D7BFD}" srcOrd="0" destOrd="0" presId="urn:microsoft.com/office/officeart/2005/8/layout/hierarchy1"/>
    <dgm:cxn modelId="{3D32005A-A7A3-A540-B276-3781CB26C010}" srcId="{3EA94777-8AC9-094F-A5A2-8C255527C547}" destId="{4438C873-9A70-DD40-A875-3DA3A6411B88}" srcOrd="1" destOrd="0" parTransId="{DD26202E-6588-F747-A10B-81A2E262D5B1}" sibTransId="{0B9D8CF7-7FFB-1C47-AAAD-45FBF0B38B59}"/>
    <dgm:cxn modelId="{4285E35C-FA1A-5144-BD88-0F7A73C53EB8}" type="presOf" srcId="{596BF330-9C73-D446-B966-29608030DAE4}" destId="{93F9DCDB-BBA8-024B-8E71-E890CD485590}" srcOrd="0" destOrd="0" presId="urn:microsoft.com/office/officeart/2005/8/layout/hierarchy1"/>
    <dgm:cxn modelId="{B629D25E-7164-1240-9BA2-AAAF87DC48B2}" srcId="{1EA618E5-CA9A-4D4D-986C-B0E12FF53CD6}" destId="{D37F44CF-EA32-014B-A49B-18926F61D716}" srcOrd="2" destOrd="0" parTransId="{FC029AF9-5060-2E48-A48A-1FAF85F09BAB}" sibTransId="{8B26414A-213E-9742-B44C-1B1CAEC15039}"/>
    <dgm:cxn modelId="{C9278761-B4EF-5748-B07C-DE3A658D2673}" srcId="{C1B52CFC-8B4F-DA42-A5AF-154ED3AEA35F}" destId="{1EA618E5-CA9A-4D4D-986C-B0E12FF53CD6}" srcOrd="1" destOrd="0" parTransId="{0613A19A-D057-2047-86A5-A37BDE817014}" sibTransId="{11BC6130-88F9-824A-B932-FDB3F05998AA}"/>
    <dgm:cxn modelId="{AD12ED65-C3B5-A64D-AC86-C7F0DB697C87}" srcId="{D37F44CF-EA32-014B-A49B-18926F61D716}" destId="{E86B12FC-90C9-F347-BBAB-D9A9FF9335B8}" srcOrd="0" destOrd="0" parTransId="{E5CF812C-3DE9-ED45-AE09-24329BD8F6AD}" sibTransId="{8B4B6569-2D15-FB4E-8F96-A201F8D268CE}"/>
    <dgm:cxn modelId="{CE73A26E-C08D-EE49-AB3B-5819A89D2783}" type="presOf" srcId="{3EA94777-8AC9-094F-A5A2-8C255527C547}" destId="{0DE070C8-C921-774B-A29A-68FEEA55E5F6}" srcOrd="0" destOrd="0" presId="urn:microsoft.com/office/officeart/2005/8/layout/hierarchy1"/>
    <dgm:cxn modelId="{3FB4BD6F-6FF0-0B4E-AA11-C7D108CBDF1F}" type="presOf" srcId="{C1B52CFC-8B4F-DA42-A5AF-154ED3AEA35F}" destId="{19962A0B-0651-A34B-A932-C22E73295210}" srcOrd="0" destOrd="0" presId="urn:microsoft.com/office/officeart/2005/8/layout/hierarchy1"/>
    <dgm:cxn modelId="{C5784F71-4DA4-5641-94CB-93C9EEBC38F1}" type="presOf" srcId="{4103EEAB-2EE8-7445-ABD2-464696346041}" destId="{3B0047CD-0550-3044-A141-5627137C3D47}" srcOrd="0" destOrd="0" presId="urn:microsoft.com/office/officeart/2005/8/layout/hierarchy1"/>
    <dgm:cxn modelId="{A6EB6676-2BBA-3041-B318-DBF63F0277A1}" srcId="{C1B52CFC-8B4F-DA42-A5AF-154ED3AEA35F}" destId="{C42D81B0-5587-5E49-BF06-9BCA097E96F8}" srcOrd="0" destOrd="0" parTransId="{4421868B-84C3-024F-85EA-741E22ACB13C}" sibTransId="{E3DFB243-F2CE-3E4B-B457-3BC2C7F42812}"/>
    <dgm:cxn modelId="{39CD0E7C-C0B0-9E44-8BF7-77A863C13E59}" type="presOf" srcId="{FB216362-EE4A-CD45-B969-E1E8FA5E14B2}" destId="{610645F8-C1A8-1840-B714-EC3390498F50}" srcOrd="0" destOrd="0" presId="urn:microsoft.com/office/officeart/2005/8/layout/hierarchy1"/>
    <dgm:cxn modelId="{54E81D7D-0A94-6E4A-84E9-8AE079F9522D}" type="presOf" srcId="{623026C7-3799-2944-83D2-4539C4EB75DA}" destId="{7CA764F3-4373-514A-94E7-01A4A37CE067}" srcOrd="0" destOrd="0" presId="urn:microsoft.com/office/officeart/2005/8/layout/hierarchy1"/>
    <dgm:cxn modelId="{EBAA337D-2C60-9848-9F76-A3E728739B8B}" type="presOf" srcId="{E95E37E8-A24F-4A4F-A0B4-96AE62BB0B58}" destId="{61E20C5D-EDF6-C34A-9B7A-695D7FEEA23A}" srcOrd="0" destOrd="0" presId="urn:microsoft.com/office/officeart/2005/8/layout/hierarchy1"/>
    <dgm:cxn modelId="{A8A11C80-A099-2C4B-BF16-DC4EC5F348D0}" srcId="{623026C7-3799-2944-83D2-4539C4EB75DA}" destId="{F6422B26-8446-404D-A5E7-D088A0F31AF4}" srcOrd="2" destOrd="0" parTransId="{0D40C929-9B7A-DE41-9133-7EBEFFFECA70}" sibTransId="{C7E88002-45FF-0B4B-B6AB-34C74202EE38}"/>
    <dgm:cxn modelId="{77FF9082-EEB8-F143-8FB5-7EB3DD266AD2}" type="presOf" srcId="{F6422B26-8446-404D-A5E7-D088A0F31AF4}" destId="{F49CCA1C-E46C-9E43-BA57-FE9AA0C73163}" srcOrd="0" destOrd="0" presId="urn:microsoft.com/office/officeart/2005/8/layout/hierarchy1"/>
    <dgm:cxn modelId="{DB68F18A-8849-BD4F-84E5-CA08D1E7FA46}" type="presOf" srcId="{BA8039A1-9209-F344-A6DA-E98227016C6E}" destId="{1546B4DA-ACAD-7F49-9A48-11D02EDE509F}" srcOrd="0" destOrd="0" presId="urn:microsoft.com/office/officeart/2005/8/layout/hierarchy1"/>
    <dgm:cxn modelId="{2BE0AE92-27E6-EC4F-9074-EED483248502}" type="presOf" srcId="{C42D81B0-5587-5E49-BF06-9BCA097E96F8}" destId="{648C9E8E-06AA-ED46-B405-474A118D0172}" srcOrd="0" destOrd="0" presId="urn:microsoft.com/office/officeart/2005/8/layout/hierarchy1"/>
    <dgm:cxn modelId="{990F1693-29A8-AF47-AFF4-EA02F4FFED68}" type="presOf" srcId="{0D40C929-9B7A-DE41-9133-7EBEFFFECA70}" destId="{5C9740D9-A087-6E48-B95A-FD3B5143CA33}" srcOrd="0" destOrd="0" presId="urn:microsoft.com/office/officeart/2005/8/layout/hierarchy1"/>
    <dgm:cxn modelId="{DE84BB95-D54F-2D4A-824B-90B044565723}" srcId="{1EA618E5-CA9A-4D4D-986C-B0E12FF53CD6}" destId="{35394140-2402-1C4C-AF42-B6E1436D5612}" srcOrd="1" destOrd="0" parTransId="{FB216362-EE4A-CD45-B969-E1E8FA5E14B2}" sibTransId="{D7026AE3-7D2B-FA41-BB22-7CF5C842894C}"/>
    <dgm:cxn modelId="{464C149E-923A-2D40-A7B2-93F16A08D745}" type="presOf" srcId="{1847FE77-5651-AB49-90A7-1225851EC686}" destId="{358766D1-1610-3140-897E-74A3D15ABCA5}" srcOrd="0" destOrd="0" presId="urn:microsoft.com/office/officeart/2005/8/layout/hierarchy1"/>
    <dgm:cxn modelId="{0DFEDC9E-7A0A-6045-98FC-64CBD7ED2E85}" type="presOf" srcId="{4438C873-9A70-DD40-A875-3DA3A6411B88}" destId="{B74AC99E-1B9B-2E49-8223-B8E42D3AC91E}" srcOrd="0" destOrd="0" presId="urn:microsoft.com/office/officeart/2005/8/layout/hierarchy1"/>
    <dgm:cxn modelId="{765ECDA1-E58C-6144-AF26-AAC376489E7D}" type="presOf" srcId="{FC029AF9-5060-2E48-A48A-1FAF85F09BAB}" destId="{A8BC49D5-6802-B943-8BFF-8A695EF6762D}" srcOrd="0" destOrd="0" presId="urn:microsoft.com/office/officeart/2005/8/layout/hierarchy1"/>
    <dgm:cxn modelId="{8DCC80A4-928D-3A4C-ADB6-3EC3E5971947}" srcId="{623026C7-3799-2944-83D2-4539C4EB75DA}" destId="{E95E37E8-A24F-4A4F-A0B4-96AE62BB0B58}" srcOrd="3" destOrd="0" parTransId="{7FCF514E-24CA-5B44-89E0-16D6FFE28EB4}" sibTransId="{DCCD37CB-ECF1-0443-995A-FDC59B22E2AC}"/>
    <dgm:cxn modelId="{154158B5-C395-EA48-B027-CCABC458BBFD}" type="presOf" srcId="{20B7C614-1A40-2B48-B01C-AC932974B86C}" destId="{0214EF94-5311-7043-B744-F0C4646B4780}" srcOrd="0" destOrd="0" presId="urn:microsoft.com/office/officeart/2005/8/layout/hierarchy1"/>
    <dgm:cxn modelId="{3A68ACB9-0624-E441-B5B0-8CF96D347629}" srcId="{35394140-2402-1C4C-AF42-B6E1436D5612}" destId="{E722E7DF-F41E-4F40-A1A5-8AAC1374ADAE}" srcOrd="0" destOrd="0" parTransId="{7B35D57E-E8FE-3A47-B99D-2394366941AF}" sibTransId="{72EA7887-2B6E-F94B-9A19-ACAB109066F5}"/>
    <dgm:cxn modelId="{4CE712C4-8A3F-F248-8010-1B620C2A359E}" type="presOf" srcId="{77DBF5AD-FC40-4A4F-8DE9-7D68A5F0C2D6}" destId="{2AF156B4-0655-8340-9B90-C9994E734D9F}" srcOrd="0" destOrd="0" presId="urn:microsoft.com/office/officeart/2005/8/layout/hierarchy1"/>
    <dgm:cxn modelId="{A5BBC1C9-8BB7-4149-8446-3DED0BC679A9}" type="presOf" srcId="{E5CF812C-3DE9-ED45-AE09-24329BD8F6AD}" destId="{609DC024-D434-1245-92EE-62330CCD936A}" srcOrd="0" destOrd="0" presId="urn:microsoft.com/office/officeart/2005/8/layout/hierarchy1"/>
    <dgm:cxn modelId="{D017F5CA-D7FA-4942-8BE3-1EFD08FC5C6C}" srcId="{35394140-2402-1C4C-AF42-B6E1436D5612}" destId="{11EC2B75-5B8A-DB43-99D8-99867C173981}" srcOrd="1" destOrd="0" parTransId="{5FE92E43-FF88-2D46-AA30-21B159E8E851}" sibTransId="{FFE9E622-8B77-FA42-9C95-05CA16A9ACBD}"/>
    <dgm:cxn modelId="{4F5E2ECD-E9DC-1449-9C14-66B509DF8BBB}" srcId="{BA8039A1-9209-F344-A6DA-E98227016C6E}" destId="{C1B52CFC-8B4F-DA42-A5AF-154ED3AEA35F}" srcOrd="0" destOrd="0" parTransId="{473BFF53-F669-C141-A35A-A48430E3FCA3}" sibTransId="{45B59A83-F38F-FF42-9454-5E0139605905}"/>
    <dgm:cxn modelId="{ABDA60E6-D20A-0146-A9C5-B440C48DE052}" type="presOf" srcId="{A8AE0673-98F5-D44F-8932-0D5152BE4E18}" destId="{A23AA5D2-0557-4648-B429-C8EB41FCFF69}" srcOrd="0" destOrd="0" presId="urn:microsoft.com/office/officeart/2005/8/layout/hierarchy1"/>
    <dgm:cxn modelId="{CE700DE7-85B3-434F-BF7A-F13F9DEF79AA}" type="presOf" srcId="{7B35D57E-E8FE-3A47-B99D-2394366941AF}" destId="{8A765B31-4A2C-4940-B8C6-6B2451E9F345}" srcOrd="0" destOrd="0" presId="urn:microsoft.com/office/officeart/2005/8/layout/hierarchy1"/>
    <dgm:cxn modelId="{5C71FBEC-2059-974A-A83F-DACBF0F2F8E5}" type="presOf" srcId="{0613A19A-D057-2047-86A5-A37BDE817014}" destId="{713E7F5F-1F96-D242-ABB0-18FEE730989F}" srcOrd="0" destOrd="0" presId="urn:microsoft.com/office/officeart/2005/8/layout/hierarchy1"/>
    <dgm:cxn modelId="{75C66CF0-2C86-EC4F-A4AC-843571F796CE}" srcId="{1EA618E5-CA9A-4D4D-986C-B0E12FF53CD6}" destId="{3EA94777-8AC9-094F-A5A2-8C255527C547}" srcOrd="0" destOrd="0" parTransId="{A41227CF-156E-B14D-9F36-A8402F3C1DB5}" sibTransId="{308448AD-1B8E-1648-BCA6-8F0D14272561}"/>
    <dgm:cxn modelId="{A15ED7F2-27E5-564A-B54A-F2536DD8E03B}" srcId="{623026C7-3799-2944-83D2-4539C4EB75DA}" destId="{1C760DFF-894D-2849-A0EF-2BD158E68219}" srcOrd="0" destOrd="0" parTransId="{3CCE7FD2-2CF8-A145-8A6C-F440D6F7625C}" sibTransId="{9DBE1DD4-CFD5-3840-910A-C0B25A122DB0}"/>
    <dgm:cxn modelId="{B74A0DF5-E139-D945-AECB-06DF8A04AF9C}" type="presOf" srcId="{D37F44CF-EA32-014B-A49B-18926F61D716}" destId="{98071677-C2DB-0C41-AD62-F3FD6356A338}" srcOrd="0" destOrd="0" presId="urn:microsoft.com/office/officeart/2005/8/layout/hierarchy1"/>
    <dgm:cxn modelId="{855FABF9-36DD-FE45-8F82-4D7E1983C9BC}" type="presOf" srcId="{5FE92E43-FF88-2D46-AA30-21B159E8E851}" destId="{79DF1450-DADD-6446-B1A9-A8C8EBA7FEFF}" srcOrd="0" destOrd="0" presId="urn:microsoft.com/office/officeart/2005/8/layout/hierarchy1"/>
    <dgm:cxn modelId="{3B8949FA-BF66-E64C-98BA-11DEF6B5676B}" type="presOf" srcId="{E97A0948-9A3C-1C4F-AF9E-BD475BF5FCCF}" destId="{C932919A-C41D-F345-9A42-7CFDE40CC72D}" srcOrd="0" destOrd="0" presId="urn:microsoft.com/office/officeart/2005/8/layout/hierarchy1"/>
    <dgm:cxn modelId="{15E9AFC2-5455-BD4E-B98B-A5562374B66B}" type="presParOf" srcId="{1546B4DA-ACAD-7F49-9A48-11D02EDE509F}" destId="{C5E6E28C-8A9A-6541-96CD-0E8B365598CF}" srcOrd="0" destOrd="0" presId="urn:microsoft.com/office/officeart/2005/8/layout/hierarchy1"/>
    <dgm:cxn modelId="{132F0259-43EE-0A44-9259-0F32E6D11501}" type="presParOf" srcId="{C5E6E28C-8A9A-6541-96CD-0E8B365598CF}" destId="{2ACFEF09-781D-3C45-88F1-89AA9A57432B}" srcOrd="0" destOrd="0" presId="urn:microsoft.com/office/officeart/2005/8/layout/hierarchy1"/>
    <dgm:cxn modelId="{20EF2502-607C-E34D-B07A-1260D2409C14}" type="presParOf" srcId="{2ACFEF09-781D-3C45-88F1-89AA9A57432B}" destId="{6E63B474-304C-FA45-9419-5DD2D5964E86}" srcOrd="0" destOrd="0" presId="urn:microsoft.com/office/officeart/2005/8/layout/hierarchy1"/>
    <dgm:cxn modelId="{61646CA8-8B4C-6D46-A9BE-7B17B0219112}" type="presParOf" srcId="{2ACFEF09-781D-3C45-88F1-89AA9A57432B}" destId="{19962A0B-0651-A34B-A932-C22E73295210}" srcOrd="1" destOrd="0" presId="urn:microsoft.com/office/officeart/2005/8/layout/hierarchy1"/>
    <dgm:cxn modelId="{A5DF7569-40BD-1344-9F4F-D8E40A28911A}" type="presParOf" srcId="{C5E6E28C-8A9A-6541-96CD-0E8B365598CF}" destId="{0EE1E323-8854-DC4F-A7ED-5644DE4497E8}" srcOrd="1" destOrd="0" presId="urn:microsoft.com/office/officeart/2005/8/layout/hierarchy1"/>
    <dgm:cxn modelId="{8D066C41-BF46-B346-8F61-E5F0DCCF7892}" type="presParOf" srcId="{0EE1E323-8854-DC4F-A7ED-5644DE4497E8}" destId="{97CEDA74-6DEE-2546-A241-689E6956DF02}" srcOrd="0" destOrd="0" presId="urn:microsoft.com/office/officeart/2005/8/layout/hierarchy1"/>
    <dgm:cxn modelId="{6F42A506-768D-6A4C-A4E3-B8ABB89643EA}" type="presParOf" srcId="{0EE1E323-8854-DC4F-A7ED-5644DE4497E8}" destId="{4BF95575-BF33-6647-8442-CE6AE15F3191}" srcOrd="1" destOrd="0" presId="urn:microsoft.com/office/officeart/2005/8/layout/hierarchy1"/>
    <dgm:cxn modelId="{11D41623-62C2-9342-A774-091BBF23339A}" type="presParOf" srcId="{4BF95575-BF33-6647-8442-CE6AE15F3191}" destId="{C2848393-2FCD-C64E-B83C-FCCB2F562D0D}" srcOrd="0" destOrd="0" presId="urn:microsoft.com/office/officeart/2005/8/layout/hierarchy1"/>
    <dgm:cxn modelId="{C3B35B49-F2BC-514C-9EF3-90B2BEEF1E1A}" type="presParOf" srcId="{C2848393-2FCD-C64E-B83C-FCCB2F562D0D}" destId="{009C2396-87F9-414D-A37E-1DC202367C73}" srcOrd="0" destOrd="0" presId="urn:microsoft.com/office/officeart/2005/8/layout/hierarchy1"/>
    <dgm:cxn modelId="{CE5FC7A6-39D2-CD4D-B90A-7FB28FDFD144}" type="presParOf" srcId="{C2848393-2FCD-C64E-B83C-FCCB2F562D0D}" destId="{648C9E8E-06AA-ED46-B405-474A118D0172}" srcOrd="1" destOrd="0" presId="urn:microsoft.com/office/officeart/2005/8/layout/hierarchy1"/>
    <dgm:cxn modelId="{18521E0F-B453-4343-B114-5692AD01E2A1}" type="presParOf" srcId="{4BF95575-BF33-6647-8442-CE6AE15F3191}" destId="{A731AE84-0434-EE45-9690-F6732A0C928F}" srcOrd="1" destOrd="0" presId="urn:microsoft.com/office/officeart/2005/8/layout/hierarchy1"/>
    <dgm:cxn modelId="{B68B2CB9-3538-DC49-A556-798A3B246B7C}" type="presParOf" srcId="{0EE1E323-8854-DC4F-A7ED-5644DE4497E8}" destId="{713E7F5F-1F96-D242-ABB0-18FEE730989F}" srcOrd="2" destOrd="0" presId="urn:microsoft.com/office/officeart/2005/8/layout/hierarchy1"/>
    <dgm:cxn modelId="{DE382804-4FF8-C944-9DF5-F91C4B78120D}" type="presParOf" srcId="{0EE1E323-8854-DC4F-A7ED-5644DE4497E8}" destId="{6818CBB7-50E0-9C48-8634-194DDC50A000}" srcOrd="3" destOrd="0" presId="urn:microsoft.com/office/officeart/2005/8/layout/hierarchy1"/>
    <dgm:cxn modelId="{527F6EA9-7426-674E-89B5-AA437AC01EF4}" type="presParOf" srcId="{6818CBB7-50E0-9C48-8634-194DDC50A000}" destId="{36B9E8D0-4FF0-7B4B-9BF5-9124962EEAEE}" srcOrd="0" destOrd="0" presId="urn:microsoft.com/office/officeart/2005/8/layout/hierarchy1"/>
    <dgm:cxn modelId="{437B5E8B-EC92-F245-8EA6-B8327C7BFDA1}" type="presParOf" srcId="{36B9E8D0-4FF0-7B4B-9BF5-9124962EEAEE}" destId="{37A0EB28-9FC4-694A-8326-5A19F03522F4}" srcOrd="0" destOrd="0" presId="urn:microsoft.com/office/officeart/2005/8/layout/hierarchy1"/>
    <dgm:cxn modelId="{91CEA66B-8E93-924F-B4EA-5CC4BFCC5D36}" type="presParOf" srcId="{36B9E8D0-4FF0-7B4B-9BF5-9124962EEAEE}" destId="{9FD28732-BA1A-0443-A579-FBECEF5D7BFD}" srcOrd="1" destOrd="0" presId="urn:microsoft.com/office/officeart/2005/8/layout/hierarchy1"/>
    <dgm:cxn modelId="{08275F2F-4D22-8C4F-BDC8-E6055C3EA5B0}" type="presParOf" srcId="{6818CBB7-50E0-9C48-8634-194DDC50A000}" destId="{3817B379-1B2C-3D48-8E23-981BC0391231}" srcOrd="1" destOrd="0" presId="urn:microsoft.com/office/officeart/2005/8/layout/hierarchy1"/>
    <dgm:cxn modelId="{067B1E84-E4D2-DD4F-9109-BFF06592524A}" type="presParOf" srcId="{3817B379-1B2C-3D48-8E23-981BC0391231}" destId="{91542018-33E5-CB42-AE78-E2CDAB8CA91B}" srcOrd="0" destOrd="0" presId="urn:microsoft.com/office/officeart/2005/8/layout/hierarchy1"/>
    <dgm:cxn modelId="{CFE20E5A-DA94-9647-B5DB-3237AD76F6FD}" type="presParOf" srcId="{3817B379-1B2C-3D48-8E23-981BC0391231}" destId="{C7229A71-C2BF-D242-B556-78E41F4F8CED}" srcOrd="1" destOrd="0" presId="urn:microsoft.com/office/officeart/2005/8/layout/hierarchy1"/>
    <dgm:cxn modelId="{FD460E17-AC0B-554F-8547-91DCF980D7E6}" type="presParOf" srcId="{C7229A71-C2BF-D242-B556-78E41F4F8CED}" destId="{78AB1996-0B90-F24C-9C8D-6F3FBF73DA26}" srcOrd="0" destOrd="0" presId="urn:microsoft.com/office/officeart/2005/8/layout/hierarchy1"/>
    <dgm:cxn modelId="{69AF021E-89FC-F941-BC7E-85A5B8D3D354}" type="presParOf" srcId="{78AB1996-0B90-F24C-9C8D-6F3FBF73DA26}" destId="{E50D0D7C-BCE5-2A42-8D2C-338BE73EDC82}" srcOrd="0" destOrd="0" presId="urn:microsoft.com/office/officeart/2005/8/layout/hierarchy1"/>
    <dgm:cxn modelId="{CDF7C157-D14F-4D49-9BC7-322748B95F20}" type="presParOf" srcId="{78AB1996-0B90-F24C-9C8D-6F3FBF73DA26}" destId="{0DE070C8-C921-774B-A29A-68FEEA55E5F6}" srcOrd="1" destOrd="0" presId="urn:microsoft.com/office/officeart/2005/8/layout/hierarchy1"/>
    <dgm:cxn modelId="{807567AD-96BD-AE40-AA02-953176A12898}" type="presParOf" srcId="{C7229A71-C2BF-D242-B556-78E41F4F8CED}" destId="{D794D0C8-8803-4245-8F19-7594CC8DDAA3}" srcOrd="1" destOrd="0" presId="urn:microsoft.com/office/officeart/2005/8/layout/hierarchy1"/>
    <dgm:cxn modelId="{FFBB1366-69C8-304C-88A8-DE182FB5F4DF}" type="presParOf" srcId="{D794D0C8-8803-4245-8F19-7594CC8DDAA3}" destId="{3B0047CD-0550-3044-A141-5627137C3D47}" srcOrd="0" destOrd="0" presId="urn:microsoft.com/office/officeart/2005/8/layout/hierarchy1"/>
    <dgm:cxn modelId="{D280A7F5-9F39-554A-8218-76B520AAD550}" type="presParOf" srcId="{D794D0C8-8803-4245-8F19-7594CC8DDAA3}" destId="{EE1C558C-B987-B242-BC8B-1428293AD931}" srcOrd="1" destOrd="0" presId="urn:microsoft.com/office/officeart/2005/8/layout/hierarchy1"/>
    <dgm:cxn modelId="{C79CF4C7-21A3-3945-885F-9126A63C49BC}" type="presParOf" srcId="{EE1C558C-B987-B242-BC8B-1428293AD931}" destId="{C98415F6-1D30-9A43-B01C-1C7273056C73}" srcOrd="0" destOrd="0" presId="urn:microsoft.com/office/officeart/2005/8/layout/hierarchy1"/>
    <dgm:cxn modelId="{C7EB2737-0AD9-1045-A15A-3C5D83E2DF1B}" type="presParOf" srcId="{C98415F6-1D30-9A43-B01C-1C7273056C73}" destId="{18383369-525F-F540-82A9-EC926502C435}" srcOrd="0" destOrd="0" presId="urn:microsoft.com/office/officeart/2005/8/layout/hierarchy1"/>
    <dgm:cxn modelId="{BB327990-4CB3-B341-864B-8EB0519D8D0A}" type="presParOf" srcId="{C98415F6-1D30-9A43-B01C-1C7273056C73}" destId="{7CA764F3-4373-514A-94E7-01A4A37CE067}" srcOrd="1" destOrd="0" presId="urn:microsoft.com/office/officeart/2005/8/layout/hierarchy1"/>
    <dgm:cxn modelId="{B6B6A440-4878-CD41-9DB0-ED01C97810D6}" type="presParOf" srcId="{EE1C558C-B987-B242-BC8B-1428293AD931}" destId="{D6A770E5-EE55-154C-843A-97E7F0D41C54}" srcOrd="1" destOrd="0" presId="urn:microsoft.com/office/officeart/2005/8/layout/hierarchy1"/>
    <dgm:cxn modelId="{FA883E1D-E34E-2643-8963-E53F463542E8}" type="presParOf" srcId="{D6A770E5-EE55-154C-843A-97E7F0D41C54}" destId="{6045A4FC-A886-B54D-9D56-0F354C4637B9}" srcOrd="0" destOrd="0" presId="urn:microsoft.com/office/officeart/2005/8/layout/hierarchy1"/>
    <dgm:cxn modelId="{34201F70-1C2A-9F44-A11E-6B6BDFB263AC}" type="presParOf" srcId="{D6A770E5-EE55-154C-843A-97E7F0D41C54}" destId="{DB23B137-10CC-1840-A7A6-89F3B4563831}" srcOrd="1" destOrd="0" presId="urn:microsoft.com/office/officeart/2005/8/layout/hierarchy1"/>
    <dgm:cxn modelId="{9A587B60-3BD0-E14D-8589-0D222206AA34}" type="presParOf" srcId="{DB23B137-10CC-1840-A7A6-89F3B4563831}" destId="{D247F651-3786-9F42-8F1D-D0DDD52D8F81}" srcOrd="0" destOrd="0" presId="urn:microsoft.com/office/officeart/2005/8/layout/hierarchy1"/>
    <dgm:cxn modelId="{3456F654-6387-504B-A329-26AD2C266F78}" type="presParOf" srcId="{D247F651-3786-9F42-8F1D-D0DDD52D8F81}" destId="{DA95048B-D1BD-C440-93D7-1B901352BF61}" srcOrd="0" destOrd="0" presId="urn:microsoft.com/office/officeart/2005/8/layout/hierarchy1"/>
    <dgm:cxn modelId="{26081C91-2F06-CD44-9F3D-CDEAD70718F9}" type="presParOf" srcId="{D247F651-3786-9F42-8F1D-D0DDD52D8F81}" destId="{65CDDE48-195E-EB49-9F40-C07ED62F8F60}" srcOrd="1" destOrd="0" presId="urn:microsoft.com/office/officeart/2005/8/layout/hierarchy1"/>
    <dgm:cxn modelId="{3AE79E40-6331-8941-BD1C-6BB89CA56142}" type="presParOf" srcId="{DB23B137-10CC-1840-A7A6-89F3B4563831}" destId="{7E14FB87-988A-7E4A-A7D8-808A10D21A6F}" srcOrd="1" destOrd="0" presId="urn:microsoft.com/office/officeart/2005/8/layout/hierarchy1"/>
    <dgm:cxn modelId="{7958A4F9-0166-A54E-8D20-CAAC22996857}" type="presParOf" srcId="{D6A770E5-EE55-154C-843A-97E7F0D41C54}" destId="{D116C3A9-F809-3940-99DA-56CE3B12E810}" srcOrd="2" destOrd="0" presId="urn:microsoft.com/office/officeart/2005/8/layout/hierarchy1"/>
    <dgm:cxn modelId="{72341DA3-EAD7-554B-B3FB-615D19022391}" type="presParOf" srcId="{D6A770E5-EE55-154C-843A-97E7F0D41C54}" destId="{A2CAED05-03F6-E64C-A65B-DE5B378848C2}" srcOrd="3" destOrd="0" presId="urn:microsoft.com/office/officeart/2005/8/layout/hierarchy1"/>
    <dgm:cxn modelId="{07389264-4F4B-4440-AD57-36B580C3EE2D}" type="presParOf" srcId="{A2CAED05-03F6-E64C-A65B-DE5B378848C2}" destId="{06D4A443-4A8B-6942-8E03-A12A7EF2CEB0}" srcOrd="0" destOrd="0" presId="urn:microsoft.com/office/officeart/2005/8/layout/hierarchy1"/>
    <dgm:cxn modelId="{0E373F87-94B9-D242-B4B8-7AF81C644564}" type="presParOf" srcId="{06D4A443-4A8B-6942-8E03-A12A7EF2CEB0}" destId="{F72CE515-A3E3-4249-B444-31938166FE8B}" srcOrd="0" destOrd="0" presId="urn:microsoft.com/office/officeart/2005/8/layout/hierarchy1"/>
    <dgm:cxn modelId="{33386C57-0E21-5347-ABDD-E48198B59779}" type="presParOf" srcId="{06D4A443-4A8B-6942-8E03-A12A7EF2CEB0}" destId="{0214EF94-5311-7043-B744-F0C4646B4780}" srcOrd="1" destOrd="0" presId="urn:microsoft.com/office/officeart/2005/8/layout/hierarchy1"/>
    <dgm:cxn modelId="{C5805229-5724-F84E-A20E-3C4F6F705F68}" type="presParOf" srcId="{A2CAED05-03F6-E64C-A65B-DE5B378848C2}" destId="{0F67314D-C8A7-894A-A5D0-2E71C822878C}" srcOrd="1" destOrd="0" presId="urn:microsoft.com/office/officeart/2005/8/layout/hierarchy1"/>
    <dgm:cxn modelId="{86E96BA1-FCDF-704A-BDE0-D10B9DC16670}" type="presParOf" srcId="{D6A770E5-EE55-154C-843A-97E7F0D41C54}" destId="{5C9740D9-A087-6E48-B95A-FD3B5143CA33}" srcOrd="4" destOrd="0" presId="urn:microsoft.com/office/officeart/2005/8/layout/hierarchy1"/>
    <dgm:cxn modelId="{2B73C308-3CC5-CC43-A744-E68DC7150623}" type="presParOf" srcId="{D6A770E5-EE55-154C-843A-97E7F0D41C54}" destId="{00620628-7B94-C64A-B8E6-EF1E3F92B414}" srcOrd="5" destOrd="0" presId="urn:microsoft.com/office/officeart/2005/8/layout/hierarchy1"/>
    <dgm:cxn modelId="{009239EE-98BC-504B-9C3D-8DF1AC4B9737}" type="presParOf" srcId="{00620628-7B94-C64A-B8E6-EF1E3F92B414}" destId="{BDE5E513-E769-714D-8837-3C9B20A44960}" srcOrd="0" destOrd="0" presId="urn:microsoft.com/office/officeart/2005/8/layout/hierarchy1"/>
    <dgm:cxn modelId="{BCAB6800-A3A6-7E4E-974F-6D849B8212B0}" type="presParOf" srcId="{BDE5E513-E769-714D-8837-3C9B20A44960}" destId="{779640BE-033D-C642-91C9-8C9E54F6DFF5}" srcOrd="0" destOrd="0" presId="urn:microsoft.com/office/officeart/2005/8/layout/hierarchy1"/>
    <dgm:cxn modelId="{AC0522D0-7C2D-0C48-83BB-9D617CCF6EC9}" type="presParOf" srcId="{BDE5E513-E769-714D-8837-3C9B20A44960}" destId="{F49CCA1C-E46C-9E43-BA57-FE9AA0C73163}" srcOrd="1" destOrd="0" presId="urn:microsoft.com/office/officeart/2005/8/layout/hierarchy1"/>
    <dgm:cxn modelId="{94F93DF0-8EB5-664A-97AD-48576D074AB1}" type="presParOf" srcId="{00620628-7B94-C64A-B8E6-EF1E3F92B414}" destId="{819BA153-894F-5D43-A44D-D6380B570C00}" srcOrd="1" destOrd="0" presId="urn:microsoft.com/office/officeart/2005/8/layout/hierarchy1"/>
    <dgm:cxn modelId="{E3255683-702E-2E4A-9EA6-4EEE6E429C56}" type="presParOf" srcId="{D6A770E5-EE55-154C-843A-97E7F0D41C54}" destId="{0D57E85E-3634-DC40-A076-23AA4509DC5E}" srcOrd="6" destOrd="0" presId="urn:microsoft.com/office/officeart/2005/8/layout/hierarchy1"/>
    <dgm:cxn modelId="{83202337-D03C-7245-84C4-B0309BF981F1}" type="presParOf" srcId="{D6A770E5-EE55-154C-843A-97E7F0D41C54}" destId="{8C7E4C78-EEBD-5647-B0ED-EBDA56A257AE}" srcOrd="7" destOrd="0" presId="urn:microsoft.com/office/officeart/2005/8/layout/hierarchy1"/>
    <dgm:cxn modelId="{9E6CC757-D5C1-4C4E-9598-F6EDAE1163A8}" type="presParOf" srcId="{8C7E4C78-EEBD-5647-B0ED-EBDA56A257AE}" destId="{8BDBF36B-D2F3-B64E-A8C2-E7B85DF4B93F}" srcOrd="0" destOrd="0" presId="urn:microsoft.com/office/officeart/2005/8/layout/hierarchy1"/>
    <dgm:cxn modelId="{2E99D63C-ABAA-8D4F-83E2-8140A63A4D3F}" type="presParOf" srcId="{8BDBF36B-D2F3-B64E-A8C2-E7B85DF4B93F}" destId="{C5A7DB75-61C8-584F-A55E-7CDEF7AD1220}" srcOrd="0" destOrd="0" presId="urn:microsoft.com/office/officeart/2005/8/layout/hierarchy1"/>
    <dgm:cxn modelId="{64A08054-1160-B048-9236-E251BE7936FC}" type="presParOf" srcId="{8BDBF36B-D2F3-B64E-A8C2-E7B85DF4B93F}" destId="{61E20C5D-EDF6-C34A-9B7A-695D7FEEA23A}" srcOrd="1" destOrd="0" presId="urn:microsoft.com/office/officeart/2005/8/layout/hierarchy1"/>
    <dgm:cxn modelId="{24DE0FEF-25B6-B547-B6E3-1C219B3587C6}" type="presParOf" srcId="{8C7E4C78-EEBD-5647-B0ED-EBDA56A257AE}" destId="{C12ACC44-5801-EF4F-A76C-0E31F0AA3225}" srcOrd="1" destOrd="0" presId="urn:microsoft.com/office/officeart/2005/8/layout/hierarchy1"/>
    <dgm:cxn modelId="{F3F26844-5AA6-3448-9484-BF47BA741992}" type="presParOf" srcId="{D794D0C8-8803-4245-8F19-7594CC8DDAA3}" destId="{3460007D-CD9E-4C4D-987C-C790CCD3B132}" srcOrd="2" destOrd="0" presId="urn:microsoft.com/office/officeart/2005/8/layout/hierarchy1"/>
    <dgm:cxn modelId="{7150B4EA-5E96-EC47-849A-1F275DABE691}" type="presParOf" srcId="{D794D0C8-8803-4245-8F19-7594CC8DDAA3}" destId="{E7730CEF-B7F4-8E40-A385-192C06BD8A80}" srcOrd="3" destOrd="0" presId="urn:microsoft.com/office/officeart/2005/8/layout/hierarchy1"/>
    <dgm:cxn modelId="{0B2F44C0-BB81-0047-BE31-659B5F75BF19}" type="presParOf" srcId="{E7730CEF-B7F4-8E40-A385-192C06BD8A80}" destId="{943478FE-4794-F542-8C7E-E99BBD6A677D}" srcOrd="0" destOrd="0" presId="urn:microsoft.com/office/officeart/2005/8/layout/hierarchy1"/>
    <dgm:cxn modelId="{653C1587-4685-7442-9318-C7229609AA23}" type="presParOf" srcId="{943478FE-4794-F542-8C7E-E99BBD6A677D}" destId="{32296AD4-4457-7547-8218-8BC07D635B4F}" srcOrd="0" destOrd="0" presId="urn:microsoft.com/office/officeart/2005/8/layout/hierarchy1"/>
    <dgm:cxn modelId="{3F6D0B40-F38C-7E4F-B634-D83DC3A7CF68}" type="presParOf" srcId="{943478FE-4794-F542-8C7E-E99BBD6A677D}" destId="{B74AC99E-1B9B-2E49-8223-B8E42D3AC91E}" srcOrd="1" destOrd="0" presId="urn:microsoft.com/office/officeart/2005/8/layout/hierarchy1"/>
    <dgm:cxn modelId="{101D321D-1EFE-AD49-8462-BE72A0517BDD}" type="presParOf" srcId="{E7730CEF-B7F4-8E40-A385-192C06BD8A80}" destId="{2B7B2DA5-0BBC-974B-A4C5-CC03CCC6AD73}" srcOrd="1" destOrd="0" presId="urn:microsoft.com/office/officeart/2005/8/layout/hierarchy1"/>
    <dgm:cxn modelId="{6CA2F77A-EB41-8C4F-8FF3-48284A8B1C5D}" type="presParOf" srcId="{3817B379-1B2C-3D48-8E23-981BC0391231}" destId="{610645F8-C1A8-1840-B714-EC3390498F50}" srcOrd="2" destOrd="0" presId="urn:microsoft.com/office/officeart/2005/8/layout/hierarchy1"/>
    <dgm:cxn modelId="{C26588D2-FF4A-DC4F-A87D-CAA787E2A5EF}" type="presParOf" srcId="{3817B379-1B2C-3D48-8E23-981BC0391231}" destId="{A8A5E734-808C-4D4A-9A94-2D1EE7D6C5E9}" srcOrd="3" destOrd="0" presId="urn:microsoft.com/office/officeart/2005/8/layout/hierarchy1"/>
    <dgm:cxn modelId="{D46AD487-DE0F-D046-9E91-7E1F46E8A971}" type="presParOf" srcId="{A8A5E734-808C-4D4A-9A94-2D1EE7D6C5E9}" destId="{1A88D096-CB87-8042-A3A4-CB548499544B}" srcOrd="0" destOrd="0" presId="urn:microsoft.com/office/officeart/2005/8/layout/hierarchy1"/>
    <dgm:cxn modelId="{F631F6C4-0FE8-D145-AE44-5057DEA8707B}" type="presParOf" srcId="{1A88D096-CB87-8042-A3A4-CB548499544B}" destId="{18CD865A-40AC-A742-AEA9-28655D44E125}" srcOrd="0" destOrd="0" presId="urn:microsoft.com/office/officeart/2005/8/layout/hierarchy1"/>
    <dgm:cxn modelId="{F4726AE8-B099-A54F-A2A3-BA624CD148A6}" type="presParOf" srcId="{1A88D096-CB87-8042-A3A4-CB548499544B}" destId="{562747C7-B266-3747-890C-4E833AD36337}" srcOrd="1" destOrd="0" presId="urn:microsoft.com/office/officeart/2005/8/layout/hierarchy1"/>
    <dgm:cxn modelId="{F1A108FC-5480-464F-B21A-B48FA297DECB}" type="presParOf" srcId="{A8A5E734-808C-4D4A-9A94-2D1EE7D6C5E9}" destId="{01312C7C-4837-3E4D-B4C0-86D69FA35E1C}" srcOrd="1" destOrd="0" presId="urn:microsoft.com/office/officeart/2005/8/layout/hierarchy1"/>
    <dgm:cxn modelId="{2062B8E5-DFE2-7341-B905-D0F8C5066BAC}" type="presParOf" srcId="{01312C7C-4837-3E4D-B4C0-86D69FA35E1C}" destId="{8A765B31-4A2C-4940-B8C6-6B2451E9F345}" srcOrd="0" destOrd="0" presId="urn:microsoft.com/office/officeart/2005/8/layout/hierarchy1"/>
    <dgm:cxn modelId="{B2F539D2-40C2-3646-9ADA-92CA70CAF7EB}" type="presParOf" srcId="{01312C7C-4837-3E4D-B4C0-86D69FA35E1C}" destId="{C6B6FBB3-45AC-0D42-B2C6-DBF28A44149C}" srcOrd="1" destOrd="0" presId="urn:microsoft.com/office/officeart/2005/8/layout/hierarchy1"/>
    <dgm:cxn modelId="{B3E4C4BB-47AF-2042-BCB2-B408C4A4E8AF}" type="presParOf" srcId="{C6B6FBB3-45AC-0D42-B2C6-DBF28A44149C}" destId="{67D1D8D4-5A4D-AB41-BC09-E29AFB8F6BCC}" srcOrd="0" destOrd="0" presId="urn:microsoft.com/office/officeart/2005/8/layout/hierarchy1"/>
    <dgm:cxn modelId="{F6BFE311-5CAA-8141-B0EA-F5881548536E}" type="presParOf" srcId="{67D1D8D4-5A4D-AB41-BC09-E29AFB8F6BCC}" destId="{25B8FE10-B77E-8348-AD8C-E7ADCDE1B8A1}" srcOrd="0" destOrd="0" presId="urn:microsoft.com/office/officeart/2005/8/layout/hierarchy1"/>
    <dgm:cxn modelId="{BF3C1450-1462-454E-800A-FC0C428D37DD}" type="presParOf" srcId="{67D1D8D4-5A4D-AB41-BC09-E29AFB8F6BCC}" destId="{C7C284CA-6336-B04F-AF18-9ED7A267B12F}" srcOrd="1" destOrd="0" presId="urn:microsoft.com/office/officeart/2005/8/layout/hierarchy1"/>
    <dgm:cxn modelId="{C30BC0B9-94CC-194F-87A9-BD05473354C5}" type="presParOf" srcId="{C6B6FBB3-45AC-0D42-B2C6-DBF28A44149C}" destId="{DCCC30FE-A73B-1844-A781-92E91E1D8475}" srcOrd="1" destOrd="0" presId="urn:microsoft.com/office/officeart/2005/8/layout/hierarchy1"/>
    <dgm:cxn modelId="{3A230A86-1909-2642-A8B5-E8189FC52047}" type="presParOf" srcId="{01312C7C-4837-3E4D-B4C0-86D69FA35E1C}" destId="{79DF1450-DADD-6446-B1A9-A8C8EBA7FEFF}" srcOrd="2" destOrd="0" presId="urn:microsoft.com/office/officeart/2005/8/layout/hierarchy1"/>
    <dgm:cxn modelId="{8131AE6B-7674-A24D-A3AC-1ECE5FACE2B5}" type="presParOf" srcId="{01312C7C-4837-3E4D-B4C0-86D69FA35E1C}" destId="{27354DE3-B998-6240-980F-6A0B640A7379}" srcOrd="3" destOrd="0" presId="urn:microsoft.com/office/officeart/2005/8/layout/hierarchy1"/>
    <dgm:cxn modelId="{8653C89C-FC3C-A74D-8FC2-1E35AE594829}" type="presParOf" srcId="{27354DE3-B998-6240-980F-6A0B640A7379}" destId="{B0DCB9D4-F04F-4846-BF5A-4FEF3469A25A}" srcOrd="0" destOrd="0" presId="urn:microsoft.com/office/officeart/2005/8/layout/hierarchy1"/>
    <dgm:cxn modelId="{0742309B-A00D-5F42-9E34-D8D1C3680044}" type="presParOf" srcId="{B0DCB9D4-F04F-4846-BF5A-4FEF3469A25A}" destId="{1B6A262E-B73A-CB4C-A5C8-735C3DE1DBBA}" srcOrd="0" destOrd="0" presId="urn:microsoft.com/office/officeart/2005/8/layout/hierarchy1"/>
    <dgm:cxn modelId="{B9BE2A77-0B98-4641-8826-DC8C2017EAB7}" type="presParOf" srcId="{B0DCB9D4-F04F-4846-BF5A-4FEF3469A25A}" destId="{129DA4D2-0408-7C47-AE4E-364954BCF418}" srcOrd="1" destOrd="0" presId="urn:microsoft.com/office/officeart/2005/8/layout/hierarchy1"/>
    <dgm:cxn modelId="{BDDF2D95-9553-7942-8787-ADAD7012A9B8}" type="presParOf" srcId="{27354DE3-B998-6240-980F-6A0B640A7379}" destId="{C3506802-5808-4E42-A707-587BE9085CB3}" srcOrd="1" destOrd="0" presId="urn:microsoft.com/office/officeart/2005/8/layout/hierarchy1"/>
    <dgm:cxn modelId="{4FD8ACEC-DD48-AF42-9D79-2BDE1BDDE756}" type="presParOf" srcId="{3817B379-1B2C-3D48-8E23-981BC0391231}" destId="{A8BC49D5-6802-B943-8BFF-8A695EF6762D}" srcOrd="4" destOrd="0" presId="urn:microsoft.com/office/officeart/2005/8/layout/hierarchy1"/>
    <dgm:cxn modelId="{5B1625DF-33D9-3E47-B4AA-68CECFD0A135}" type="presParOf" srcId="{3817B379-1B2C-3D48-8E23-981BC0391231}" destId="{D10BB21B-1CFC-0040-8E27-C9AF3017777B}" srcOrd="5" destOrd="0" presId="urn:microsoft.com/office/officeart/2005/8/layout/hierarchy1"/>
    <dgm:cxn modelId="{15F78F7B-79CF-FF49-93A1-82624631CA17}" type="presParOf" srcId="{D10BB21B-1CFC-0040-8E27-C9AF3017777B}" destId="{6B80980F-934D-5543-BEB2-F50EAA9FDD79}" srcOrd="0" destOrd="0" presId="urn:microsoft.com/office/officeart/2005/8/layout/hierarchy1"/>
    <dgm:cxn modelId="{CF9B0A08-EB58-074D-AE45-1871859844F2}" type="presParOf" srcId="{6B80980F-934D-5543-BEB2-F50EAA9FDD79}" destId="{6B4E97F0-6E34-A14F-9E15-2FD4445502E4}" srcOrd="0" destOrd="0" presId="urn:microsoft.com/office/officeart/2005/8/layout/hierarchy1"/>
    <dgm:cxn modelId="{6BA4F5B9-F85B-164E-BFB7-5B55C9A22C10}" type="presParOf" srcId="{6B80980F-934D-5543-BEB2-F50EAA9FDD79}" destId="{98071677-C2DB-0C41-AD62-F3FD6356A338}" srcOrd="1" destOrd="0" presId="urn:microsoft.com/office/officeart/2005/8/layout/hierarchy1"/>
    <dgm:cxn modelId="{196EDE77-7F06-1346-8366-FE5695EA38CC}" type="presParOf" srcId="{D10BB21B-1CFC-0040-8E27-C9AF3017777B}" destId="{72D6C53A-A0E5-3D4F-8E89-BF58F3A49772}" srcOrd="1" destOrd="0" presId="urn:microsoft.com/office/officeart/2005/8/layout/hierarchy1"/>
    <dgm:cxn modelId="{3A50EF5A-25B6-D841-AA8C-27B3A51E9476}" type="presParOf" srcId="{72D6C53A-A0E5-3D4F-8E89-BF58F3A49772}" destId="{609DC024-D434-1245-92EE-62330CCD936A}" srcOrd="0" destOrd="0" presId="urn:microsoft.com/office/officeart/2005/8/layout/hierarchy1"/>
    <dgm:cxn modelId="{A2391E89-D0C7-0648-A876-839C64B2687C}" type="presParOf" srcId="{72D6C53A-A0E5-3D4F-8E89-BF58F3A49772}" destId="{FD12A5E1-5287-F249-A8AB-51C28467D8CD}" srcOrd="1" destOrd="0" presId="urn:microsoft.com/office/officeart/2005/8/layout/hierarchy1"/>
    <dgm:cxn modelId="{DF9FAD91-2398-BC4D-BAB3-E9123B297813}" type="presParOf" srcId="{FD12A5E1-5287-F249-A8AB-51C28467D8CD}" destId="{15A4A5D3-C9AD-9146-8203-720FF62512D6}" srcOrd="0" destOrd="0" presId="urn:microsoft.com/office/officeart/2005/8/layout/hierarchy1"/>
    <dgm:cxn modelId="{27C32821-C02E-BD4F-A792-68AF03A075D6}" type="presParOf" srcId="{15A4A5D3-C9AD-9146-8203-720FF62512D6}" destId="{03C8F823-094A-EF4D-958A-DCF43736AEC1}" srcOrd="0" destOrd="0" presId="urn:microsoft.com/office/officeart/2005/8/layout/hierarchy1"/>
    <dgm:cxn modelId="{A5153EA0-1D26-4644-809C-14328747EB80}" type="presParOf" srcId="{15A4A5D3-C9AD-9146-8203-720FF62512D6}" destId="{B1C3A72A-17A0-984F-9446-6F503C57F704}" srcOrd="1" destOrd="0" presId="urn:microsoft.com/office/officeart/2005/8/layout/hierarchy1"/>
    <dgm:cxn modelId="{03F999C0-FD9E-6141-90CB-BB953B80A655}" type="presParOf" srcId="{FD12A5E1-5287-F249-A8AB-51C28467D8CD}" destId="{02297D8B-3D3D-4B48-BE1F-6D7476039492}" srcOrd="1" destOrd="0" presId="urn:microsoft.com/office/officeart/2005/8/layout/hierarchy1"/>
    <dgm:cxn modelId="{532C82D0-F8F2-E14D-86C2-D45329F1BCFF}" type="presParOf" srcId="{02297D8B-3D3D-4B48-BE1F-6D7476039492}" destId="{93F9DCDB-BBA8-024B-8E71-E890CD485590}" srcOrd="0" destOrd="0" presId="urn:microsoft.com/office/officeart/2005/8/layout/hierarchy1"/>
    <dgm:cxn modelId="{4A9175F7-FD11-194B-ACD4-C9F6ED814785}" type="presParOf" srcId="{02297D8B-3D3D-4B48-BE1F-6D7476039492}" destId="{BB2CD038-ABFD-DF4A-BDF5-5F3A107470AA}" srcOrd="1" destOrd="0" presId="urn:microsoft.com/office/officeart/2005/8/layout/hierarchy1"/>
    <dgm:cxn modelId="{A2704F7C-A578-E045-BB91-B6B2372445E8}" type="presParOf" srcId="{BB2CD038-ABFD-DF4A-BDF5-5F3A107470AA}" destId="{EB55EA12-9E65-8D46-96C8-550B7FE2094C}" srcOrd="0" destOrd="0" presId="urn:microsoft.com/office/officeart/2005/8/layout/hierarchy1"/>
    <dgm:cxn modelId="{8853EEED-9603-E24D-80C3-648D3B9AF027}" type="presParOf" srcId="{EB55EA12-9E65-8D46-96C8-550B7FE2094C}" destId="{AC2F3095-E965-6141-A1C1-70305422C4D5}" srcOrd="0" destOrd="0" presId="urn:microsoft.com/office/officeart/2005/8/layout/hierarchy1"/>
    <dgm:cxn modelId="{1FEB8D36-C39C-8C44-81CC-3B6EBB5E44EE}" type="presParOf" srcId="{EB55EA12-9E65-8D46-96C8-550B7FE2094C}" destId="{E1968A49-23C5-AC40-B902-D10BD4975E6F}" srcOrd="1" destOrd="0" presId="urn:microsoft.com/office/officeart/2005/8/layout/hierarchy1"/>
    <dgm:cxn modelId="{3888DF1C-A732-FE4F-AA94-2B53C623918D}" type="presParOf" srcId="{BB2CD038-ABFD-DF4A-BDF5-5F3A107470AA}" destId="{CBCEDBE1-7DAD-654A-9F48-B336ECE20D43}" srcOrd="1" destOrd="0" presId="urn:microsoft.com/office/officeart/2005/8/layout/hierarchy1"/>
    <dgm:cxn modelId="{E50D073E-A27E-6C42-8170-F64DE5B39A86}" type="presParOf" srcId="{72D6C53A-A0E5-3D4F-8E89-BF58F3A49772}" destId="{A23AA5D2-0557-4648-B429-C8EB41FCFF69}" srcOrd="2" destOrd="0" presId="urn:microsoft.com/office/officeart/2005/8/layout/hierarchy1"/>
    <dgm:cxn modelId="{5CEC70CC-CA0F-DD47-97E1-04AF2BD08D32}" type="presParOf" srcId="{72D6C53A-A0E5-3D4F-8E89-BF58F3A49772}" destId="{97235632-F0FD-6E4C-A67C-965CCEDD269A}" srcOrd="3" destOrd="0" presId="urn:microsoft.com/office/officeart/2005/8/layout/hierarchy1"/>
    <dgm:cxn modelId="{0298B197-62A2-7544-8D9C-E2927B19A646}" type="presParOf" srcId="{97235632-F0FD-6E4C-A67C-965CCEDD269A}" destId="{880A7DB6-2F45-4840-BF83-DF7D620FC5BA}" srcOrd="0" destOrd="0" presId="urn:microsoft.com/office/officeart/2005/8/layout/hierarchy1"/>
    <dgm:cxn modelId="{E2322D82-F59E-EE45-A542-9C6AC710DBB6}" type="presParOf" srcId="{880A7DB6-2F45-4840-BF83-DF7D620FC5BA}" destId="{73BB8DDD-AE08-4040-A725-BD8B4D0B0E6A}" srcOrd="0" destOrd="0" presId="urn:microsoft.com/office/officeart/2005/8/layout/hierarchy1"/>
    <dgm:cxn modelId="{539C9ABE-3D5D-AD46-B26E-9CFF42D830C5}" type="presParOf" srcId="{880A7DB6-2F45-4840-BF83-DF7D620FC5BA}" destId="{C932919A-C41D-F345-9A42-7CFDE40CC72D}" srcOrd="1" destOrd="0" presId="urn:microsoft.com/office/officeart/2005/8/layout/hierarchy1"/>
    <dgm:cxn modelId="{8A5E1C95-9C33-E14F-855A-762A7478F652}" type="presParOf" srcId="{97235632-F0FD-6E4C-A67C-965CCEDD269A}" destId="{E35F7E7C-301E-8C4F-A4D0-5A83CA973E1B}" srcOrd="1" destOrd="0" presId="urn:microsoft.com/office/officeart/2005/8/layout/hierarchy1"/>
    <dgm:cxn modelId="{1ED13A13-7EDF-6342-A80F-EAAE1A8E83FB}" type="presParOf" srcId="{0EE1E323-8854-DC4F-A7ED-5644DE4497E8}" destId="{358766D1-1610-3140-897E-74A3D15ABCA5}" srcOrd="4" destOrd="0" presId="urn:microsoft.com/office/officeart/2005/8/layout/hierarchy1"/>
    <dgm:cxn modelId="{EE67D0F4-B2F6-7F4B-9032-6B10792176BE}" type="presParOf" srcId="{0EE1E323-8854-DC4F-A7ED-5644DE4497E8}" destId="{C36036D8-1E5D-FA4B-9466-907F5B0040FD}" srcOrd="5" destOrd="0" presId="urn:microsoft.com/office/officeart/2005/8/layout/hierarchy1"/>
    <dgm:cxn modelId="{4F6C3198-EEFF-0343-A739-1521CA80093C}" type="presParOf" srcId="{C36036D8-1E5D-FA4B-9466-907F5B0040FD}" destId="{5FF5D939-191C-A447-81EE-99AEB8775FFF}" srcOrd="0" destOrd="0" presId="urn:microsoft.com/office/officeart/2005/8/layout/hierarchy1"/>
    <dgm:cxn modelId="{F634D539-D761-A840-B9DD-855908630EC0}" type="presParOf" srcId="{5FF5D939-191C-A447-81EE-99AEB8775FFF}" destId="{721FDE62-FFDF-C043-8AC9-38331BC38B83}" srcOrd="0" destOrd="0" presId="urn:microsoft.com/office/officeart/2005/8/layout/hierarchy1"/>
    <dgm:cxn modelId="{4EB7B876-09F1-D744-9F35-FD60E2AA56EB}" type="presParOf" srcId="{5FF5D939-191C-A447-81EE-99AEB8775FFF}" destId="{2AF156B4-0655-8340-9B90-C9994E734D9F}" srcOrd="1" destOrd="0" presId="urn:microsoft.com/office/officeart/2005/8/layout/hierarchy1"/>
    <dgm:cxn modelId="{FB6140D5-A011-9947-AC37-9CA45A0792D9}" type="presParOf" srcId="{C36036D8-1E5D-FA4B-9466-907F5B0040FD}" destId="{6B4EB939-E071-CC41-8BC3-93040DA7A682}" srcOrd="1" destOrd="0" presId="urn:microsoft.com/office/officeart/2005/8/layout/hierarchy1"/>
  </dgm:cxnLst>
  <dgm:bg/>
  <dgm:whole/>
  <dgm:extLst>
    <a:ext uri="http://schemas.microsoft.com/office/drawing/2008/diagram">
      <dsp:dataModelExt xmlns:dsp="http://schemas.microsoft.com/office/drawing/2008/diagram" relId="rId1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E9EC84-DB1B-E145-B79A-AC02EB372FE9}">
      <dsp:nvSpPr>
        <dsp:cNvPr id="0" name=""/>
        <dsp:cNvSpPr/>
      </dsp:nvSpPr>
      <dsp:spPr>
        <a:xfrm>
          <a:off x="2131749" y="551994"/>
          <a:ext cx="2161431" cy="1057550"/>
        </a:xfrm>
        <a:prstGeom prst="ellipse">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tx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Caractéristiques du systéme de rémunération </a:t>
          </a:r>
        </a:p>
      </dsp:txBody>
      <dsp:txXfrm>
        <a:off x="2448283" y="706869"/>
        <a:ext cx="1528363" cy="747800"/>
      </dsp:txXfrm>
    </dsp:sp>
    <dsp:sp modelId="{0F3C0BDB-5438-3D47-B7D1-E25BBB048494}">
      <dsp:nvSpPr>
        <dsp:cNvPr id="0" name=""/>
        <dsp:cNvSpPr/>
      </dsp:nvSpPr>
      <dsp:spPr>
        <a:xfrm>
          <a:off x="4448418" y="1135717"/>
          <a:ext cx="804230" cy="822631"/>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Stratégique</a:t>
          </a:r>
        </a:p>
      </dsp:txBody>
      <dsp:txXfrm>
        <a:off x="4566195" y="1256189"/>
        <a:ext cx="568676" cy="581687"/>
      </dsp:txXfrm>
    </dsp:sp>
    <dsp:sp modelId="{3C50D13A-4F9C-5B4D-A597-8945871F1535}">
      <dsp:nvSpPr>
        <dsp:cNvPr id="0" name=""/>
        <dsp:cNvSpPr/>
      </dsp:nvSpPr>
      <dsp:spPr>
        <a:xfrm>
          <a:off x="4380353" y="179240"/>
          <a:ext cx="804230" cy="822631"/>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Transparent</a:t>
          </a:r>
        </a:p>
      </dsp:txBody>
      <dsp:txXfrm>
        <a:off x="4498130" y="299712"/>
        <a:ext cx="568676" cy="581687"/>
      </dsp:txXfrm>
    </dsp:sp>
    <dsp:sp modelId="{C0AD574F-C14B-6245-A111-3C57889962C9}">
      <dsp:nvSpPr>
        <dsp:cNvPr id="0" name=""/>
        <dsp:cNvSpPr/>
      </dsp:nvSpPr>
      <dsp:spPr>
        <a:xfrm>
          <a:off x="1170744" y="193049"/>
          <a:ext cx="804230" cy="822631"/>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Compétitif</a:t>
          </a:r>
        </a:p>
      </dsp:txBody>
      <dsp:txXfrm>
        <a:off x="1288521" y="313521"/>
        <a:ext cx="568676" cy="581687"/>
      </dsp:txXfrm>
    </dsp:sp>
    <dsp:sp modelId="{BF6AC4B2-DF00-534F-9022-F80CE53003BB}">
      <dsp:nvSpPr>
        <dsp:cNvPr id="0" name=""/>
        <dsp:cNvSpPr/>
      </dsp:nvSpPr>
      <dsp:spPr>
        <a:xfrm>
          <a:off x="1176002" y="1166209"/>
          <a:ext cx="804230" cy="822631"/>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Équitable</a:t>
          </a:r>
        </a:p>
      </dsp:txBody>
      <dsp:txXfrm>
        <a:off x="1293779" y="1286681"/>
        <a:ext cx="568676" cy="5816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1C7891-EBD6-D446-B214-F4A2F8E2278F}">
      <dsp:nvSpPr>
        <dsp:cNvPr id="0" name=""/>
        <dsp:cNvSpPr/>
      </dsp:nvSpPr>
      <dsp:spPr>
        <a:xfrm rot="5400000">
          <a:off x="708660" y="549238"/>
          <a:ext cx="947733" cy="1577007"/>
        </a:xfrm>
        <a:prstGeom prst="corner">
          <a:avLst>
            <a:gd name="adj1" fmla="val 16120"/>
            <a:gd name="adj2" fmla="val 16110"/>
          </a:avLst>
        </a:prstGeom>
        <a:solidFill>
          <a:srgbClr val="D4CEC2"/>
        </a:solidFill>
        <a:ln w="6350" cap="flat" cmpd="sng" algn="ctr">
          <a:no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A7B5E0ED-464D-1F42-A0E4-683DA67FABA7}">
      <dsp:nvSpPr>
        <dsp:cNvPr id="0" name=""/>
        <dsp:cNvSpPr/>
      </dsp:nvSpPr>
      <dsp:spPr>
        <a:xfrm>
          <a:off x="550460" y="1020423"/>
          <a:ext cx="1423730" cy="12479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fr-FR" sz="1200" kern="1200">
              <a:latin typeface="Times New Roman" panose="02020603050405020304" pitchFamily="18" charset="0"/>
              <a:cs typeface="Times New Roman" panose="02020603050405020304" pitchFamily="18" charset="0"/>
            </a:rPr>
            <a:t>Élaboration du référentiel de compétences</a:t>
          </a:r>
          <a:endParaRPr lang="en-US" sz="1200" kern="1200">
            <a:latin typeface="Times New Roman" panose="02020603050405020304" pitchFamily="18" charset="0"/>
            <a:cs typeface="Times New Roman" panose="02020603050405020304" pitchFamily="18" charset="0"/>
          </a:endParaRPr>
        </a:p>
      </dsp:txBody>
      <dsp:txXfrm>
        <a:off x="550460" y="1020423"/>
        <a:ext cx="1423730" cy="1247983"/>
      </dsp:txXfrm>
    </dsp:sp>
    <dsp:sp modelId="{A4C4EB2F-AD5D-3140-9F3E-91D73C07E2DB}">
      <dsp:nvSpPr>
        <dsp:cNvPr id="0" name=""/>
        <dsp:cNvSpPr/>
      </dsp:nvSpPr>
      <dsp:spPr>
        <a:xfrm>
          <a:off x="1705562" y="433137"/>
          <a:ext cx="268628" cy="268628"/>
        </a:xfrm>
        <a:prstGeom prst="triangle">
          <a:avLst>
            <a:gd name="adj" fmla="val 100000"/>
          </a:avLst>
        </a:prstGeom>
        <a:solidFill>
          <a:srgbClr val="D4CEC2"/>
        </a:solidFill>
        <a:ln w="6350" cap="flat" cmpd="sng" algn="ctr">
          <a:no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9F0B9A4C-B41C-8440-BDEB-D9143C826700}">
      <dsp:nvSpPr>
        <dsp:cNvPr id="0" name=""/>
        <dsp:cNvSpPr/>
      </dsp:nvSpPr>
      <dsp:spPr>
        <a:xfrm rot="5400000">
          <a:off x="2451585" y="117950"/>
          <a:ext cx="947733" cy="1577007"/>
        </a:xfrm>
        <a:prstGeom prst="corner">
          <a:avLst>
            <a:gd name="adj1" fmla="val 16120"/>
            <a:gd name="adj2" fmla="val 16110"/>
          </a:avLst>
        </a:prstGeom>
        <a:solidFill>
          <a:srgbClr val="D4CEC2"/>
        </a:solidFill>
        <a:ln w="6350" cap="flat" cmpd="sng" algn="ctr">
          <a:no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281386FF-9527-9C4E-8AAA-F6EE8819294A}">
      <dsp:nvSpPr>
        <dsp:cNvPr id="0" name=""/>
        <dsp:cNvSpPr/>
      </dsp:nvSpPr>
      <dsp:spPr>
        <a:xfrm>
          <a:off x="2293385" y="589135"/>
          <a:ext cx="1423730" cy="12479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fr-FR" sz="1200" kern="1200">
              <a:latin typeface="Times New Roman" panose="02020603050405020304" pitchFamily="18" charset="0"/>
              <a:cs typeface="Times New Roman" panose="02020603050405020304" pitchFamily="18" charset="0"/>
            </a:rPr>
            <a:t>Évaluation des compétences internes</a:t>
          </a:r>
          <a:endParaRPr lang="en-US" sz="1200" kern="1200">
            <a:latin typeface="Times New Roman" panose="02020603050405020304" pitchFamily="18" charset="0"/>
            <a:cs typeface="Times New Roman" panose="02020603050405020304" pitchFamily="18" charset="0"/>
          </a:endParaRPr>
        </a:p>
      </dsp:txBody>
      <dsp:txXfrm>
        <a:off x="2293385" y="589135"/>
        <a:ext cx="1423730" cy="1247983"/>
      </dsp:txXfrm>
    </dsp:sp>
    <dsp:sp modelId="{D3ACA226-781C-EB4A-8845-37189AA82907}">
      <dsp:nvSpPr>
        <dsp:cNvPr id="0" name=""/>
        <dsp:cNvSpPr/>
      </dsp:nvSpPr>
      <dsp:spPr>
        <a:xfrm>
          <a:off x="3448487" y="1849"/>
          <a:ext cx="268628" cy="268628"/>
        </a:xfrm>
        <a:prstGeom prst="triangle">
          <a:avLst>
            <a:gd name="adj" fmla="val 100000"/>
          </a:avLst>
        </a:prstGeom>
        <a:solidFill>
          <a:srgbClr val="D4CEC2"/>
        </a:solidFill>
        <a:ln w="6350" cap="flat" cmpd="sng" algn="ctr">
          <a:no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1B684E32-122B-A148-B4C9-4D1B2CD925BF}">
      <dsp:nvSpPr>
        <dsp:cNvPr id="0" name=""/>
        <dsp:cNvSpPr/>
      </dsp:nvSpPr>
      <dsp:spPr>
        <a:xfrm rot="5400000">
          <a:off x="4194510" y="-313338"/>
          <a:ext cx="947733" cy="1577007"/>
        </a:xfrm>
        <a:prstGeom prst="corner">
          <a:avLst>
            <a:gd name="adj1" fmla="val 16120"/>
            <a:gd name="adj2" fmla="val 16110"/>
          </a:avLst>
        </a:prstGeom>
        <a:solidFill>
          <a:srgbClr val="D4CEC2"/>
        </a:solidFill>
        <a:ln w="6350" cap="flat" cmpd="sng" algn="ctr">
          <a:no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7F3B43E5-CF4E-5C4C-97C0-DA496C8A8856}">
      <dsp:nvSpPr>
        <dsp:cNvPr id="0" name=""/>
        <dsp:cNvSpPr/>
      </dsp:nvSpPr>
      <dsp:spPr>
        <a:xfrm>
          <a:off x="4036310" y="157846"/>
          <a:ext cx="1423730" cy="12479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fr-FR" sz="1200" kern="1200">
              <a:latin typeface="Times New Roman" panose="02020603050405020304" pitchFamily="18" charset="0"/>
              <a:cs typeface="Times New Roman" panose="02020603050405020304" pitchFamily="18" charset="0"/>
            </a:rPr>
            <a:t>Renforcement des compétences</a:t>
          </a:r>
          <a:endParaRPr lang="en-US" sz="1200" kern="1200">
            <a:latin typeface="Times New Roman" panose="02020603050405020304" pitchFamily="18" charset="0"/>
            <a:cs typeface="Times New Roman" panose="02020603050405020304" pitchFamily="18" charset="0"/>
          </a:endParaRPr>
        </a:p>
      </dsp:txBody>
      <dsp:txXfrm>
        <a:off x="4036310" y="157846"/>
        <a:ext cx="1423730" cy="124798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93B788-7653-4F4F-AB24-61DFF8E5E9C1}">
      <dsp:nvSpPr>
        <dsp:cNvPr id="0" name=""/>
        <dsp:cNvSpPr/>
      </dsp:nvSpPr>
      <dsp:spPr>
        <a:xfrm>
          <a:off x="696862" y="2902"/>
          <a:ext cx="1849854" cy="739941"/>
        </a:xfrm>
        <a:prstGeom prst="chevr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7620" rIns="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anose="02020603050405020304" pitchFamily="18" charset="0"/>
              <a:cs typeface="Times New Roman" panose="02020603050405020304" pitchFamily="18" charset="0"/>
            </a:rPr>
            <a:t>Différences culturelles</a:t>
          </a:r>
        </a:p>
      </dsp:txBody>
      <dsp:txXfrm>
        <a:off x="1066833" y="2902"/>
        <a:ext cx="1109913" cy="739941"/>
      </dsp:txXfrm>
    </dsp:sp>
    <dsp:sp modelId="{2D54A0A9-7649-A640-AEF5-0310C1941B32}">
      <dsp:nvSpPr>
        <dsp:cNvPr id="0" name=""/>
        <dsp:cNvSpPr/>
      </dsp:nvSpPr>
      <dsp:spPr>
        <a:xfrm>
          <a:off x="696862" y="846435"/>
          <a:ext cx="1849854" cy="739941"/>
        </a:xfrm>
        <a:prstGeom prst="chevron">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7620" rIns="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anose="02020603050405020304" pitchFamily="18" charset="0"/>
              <a:cs typeface="Times New Roman" panose="02020603050405020304" pitchFamily="18" charset="0"/>
            </a:rPr>
            <a:t>Barrières linguistiques</a:t>
          </a:r>
        </a:p>
      </dsp:txBody>
      <dsp:txXfrm>
        <a:off x="1066833" y="846435"/>
        <a:ext cx="1109913" cy="739941"/>
      </dsp:txXfrm>
    </dsp:sp>
    <dsp:sp modelId="{E1B81165-DEAB-E544-BB16-F815DC6B4AF3}">
      <dsp:nvSpPr>
        <dsp:cNvPr id="0" name=""/>
        <dsp:cNvSpPr/>
      </dsp:nvSpPr>
      <dsp:spPr>
        <a:xfrm>
          <a:off x="696862" y="1689969"/>
          <a:ext cx="1849854" cy="739941"/>
        </a:xfrm>
        <a:prstGeom prst="chevr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7620" rIns="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anose="02020603050405020304" pitchFamily="18" charset="0"/>
              <a:cs typeface="Times New Roman" panose="02020603050405020304" pitchFamily="18" charset="0"/>
            </a:rPr>
            <a:t>Conformité légale et
réglementaire</a:t>
          </a:r>
        </a:p>
      </dsp:txBody>
      <dsp:txXfrm>
        <a:off x="1066833" y="1689969"/>
        <a:ext cx="1109913" cy="739941"/>
      </dsp:txXfrm>
    </dsp:sp>
    <dsp:sp modelId="{AC845D65-E6E0-DB43-9F5D-FDCE022B115A}">
      <dsp:nvSpPr>
        <dsp:cNvPr id="0" name=""/>
        <dsp:cNvSpPr/>
      </dsp:nvSpPr>
      <dsp:spPr>
        <a:xfrm>
          <a:off x="696862" y="2533502"/>
          <a:ext cx="1849854" cy="739941"/>
        </a:xfrm>
        <a:prstGeom prst="chevron">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7620" rIns="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anose="02020603050405020304" pitchFamily="18" charset="0"/>
              <a:cs typeface="Times New Roman" panose="02020603050405020304" pitchFamily="18" charset="0"/>
            </a:rPr>
            <a:t>Acquisition et rétention de
talents</a:t>
          </a:r>
        </a:p>
      </dsp:txBody>
      <dsp:txXfrm>
        <a:off x="1066833" y="2533502"/>
        <a:ext cx="1109913" cy="739941"/>
      </dsp:txXfrm>
    </dsp:sp>
    <dsp:sp modelId="{60541F6B-84AC-564C-B27E-85E49AEB8167}">
      <dsp:nvSpPr>
        <dsp:cNvPr id="0" name=""/>
        <dsp:cNvSpPr/>
      </dsp:nvSpPr>
      <dsp:spPr>
        <a:xfrm>
          <a:off x="696862" y="3377036"/>
          <a:ext cx="1849854" cy="739941"/>
        </a:xfrm>
        <a:prstGeom prst="chevr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7620" rIns="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anose="02020603050405020304" pitchFamily="18" charset="0"/>
              <a:cs typeface="Times New Roman" panose="02020603050405020304" pitchFamily="18" charset="0"/>
            </a:rPr>
            <a:t>Technologie</a:t>
          </a:r>
        </a:p>
      </dsp:txBody>
      <dsp:txXfrm>
        <a:off x="1066833" y="3377036"/>
        <a:ext cx="1109913" cy="73994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78553E-4F67-7944-B9B4-76B9A5069733}">
      <dsp:nvSpPr>
        <dsp:cNvPr id="0" name=""/>
        <dsp:cNvSpPr/>
      </dsp:nvSpPr>
      <dsp:spPr>
        <a:xfrm>
          <a:off x="428720" y="0"/>
          <a:ext cx="4858829" cy="3200400"/>
        </a:xfrm>
        <a:prstGeom prst="rightArrow">
          <a:avLst/>
        </a:prstGeom>
        <a:solidFill>
          <a:srgbClr val="D4CEC2"/>
        </a:solidFill>
        <a:ln>
          <a:noFill/>
        </a:ln>
        <a:effectLst/>
      </dsp:spPr>
      <dsp:style>
        <a:lnRef idx="0">
          <a:scrgbClr r="0" g="0" b="0"/>
        </a:lnRef>
        <a:fillRef idx="1">
          <a:scrgbClr r="0" g="0" b="0"/>
        </a:fillRef>
        <a:effectRef idx="2">
          <a:scrgbClr r="0" g="0" b="0"/>
        </a:effectRef>
        <a:fontRef idx="minor"/>
      </dsp:style>
    </dsp:sp>
    <dsp:sp modelId="{78EF96CA-301E-3C49-B685-8DB5ACAE2EA0}">
      <dsp:nvSpPr>
        <dsp:cNvPr id="0" name=""/>
        <dsp:cNvSpPr/>
      </dsp:nvSpPr>
      <dsp:spPr>
        <a:xfrm>
          <a:off x="1116" y="960120"/>
          <a:ext cx="714254" cy="1280160"/>
        </a:xfrm>
        <a:prstGeom prst="roundRect">
          <a:avLst/>
        </a:prstGeom>
        <a:solidFill>
          <a:schemeClr val="bg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Définition du besoin </a:t>
          </a:r>
        </a:p>
      </dsp:txBody>
      <dsp:txXfrm>
        <a:off x="35983" y="994987"/>
        <a:ext cx="644520" cy="1210426"/>
      </dsp:txXfrm>
    </dsp:sp>
    <dsp:sp modelId="{4F5A10A7-D9BA-7646-8EAF-39848556CA30}">
      <dsp:nvSpPr>
        <dsp:cNvPr id="0" name=""/>
        <dsp:cNvSpPr/>
      </dsp:nvSpPr>
      <dsp:spPr>
        <a:xfrm>
          <a:off x="834413" y="960120"/>
          <a:ext cx="714254" cy="1280160"/>
        </a:xfrm>
        <a:prstGeom prst="roundRect">
          <a:avLst/>
        </a:prstGeom>
        <a:solidFill>
          <a:schemeClr val="bg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Recherche des candidats</a:t>
          </a:r>
        </a:p>
      </dsp:txBody>
      <dsp:txXfrm>
        <a:off x="869280" y="994987"/>
        <a:ext cx="644520" cy="1210426"/>
      </dsp:txXfrm>
    </dsp:sp>
    <dsp:sp modelId="{0E4E1029-C838-3E47-AFFB-678181D3679D}">
      <dsp:nvSpPr>
        <dsp:cNvPr id="0" name=""/>
        <dsp:cNvSpPr/>
      </dsp:nvSpPr>
      <dsp:spPr>
        <a:xfrm>
          <a:off x="1667710" y="960120"/>
          <a:ext cx="714254" cy="1280160"/>
        </a:xfrm>
        <a:prstGeom prst="roundRect">
          <a:avLst/>
        </a:prstGeom>
        <a:solidFill>
          <a:schemeClr val="bg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La présélection des candidatures</a:t>
          </a:r>
        </a:p>
      </dsp:txBody>
      <dsp:txXfrm>
        <a:off x="1702577" y="994987"/>
        <a:ext cx="644520" cy="1210426"/>
      </dsp:txXfrm>
    </dsp:sp>
    <dsp:sp modelId="{01A1DE8A-13BB-9F43-A0CB-FF71C98190DA}">
      <dsp:nvSpPr>
        <dsp:cNvPr id="0" name=""/>
        <dsp:cNvSpPr/>
      </dsp:nvSpPr>
      <dsp:spPr>
        <a:xfrm>
          <a:off x="2501007" y="960120"/>
          <a:ext cx="714254" cy="1280160"/>
        </a:xfrm>
        <a:prstGeom prst="roundRect">
          <a:avLst/>
        </a:prstGeom>
        <a:solidFill>
          <a:schemeClr val="bg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Les entretiens de recrutement</a:t>
          </a:r>
        </a:p>
      </dsp:txBody>
      <dsp:txXfrm>
        <a:off x="2535874" y="994987"/>
        <a:ext cx="644520" cy="1210426"/>
      </dsp:txXfrm>
    </dsp:sp>
    <dsp:sp modelId="{CFE7A39B-3406-4542-8686-5E38049AB687}">
      <dsp:nvSpPr>
        <dsp:cNvPr id="0" name=""/>
        <dsp:cNvSpPr/>
      </dsp:nvSpPr>
      <dsp:spPr>
        <a:xfrm>
          <a:off x="3334304" y="960120"/>
          <a:ext cx="714254" cy="1280160"/>
        </a:xfrm>
        <a:prstGeom prst="roundRect">
          <a:avLst/>
        </a:prstGeom>
        <a:solidFill>
          <a:schemeClr val="bg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La décision d'embauche</a:t>
          </a:r>
        </a:p>
      </dsp:txBody>
      <dsp:txXfrm>
        <a:off x="3369171" y="994987"/>
        <a:ext cx="644520" cy="1210426"/>
      </dsp:txXfrm>
    </dsp:sp>
    <dsp:sp modelId="{D199B073-179D-6648-A6CA-4205852949AC}">
      <dsp:nvSpPr>
        <dsp:cNvPr id="0" name=""/>
        <dsp:cNvSpPr/>
      </dsp:nvSpPr>
      <dsp:spPr>
        <a:xfrm>
          <a:off x="4167601" y="960120"/>
          <a:ext cx="714254" cy="1280160"/>
        </a:xfrm>
        <a:prstGeom prst="roundRect">
          <a:avLst/>
        </a:prstGeom>
        <a:solidFill>
          <a:schemeClr val="bg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La période d'essai</a:t>
          </a:r>
        </a:p>
      </dsp:txBody>
      <dsp:txXfrm>
        <a:off x="4202468" y="994987"/>
        <a:ext cx="644520" cy="1210426"/>
      </dsp:txXfrm>
    </dsp:sp>
    <dsp:sp modelId="{58D00D2A-E368-1B49-BEE0-AFB096E73862}">
      <dsp:nvSpPr>
        <dsp:cNvPr id="0" name=""/>
        <dsp:cNvSpPr/>
      </dsp:nvSpPr>
      <dsp:spPr>
        <a:xfrm>
          <a:off x="5000898" y="960120"/>
          <a:ext cx="714254" cy="1280160"/>
        </a:xfrm>
        <a:prstGeom prst="roundRect">
          <a:avLst/>
        </a:prstGeom>
        <a:solidFill>
          <a:schemeClr val="bg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L'embauche définitive</a:t>
          </a:r>
        </a:p>
      </dsp:txBody>
      <dsp:txXfrm>
        <a:off x="5035765" y="994987"/>
        <a:ext cx="644520" cy="121042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EDB621-CA31-B540-A28F-703365B0795F}">
      <dsp:nvSpPr>
        <dsp:cNvPr id="0" name=""/>
        <dsp:cNvSpPr/>
      </dsp:nvSpPr>
      <dsp:spPr>
        <a:xfrm>
          <a:off x="2295525" y="0"/>
          <a:ext cx="1398270" cy="1398270"/>
        </a:xfrm>
        <a:prstGeom prst="triangl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Savoir</a:t>
          </a:r>
        </a:p>
      </dsp:txBody>
      <dsp:txXfrm>
        <a:off x="2645093" y="699135"/>
        <a:ext cx="699135" cy="699135"/>
      </dsp:txXfrm>
    </dsp:sp>
    <dsp:sp modelId="{85EE7DEF-D067-5C47-9376-9E31BABC2120}">
      <dsp:nvSpPr>
        <dsp:cNvPr id="0" name=""/>
        <dsp:cNvSpPr/>
      </dsp:nvSpPr>
      <dsp:spPr>
        <a:xfrm>
          <a:off x="1596390" y="1398270"/>
          <a:ext cx="1398270" cy="1398270"/>
        </a:xfrm>
        <a:prstGeom prst="triangl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Savoir-faire</a:t>
          </a:r>
        </a:p>
      </dsp:txBody>
      <dsp:txXfrm>
        <a:off x="1945958" y="2097405"/>
        <a:ext cx="699135" cy="699135"/>
      </dsp:txXfrm>
    </dsp:sp>
    <dsp:sp modelId="{66A82E8C-5682-9D4D-9F65-D10F88FD1716}">
      <dsp:nvSpPr>
        <dsp:cNvPr id="0" name=""/>
        <dsp:cNvSpPr/>
      </dsp:nvSpPr>
      <dsp:spPr>
        <a:xfrm rot="10800000">
          <a:off x="2295525" y="1398270"/>
          <a:ext cx="1398270" cy="1398270"/>
        </a:xfrm>
        <a:prstGeom prst="triangle">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Données objectives</a:t>
          </a:r>
        </a:p>
      </dsp:txBody>
      <dsp:txXfrm rot="10800000">
        <a:off x="2645092" y="1398270"/>
        <a:ext cx="699135" cy="699135"/>
      </dsp:txXfrm>
    </dsp:sp>
    <dsp:sp modelId="{14E0F2E9-107B-7F41-9F57-4165B6B1EEF6}">
      <dsp:nvSpPr>
        <dsp:cNvPr id="0" name=""/>
        <dsp:cNvSpPr/>
      </dsp:nvSpPr>
      <dsp:spPr>
        <a:xfrm>
          <a:off x="2994660" y="1398270"/>
          <a:ext cx="1398270" cy="1398270"/>
        </a:xfrm>
        <a:prstGeom prst="triangl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Savoir-être</a:t>
          </a:r>
        </a:p>
      </dsp:txBody>
      <dsp:txXfrm>
        <a:off x="3344228" y="2097405"/>
        <a:ext cx="699135" cy="69913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7817CB-F8DB-AF4B-9F52-45B2B11147AB}">
      <dsp:nvSpPr>
        <dsp:cNvPr id="0" name=""/>
        <dsp:cNvSpPr/>
      </dsp:nvSpPr>
      <dsp:spPr>
        <a:xfrm>
          <a:off x="0" y="182038"/>
          <a:ext cx="999856" cy="599913"/>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tx1"/>
              </a:solidFill>
              <a:latin typeface="Times New Roman" panose="02020603050405020304" pitchFamily="18" charset="0"/>
              <a:cs typeface="Times New Roman" panose="02020603050405020304" pitchFamily="18" charset="0"/>
            </a:rPr>
            <a:t>Poste à pourvoir</a:t>
          </a:r>
        </a:p>
      </dsp:txBody>
      <dsp:txXfrm>
        <a:off x="17571" y="199609"/>
        <a:ext cx="964714" cy="564771"/>
      </dsp:txXfrm>
    </dsp:sp>
    <dsp:sp modelId="{8C16AF7B-D47D-2C48-8B99-3EADBA6EFA3A}">
      <dsp:nvSpPr>
        <dsp:cNvPr id="0" name=""/>
        <dsp:cNvSpPr/>
      </dsp:nvSpPr>
      <dsp:spPr>
        <a:xfrm rot="50522">
          <a:off x="1100401" y="368405"/>
          <a:ext cx="213204" cy="247964"/>
        </a:xfrm>
        <a:prstGeom prst="rightArrow">
          <a:avLst>
            <a:gd name="adj1" fmla="val 60000"/>
            <a:gd name="adj2" fmla="val 5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latin typeface="Times New Roman" panose="02020603050405020304" pitchFamily="18" charset="0"/>
            <a:cs typeface="Times New Roman" panose="02020603050405020304" pitchFamily="18" charset="0"/>
          </a:endParaRPr>
        </a:p>
      </dsp:txBody>
      <dsp:txXfrm>
        <a:off x="1100404" y="417528"/>
        <a:ext cx="149243" cy="148778"/>
      </dsp:txXfrm>
    </dsp:sp>
    <dsp:sp modelId="{BA67AF1F-6D90-F944-8210-2D177DB3A98A}">
      <dsp:nvSpPr>
        <dsp:cNvPr id="0" name=""/>
        <dsp:cNvSpPr/>
      </dsp:nvSpPr>
      <dsp:spPr>
        <a:xfrm>
          <a:off x="1402085" y="202645"/>
          <a:ext cx="999856" cy="599913"/>
        </a:xfrm>
        <a:prstGeom prst="roundRect">
          <a:avLst>
            <a:gd name="adj" fmla="val 10000"/>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tx1"/>
              </a:solidFill>
              <a:latin typeface="Times New Roman" panose="02020603050405020304" pitchFamily="18" charset="0"/>
              <a:cs typeface="Times New Roman" panose="02020603050405020304" pitchFamily="18" charset="0"/>
            </a:rPr>
            <a:t>Description du poste</a:t>
          </a:r>
        </a:p>
      </dsp:txBody>
      <dsp:txXfrm>
        <a:off x="1419656" y="220216"/>
        <a:ext cx="964714" cy="564771"/>
      </dsp:txXfrm>
    </dsp:sp>
    <dsp:sp modelId="{038CF1CF-0E04-BC42-BD7D-7C7F544D8EA6}">
      <dsp:nvSpPr>
        <dsp:cNvPr id="0" name=""/>
        <dsp:cNvSpPr/>
      </dsp:nvSpPr>
      <dsp:spPr>
        <a:xfrm>
          <a:off x="2501926" y="378620"/>
          <a:ext cx="211969" cy="247964"/>
        </a:xfrm>
        <a:prstGeom prst="rightArrow">
          <a:avLst>
            <a:gd name="adj1" fmla="val 60000"/>
            <a:gd name="adj2" fmla="val 50000"/>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latin typeface="Times New Roman" panose="02020603050405020304" pitchFamily="18" charset="0"/>
            <a:cs typeface="Times New Roman" panose="02020603050405020304" pitchFamily="18" charset="0"/>
          </a:endParaRPr>
        </a:p>
      </dsp:txBody>
      <dsp:txXfrm>
        <a:off x="2501926" y="428213"/>
        <a:ext cx="148378" cy="148778"/>
      </dsp:txXfrm>
    </dsp:sp>
    <dsp:sp modelId="{0D6AF6EE-B4F3-AE46-BAA5-9FB899CDFE77}">
      <dsp:nvSpPr>
        <dsp:cNvPr id="0" name=""/>
        <dsp:cNvSpPr/>
      </dsp:nvSpPr>
      <dsp:spPr>
        <a:xfrm>
          <a:off x="2801883" y="202645"/>
          <a:ext cx="999856" cy="599913"/>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tx1"/>
              </a:solidFill>
              <a:latin typeface="Times New Roman" panose="02020603050405020304" pitchFamily="18" charset="0"/>
              <a:cs typeface="Times New Roman" panose="02020603050405020304" pitchFamily="18" charset="0"/>
            </a:rPr>
            <a:t>Profil recherché</a:t>
          </a:r>
        </a:p>
      </dsp:txBody>
      <dsp:txXfrm>
        <a:off x="2819454" y="220216"/>
        <a:ext cx="964714" cy="564771"/>
      </dsp:txXfrm>
    </dsp:sp>
    <dsp:sp modelId="{DA4CE9FB-429F-7442-992B-CA5AFEA84F5D}">
      <dsp:nvSpPr>
        <dsp:cNvPr id="0" name=""/>
        <dsp:cNvSpPr/>
      </dsp:nvSpPr>
      <dsp:spPr>
        <a:xfrm>
          <a:off x="3901725" y="378620"/>
          <a:ext cx="211969" cy="247964"/>
        </a:xfrm>
        <a:prstGeom prst="rightArrow">
          <a:avLst>
            <a:gd name="adj1" fmla="val 60000"/>
            <a:gd name="adj2" fmla="val 5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latin typeface="Times New Roman" panose="02020603050405020304" pitchFamily="18" charset="0"/>
            <a:cs typeface="Times New Roman" panose="02020603050405020304" pitchFamily="18" charset="0"/>
          </a:endParaRPr>
        </a:p>
      </dsp:txBody>
      <dsp:txXfrm>
        <a:off x="3901725" y="428213"/>
        <a:ext cx="148378" cy="148778"/>
      </dsp:txXfrm>
    </dsp:sp>
    <dsp:sp modelId="{8022AEB8-F80F-F24F-887A-3A000D569CEC}">
      <dsp:nvSpPr>
        <dsp:cNvPr id="0" name=""/>
        <dsp:cNvSpPr/>
      </dsp:nvSpPr>
      <dsp:spPr>
        <a:xfrm>
          <a:off x="4201682" y="202645"/>
          <a:ext cx="999856" cy="599913"/>
        </a:xfrm>
        <a:prstGeom prst="roundRect">
          <a:avLst>
            <a:gd name="adj" fmla="val 10000"/>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tx1"/>
              </a:solidFill>
              <a:latin typeface="Times New Roman" panose="02020603050405020304" pitchFamily="18" charset="0"/>
              <a:cs typeface="Times New Roman" panose="02020603050405020304" pitchFamily="18" charset="0"/>
            </a:rPr>
            <a:t>Nouveau collaborateur</a:t>
          </a:r>
        </a:p>
      </dsp:txBody>
      <dsp:txXfrm>
        <a:off x="4219253" y="220216"/>
        <a:ext cx="964714" cy="56477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F4E0DC-DFAC-2744-A19D-572DB91CF2F9}">
      <dsp:nvSpPr>
        <dsp:cNvPr id="0" name=""/>
        <dsp:cNvSpPr/>
      </dsp:nvSpPr>
      <dsp:spPr>
        <a:xfrm rot="16200000">
          <a:off x="-354048" y="357509"/>
          <a:ext cx="1470025" cy="755005"/>
        </a:xfrm>
        <a:prstGeom prst="flowChartManualOperati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0" tIns="0" rIns="63500" bIns="0" numCol="1" spcCol="1270" anchor="ctr"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Cours en salle</a:t>
          </a:r>
          <a:endParaRPr lang="en-US" sz="1000" b="0" kern="1200">
            <a:latin typeface="Times New Roman" panose="02020603050405020304" pitchFamily="18" charset="0"/>
            <a:cs typeface="Times New Roman" panose="02020603050405020304" pitchFamily="18" charset="0"/>
          </a:endParaRPr>
        </a:p>
      </dsp:txBody>
      <dsp:txXfrm rot="5400000">
        <a:off x="3462" y="294004"/>
        <a:ext cx="755005" cy="882015"/>
      </dsp:txXfrm>
    </dsp:sp>
    <dsp:sp modelId="{705FFA9C-DAA9-814E-AE73-707BF1404E93}">
      <dsp:nvSpPr>
        <dsp:cNvPr id="0" name=""/>
        <dsp:cNvSpPr/>
      </dsp:nvSpPr>
      <dsp:spPr>
        <a:xfrm rot="16200000">
          <a:off x="570320" y="258567"/>
          <a:ext cx="1470025" cy="952890"/>
        </a:xfrm>
        <a:prstGeom prst="flowChartManualOperati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0" tIns="0" rIns="63500" bIns="0" numCol="1" spcCol="1270" anchor="ctr"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Conférences et séminaires</a:t>
          </a:r>
          <a:endParaRPr lang="en-US" sz="1000" b="0" kern="1200">
            <a:latin typeface="Times New Roman" panose="02020603050405020304" pitchFamily="18" charset="0"/>
            <a:cs typeface="Times New Roman" panose="02020603050405020304" pitchFamily="18" charset="0"/>
          </a:endParaRPr>
        </a:p>
      </dsp:txBody>
      <dsp:txXfrm rot="5400000">
        <a:off x="828888" y="294004"/>
        <a:ext cx="952890" cy="882015"/>
      </dsp:txXfrm>
    </dsp:sp>
    <dsp:sp modelId="{01D2D9F2-05A8-E748-9279-6F7D9CFEE790}">
      <dsp:nvSpPr>
        <dsp:cNvPr id="0" name=""/>
        <dsp:cNvSpPr/>
      </dsp:nvSpPr>
      <dsp:spPr>
        <a:xfrm rot="16200000">
          <a:off x="1453198" y="399002"/>
          <a:ext cx="1470025" cy="672020"/>
        </a:xfrm>
        <a:prstGeom prst="flowChartManualOperati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0" tIns="0" rIns="63500" bIns="0" numCol="1" spcCol="1270" anchor="ctr"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Études de cas</a:t>
          </a:r>
          <a:endParaRPr lang="en-US" sz="1000" b="0" kern="1200">
            <a:latin typeface="Times New Roman" panose="02020603050405020304" pitchFamily="18" charset="0"/>
            <a:cs typeface="Times New Roman" panose="02020603050405020304" pitchFamily="18" charset="0"/>
          </a:endParaRPr>
        </a:p>
      </dsp:txBody>
      <dsp:txXfrm rot="5400000">
        <a:off x="1852200" y="294005"/>
        <a:ext cx="672020" cy="882015"/>
      </dsp:txXfrm>
    </dsp:sp>
    <dsp:sp modelId="{2BAB0212-E448-2F4B-B03E-8CD1A1AB09EA}">
      <dsp:nvSpPr>
        <dsp:cNvPr id="0" name=""/>
        <dsp:cNvSpPr/>
      </dsp:nvSpPr>
      <dsp:spPr>
        <a:xfrm rot="16200000">
          <a:off x="2310018" y="284623"/>
          <a:ext cx="1470025" cy="900778"/>
        </a:xfrm>
        <a:prstGeom prst="flowChartManualOperati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0" tIns="0" rIns="63500" bIns="0" numCol="1" spcCol="1270" anchor="ctr"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Formation sur le terrain</a:t>
          </a:r>
          <a:endParaRPr lang="en-US" sz="1000" b="0" kern="1200">
            <a:latin typeface="Times New Roman" panose="02020603050405020304" pitchFamily="18" charset="0"/>
            <a:cs typeface="Times New Roman" panose="02020603050405020304" pitchFamily="18" charset="0"/>
          </a:endParaRPr>
        </a:p>
      </dsp:txBody>
      <dsp:txXfrm rot="5400000">
        <a:off x="2594642" y="294004"/>
        <a:ext cx="900778" cy="882015"/>
      </dsp:txXfrm>
    </dsp:sp>
    <dsp:sp modelId="{C8C1E018-92CC-1E41-AA6C-4B84C87971B5}">
      <dsp:nvSpPr>
        <dsp:cNvPr id="0" name=""/>
        <dsp:cNvSpPr/>
      </dsp:nvSpPr>
      <dsp:spPr>
        <a:xfrm rot="16200000">
          <a:off x="3186581" y="379260"/>
          <a:ext cx="1470025" cy="711503"/>
        </a:xfrm>
        <a:prstGeom prst="flowChartManualOperati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0" tIns="0" rIns="63500" bIns="0" numCol="1" spcCol="1270" anchor="ctr"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Tutorat et mentorat</a:t>
          </a:r>
          <a:endParaRPr lang="en-US" sz="1000" b="0" kern="1200">
            <a:latin typeface="Times New Roman" panose="02020603050405020304" pitchFamily="18" charset="0"/>
            <a:cs typeface="Times New Roman" panose="02020603050405020304" pitchFamily="18" charset="0"/>
          </a:endParaRPr>
        </a:p>
      </dsp:txBody>
      <dsp:txXfrm rot="5400000">
        <a:off x="3565842" y="294004"/>
        <a:ext cx="711503" cy="882015"/>
      </dsp:txXfrm>
    </dsp:sp>
    <dsp:sp modelId="{8A631E75-C0DF-714E-B95B-8E3C86A9DC98}">
      <dsp:nvSpPr>
        <dsp:cNvPr id="0" name=""/>
        <dsp:cNvSpPr/>
      </dsp:nvSpPr>
      <dsp:spPr>
        <a:xfrm rot="16200000">
          <a:off x="4085694" y="265534"/>
          <a:ext cx="1470025" cy="938956"/>
        </a:xfrm>
        <a:prstGeom prst="flowChartManualOperation">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0" tIns="0" rIns="66675" bIns="0" numCol="1" spcCol="1270" anchor="ctr" anchorCtr="0">
          <a:noAutofit/>
        </a:bodyPr>
        <a:lstStyle/>
        <a:p>
          <a:pPr marL="0" lvl="0" indent="0" algn="ctr" defTabSz="466725">
            <a:lnSpc>
              <a:spcPct val="90000"/>
            </a:lnSpc>
            <a:spcBef>
              <a:spcPct val="0"/>
            </a:spcBef>
            <a:spcAft>
              <a:spcPct val="35000"/>
            </a:spcAft>
            <a:buNone/>
          </a:pPr>
          <a:r>
            <a:rPr lang="en-US" sz="1050" b="0" i="0" u="none" kern="1200">
              <a:latin typeface="Times New Roman" panose="02020603050405020304" pitchFamily="18" charset="0"/>
              <a:cs typeface="Times New Roman" panose="02020603050405020304" pitchFamily="18" charset="0"/>
            </a:rPr>
            <a:t>Ateliers pratiques et groupes de discussion</a:t>
          </a:r>
          <a:endParaRPr lang="en-US" sz="1050" b="0" kern="1200">
            <a:latin typeface="Times New Roman" panose="02020603050405020304" pitchFamily="18" charset="0"/>
            <a:cs typeface="Times New Roman" panose="02020603050405020304" pitchFamily="18" charset="0"/>
          </a:endParaRPr>
        </a:p>
      </dsp:txBody>
      <dsp:txXfrm rot="5400000">
        <a:off x="4351229" y="294004"/>
        <a:ext cx="938956" cy="882015"/>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3B7379-3411-8542-9AEE-2DA8E107EE13}">
      <dsp:nvSpPr>
        <dsp:cNvPr id="0" name=""/>
        <dsp:cNvSpPr/>
      </dsp:nvSpPr>
      <dsp:spPr>
        <a:xfrm>
          <a:off x="0" y="563880"/>
          <a:ext cx="5372734" cy="751840"/>
        </a:xfrm>
        <a:prstGeom prst="notchedRightArrow">
          <a:avLst/>
        </a:prstGeom>
        <a:solidFill>
          <a:srgbClr val="D8DCD1"/>
        </a:solidFill>
        <a:ln>
          <a:noFill/>
        </a:ln>
        <a:effectLst/>
      </dsp:spPr>
      <dsp:style>
        <a:lnRef idx="0">
          <a:scrgbClr r="0" g="0" b="0"/>
        </a:lnRef>
        <a:fillRef idx="1">
          <a:scrgbClr r="0" g="0" b="0"/>
        </a:fillRef>
        <a:effectRef idx="2">
          <a:scrgbClr r="0" g="0" b="0"/>
        </a:effectRef>
        <a:fontRef idx="minor"/>
      </dsp:style>
    </dsp:sp>
    <dsp:sp modelId="{487AADFC-B50C-2044-A522-27E97C5A075A}">
      <dsp:nvSpPr>
        <dsp:cNvPr id="0" name=""/>
        <dsp:cNvSpPr/>
      </dsp:nvSpPr>
      <dsp:spPr>
        <a:xfrm>
          <a:off x="529" y="0"/>
          <a:ext cx="1103470" cy="7518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Analyse des besoins</a:t>
          </a:r>
          <a:endParaRPr lang="en-US" sz="1000" b="0" kern="1200">
            <a:latin typeface="Times New Roman" panose="02020603050405020304" pitchFamily="18" charset="0"/>
            <a:cs typeface="Times New Roman" panose="02020603050405020304" pitchFamily="18" charset="0"/>
          </a:endParaRPr>
        </a:p>
      </dsp:txBody>
      <dsp:txXfrm>
        <a:off x="529" y="0"/>
        <a:ext cx="1103470" cy="751840"/>
      </dsp:txXfrm>
    </dsp:sp>
    <dsp:sp modelId="{398F4588-08D3-FE4A-9F2F-74B02CC74D31}">
      <dsp:nvSpPr>
        <dsp:cNvPr id="0" name=""/>
        <dsp:cNvSpPr/>
      </dsp:nvSpPr>
      <dsp:spPr>
        <a:xfrm>
          <a:off x="458284" y="845820"/>
          <a:ext cx="187960" cy="187960"/>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D4F409E4-5F62-844B-948B-49F6808A82FC}">
      <dsp:nvSpPr>
        <dsp:cNvPr id="0" name=""/>
        <dsp:cNvSpPr/>
      </dsp:nvSpPr>
      <dsp:spPr>
        <a:xfrm>
          <a:off x="1134044" y="1127760"/>
          <a:ext cx="990526" cy="7518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t"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Conception et planification</a:t>
          </a:r>
          <a:endParaRPr lang="en-US" sz="1000" b="0" kern="1200">
            <a:latin typeface="Times New Roman" panose="02020603050405020304" pitchFamily="18" charset="0"/>
            <a:cs typeface="Times New Roman" panose="02020603050405020304" pitchFamily="18" charset="0"/>
          </a:endParaRPr>
        </a:p>
      </dsp:txBody>
      <dsp:txXfrm>
        <a:off x="1134044" y="1127760"/>
        <a:ext cx="990526" cy="751840"/>
      </dsp:txXfrm>
    </dsp:sp>
    <dsp:sp modelId="{73E4D24D-812D-D24E-BD62-403407119EC3}">
      <dsp:nvSpPr>
        <dsp:cNvPr id="0" name=""/>
        <dsp:cNvSpPr/>
      </dsp:nvSpPr>
      <dsp:spPr>
        <a:xfrm>
          <a:off x="1535327" y="845820"/>
          <a:ext cx="187960" cy="187960"/>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18314B3-00EF-FE4F-84DC-199321644605}">
      <dsp:nvSpPr>
        <dsp:cNvPr id="0" name=""/>
        <dsp:cNvSpPr/>
      </dsp:nvSpPr>
      <dsp:spPr>
        <a:xfrm>
          <a:off x="2154615" y="0"/>
          <a:ext cx="600891" cy="7518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Mise en œuvre</a:t>
          </a:r>
          <a:endParaRPr lang="en-US" sz="1000" b="0" kern="1200">
            <a:latin typeface="Times New Roman" panose="02020603050405020304" pitchFamily="18" charset="0"/>
            <a:cs typeface="Times New Roman" panose="02020603050405020304" pitchFamily="18" charset="0"/>
          </a:endParaRPr>
        </a:p>
      </dsp:txBody>
      <dsp:txXfrm>
        <a:off x="2154615" y="0"/>
        <a:ext cx="600891" cy="751840"/>
      </dsp:txXfrm>
    </dsp:sp>
    <dsp:sp modelId="{A91C0A98-EB90-7C4D-AA95-C3FFF84A6869}">
      <dsp:nvSpPr>
        <dsp:cNvPr id="0" name=""/>
        <dsp:cNvSpPr/>
      </dsp:nvSpPr>
      <dsp:spPr>
        <a:xfrm>
          <a:off x="2361081" y="845820"/>
          <a:ext cx="187960" cy="187960"/>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7CDA41A-BC2C-8E41-A4F7-D592F4ADCD02}">
      <dsp:nvSpPr>
        <dsp:cNvPr id="0" name=""/>
        <dsp:cNvSpPr/>
      </dsp:nvSpPr>
      <dsp:spPr>
        <a:xfrm>
          <a:off x="2785551" y="1127760"/>
          <a:ext cx="949359" cy="7518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t"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Suivi et accompagnement</a:t>
          </a:r>
          <a:endParaRPr lang="en-US" sz="1000" b="0" kern="1200">
            <a:latin typeface="Times New Roman" panose="02020603050405020304" pitchFamily="18" charset="0"/>
            <a:cs typeface="Times New Roman" panose="02020603050405020304" pitchFamily="18" charset="0"/>
          </a:endParaRPr>
        </a:p>
      </dsp:txBody>
      <dsp:txXfrm>
        <a:off x="2785551" y="1127760"/>
        <a:ext cx="949359" cy="751840"/>
      </dsp:txXfrm>
    </dsp:sp>
    <dsp:sp modelId="{A3C1FC27-B2B0-4A4D-9D30-C4270BC906DB}">
      <dsp:nvSpPr>
        <dsp:cNvPr id="0" name=""/>
        <dsp:cNvSpPr/>
      </dsp:nvSpPr>
      <dsp:spPr>
        <a:xfrm>
          <a:off x="3166251" y="845820"/>
          <a:ext cx="187960" cy="187960"/>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52194B8-E159-574C-B869-4C726825C137}">
      <dsp:nvSpPr>
        <dsp:cNvPr id="0" name=""/>
        <dsp:cNvSpPr/>
      </dsp:nvSpPr>
      <dsp:spPr>
        <a:xfrm>
          <a:off x="3764955" y="0"/>
          <a:ext cx="1069976" cy="7518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en-US" sz="1000" b="0" i="0" u="none" kern="1200">
              <a:latin typeface="Times New Roman" panose="02020603050405020304" pitchFamily="18" charset="0"/>
              <a:cs typeface="Times New Roman" panose="02020603050405020304" pitchFamily="18" charset="0"/>
            </a:rPr>
            <a:t>Évaluation et amélioration</a:t>
          </a:r>
          <a:endParaRPr lang="en-US" sz="1000" b="0" kern="1200">
            <a:latin typeface="Times New Roman" panose="02020603050405020304" pitchFamily="18" charset="0"/>
            <a:cs typeface="Times New Roman" panose="02020603050405020304" pitchFamily="18" charset="0"/>
          </a:endParaRPr>
        </a:p>
      </dsp:txBody>
      <dsp:txXfrm>
        <a:off x="3764955" y="0"/>
        <a:ext cx="1069976" cy="751840"/>
      </dsp:txXfrm>
    </dsp:sp>
    <dsp:sp modelId="{E161C180-C8C6-FD47-BBDA-0DC71BBAA9BF}">
      <dsp:nvSpPr>
        <dsp:cNvPr id="0" name=""/>
        <dsp:cNvSpPr/>
      </dsp:nvSpPr>
      <dsp:spPr>
        <a:xfrm>
          <a:off x="4205963" y="845820"/>
          <a:ext cx="187960" cy="187960"/>
        </a:xfrm>
        <a:prstGeom prst="ellipse">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62D11B-EBC8-9E4A-8754-2838288C2C41}">
      <dsp:nvSpPr>
        <dsp:cNvPr id="0" name=""/>
        <dsp:cNvSpPr/>
      </dsp:nvSpPr>
      <dsp:spPr>
        <a:xfrm>
          <a:off x="508593" y="201"/>
          <a:ext cx="1514897" cy="908938"/>
        </a:xfrm>
        <a:prstGeom prst="rect">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i="0" u="none" kern="1200">
              <a:solidFill>
                <a:sysClr val="windowText" lastClr="000000"/>
              </a:solidFill>
              <a:latin typeface="Times New Roman" panose="02020603050405020304" pitchFamily="18" charset="0"/>
              <a:cs typeface="Times New Roman" panose="02020603050405020304" pitchFamily="18" charset="0"/>
            </a:rPr>
            <a:t>Contraintes budgétaires</a:t>
          </a:r>
          <a:endParaRPr lang="en-US" sz="1050" b="0" kern="1200">
            <a:solidFill>
              <a:sysClr val="windowText" lastClr="000000"/>
            </a:solidFill>
            <a:latin typeface="Times New Roman" panose="02020603050405020304" pitchFamily="18" charset="0"/>
            <a:cs typeface="Times New Roman" panose="02020603050405020304" pitchFamily="18" charset="0"/>
          </a:endParaRPr>
        </a:p>
      </dsp:txBody>
      <dsp:txXfrm>
        <a:off x="508593" y="201"/>
        <a:ext cx="1514897" cy="908938"/>
      </dsp:txXfrm>
    </dsp:sp>
    <dsp:sp modelId="{68AC421F-B818-504C-A07D-E8A1641F834F}">
      <dsp:nvSpPr>
        <dsp:cNvPr id="0" name=""/>
        <dsp:cNvSpPr/>
      </dsp:nvSpPr>
      <dsp:spPr>
        <a:xfrm>
          <a:off x="2174981" y="201"/>
          <a:ext cx="1514897" cy="908938"/>
        </a:xfrm>
        <a:prstGeom prst="rect">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i="0" u="none" kern="1200">
              <a:solidFill>
                <a:sysClr val="windowText" lastClr="000000"/>
              </a:solidFill>
              <a:latin typeface="Times New Roman" panose="02020603050405020304" pitchFamily="18" charset="0"/>
              <a:cs typeface="Times New Roman" panose="02020603050405020304" pitchFamily="18" charset="0"/>
            </a:rPr>
            <a:t>Identification des besoins</a:t>
          </a:r>
          <a:endParaRPr lang="en-US" sz="1050" b="0" kern="1200">
            <a:solidFill>
              <a:sysClr val="windowText" lastClr="000000"/>
            </a:solidFill>
            <a:latin typeface="Times New Roman" panose="02020603050405020304" pitchFamily="18" charset="0"/>
            <a:cs typeface="Times New Roman" panose="02020603050405020304" pitchFamily="18" charset="0"/>
          </a:endParaRPr>
        </a:p>
      </dsp:txBody>
      <dsp:txXfrm>
        <a:off x="2174981" y="201"/>
        <a:ext cx="1514897" cy="908938"/>
      </dsp:txXfrm>
    </dsp:sp>
    <dsp:sp modelId="{BE2E5C7E-D055-D346-ADA2-8C9160908547}">
      <dsp:nvSpPr>
        <dsp:cNvPr id="0" name=""/>
        <dsp:cNvSpPr/>
      </dsp:nvSpPr>
      <dsp:spPr>
        <a:xfrm>
          <a:off x="3841368" y="201"/>
          <a:ext cx="1514897" cy="908938"/>
        </a:xfrm>
        <a:prstGeom prst="rect">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i="0" u="none" kern="1200">
              <a:solidFill>
                <a:sysClr val="windowText" lastClr="000000"/>
              </a:solidFill>
              <a:latin typeface="Times New Roman" panose="02020603050405020304" pitchFamily="18" charset="0"/>
              <a:cs typeface="Times New Roman" panose="02020603050405020304" pitchFamily="18" charset="0"/>
            </a:rPr>
            <a:t>Résistance au changement</a:t>
          </a:r>
          <a:endParaRPr lang="en-US" sz="1050" b="0" kern="1200">
            <a:solidFill>
              <a:sysClr val="windowText" lastClr="000000"/>
            </a:solidFill>
            <a:latin typeface="Times New Roman" panose="02020603050405020304" pitchFamily="18" charset="0"/>
            <a:cs typeface="Times New Roman" panose="02020603050405020304" pitchFamily="18" charset="0"/>
          </a:endParaRPr>
        </a:p>
      </dsp:txBody>
      <dsp:txXfrm>
        <a:off x="3841368" y="201"/>
        <a:ext cx="1514897" cy="908938"/>
      </dsp:txXfrm>
    </dsp:sp>
    <dsp:sp modelId="{F66F31E0-9360-E849-BAE0-4BBFB3A806A3}">
      <dsp:nvSpPr>
        <dsp:cNvPr id="0" name=""/>
        <dsp:cNvSpPr/>
      </dsp:nvSpPr>
      <dsp:spPr>
        <a:xfrm>
          <a:off x="508593" y="1060629"/>
          <a:ext cx="1514897" cy="908938"/>
        </a:xfrm>
        <a:prstGeom prst="rect">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i="0" u="none" kern="1200">
              <a:solidFill>
                <a:sysClr val="windowText" lastClr="000000"/>
              </a:solidFill>
              <a:latin typeface="Times New Roman" panose="02020603050405020304" pitchFamily="18" charset="0"/>
              <a:cs typeface="Times New Roman" panose="02020603050405020304" pitchFamily="18" charset="0"/>
            </a:rPr>
            <a:t>Contraintes organisationnelles</a:t>
          </a:r>
          <a:endParaRPr lang="en-US" sz="1050" b="0" kern="1200">
            <a:solidFill>
              <a:sysClr val="windowText" lastClr="000000"/>
            </a:solidFill>
            <a:latin typeface="Times New Roman" panose="02020603050405020304" pitchFamily="18" charset="0"/>
            <a:cs typeface="Times New Roman" panose="02020603050405020304" pitchFamily="18" charset="0"/>
          </a:endParaRPr>
        </a:p>
      </dsp:txBody>
      <dsp:txXfrm>
        <a:off x="508593" y="1060629"/>
        <a:ext cx="1514897" cy="908938"/>
      </dsp:txXfrm>
    </dsp:sp>
    <dsp:sp modelId="{518EB54D-28F3-1041-94DD-61CA34B79937}">
      <dsp:nvSpPr>
        <dsp:cNvPr id="0" name=""/>
        <dsp:cNvSpPr/>
      </dsp:nvSpPr>
      <dsp:spPr>
        <a:xfrm>
          <a:off x="2174981" y="1060629"/>
          <a:ext cx="1514897" cy="908938"/>
        </a:xfrm>
        <a:prstGeom prst="rect">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i="0" u="none" kern="1200">
              <a:solidFill>
                <a:sysClr val="windowText" lastClr="000000"/>
              </a:solidFill>
              <a:latin typeface="Times New Roman" panose="02020603050405020304" pitchFamily="18" charset="0"/>
              <a:cs typeface="Times New Roman" panose="02020603050405020304" pitchFamily="18" charset="0"/>
            </a:rPr>
            <a:t>Évaluation et impact</a:t>
          </a:r>
          <a:endParaRPr lang="en-US" sz="1050" b="0" kern="1200">
            <a:solidFill>
              <a:sysClr val="windowText" lastClr="000000"/>
            </a:solidFill>
            <a:latin typeface="Times New Roman" panose="02020603050405020304" pitchFamily="18" charset="0"/>
            <a:cs typeface="Times New Roman" panose="02020603050405020304" pitchFamily="18" charset="0"/>
          </a:endParaRPr>
        </a:p>
      </dsp:txBody>
      <dsp:txXfrm>
        <a:off x="2174981" y="1060629"/>
        <a:ext cx="1514897" cy="908938"/>
      </dsp:txXfrm>
    </dsp:sp>
    <dsp:sp modelId="{B10064A7-C334-6B4E-A00B-8B79D239685C}">
      <dsp:nvSpPr>
        <dsp:cNvPr id="0" name=""/>
        <dsp:cNvSpPr/>
      </dsp:nvSpPr>
      <dsp:spPr>
        <a:xfrm>
          <a:off x="3841368" y="1060629"/>
          <a:ext cx="1514897" cy="908938"/>
        </a:xfrm>
        <a:prstGeom prst="rect">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i="0" u="none" kern="1200">
              <a:solidFill>
                <a:sysClr val="windowText" lastClr="000000"/>
              </a:solidFill>
              <a:latin typeface="Times New Roman" panose="02020603050405020304" pitchFamily="18" charset="0"/>
              <a:cs typeface="Times New Roman" panose="02020603050405020304" pitchFamily="18" charset="0"/>
            </a:rPr>
            <a:t>Adaptation aux évolutions technologiques</a:t>
          </a:r>
          <a:endParaRPr lang="en-US" sz="1050" b="0" kern="1200">
            <a:solidFill>
              <a:sysClr val="windowText" lastClr="000000"/>
            </a:solidFill>
            <a:latin typeface="Times New Roman" panose="02020603050405020304" pitchFamily="18" charset="0"/>
            <a:cs typeface="Times New Roman" panose="02020603050405020304" pitchFamily="18" charset="0"/>
          </a:endParaRPr>
        </a:p>
      </dsp:txBody>
      <dsp:txXfrm>
        <a:off x="3841368" y="1060629"/>
        <a:ext cx="1514897" cy="908938"/>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DCD574-0358-8049-A295-F23CA14E779F}">
      <dsp:nvSpPr>
        <dsp:cNvPr id="0" name=""/>
        <dsp:cNvSpPr/>
      </dsp:nvSpPr>
      <dsp:spPr>
        <a:xfrm>
          <a:off x="0" y="559879"/>
          <a:ext cx="6410325" cy="746506"/>
        </a:xfrm>
        <a:prstGeom prst="notchedRightArrow">
          <a:avLst/>
        </a:prstGeom>
        <a:solidFill>
          <a:srgbClr val="D8DCD1"/>
        </a:solidFill>
        <a:ln>
          <a:noFill/>
        </a:ln>
        <a:effectLst/>
      </dsp:spPr>
      <dsp:style>
        <a:lnRef idx="0">
          <a:scrgbClr r="0" g="0" b="0"/>
        </a:lnRef>
        <a:fillRef idx="1">
          <a:scrgbClr r="0" g="0" b="0"/>
        </a:fillRef>
        <a:effectRef idx="0">
          <a:scrgbClr r="0" g="0" b="0"/>
        </a:effectRef>
        <a:fontRef idx="minor"/>
      </dsp:style>
    </dsp:sp>
    <dsp:sp modelId="{850E7559-7710-8C41-8B07-6E2EB5C9DDD7}">
      <dsp:nvSpPr>
        <dsp:cNvPr id="0" name=""/>
        <dsp:cNvSpPr/>
      </dsp:nvSpPr>
      <dsp:spPr>
        <a:xfrm>
          <a:off x="1191" y="0"/>
          <a:ext cx="554673" cy="746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US" sz="800" b="0" i="0" u="none" kern="1200">
              <a:latin typeface="Times New Roman" panose="02020603050405020304" pitchFamily="18" charset="0"/>
              <a:cs typeface="Times New Roman" panose="02020603050405020304" pitchFamily="18" charset="0"/>
            </a:rPr>
            <a:t>Diagnostic numérique</a:t>
          </a:r>
          <a:endParaRPr lang="en-US" sz="800" kern="1200">
            <a:latin typeface="Times New Roman" panose="02020603050405020304" pitchFamily="18" charset="0"/>
            <a:cs typeface="Times New Roman" panose="02020603050405020304" pitchFamily="18" charset="0"/>
          </a:endParaRPr>
        </a:p>
      </dsp:txBody>
      <dsp:txXfrm>
        <a:off x="1191" y="0"/>
        <a:ext cx="554673" cy="746506"/>
      </dsp:txXfrm>
    </dsp:sp>
    <dsp:sp modelId="{9DED0567-103F-5649-9033-F2E2FBA418AD}">
      <dsp:nvSpPr>
        <dsp:cNvPr id="0" name=""/>
        <dsp:cNvSpPr/>
      </dsp:nvSpPr>
      <dsp:spPr>
        <a:xfrm>
          <a:off x="185214" y="839819"/>
          <a:ext cx="186626" cy="186626"/>
        </a:xfrm>
        <a:prstGeom prst="ellipse">
          <a:avLst/>
        </a:prstGeom>
        <a:solidFill>
          <a:srgbClr val="D4CEC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E9619D8-4247-5343-A649-7BA7164C0E17}">
      <dsp:nvSpPr>
        <dsp:cNvPr id="0" name=""/>
        <dsp:cNvSpPr/>
      </dsp:nvSpPr>
      <dsp:spPr>
        <a:xfrm>
          <a:off x="572908" y="1119759"/>
          <a:ext cx="732146" cy="746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marL="0" lvl="0" indent="0" algn="ctr" defTabSz="355600">
            <a:lnSpc>
              <a:spcPct val="90000"/>
            </a:lnSpc>
            <a:spcBef>
              <a:spcPct val="0"/>
            </a:spcBef>
            <a:spcAft>
              <a:spcPct val="35000"/>
            </a:spcAft>
            <a:buNone/>
          </a:pPr>
          <a:r>
            <a:rPr lang="en-US" sz="800" b="0" i="0" u="none" kern="1200">
              <a:latin typeface="Times New Roman" panose="02020603050405020304" pitchFamily="18" charset="0"/>
              <a:cs typeface="Times New Roman" panose="02020603050405020304" pitchFamily="18" charset="0"/>
            </a:rPr>
            <a:t>Intégration technologique</a:t>
          </a:r>
          <a:endParaRPr lang="en-US" sz="800" kern="1200">
            <a:latin typeface="Times New Roman" panose="02020603050405020304" pitchFamily="18" charset="0"/>
            <a:cs typeface="Times New Roman" panose="02020603050405020304" pitchFamily="18" charset="0"/>
          </a:endParaRPr>
        </a:p>
      </dsp:txBody>
      <dsp:txXfrm>
        <a:off x="572908" y="1119759"/>
        <a:ext cx="732146" cy="746506"/>
      </dsp:txXfrm>
    </dsp:sp>
    <dsp:sp modelId="{4BE98175-29D7-DA4F-902A-E38096DB3E7B}">
      <dsp:nvSpPr>
        <dsp:cNvPr id="0" name=""/>
        <dsp:cNvSpPr/>
      </dsp:nvSpPr>
      <dsp:spPr>
        <a:xfrm>
          <a:off x="845668" y="839819"/>
          <a:ext cx="186626" cy="186626"/>
        </a:xfrm>
        <a:prstGeom prst="ellipse">
          <a:avLst/>
        </a:prstGeom>
        <a:solidFill>
          <a:srgbClr val="D4CEC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4D3BEB-EB3D-7549-BF43-026D5CA2F056}">
      <dsp:nvSpPr>
        <dsp:cNvPr id="0" name=""/>
        <dsp:cNvSpPr/>
      </dsp:nvSpPr>
      <dsp:spPr>
        <a:xfrm>
          <a:off x="1322097" y="0"/>
          <a:ext cx="910349" cy="746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US" sz="800" b="0" i="0" u="none" kern="1200">
              <a:latin typeface="Times New Roman" panose="02020603050405020304" pitchFamily="18" charset="0"/>
              <a:cs typeface="Times New Roman" panose="02020603050405020304" pitchFamily="18" charset="0"/>
            </a:rPr>
            <a:t>Adaptation comportementale</a:t>
          </a:r>
          <a:endParaRPr lang="en-US" sz="800" kern="1200">
            <a:latin typeface="Times New Roman" panose="02020603050405020304" pitchFamily="18" charset="0"/>
            <a:cs typeface="Times New Roman" panose="02020603050405020304" pitchFamily="18" charset="0"/>
          </a:endParaRPr>
        </a:p>
      </dsp:txBody>
      <dsp:txXfrm>
        <a:off x="1322097" y="0"/>
        <a:ext cx="910349" cy="746506"/>
      </dsp:txXfrm>
    </dsp:sp>
    <dsp:sp modelId="{9DECB544-F235-C246-B87A-6B4A9D477427}">
      <dsp:nvSpPr>
        <dsp:cNvPr id="0" name=""/>
        <dsp:cNvSpPr/>
      </dsp:nvSpPr>
      <dsp:spPr>
        <a:xfrm>
          <a:off x="1683959" y="839819"/>
          <a:ext cx="186626" cy="186626"/>
        </a:xfrm>
        <a:prstGeom prst="ellipse">
          <a:avLst/>
        </a:prstGeom>
        <a:solidFill>
          <a:srgbClr val="D4CEC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8C58CD6-D9F6-BD49-865D-D4DF6A19F56D}">
      <dsp:nvSpPr>
        <dsp:cNvPr id="0" name=""/>
        <dsp:cNvSpPr/>
      </dsp:nvSpPr>
      <dsp:spPr>
        <a:xfrm>
          <a:off x="2249490" y="1119759"/>
          <a:ext cx="622460" cy="746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marL="0" lvl="0" indent="0" algn="ctr" defTabSz="355600">
            <a:lnSpc>
              <a:spcPct val="90000"/>
            </a:lnSpc>
            <a:spcBef>
              <a:spcPct val="0"/>
            </a:spcBef>
            <a:spcAft>
              <a:spcPct val="35000"/>
            </a:spcAft>
            <a:buNone/>
          </a:pPr>
          <a:r>
            <a:rPr lang="en-US" sz="800" b="0" i="0" u="none" kern="1200">
              <a:latin typeface="Times New Roman" panose="02020603050405020304" pitchFamily="18" charset="0"/>
              <a:cs typeface="Times New Roman" panose="02020603050405020304" pitchFamily="18" charset="0"/>
            </a:rPr>
            <a:t>Justification stratégique</a:t>
          </a:r>
          <a:endParaRPr lang="en-US" sz="800" kern="1200">
            <a:latin typeface="Times New Roman" panose="02020603050405020304" pitchFamily="18" charset="0"/>
            <a:cs typeface="Times New Roman" panose="02020603050405020304" pitchFamily="18" charset="0"/>
          </a:endParaRPr>
        </a:p>
      </dsp:txBody>
      <dsp:txXfrm>
        <a:off x="2249490" y="1119759"/>
        <a:ext cx="622460" cy="746506"/>
      </dsp:txXfrm>
    </dsp:sp>
    <dsp:sp modelId="{A88E1B6A-38CB-324F-922F-E166672BBC5F}">
      <dsp:nvSpPr>
        <dsp:cNvPr id="0" name=""/>
        <dsp:cNvSpPr/>
      </dsp:nvSpPr>
      <dsp:spPr>
        <a:xfrm>
          <a:off x="2467407" y="839819"/>
          <a:ext cx="186626" cy="186626"/>
        </a:xfrm>
        <a:prstGeom prst="ellipse">
          <a:avLst/>
        </a:prstGeom>
        <a:solidFill>
          <a:srgbClr val="D4CEC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4B88411-8644-6E4D-A8E9-95A27294E3B9}">
      <dsp:nvSpPr>
        <dsp:cNvPr id="0" name=""/>
        <dsp:cNvSpPr/>
      </dsp:nvSpPr>
      <dsp:spPr>
        <a:xfrm>
          <a:off x="2888993" y="0"/>
          <a:ext cx="750894" cy="746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US" sz="800" b="0" i="0" u="none" kern="1200">
              <a:latin typeface="Times New Roman" panose="02020603050405020304" pitchFamily="18" charset="0"/>
              <a:cs typeface="Times New Roman" panose="02020603050405020304" pitchFamily="18" charset="0"/>
            </a:rPr>
            <a:t>Digitalisation RH</a:t>
          </a:r>
          <a:endParaRPr lang="en-US" sz="800" kern="1200">
            <a:latin typeface="Times New Roman" panose="02020603050405020304" pitchFamily="18" charset="0"/>
            <a:cs typeface="Times New Roman" panose="02020603050405020304" pitchFamily="18" charset="0"/>
          </a:endParaRPr>
        </a:p>
      </dsp:txBody>
      <dsp:txXfrm>
        <a:off x="2888993" y="0"/>
        <a:ext cx="750894" cy="746506"/>
      </dsp:txXfrm>
    </dsp:sp>
    <dsp:sp modelId="{F7F86CAE-D5CB-3949-BED3-4D740B5D6483}">
      <dsp:nvSpPr>
        <dsp:cNvPr id="0" name=""/>
        <dsp:cNvSpPr/>
      </dsp:nvSpPr>
      <dsp:spPr>
        <a:xfrm>
          <a:off x="3171127" y="839819"/>
          <a:ext cx="186626" cy="186626"/>
        </a:xfrm>
        <a:prstGeom prst="ellipse">
          <a:avLst/>
        </a:prstGeom>
        <a:solidFill>
          <a:srgbClr val="D4CEC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4FFD960-5A7E-E841-9963-1F3E5851D79D}">
      <dsp:nvSpPr>
        <dsp:cNvPr id="0" name=""/>
        <dsp:cNvSpPr/>
      </dsp:nvSpPr>
      <dsp:spPr>
        <a:xfrm>
          <a:off x="3656931" y="1119759"/>
          <a:ext cx="747025" cy="746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marL="0" lvl="0" indent="0" algn="ctr" defTabSz="355600">
            <a:lnSpc>
              <a:spcPct val="90000"/>
            </a:lnSpc>
            <a:spcBef>
              <a:spcPct val="0"/>
            </a:spcBef>
            <a:spcAft>
              <a:spcPct val="35000"/>
            </a:spcAft>
            <a:buNone/>
          </a:pPr>
          <a:r>
            <a:rPr lang="en-US" sz="800" b="0" i="0" u="none" kern="1200">
              <a:latin typeface="Times New Roman" panose="02020603050405020304" pitchFamily="18" charset="0"/>
              <a:cs typeface="Times New Roman" panose="02020603050405020304" pitchFamily="18" charset="0"/>
            </a:rPr>
            <a:t>Internalisation/Externalisation</a:t>
          </a:r>
          <a:endParaRPr lang="en-US" sz="800" kern="1200">
            <a:latin typeface="Times New Roman" panose="02020603050405020304" pitchFamily="18" charset="0"/>
            <a:cs typeface="Times New Roman" panose="02020603050405020304" pitchFamily="18" charset="0"/>
          </a:endParaRPr>
        </a:p>
      </dsp:txBody>
      <dsp:txXfrm>
        <a:off x="3656931" y="1119759"/>
        <a:ext cx="747025" cy="746506"/>
      </dsp:txXfrm>
    </dsp:sp>
    <dsp:sp modelId="{ACD25020-C70C-A544-A21B-1FC907E9386B}">
      <dsp:nvSpPr>
        <dsp:cNvPr id="0" name=""/>
        <dsp:cNvSpPr/>
      </dsp:nvSpPr>
      <dsp:spPr>
        <a:xfrm>
          <a:off x="3937130" y="839819"/>
          <a:ext cx="186626" cy="186626"/>
        </a:xfrm>
        <a:prstGeom prst="ellipse">
          <a:avLst/>
        </a:prstGeom>
        <a:solidFill>
          <a:srgbClr val="D4CEC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90D8B2-78D0-1844-B4FF-236178FD1012}">
      <dsp:nvSpPr>
        <dsp:cNvPr id="0" name=""/>
        <dsp:cNvSpPr/>
      </dsp:nvSpPr>
      <dsp:spPr>
        <a:xfrm>
          <a:off x="4420999" y="0"/>
          <a:ext cx="628579" cy="746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US" sz="800" b="0" i="0" u="none" kern="1200">
              <a:latin typeface="Times New Roman" panose="02020603050405020304" pitchFamily="18" charset="0"/>
              <a:cs typeface="Times New Roman" panose="02020603050405020304" pitchFamily="18" charset="0"/>
            </a:rPr>
            <a:t>Fidélisation des experts</a:t>
          </a:r>
          <a:endParaRPr lang="en-US" sz="800" kern="1200">
            <a:latin typeface="Times New Roman" panose="02020603050405020304" pitchFamily="18" charset="0"/>
            <a:cs typeface="Times New Roman" panose="02020603050405020304" pitchFamily="18" charset="0"/>
          </a:endParaRPr>
        </a:p>
      </dsp:txBody>
      <dsp:txXfrm>
        <a:off x="4420999" y="0"/>
        <a:ext cx="628579" cy="746506"/>
      </dsp:txXfrm>
    </dsp:sp>
    <dsp:sp modelId="{B829E140-9C83-CF41-8643-A43F4294576D}">
      <dsp:nvSpPr>
        <dsp:cNvPr id="0" name=""/>
        <dsp:cNvSpPr/>
      </dsp:nvSpPr>
      <dsp:spPr>
        <a:xfrm>
          <a:off x="4641975" y="839819"/>
          <a:ext cx="186626" cy="186626"/>
        </a:xfrm>
        <a:prstGeom prst="ellipse">
          <a:avLst/>
        </a:prstGeom>
        <a:solidFill>
          <a:srgbClr val="D4CEC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648EF8-F484-384A-9576-751585EEF90C}">
      <dsp:nvSpPr>
        <dsp:cNvPr id="0" name=""/>
        <dsp:cNvSpPr/>
      </dsp:nvSpPr>
      <dsp:spPr>
        <a:xfrm>
          <a:off x="5066621" y="1119759"/>
          <a:ext cx="701479" cy="7465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marL="0" lvl="0" indent="0" algn="ctr" defTabSz="355600">
            <a:lnSpc>
              <a:spcPct val="90000"/>
            </a:lnSpc>
            <a:spcBef>
              <a:spcPct val="0"/>
            </a:spcBef>
            <a:spcAft>
              <a:spcPct val="35000"/>
            </a:spcAft>
            <a:buNone/>
          </a:pPr>
          <a:r>
            <a:rPr lang="en-US" sz="800" b="0" i="0" u="none" kern="1200">
              <a:latin typeface="Times New Roman" panose="02020603050405020304" pitchFamily="18" charset="0"/>
              <a:cs typeface="Times New Roman" panose="02020603050405020304" pitchFamily="18" charset="0"/>
            </a:rPr>
            <a:t>Montée en compétences</a:t>
          </a:r>
          <a:endParaRPr lang="en-US" sz="800" kern="1200">
            <a:latin typeface="Times New Roman" panose="02020603050405020304" pitchFamily="18" charset="0"/>
            <a:cs typeface="Times New Roman" panose="02020603050405020304" pitchFamily="18" charset="0"/>
          </a:endParaRPr>
        </a:p>
      </dsp:txBody>
      <dsp:txXfrm>
        <a:off x="5066621" y="1119759"/>
        <a:ext cx="701479" cy="746506"/>
      </dsp:txXfrm>
    </dsp:sp>
    <dsp:sp modelId="{2F3FD3AE-F1B3-C346-9483-DCA0A1E1451D}">
      <dsp:nvSpPr>
        <dsp:cNvPr id="0" name=""/>
        <dsp:cNvSpPr/>
      </dsp:nvSpPr>
      <dsp:spPr>
        <a:xfrm>
          <a:off x="5324048" y="839819"/>
          <a:ext cx="186626" cy="186626"/>
        </a:xfrm>
        <a:prstGeom prst="ellipse">
          <a:avLst/>
        </a:prstGeom>
        <a:solidFill>
          <a:srgbClr val="D4CEC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72ABF8-8804-8843-A64F-A57496AB2ECF}">
      <dsp:nvSpPr>
        <dsp:cNvPr id="0" name=""/>
        <dsp:cNvSpPr/>
      </dsp:nvSpPr>
      <dsp:spPr>
        <a:xfrm>
          <a:off x="2275354" y="1093"/>
          <a:ext cx="3413031" cy="592261"/>
        </a:xfrm>
        <a:prstGeom prst="rightArrow">
          <a:avLst>
            <a:gd name="adj1" fmla="val 75000"/>
            <a:gd name="adj2" fmla="val 50000"/>
          </a:avLst>
        </a:prstGeom>
        <a:solidFill>
          <a:srgbClr val="D4CEC2">
            <a:alpha val="90000"/>
          </a:srgbClr>
        </a:solid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endParaRPr lang="en-US" sz="1100" b="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US" sz="1100" b="0" i="0" u="none" kern="1200">
              <a:latin typeface="Times New Roman" panose="02020603050405020304" pitchFamily="18" charset="0"/>
              <a:cs typeface="Times New Roman" panose="02020603050405020304" pitchFamily="18" charset="0"/>
            </a:rPr>
            <a:t>l'enseignement par correspondance</a:t>
          </a:r>
          <a:endParaRPr lang="en-US" sz="1100" b="0" kern="1200">
            <a:latin typeface="Times New Roman" panose="02020603050405020304" pitchFamily="18" charset="0"/>
            <a:cs typeface="Times New Roman" panose="02020603050405020304" pitchFamily="18" charset="0"/>
          </a:endParaRPr>
        </a:p>
      </dsp:txBody>
      <dsp:txXfrm>
        <a:off x="2275354" y="75126"/>
        <a:ext cx="3190933" cy="444195"/>
      </dsp:txXfrm>
    </dsp:sp>
    <dsp:sp modelId="{678E4EC0-2931-8B46-8A23-7CF894D75EF8}">
      <dsp:nvSpPr>
        <dsp:cNvPr id="0" name=""/>
        <dsp:cNvSpPr/>
      </dsp:nvSpPr>
      <dsp:spPr>
        <a:xfrm>
          <a:off x="0" y="1093"/>
          <a:ext cx="2275354" cy="592261"/>
        </a:xfrm>
        <a:prstGeom prst="roundRect">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latin typeface="Times New Roman" panose="02020603050405020304" pitchFamily="18" charset="0"/>
              <a:cs typeface="Times New Roman" panose="02020603050405020304" pitchFamily="18" charset="0"/>
            </a:rPr>
            <a:t>1800-1900</a:t>
          </a:r>
        </a:p>
      </dsp:txBody>
      <dsp:txXfrm>
        <a:off x="28912" y="30005"/>
        <a:ext cx="2217530" cy="534437"/>
      </dsp:txXfrm>
    </dsp:sp>
    <dsp:sp modelId="{F45A365E-7A88-704F-8736-6CF1015D4D50}">
      <dsp:nvSpPr>
        <dsp:cNvPr id="0" name=""/>
        <dsp:cNvSpPr/>
      </dsp:nvSpPr>
      <dsp:spPr>
        <a:xfrm>
          <a:off x="2275354" y="652581"/>
          <a:ext cx="3413031" cy="592261"/>
        </a:xfrm>
        <a:prstGeom prst="rightArrow">
          <a:avLst>
            <a:gd name="adj1" fmla="val 75000"/>
            <a:gd name="adj2" fmla="val 50000"/>
          </a:avLst>
        </a:prstGeom>
        <a:solidFill>
          <a:srgbClr val="D4CEC2">
            <a:alpha val="90000"/>
          </a:srgbClr>
        </a:solid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endParaRPr lang="en-US" sz="1100" b="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US" sz="1100" b="0" i="0" u="none" kern="1200">
              <a:latin typeface="Times New Roman" panose="02020603050405020304" pitchFamily="18" charset="0"/>
              <a:cs typeface="Times New Roman" panose="02020603050405020304" pitchFamily="18" charset="0"/>
            </a:rPr>
            <a:t>les premiers systèmes de gestion de l’apprentissage</a:t>
          </a:r>
          <a:endParaRPr lang="en-US" sz="1100" b="0" kern="1200">
            <a:latin typeface="Times New Roman" panose="02020603050405020304" pitchFamily="18" charset="0"/>
            <a:cs typeface="Times New Roman" panose="02020603050405020304" pitchFamily="18" charset="0"/>
          </a:endParaRPr>
        </a:p>
      </dsp:txBody>
      <dsp:txXfrm>
        <a:off x="2275354" y="726614"/>
        <a:ext cx="3190933" cy="444195"/>
      </dsp:txXfrm>
    </dsp:sp>
    <dsp:sp modelId="{CA746F50-F851-8843-9572-6042031D7552}">
      <dsp:nvSpPr>
        <dsp:cNvPr id="0" name=""/>
        <dsp:cNvSpPr/>
      </dsp:nvSpPr>
      <dsp:spPr>
        <a:xfrm>
          <a:off x="0" y="652581"/>
          <a:ext cx="2275354" cy="592261"/>
        </a:xfrm>
        <a:prstGeom prst="roundRect">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latin typeface="Times New Roman" panose="02020603050405020304" pitchFamily="18" charset="0"/>
              <a:cs typeface="Times New Roman" panose="02020603050405020304" pitchFamily="18" charset="0"/>
            </a:rPr>
            <a:t>1960</a:t>
          </a:r>
        </a:p>
      </dsp:txBody>
      <dsp:txXfrm>
        <a:off x="28912" y="681493"/>
        <a:ext cx="2217530" cy="534437"/>
      </dsp:txXfrm>
    </dsp:sp>
    <dsp:sp modelId="{233EEA19-244F-DE40-8391-A21CB5FB589A}">
      <dsp:nvSpPr>
        <dsp:cNvPr id="0" name=""/>
        <dsp:cNvSpPr/>
      </dsp:nvSpPr>
      <dsp:spPr>
        <a:xfrm>
          <a:off x="2275354" y="1304069"/>
          <a:ext cx="3413031" cy="592261"/>
        </a:xfrm>
        <a:prstGeom prst="rightArrow">
          <a:avLst>
            <a:gd name="adj1" fmla="val 75000"/>
            <a:gd name="adj2" fmla="val 50000"/>
          </a:avLst>
        </a:prstGeom>
        <a:solidFill>
          <a:srgbClr val="D4CEC2">
            <a:alpha val="90000"/>
          </a:srgbClr>
        </a:solid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85" tIns="6985" rIns="6985" bIns="6985" numCol="1" spcCol="1270" anchor="t" anchorCtr="0">
          <a:noAutofit/>
        </a:bodyPr>
        <a:lstStyle/>
        <a:p>
          <a:pPr marL="57150" lvl="1" indent="-57150" algn="ctr" defTabSz="488950">
            <a:lnSpc>
              <a:spcPct val="90000"/>
            </a:lnSpc>
            <a:spcBef>
              <a:spcPct val="0"/>
            </a:spcBef>
            <a:spcAft>
              <a:spcPct val="15000"/>
            </a:spcAft>
            <a:buChar char="•"/>
          </a:pPr>
          <a:endParaRPr lang="en-US" sz="1100" b="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US" sz="1100" b="0" i="0" u="none" kern="1200">
              <a:latin typeface="Times New Roman" panose="02020603050405020304" pitchFamily="18" charset="0"/>
              <a:cs typeface="Times New Roman" panose="02020603050405020304" pitchFamily="18" charset="0"/>
            </a:rPr>
            <a:t>e-learning </a:t>
          </a:r>
          <a:endParaRPr lang="en-US" sz="1100" b="0" kern="1200">
            <a:latin typeface="Times New Roman" panose="02020603050405020304" pitchFamily="18" charset="0"/>
            <a:cs typeface="Times New Roman" panose="02020603050405020304" pitchFamily="18" charset="0"/>
          </a:endParaRPr>
        </a:p>
      </dsp:txBody>
      <dsp:txXfrm>
        <a:off x="2275354" y="1378102"/>
        <a:ext cx="3190933" cy="444195"/>
      </dsp:txXfrm>
    </dsp:sp>
    <dsp:sp modelId="{4E06B65F-C71E-5644-BBEF-259399ED6E55}">
      <dsp:nvSpPr>
        <dsp:cNvPr id="0" name=""/>
        <dsp:cNvSpPr/>
      </dsp:nvSpPr>
      <dsp:spPr>
        <a:xfrm>
          <a:off x="0" y="1304069"/>
          <a:ext cx="2275354" cy="592261"/>
        </a:xfrm>
        <a:prstGeom prst="roundRect">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latin typeface="Times New Roman" panose="02020603050405020304" pitchFamily="18" charset="0"/>
              <a:cs typeface="Times New Roman" panose="02020603050405020304" pitchFamily="18" charset="0"/>
            </a:rPr>
            <a:t>1990</a:t>
          </a:r>
        </a:p>
      </dsp:txBody>
      <dsp:txXfrm>
        <a:off x="28912" y="1332981"/>
        <a:ext cx="2217530" cy="534437"/>
      </dsp:txXfrm>
    </dsp:sp>
    <dsp:sp modelId="{37330595-D867-2E4D-9C42-3064C1D6FB8F}">
      <dsp:nvSpPr>
        <dsp:cNvPr id="0" name=""/>
        <dsp:cNvSpPr/>
      </dsp:nvSpPr>
      <dsp:spPr>
        <a:xfrm>
          <a:off x="2275354" y="1955556"/>
          <a:ext cx="3413031" cy="592261"/>
        </a:xfrm>
        <a:prstGeom prst="rightArrow">
          <a:avLst>
            <a:gd name="adj1" fmla="val 75000"/>
            <a:gd name="adj2" fmla="val 50000"/>
          </a:avLst>
        </a:prstGeom>
        <a:solidFill>
          <a:srgbClr val="D4CEC2">
            <a:alpha val="90000"/>
          </a:srgbClr>
        </a:solid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85" tIns="6985" rIns="6985" bIns="6985" numCol="1" spcCol="1270" anchor="t" anchorCtr="0">
          <a:noAutofit/>
        </a:bodyPr>
        <a:lstStyle/>
        <a:p>
          <a:pPr marL="57150" lvl="1" indent="-57150" algn="ctr" defTabSz="488950">
            <a:lnSpc>
              <a:spcPct val="90000"/>
            </a:lnSpc>
            <a:spcBef>
              <a:spcPct val="0"/>
            </a:spcBef>
            <a:spcAft>
              <a:spcPct val="15000"/>
            </a:spcAft>
            <a:buChar char="•"/>
          </a:pPr>
          <a:endParaRPr lang="en-US" sz="1100" b="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US" sz="1100" b="0" i="0" u="none" kern="1200">
              <a:latin typeface="Times New Roman" panose="02020603050405020304" pitchFamily="18" charset="0"/>
              <a:cs typeface="Times New Roman" panose="02020603050405020304" pitchFamily="18" charset="0"/>
            </a:rPr>
            <a:t>MOOCs et mobile learning</a:t>
          </a:r>
          <a:endParaRPr lang="en-US" sz="1100" b="0" kern="1200">
            <a:latin typeface="Times New Roman" panose="02020603050405020304" pitchFamily="18" charset="0"/>
            <a:cs typeface="Times New Roman" panose="02020603050405020304" pitchFamily="18" charset="0"/>
          </a:endParaRPr>
        </a:p>
      </dsp:txBody>
      <dsp:txXfrm>
        <a:off x="2275354" y="2029589"/>
        <a:ext cx="3190933" cy="444195"/>
      </dsp:txXfrm>
    </dsp:sp>
    <dsp:sp modelId="{FE2AD397-B2B9-DE44-BCCC-0777CDFEF136}">
      <dsp:nvSpPr>
        <dsp:cNvPr id="0" name=""/>
        <dsp:cNvSpPr/>
      </dsp:nvSpPr>
      <dsp:spPr>
        <a:xfrm>
          <a:off x="0" y="1955556"/>
          <a:ext cx="2275354" cy="592261"/>
        </a:xfrm>
        <a:prstGeom prst="roundRect">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DZ" sz="1100" b="1" i="0" u="none" kern="1200">
              <a:solidFill>
                <a:sysClr val="windowText" lastClr="000000"/>
              </a:solidFill>
              <a:latin typeface="Times New Roman" panose="02020603050405020304" pitchFamily="18" charset="0"/>
              <a:cs typeface="Times New Roman" panose="02020603050405020304" pitchFamily="18" charset="0"/>
            </a:rPr>
            <a:t>2000-2010</a:t>
          </a:r>
          <a:endParaRPr lang="en-US" sz="1100" b="1" kern="1200">
            <a:solidFill>
              <a:sysClr val="windowText" lastClr="000000"/>
            </a:solidFill>
            <a:latin typeface="Times New Roman" panose="02020603050405020304" pitchFamily="18" charset="0"/>
            <a:cs typeface="Times New Roman" panose="02020603050405020304" pitchFamily="18" charset="0"/>
          </a:endParaRPr>
        </a:p>
      </dsp:txBody>
      <dsp:txXfrm>
        <a:off x="28912" y="1984468"/>
        <a:ext cx="2217530" cy="534437"/>
      </dsp:txXfrm>
    </dsp:sp>
    <dsp:sp modelId="{3E5E8DAB-4C35-784E-95DB-4A347B7A4E5F}">
      <dsp:nvSpPr>
        <dsp:cNvPr id="0" name=""/>
        <dsp:cNvSpPr/>
      </dsp:nvSpPr>
      <dsp:spPr>
        <a:xfrm>
          <a:off x="2275354" y="2607044"/>
          <a:ext cx="3413031" cy="592261"/>
        </a:xfrm>
        <a:prstGeom prst="rightArrow">
          <a:avLst>
            <a:gd name="adj1" fmla="val 75000"/>
            <a:gd name="adj2" fmla="val 50000"/>
          </a:avLst>
        </a:prstGeom>
        <a:solidFill>
          <a:srgbClr val="D4CEC2">
            <a:alpha val="90000"/>
          </a:srgbClr>
        </a:solid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985" tIns="6985" rIns="6985" bIns="6985" numCol="1" spcCol="1270" anchor="t" anchorCtr="0">
          <a:noAutofit/>
        </a:bodyPr>
        <a:lstStyle/>
        <a:p>
          <a:pPr marL="57150" lvl="1" indent="-57150" algn="ctr" defTabSz="488950">
            <a:lnSpc>
              <a:spcPct val="90000"/>
            </a:lnSpc>
            <a:spcBef>
              <a:spcPct val="0"/>
            </a:spcBef>
            <a:spcAft>
              <a:spcPct val="15000"/>
            </a:spcAft>
            <a:buChar char="•"/>
          </a:pPr>
          <a:endParaRPr lang="en-US" sz="1100" b="0" kern="1200">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Char char="•"/>
          </a:pPr>
          <a:r>
            <a:rPr lang="en-US" sz="1100" b="0" i="0" u="none" kern="1200">
              <a:latin typeface="Times New Roman" panose="02020603050405020304" pitchFamily="18" charset="0"/>
              <a:cs typeface="Times New Roman" panose="02020603050405020304" pitchFamily="18" charset="0"/>
            </a:rPr>
            <a:t>l’intelligence artificielle et de la formation immersive</a:t>
          </a:r>
          <a:endParaRPr lang="en-US" sz="1100" b="0" kern="1200">
            <a:latin typeface="Times New Roman" panose="02020603050405020304" pitchFamily="18" charset="0"/>
            <a:cs typeface="Times New Roman" panose="02020603050405020304" pitchFamily="18" charset="0"/>
          </a:endParaRPr>
        </a:p>
      </dsp:txBody>
      <dsp:txXfrm>
        <a:off x="2275354" y="2681077"/>
        <a:ext cx="3190933" cy="444195"/>
      </dsp:txXfrm>
    </dsp:sp>
    <dsp:sp modelId="{98674A2D-9B00-1444-B51A-64F396F9757D}">
      <dsp:nvSpPr>
        <dsp:cNvPr id="0" name=""/>
        <dsp:cNvSpPr/>
      </dsp:nvSpPr>
      <dsp:spPr>
        <a:xfrm>
          <a:off x="0" y="2607044"/>
          <a:ext cx="2275354" cy="592261"/>
        </a:xfrm>
        <a:prstGeom prst="roundRect">
          <a:avLst/>
        </a:prstGeom>
        <a:solidFill>
          <a:srgbClr val="D8DCD1"/>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i="0" u="none" kern="1200">
              <a:solidFill>
                <a:sysClr val="windowText" lastClr="000000"/>
              </a:solidFill>
              <a:latin typeface="Times New Roman" panose="02020603050405020304" pitchFamily="18" charset="0"/>
              <a:cs typeface="Times New Roman" panose="02020603050405020304" pitchFamily="18" charset="0"/>
            </a:rPr>
            <a:t>2015 - aujourd’hui</a:t>
          </a:r>
          <a:endParaRPr lang="en-US" sz="1100" b="1" kern="1200">
            <a:solidFill>
              <a:sysClr val="windowText" lastClr="000000"/>
            </a:solidFill>
            <a:latin typeface="Times New Roman" panose="02020603050405020304" pitchFamily="18" charset="0"/>
            <a:cs typeface="Times New Roman" panose="02020603050405020304" pitchFamily="18" charset="0"/>
          </a:endParaRPr>
        </a:p>
      </dsp:txBody>
      <dsp:txXfrm>
        <a:off x="28912" y="2635956"/>
        <a:ext cx="2217530" cy="534437"/>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8766D1-1610-3140-897E-74A3D15ABCA5}">
      <dsp:nvSpPr>
        <dsp:cNvPr id="0" name=""/>
        <dsp:cNvSpPr/>
      </dsp:nvSpPr>
      <dsp:spPr>
        <a:xfrm>
          <a:off x="3946606" y="457627"/>
          <a:ext cx="879978" cy="209394"/>
        </a:xfrm>
        <a:custGeom>
          <a:avLst/>
          <a:gdLst/>
          <a:ahLst/>
          <a:cxnLst/>
          <a:rect l="0" t="0" r="0" b="0"/>
          <a:pathLst>
            <a:path>
              <a:moveTo>
                <a:pt x="0" y="0"/>
              </a:moveTo>
              <a:lnTo>
                <a:pt x="0" y="142696"/>
              </a:lnTo>
              <a:lnTo>
                <a:pt x="879978" y="142696"/>
              </a:lnTo>
              <a:lnTo>
                <a:pt x="879978" y="209394"/>
              </a:lnTo>
            </a:path>
          </a:pathLst>
        </a:custGeom>
        <a:noFill/>
        <a:ln w="12700" cap="flat" cmpd="sng" algn="ctr">
          <a:solidFill>
            <a:schemeClr val="accent6">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3AA5D2-0557-4648-B429-C8EB41FCFF69}">
      <dsp:nvSpPr>
        <dsp:cNvPr id="0" name=""/>
        <dsp:cNvSpPr/>
      </dsp:nvSpPr>
      <dsp:spPr>
        <a:xfrm>
          <a:off x="5706564" y="1790795"/>
          <a:ext cx="439989" cy="209394"/>
        </a:xfrm>
        <a:custGeom>
          <a:avLst/>
          <a:gdLst/>
          <a:ahLst/>
          <a:cxnLst/>
          <a:rect l="0" t="0" r="0" b="0"/>
          <a:pathLst>
            <a:path>
              <a:moveTo>
                <a:pt x="0" y="0"/>
              </a:moveTo>
              <a:lnTo>
                <a:pt x="0" y="142696"/>
              </a:lnTo>
              <a:lnTo>
                <a:pt x="439989" y="142696"/>
              </a:lnTo>
              <a:lnTo>
                <a:pt x="439989"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F9DCDB-BBA8-024B-8E71-E890CD485590}">
      <dsp:nvSpPr>
        <dsp:cNvPr id="0" name=""/>
        <dsp:cNvSpPr/>
      </dsp:nvSpPr>
      <dsp:spPr>
        <a:xfrm>
          <a:off x="5220854" y="2457379"/>
          <a:ext cx="91440" cy="209394"/>
        </a:xfrm>
        <a:custGeom>
          <a:avLst/>
          <a:gdLst/>
          <a:ahLst/>
          <a:cxnLst/>
          <a:rect l="0" t="0" r="0" b="0"/>
          <a:pathLst>
            <a:path>
              <a:moveTo>
                <a:pt x="45720" y="0"/>
              </a:moveTo>
              <a:lnTo>
                <a:pt x="45720"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9DC024-D434-1245-92EE-62330CCD936A}">
      <dsp:nvSpPr>
        <dsp:cNvPr id="0" name=""/>
        <dsp:cNvSpPr/>
      </dsp:nvSpPr>
      <dsp:spPr>
        <a:xfrm>
          <a:off x="5266574" y="1790795"/>
          <a:ext cx="439989" cy="209394"/>
        </a:xfrm>
        <a:custGeom>
          <a:avLst/>
          <a:gdLst/>
          <a:ahLst/>
          <a:cxnLst/>
          <a:rect l="0" t="0" r="0" b="0"/>
          <a:pathLst>
            <a:path>
              <a:moveTo>
                <a:pt x="439989" y="0"/>
              </a:moveTo>
              <a:lnTo>
                <a:pt x="439989" y="142696"/>
              </a:lnTo>
              <a:lnTo>
                <a:pt x="0" y="142696"/>
              </a:lnTo>
              <a:lnTo>
                <a:pt x="0"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BC49D5-6802-B943-8BFF-8A695EF6762D}">
      <dsp:nvSpPr>
        <dsp:cNvPr id="0" name=""/>
        <dsp:cNvSpPr/>
      </dsp:nvSpPr>
      <dsp:spPr>
        <a:xfrm>
          <a:off x="3946606" y="1124211"/>
          <a:ext cx="1759957" cy="209394"/>
        </a:xfrm>
        <a:custGeom>
          <a:avLst/>
          <a:gdLst/>
          <a:ahLst/>
          <a:cxnLst/>
          <a:rect l="0" t="0" r="0" b="0"/>
          <a:pathLst>
            <a:path>
              <a:moveTo>
                <a:pt x="0" y="0"/>
              </a:moveTo>
              <a:lnTo>
                <a:pt x="0" y="142696"/>
              </a:lnTo>
              <a:lnTo>
                <a:pt x="1759957" y="142696"/>
              </a:lnTo>
              <a:lnTo>
                <a:pt x="1759957" y="209394"/>
              </a:lnTo>
            </a:path>
          </a:pathLst>
        </a:custGeom>
        <a:noFill/>
        <a:ln w="12700" cap="flat" cmpd="sng" algn="ctr">
          <a:solidFill>
            <a:schemeClr val="accent6">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DF1450-DADD-6446-B1A9-A8C8EBA7FEFF}">
      <dsp:nvSpPr>
        <dsp:cNvPr id="0" name=""/>
        <dsp:cNvSpPr/>
      </dsp:nvSpPr>
      <dsp:spPr>
        <a:xfrm>
          <a:off x="3946606" y="1790795"/>
          <a:ext cx="439989" cy="209394"/>
        </a:xfrm>
        <a:custGeom>
          <a:avLst/>
          <a:gdLst/>
          <a:ahLst/>
          <a:cxnLst/>
          <a:rect l="0" t="0" r="0" b="0"/>
          <a:pathLst>
            <a:path>
              <a:moveTo>
                <a:pt x="0" y="0"/>
              </a:moveTo>
              <a:lnTo>
                <a:pt x="0" y="142696"/>
              </a:lnTo>
              <a:lnTo>
                <a:pt x="439989" y="142696"/>
              </a:lnTo>
              <a:lnTo>
                <a:pt x="439989"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765B31-4A2C-4940-B8C6-6B2451E9F345}">
      <dsp:nvSpPr>
        <dsp:cNvPr id="0" name=""/>
        <dsp:cNvSpPr/>
      </dsp:nvSpPr>
      <dsp:spPr>
        <a:xfrm>
          <a:off x="3506616" y="1790795"/>
          <a:ext cx="439989" cy="209394"/>
        </a:xfrm>
        <a:custGeom>
          <a:avLst/>
          <a:gdLst/>
          <a:ahLst/>
          <a:cxnLst/>
          <a:rect l="0" t="0" r="0" b="0"/>
          <a:pathLst>
            <a:path>
              <a:moveTo>
                <a:pt x="439989" y="0"/>
              </a:moveTo>
              <a:lnTo>
                <a:pt x="439989" y="142696"/>
              </a:lnTo>
              <a:lnTo>
                <a:pt x="0" y="142696"/>
              </a:lnTo>
              <a:lnTo>
                <a:pt x="0"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0645F8-C1A8-1840-B714-EC3390498F50}">
      <dsp:nvSpPr>
        <dsp:cNvPr id="0" name=""/>
        <dsp:cNvSpPr/>
      </dsp:nvSpPr>
      <dsp:spPr>
        <a:xfrm>
          <a:off x="3900886" y="1124211"/>
          <a:ext cx="91440" cy="209394"/>
        </a:xfrm>
        <a:custGeom>
          <a:avLst/>
          <a:gdLst/>
          <a:ahLst/>
          <a:cxnLst/>
          <a:rect l="0" t="0" r="0" b="0"/>
          <a:pathLst>
            <a:path>
              <a:moveTo>
                <a:pt x="45720" y="0"/>
              </a:moveTo>
              <a:lnTo>
                <a:pt x="45720" y="209394"/>
              </a:lnTo>
            </a:path>
          </a:pathLst>
        </a:custGeom>
        <a:noFill/>
        <a:ln w="12700" cap="flat" cmpd="sng" algn="ctr">
          <a:solidFill>
            <a:schemeClr val="accent6">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60007D-CD9E-4C4D-987C-C790CCD3B132}">
      <dsp:nvSpPr>
        <dsp:cNvPr id="0" name=""/>
        <dsp:cNvSpPr/>
      </dsp:nvSpPr>
      <dsp:spPr>
        <a:xfrm>
          <a:off x="2186648" y="1790795"/>
          <a:ext cx="439989" cy="209394"/>
        </a:xfrm>
        <a:custGeom>
          <a:avLst/>
          <a:gdLst/>
          <a:ahLst/>
          <a:cxnLst/>
          <a:rect l="0" t="0" r="0" b="0"/>
          <a:pathLst>
            <a:path>
              <a:moveTo>
                <a:pt x="0" y="0"/>
              </a:moveTo>
              <a:lnTo>
                <a:pt x="0" y="142696"/>
              </a:lnTo>
              <a:lnTo>
                <a:pt x="439989" y="142696"/>
              </a:lnTo>
              <a:lnTo>
                <a:pt x="439989"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57E85E-3634-DC40-A076-23AA4509DC5E}">
      <dsp:nvSpPr>
        <dsp:cNvPr id="0" name=""/>
        <dsp:cNvSpPr/>
      </dsp:nvSpPr>
      <dsp:spPr>
        <a:xfrm>
          <a:off x="1746658" y="2457379"/>
          <a:ext cx="1319968" cy="209394"/>
        </a:xfrm>
        <a:custGeom>
          <a:avLst/>
          <a:gdLst/>
          <a:ahLst/>
          <a:cxnLst/>
          <a:rect l="0" t="0" r="0" b="0"/>
          <a:pathLst>
            <a:path>
              <a:moveTo>
                <a:pt x="0" y="0"/>
              </a:moveTo>
              <a:lnTo>
                <a:pt x="0" y="142696"/>
              </a:lnTo>
              <a:lnTo>
                <a:pt x="1319968" y="142696"/>
              </a:lnTo>
              <a:lnTo>
                <a:pt x="1319968"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9740D9-A087-6E48-B95A-FD3B5143CA33}">
      <dsp:nvSpPr>
        <dsp:cNvPr id="0" name=""/>
        <dsp:cNvSpPr/>
      </dsp:nvSpPr>
      <dsp:spPr>
        <a:xfrm>
          <a:off x="1746658" y="2457379"/>
          <a:ext cx="439989" cy="209394"/>
        </a:xfrm>
        <a:custGeom>
          <a:avLst/>
          <a:gdLst/>
          <a:ahLst/>
          <a:cxnLst/>
          <a:rect l="0" t="0" r="0" b="0"/>
          <a:pathLst>
            <a:path>
              <a:moveTo>
                <a:pt x="0" y="0"/>
              </a:moveTo>
              <a:lnTo>
                <a:pt x="0" y="142696"/>
              </a:lnTo>
              <a:lnTo>
                <a:pt x="439989" y="142696"/>
              </a:lnTo>
              <a:lnTo>
                <a:pt x="439989"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16C3A9-F809-3940-99DA-56CE3B12E810}">
      <dsp:nvSpPr>
        <dsp:cNvPr id="0" name=""/>
        <dsp:cNvSpPr/>
      </dsp:nvSpPr>
      <dsp:spPr>
        <a:xfrm>
          <a:off x="1306669" y="2457379"/>
          <a:ext cx="439989" cy="209394"/>
        </a:xfrm>
        <a:custGeom>
          <a:avLst/>
          <a:gdLst/>
          <a:ahLst/>
          <a:cxnLst/>
          <a:rect l="0" t="0" r="0" b="0"/>
          <a:pathLst>
            <a:path>
              <a:moveTo>
                <a:pt x="439989" y="0"/>
              </a:moveTo>
              <a:lnTo>
                <a:pt x="439989" y="142696"/>
              </a:lnTo>
              <a:lnTo>
                <a:pt x="0" y="142696"/>
              </a:lnTo>
              <a:lnTo>
                <a:pt x="0"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45A4FC-A886-B54D-9D56-0F354C4637B9}">
      <dsp:nvSpPr>
        <dsp:cNvPr id="0" name=""/>
        <dsp:cNvSpPr/>
      </dsp:nvSpPr>
      <dsp:spPr>
        <a:xfrm>
          <a:off x="426690" y="2457379"/>
          <a:ext cx="1319968" cy="209394"/>
        </a:xfrm>
        <a:custGeom>
          <a:avLst/>
          <a:gdLst/>
          <a:ahLst/>
          <a:cxnLst/>
          <a:rect l="0" t="0" r="0" b="0"/>
          <a:pathLst>
            <a:path>
              <a:moveTo>
                <a:pt x="1319968" y="0"/>
              </a:moveTo>
              <a:lnTo>
                <a:pt x="1319968" y="142696"/>
              </a:lnTo>
              <a:lnTo>
                <a:pt x="0" y="142696"/>
              </a:lnTo>
              <a:lnTo>
                <a:pt x="0"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0047CD-0550-3044-A141-5627137C3D47}">
      <dsp:nvSpPr>
        <dsp:cNvPr id="0" name=""/>
        <dsp:cNvSpPr/>
      </dsp:nvSpPr>
      <dsp:spPr>
        <a:xfrm>
          <a:off x="1746658" y="1790795"/>
          <a:ext cx="439989" cy="209394"/>
        </a:xfrm>
        <a:custGeom>
          <a:avLst/>
          <a:gdLst/>
          <a:ahLst/>
          <a:cxnLst/>
          <a:rect l="0" t="0" r="0" b="0"/>
          <a:pathLst>
            <a:path>
              <a:moveTo>
                <a:pt x="439989" y="0"/>
              </a:moveTo>
              <a:lnTo>
                <a:pt x="439989" y="142696"/>
              </a:lnTo>
              <a:lnTo>
                <a:pt x="0" y="142696"/>
              </a:lnTo>
              <a:lnTo>
                <a:pt x="0" y="209394"/>
              </a:lnTo>
            </a:path>
          </a:pathLst>
        </a:custGeom>
        <a:noFill/>
        <a:ln w="12700" cap="flat" cmpd="sng" algn="ctr">
          <a:solidFill>
            <a:schemeClr val="accent6">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542018-33E5-CB42-AE78-E2CDAB8CA91B}">
      <dsp:nvSpPr>
        <dsp:cNvPr id="0" name=""/>
        <dsp:cNvSpPr/>
      </dsp:nvSpPr>
      <dsp:spPr>
        <a:xfrm>
          <a:off x="2186648" y="1124211"/>
          <a:ext cx="1759957" cy="209394"/>
        </a:xfrm>
        <a:custGeom>
          <a:avLst/>
          <a:gdLst/>
          <a:ahLst/>
          <a:cxnLst/>
          <a:rect l="0" t="0" r="0" b="0"/>
          <a:pathLst>
            <a:path>
              <a:moveTo>
                <a:pt x="1759957" y="0"/>
              </a:moveTo>
              <a:lnTo>
                <a:pt x="1759957" y="142696"/>
              </a:lnTo>
              <a:lnTo>
                <a:pt x="0" y="142696"/>
              </a:lnTo>
              <a:lnTo>
                <a:pt x="0" y="209394"/>
              </a:lnTo>
            </a:path>
          </a:pathLst>
        </a:custGeom>
        <a:noFill/>
        <a:ln w="12700" cap="flat" cmpd="sng" algn="ctr">
          <a:solidFill>
            <a:schemeClr val="accent6">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3E7F5F-1F96-D242-ABB0-18FEE730989F}">
      <dsp:nvSpPr>
        <dsp:cNvPr id="0" name=""/>
        <dsp:cNvSpPr/>
      </dsp:nvSpPr>
      <dsp:spPr>
        <a:xfrm>
          <a:off x="3900886" y="457627"/>
          <a:ext cx="91440" cy="209394"/>
        </a:xfrm>
        <a:custGeom>
          <a:avLst/>
          <a:gdLst/>
          <a:ahLst/>
          <a:cxnLst/>
          <a:rect l="0" t="0" r="0" b="0"/>
          <a:pathLst>
            <a:path>
              <a:moveTo>
                <a:pt x="45720" y="0"/>
              </a:moveTo>
              <a:lnTo>
                <a:pt x="45720" y="209394"/>
              </a:lnTo>
            </a:path>
          </a:pathLst>
        </a:custGeom>
        <a:noFill/>
        <a:ln w="12700" cap="flat" cmpd="sng" algn="ctr">
          <a:solidFill>
            <a:schemeClr val="accent6">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CEDA74-6DEE-2546-A241-689E6956DF02}">
      <dsp:nvSpPr>
        <dsp:cNvPr id="0" name=""/>
        <dsp:cNvSpPr/>
      </dsp:nvSpPr>
      <dsp:spPr>
        <a:xfrm>
          <a:off x="3066627" y="457627"/>
          <a:ext cx="879978" cy="209394"/>
        </a:xfrm>
        <a:custGeom>
          <a:avLst/>
          <a:gdLst/>
          <a:ahLst/>
          <a:cxnLst/>
          <a:rect l="0" t="0" r="0" b="0"/>
          <a:pathLst>
            <a:path>
              <a:moveTo>
                <a:pt x="879978" y="0"/>
              </a:moveTo>
              <a:lnTo>
                <a:pt x="879978" y="142696"/>
              </a:lnTo>
              <a:lnTo>
                <a:pt x="0" y="142696"/>
              </a:lnTo>
              <a:lnTo>
                <a:pt x="0" y="209394"/>
              </a:lnTo>
            </a:path>
          </a:pathLst>
        </a:custGeom>
        <a:noFill/>
        <a:ln w="12700" cap="flat" cmpd="sng" algn="ctr">
          <a:solidFill>
            <a:schemeClr val="accent6">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63B474-304C-FA45-9419-5DD2D5964E86}">
      <dsp:nvSpPr>
        <dsp:cNvPr id="0" name=""/>
        <dsp:cNvSpPr/>
      </dsp:nvSpPr>
      <dsp:spPr>
        <a:xfrm>
          <a:off x="3586614" y="438"/>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19962A0B-0651-A34B-A932-C22E73295210}">
      <dsp:nvSpPr>
        <dsp:cNvPr id="0" name=""/>
        <dsp:cNvSpPr/>
      </dsp:nvSpPr>
      <dsp:spPr>
        <a:xfrm>
          <a:off x="3666612" y="76436"/>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shade val="8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Direction Général</a:t>
          </a:r>
        </a:p>
      </dsp:txBody>
      <dsp:txXfrm>
        <a:off x="3680003" y="89827"/>
        <a:ext cx="693200" cy="430407"/>
      </dsp:txXfrm>
    </dsp:sp>
    <dsp:sp modelId="{009C2396-87F9-414D-A37E-1DC202367C73}">
      <dsp:nvSpPr>
        <dsp:cNvPr id="0" name=""/>
        <dsp:cNvSpPr/>
      </dsp:nvSpPr>
      <dsp:spPr>
        <a:xfrm>
          <a:off x="2706635" y="667022"/>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48C9E8E-06AA-ED46-B405-474A118D0172}">
      <dsp:nvSpPr>
        <dsp:cNvPr id="0" name=""/>
        <dsp:cNvSpPr/>
      </dsp:nvSpPr>
      <dsp:spPr>
        <a:xfrm>
          <a:off x="2786633" y="743020"/>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Département
Comptabilité et
Finance</a:t>
          </a:r>
        </a:p>
      </dsp:txBody>
      <dsp:txXfrm>
        <a:off x="2800024" y="756411"/>
        <a:ext cx="693200" cy="430407"/>
      </dsp:txXfrm>
    </dsp:sp>
    <dsp:sp modelId="{37A0EB28-9FC4-694A-8326-5A19F03522F4}">
      <dsp:nvSpPr>
        <dsp:cNvPr id="0" name=""/>
        <dsp:cNvSpPr/>
      </dsp:nvSpPr>
      <dsp:spPr>
        <a:xfrm>
          <a:off x="3586614" y="667022"/>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9FD28732-BA1A-0443-A579-FBECEF5D7BFD}">
      <dsp:nvSpPr>
        <dsp:cNvPr id="0" name=""/>
        <dsp:cNvSpPr/>
      </dsp:nvSpPr>
      <dsp:spPr>
        <a:xfrm>
          <a:off x="3666612" y="743020"/>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Direction Exploitation</a:t>
          </a:r>
        </a:p>
      </dsp:txBody>
      <dsp:txXfrm>
        <a:off x="3680003" y="756411"/>
        <a:ext cx="693200" cy="430407"/>
      </dsp:txXfrm>
    </dsp:sp>
    <dsp:sp modelId="{E50D0D7C-BCE5-2A42-8D2C-338BE73EDC82}">
      <dsp:nvSpPr>
        <dsp:cNvPr id="0" name=""/>
        <dsp:cNvSpPr/>
      </dsp:nvSpPr>
      <dsp:spPr>
        <a:xfrm>
          <a:off x="1826656" y="1333606"/>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0DE070C8-C921-774B-A29A-68FEEA55E5F6}">
      <dsp:nvSpPr>
        <dsp:cNvPr id="0" name=""/>
        <dsp:cNvSpPr/>
      </dsp:nvSpPr>
      <dsp:spPr>
        <a:xfrm>
          <a:off x="1906654" y="1409604"/>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7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Département
d'Atelier</a:t>
          </a:r>
        </a:p>
      </dsp:txBody>
      <dsp:txXfrm>
        <a:off x="1920045" y="1422995"/>
        <a:ext cx="693200" cy="430407"/>
      </dsp:txXfrm>
    </dsp:sp>
    <dsp:sp modelId="{18383369-525F-F540-82A9-EC926502C435}">
      <dsp:nvSpPr>
        <dsp:cNvPr id="0" name=""/>
        <dsp:cNvSpPr/>
      </dsp:nvSpPr>
      <dsp:spPr>
        <a:xfrm>
          <a:off x="1386667" y="2000190"/>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CA764F3-4373-514A-94E7-01A4A37CE067}">
      <dsp:nvSpPr>
        <dsp:cNvPr id="0" name=""/>
        <dsp:cNvSpPr/>
      </dsp:nvSpPr>
      <dsp:spPr>
        <a:xfrm>
          <a:off x="1466665" y="2076188"/>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Service
Maintenance</a:t>
          </a:r>
        </a:p>
      </dsp:txBody>
      <dsp:txXfrm>
        <a:off x="1480056" y="2089579"/>
        <a:ext cx="693200" cy="430407"/>
      </dsp:txXfrm>
    </dsp:sp>
    <dsp:sp modelId="{DA95048B-D1BD-C440-93D7-1B901352BF61}">
      <dsp:nvSpPr>
        <dsp:cNvPr id="0" name=""/>
        <dsp:cNvSpPr/>
      </dsp:nvSpPr>
      <dsp:spPr>
        <a:xfrm>
          <a:off x="66698" y="2666774"/>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5CDDE48-195E-EB49-9F40-C07ED62F8F60}">
      <dsp:nvSpPr>
        <dsp:cNvPr id="0" name=""/>
        <dsp:cNvSpPr/>
      </dsp:nvSpPr>
      <dsp:spPr>
        <a:xfrm>
          <a:off x="146697" y="2742772"/>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Atelier
Carrosserie</a:t>
          </a:r>
        </a:p>
      </dsp:txBody>
      <dsp:txXfrm>
        <a:off x="160088" y="2756163"/>
        <a:ext cx="693200" cy="430407"/>
      </dsp:txXfrm>
    </dsp:sp>
    <dsp:sp modelId="{F72CE515-A3E3-4249-B444-31938166FE8B}">
      <dsp:nvSpPr>
        <dsp:cNvPr id="0" name=""/>
        <dsp:cNvSpPr/>
      </dsp:nvSpPr>
      <dsp:spPr>
        <a:xfrm>
          <a:off x="946677" y="2666774"/>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0214EF94-5311-7043-B744-F0C4646B4780}">
      <dsp:nvSpPr>
        <dsp:cNvPr id="0" name=""/>
        <dsp:cNvSpPr/>
      </dsp:nvSpPr>
      <dsp:spPr>
        <a:xfrm>
          <a:off x="1026675" y="2742772"/>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Atelier véhicule
leger
</a:t>
          </a:r>
        </a:p>
      </dsp:txBody>
      <dsp:txXfrm>
        <a:off x="1040066" y="2756163"/>
        <a:ext cx="693200" cy="430407"/>
      </dsp:txXfrm>
    </dsp:sp>
    <dsp:sp modelId="{779640BE-033D-C642-91C9-8C9E54F6DFF5}">
      <dsp:nvSpPr>
        <dsp:cNvPr id="0" name=""/>
        <dsp:cNvSpPr/>
      </dsp:nvSpPr>
      <dsp:spPr>
        <a:xfrm>
          <a:off x="1826656" y="2666774"/>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F49CCA1C-E46C-9E43-BA57-FE9AA0C73163}">
      <dsp:nvSpPr>
        <dsp:cNvPr id="0" name=""/>
        <dsp:cNvSpPr/>
      </dsp:nvSpPr>
      <dsp:spPr>
        <a:xfrm>
          <a:off x="1906654" y="2742772"/>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Atelier véhicule
lourd</a:t>
          </a:r>
        </a:p>
      </dsp:txBody>
      <dsp:txXfrm>
        <a:off x="1920045" y="2756163"/>
        <a:ext cx="693200" cy="430407"/>
      </dsp:txXfrm>
    </dsp:sp>
    <dsp:sp modelId="{C5A7DB75-61C8-584F-A55E-7CDEF7AD1220}">
      <dsp:nvSpPr>
        <dsp:cNvPr id="0" name=""/>
        <dsp:cNvSpPr/>
      </dsp:nvSpPr>
      <dsp:spPr>
        <a:xfrm>
          <a:off x="2706635" y="2666774"/>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1E20C5D-EDF6-C34A-9B7A-695D7FEEA23A}">
      <dsp:nvSpPr>
        <dsp:cNvPr id="0" name=""/>
        <dsp:cNvSpPr/>
      </dsp:nvSpPr>
      <dsp:spPr>
        <a:xfrm>
          <a:off x="2786633" y="2742772"/>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Lavage</a:t>
          </a:r>
        </a:p>
      </dsp:txBody>
      <dsp:txXfrm>
        <a:off x="2800024" y="2756163"/>
        <a:ext cx="693200" cy="430407"/>
      </dsp:txXfrm>
    </dsp:sp>
    <dsp:sp modelId="{32296AD4-4457-7547-8218-8BC07D635B4F}">
      <dsp:nvSpPr>
        <dsp:cNvPr id="0" name=""/>
        <dsp:cNvSpPr/>
      </dsp:nvSpPr>
      <dsp:spPr>
        <a:xfrm>
          <a:off x="2266646" y="2000190"/>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B74AC99E-1B9B-2E49-8223-B8E42D3AC91E}">
      <dsp:nvSpPr>
        <dsp:cNvPr id="0" name=""/>
        <dsp:cNvSpPr/>
      </dsp:nvSpPr>
      <dsp:spPr>
        <a:xfrm>
          <a:off x="2346644" y="2076188"/>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Service Téchnique</a:t>
          </a:r>
        </a:p>
      </dsp:txBody>
      <dsp:txXfrm>
        <a:off x="2360035" y="2089579"/>
        <a:ext cx="693200" cy="430407"/>
      </dsp:txXfrm>
    </dsp:sp>
    <dsp:sp modelId="{18CD865A-40AC-A742-AEA9-28655D44E125}">
      <dsp:nvSpPr>
        <dsp:cNvPr id="0" name=""/>
        <dsp:cNvSpPr/>
      </dsp:nvSpPr>
      <dsp:spPr>
        <a:xfrm>
          <a:off x="3586614" y="1333606"/>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62747C7-B266-3747-890C-4E833AD36337}">
      <dsp:nvSpPr>
        <dsp:cNvPr id="0" name=""/>
        <dsp:cNvSpPr/>
      </dsp:nvSpPr>
      <dsp:spPr>
        <a:xfrm>
          <a:off x="3666612" y="1409604"/>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7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Département Gestion des Stocks et Appro</a:t>
          </a:r>
        </a:p>
      </dsp:txBody>
      <dsp:txXfrm>
        <a:off x="3680003" y="1422995"/>
        <a:ext cx="693200" cy="430407"/>
      </dsp:txXfrm>
    </dsp:sp>
    <dsp:sp modelId="{25B8FE10-B77E-8348-AD8C-E7ADCDE1B8A1}">
      <dsp:nvSpPr>
        <dsp:cNvPr id="0" name=""/>
        <dsp:cNvSpPr/>
      </dsp:nvSpPr>
      <dsp:spPr>
        <a:xfrm>
          <a:off x="3146625" y="2000190"/>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C7C284CA-6336-B04F-AF18-9ED7A267B12F}">
      <dsp:nvSpPr>
        <dsp:cNvPr id="0" name=""/>
        <dsp:cNvSpPr/>
      </dsp:nvSpPr>
      <dsp:spPr>
        <a:xfrm>
          <a:off x="3226623" y="2076188"/>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Service Gestion
des Stocks</a:t>
          </a:r>
        </a:p>
      </dsp:txBody>
      <dsp:txXfrm>
        <a:off x="3240014" y="2089579"/>
        <a:ext cx="693200" cy="430407"/>
      </dsp:txXfrm>
    </dsp:sp>
    <dsp:sp modelId="{1B6A262E-B73A-CB4C-A5C8-735C3DE1DBBA}">
      <dsp:nvSpPr>
        <dsp:cNvPr id="0" name=""/>
        <dsp:cNvSpPr/>
      </dsp:nvSpPr>
      <dsp:spPr>
        <a:xfrm>
          <a:off x="4026604" y="2000190"/>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129DA4D2-0408-7C47-AE4E-364954BCF418}">
      <dsp:nvSpPr>
        <dsp:cNvPr id="0" name=""/>
        <dsp:cNvSpPr/>
      </dsp:nvSpPr>
      <dsp:spPr>
        <a:xfrm>
          <a:off x="4106602" y="2076188"/>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Service
Approvisionnement</a:t>
          </a:r>
        </a:p>
      </dsp:txBody>
      <dsp:txXfrm>
        <a:off x="4119993" y="2089579"/>
        <a:ext cx="693200" cy="430407"/>
      </dsp:txXfrm>
    </dsp:sp>
    <dsp:sp modelId="{6B4E97F0-6E34-A14F-9E15-2FD4445502E4}">
      <dsp:nvSpPr>
        <dsp:cNvPr id="0" name=""/>
        <dsp:cNvSpPr/>
      </dsp:nvSpPr>
      <dsp:spPr>
        <a:xfrm>
          <a:off x="5346572" y="1333606"/>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98071677-C2DB-0C41-AD62-F3FD6356A338}">
      <dsp:nvSpPr>
        <dsp:cNvPr id="0" name=""/>
        <dsp:cNvSpPr/>
      </dsp:nvSpPr>
      <dsp:spPr>
        <a:xfrm>
          <a:off x="5426570" y="1409604"/>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7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Département
Logistique</a:t>
          </a:r>
        </a:p>
      </dsp:txBody>
      <dsp:txXfrm>
        <a:off x="5439961" y="1422995"/>
        <a:ext cx="693200" cy="430407"/>
      </dsp:txXfrm>
    </dsp:sp>
    <dsp:sp modelId="{03C8F823-094A-EF4D-958A-DCF43736AEC1}">
      <dsp:nvSpPr>
        <dsp:cNvPr id="0" name=""/>
        <dsp:cNvSpPr/>
      </dsp:nvSpPr>
      <dsp:spPr>
        <a:xfrm>
          <a:off x="4906583" y="2000190"/>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B1C3A72A-17A0-984F-9446-6F503C57F704}">
      <dsp:nvSpPr>
        <dsp:cNvPr id="0" name=""/>
        <dsp:cNvSpPr/>
      </dsp:nvSpPr>
      <dsp:spPr>
        <a:xfrm>
          <a:off x="4986581" y="2076188"/>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Service Logistique</a:t>
          </a:r>
        </a:p>
      </dsp:txBody>
      <dsp:txXfrm>
        <a:off x="4999972" y="2089579"/>
        <a:ext cx="693200" cy="430407"/>
      </dsp:txXfrm>
    </dsp:sp>
    <dsp:sp modelId="{AC2F3095-E965-6141-A1C1-70305422C4D5}">
      <dsp:nvSpPr>
        <dsp:cNvPr id="0" name=""/>
        <dsp:cNvSpPr/>
      </dsp:nvSpPr>
      <dsp:spPr>
        <a:xfrm>
          <a:off x="4906583" y="2666774"/>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E1968A49-23C5-AC40-B902-D10BD4975E6F}">
      <dsp:nvSpPr>
        <dsp:cNvPr id="0" name=""/>
        <dsp:cNvSpPr/>
      </dsp:nvSpPr>
      <dsp:spPr>
        <a:xfrm>
          <a:off x="4986581" y="2742772"/>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Chauffeurs</a:t>
          </a:r>
        </a:p>
      </dsp:txBody>
      <dsp:txXfrm>
        <a:off x="4999972" y="2756163"/>
        <a:ext cx="693200" cy="430407"/>
      </dsp:txXfrm>
    </dsp:sp>
    <dsp:sp modelId="{73BB8DDD-AE08-4040-A725-BD8B4D0B0E6A}">
      <dsp:nvSpPr>
        <dsp:cNvPr id="0" name=""/>
        <dsp:cNvSpPr/>
      </dsp:nvSpPr>
      <dsp:spPr>
        <a:xfrm>
          <a:off x="5786562" y="2000190"/>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C932919A-C41D-F345-9A42-7CFDE40CC72D}">
      <dsp:nvSpPr>
        <dsp:cNvPr id="0" name=""/>
        <dsp:cNvSpPr/>
      </dsp:nvSpPr>
      <dsp:spPr>
        <a:xfrm>
          <a:off x="5866560" y="2076188"/>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5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Service Commercial</a:t>
          </a:r>
        </a:p>
      </dsp:txBody>
      <dsp:txXfrm>
        <a:off x="5879951" y="2089579"/>
        <a:ext cx="693200" cy="430407"/>
      </dsp:txXfrm>
    </dsp:sp>
    <dsp:sp modelId="{721FDE62-FFDF-C043-8AC9-38331BC38B83}">
      <dsp:nvSpPr>
        <dsp:cNvPr id="0" name=""/>
        <dsp:cNvSpPr/>
      </dsp:nvSpPr>
      <dsp:spPr>
        <a:xfrm>
          <a:off x="4466593" y="667022"/>
          <a:ext cx="719982" cy="457189"/>
        </a:xfrm>
        <a:prstGeom prst="roundRect">
          <a:avLst>
            <a:gd name="adj" fmla="val 10000"/>
          </a:avLst>
        </a:prstGeom>
        <a:solidFill>
          <a:srgbClr val="D4CEC2"/>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2AF156B4-0655-8340-9B90-C9994E734D9F}">
      <dsp:nvSpPr>
        <dsp:cNvPr id="0" name=""/>
        <dsp:cNvSpPr/>
      </dsp:nvSpPr>
      <dsp:spPr>
        <a:xfrm>
          <a:off x="4546591" y="743020"/>
          <a:ext cx="719982" cy="457189"/>
        </a:xfrm>
        <a:prstGeom prst="roundRect">
          <a:avLst>
            <a:gd name="adj" fmla="val 10000"/>
          </a:avLst>
        </a:prstGeom>
        <a:solidFill>
          <a:schemeClr val="lt1">
            <a:alpha val="90000"/>
            <a:hueOff val="0"/>
            <a:satOff val="0"/>
            <a:lumOff val="0"/>
            <a:alphaOff val="0"/>
          </a:schemeClr>
        </a:solidFill>
        <a:ln w="6350" cap="flat" cmpd="sng" algn="ctr">
          <a:solidFill>
            <a:schemeClr val="accent6">
              <a:tint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latin typeface="Times New Roman" panose="02020603050405020304" pitchFamily="18" charset="0"/>
              <a:cs typeface="Times New Roman" panose="02020603050405020304" pitchFamily="18" charset="0"/>
            </a:rPr>
            <a:t> Département Ressources Humaines</a:t>
          </a:r>
        </a:p>
      </dsp:txBody>
      <dsp:txXfrm>
        <a:off x="4559982" y="756411"/>
        <a:ext cx="693200" cy="430407"/>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6.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9.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1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F1E44-209F-A644-9163-E23D7AF27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322</Pages>
  <Words>80588</Words>
  <Characters>443237</Characters>
  <Application>Microsoft Office Word</Application>
  <DocSecurity>0</DocSecurity>
  <Lines>3693</Lines>
  <Paragraphs>1045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Meriem Lahouel</cp:lastModifiedBy>
  <cp:revision>4</cp:revision>
  <cp:lastPrinted>2025-06-12T18:55:00Z</cp:lastPrinted>
  <dcterms:created xsi:type="dcterms:W3CDTF">2025-06-14T02:26:00Z</dcterms:created>
  <dcterms:modified xsi:type="dcterms:W3CDTF">2025-06-21T18:27:00Z</dcterms:modified>
</cp:coreProperties>
</file>