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EFD6D" w14:textId="77777777" w:rsidR="00F81427" w:rsidRPr="00F81427" w:rsidRDefault="00F81427" w:rsidP="00FB6F25">
      <w:pPr>
        <w:spacing w:before="80" w:line="240" w:lineRule="auto"/>
        <w:ind w:left="252"/>
        <w:jc w:val="center"/>
        <w:rPr>
          <w:rFonts w:cstheme="majorBidi"/>
          <w:b/>
          <w:i/>
        </w:rPr>
      </w:pPr>
      <w:r w:rsidRPr="00F81427">
        <w:rPr>
          <w:rFonts w:cstheme="majorBidi"/>
          <w:b/>
          <w:i/>
          <w:spacing w:val="12"/>
        </w:rPr>
        <w:t>République</w:t>
      </w:r>
      <w:r w:rsidRPr="00F81427">
        <w:rPr>
          <w:rFonts w:cstheme="majorBidi"/>
          <w:b/>
          <w:i/>
          <w:spacing w:val="39"/>
        </w:rPr>
        <w:t xml:space="preserve"> </w:t>
      </w:r>
      <w:r w:rsidRPr="00F81427">
        <w:rPr>
          <w:rFonts w:cstheme="majorBidi"/>
          <w:b/>
          <w:i/>
          <w:spacing w:val="12"/>
        </w:rPr>
        <w:t>Algérienne</w:t>
      </w:r>
      <w:r w:rsidRPr="00F81427">
        <w:rPr>
          <w:rFonts w:cstheme="majorBidi"/>
          <w:b/>
          <w:i/>
          <w:spacing w:val="35"/>
        </w:rPr>
        <w:t xml:space="preserve"> </w:t>
      </w:r>
      <w:r w:rsidRPr="00F81427">
        <w:rPr>
          <w:rFonts w:cstheme="majorBidi"/>
          <w:b/>
          <w:i/>
          <w:spacing w:val="13"/>
        </w:rPr>
        <w:t>Démocratique</w:t>
      </w:r>
      <w:r w:rsidRPr="00F81427">
        <w:rPr>
          <w:rFonts w:cstheme="majorBidi"/>
          <w:b/>
          <w:i/>
          <w:spacing w:val="36"/>
        </w:rPr>
        <w:t xml:space="preserve"> </w:t>
      </w:r>
      <w:r w:rsidRPr="00F81427">
        <w:rPr>
          <w:rFonts w:cstheme="majorBidi"/>
          <w:b/>
          <w:i/>
        </w:rPr>
        <w:t>et</w:t>
      </w:r>
      <w:r w:rsidRPr="00F81427">
        <w:rPr>
          <w:rFonts w:cstheme="majorBidi"/>
          <w:b/>
          <w:i/>
          <w:spacing w:val="35"/>
        </w:rPr>
        <w:t xml:space="preserve"> </w:t>
      </w:r>
      <w:r w:rsidRPr="00F81427">
        <w:rPr>
          <w:rFonts w:cstheme="majorBidi"/>
          <w:b/>
          <w:i/>
          <w:spacing w:val="10"/>
        </w:rPr>
        <w:t>Populaire</w:t>
      </w:r>
    </w:p>
    <w:p w14:paraId="643D30F0" w14:textId="77777777" w:rsidR="00F81427" w:rsidRPr="00F81427" w:rsidRDefault="00F81427" w:rsidP="00FB6F25">
      <w:pPr>
        <w:spacing w:line="240" w:lineRule="auto"/>
        <w:ind w:left="278"/>
        <w:jc w:val="center"/>
        <w:rPr>
          <w:rFonts w:cstheme="majorBidi"/>
          <w:b/>
        </w:rPr>
      </w:pPr>
      <w:r w:rsidRPr="00F81427">
        <w:rPr>
          <w:rFonts w:cstheme="majorBidi"/>
          <w:b/>
          <w:noProof/>
          <w:sz w:val="20"/>
          <w:lang w:eastAsia="fr-FR"/>
        </w:rPr>
        <w:drawing>
          <wp:anchor distT="0" distB="0" distL="0" distR="0" simplePos="0" relativeHeight="251676672" behindDoc="1" locked="0" layoutInCell="1" allowOverlap="1" wp14:anchorId="74521DAE" wp14:editId="0D49A46F">
            <wp:simplePos x="0" y="0"/>
            <wp:positionH relativeFrom="page">
              <wp:posOffset>3319145</wp:posOffset>
            </wp:positionH>
            <wp:positionV relativeFrom="paragraph">
              <wp:posOffset>349703</wp:posOffset>
            </wp:positionV>
            <wp:extent cx="1002809" cy="104775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002809" cy="1047750"/>
                    </a:xfrm>
                    <a:prstGeom prst="rect">
                      <a:avLst/>
                    </a:prstGeom>
                  </pic:spPr>
                </pic:pic>
              </a:graphicData>
            </a:graphic>
          </wp:anchor>
        </w:drawing>
      </w:r>
      <w:r w:rsidRPr="00F81427">
        <w:rPr>
          <w:rFonts w:cstheme="majorBidi"/>
          <w:b/>
        </w:rPr>
        <w:t>Ministère</w:t>
      </w:r>
      <w:r w:rsidRPr="00F81427">
        <w:rPr>
          <w:rFonts w:cstheme="majorBidi"/>
          <w:b/>
          <w:spacing w:val="-6"/>
        </w:rPr>
        <w:t xml:space="preserve"> </w:t>
      </w:r>
      <w:r w:rsidRPr="00F81427">
        <w:rPr>
          <w:rFonts w:cstheme="majorBidi"/>
          <w:b/>
        </w:rPr>
        <w:t>de</w:t>
      </w:r>
      <w:r w:rsidRPr="00F81427">
        <w:rPr>
          <w:rFonts w:cstheme="majorBidi"/>
          <w:b/>
          <w:spacing w:val="-3"/>
        </w:rPr>
        <w:t xml:space="preserve"> </w:t>
      </w:r>
      <w:r w:rsidRPr="00F81427">
        <w:rPr>
          <w:rFonts w:cstheme="majorBidi"/>
          <w:b/>
        </w:rPr>
        <w:t>l’enseignement</w:t>
      </w:r>
      <w:r w:rsidRPr="00F81427">
        <w:rPr>
          <w:rFonts w:cstheme="majorBidi"/>
          <w:b/>
          <w:spacing w:val="-2"/>
        </w:rPr>
        <w:t xml:space="preserve"> </w:t>
      </w:r>
      <w:r w:rsidRPr="00F81427">
        <w:rPr>
          <w:rFonts w:cstheme="majorBidi"/>
          <w:b/>
        </w:rPr>
        <w:t>Supérieur</w:t>
      </w:r>
      <w:r w:rsidRPr="00F81427">
        <w:rPr>
          <w:rFonts w:cstheme="majorBidi"/>
          <w:b/>
          <w:spacing w:val="-2"/>
        </w:rPr>
        <w:t xml:space="preserve"> </w:t>
      </w:r>
      <w:r w:rsidRPr="00F81427">
        <w:rPr>
          <w:rFonts w:cstheme="majorBidi"/>
          <w:b/>
        </w:rPr>
        <w:t>et</w:t>
      </w:r>
      <w:r w:rsidRPr="00F81427">
        <w:rPr>
          <w:rFonts w:cstheme="majorBidi"/>
          <w:b/>
          <w:spacing w:val="-2"/>
        </w:rPr>
        <w:t xml:space="preserve"> </w:t>
      </w:r>
      <w:r w:rsidRPr="00F81427">
        <w:rPr>
          <w:rFonts w:cstheme="majorBidi"/>
          <w:b/>
        </w:rPr>
        <w:t>de</w:t>
      </w:r>
      <w:r w:rsidRPr="00F81427">
        <w:rPr>
          <w:rFonts w:cstheme="majorBidi"/>
          <w:b/>
          <w:spacing w:val="-2"/>
        </w:rPr>
        <w:t xml:space="preserve"> </w:t>
      </w:r>
      <w:r w:rsidRPr="00F81427">
        <w:rPr>
          <w:rFonts w:cstheme="majorBidi"/>
          <w:b/>
        </w:rPr>
        <w:t>la</w:t>
      </w:r>
      <w:r w:rsidRPr="00F81427">
        <w:rPr>
          <w:rFonts w:cstheme="majorBidi"/>
          <w:b/>
          <w:spacing w:val="-1"/>
        </w:rPr>
        <w:t xml:space="preserve"> </w:t>
      </w:r>
      <w:r w:rsidRPr="00F81427">
        <w:rPr>
          <w:rFonts w:cstheme="majorBidi"/>
          <w:b/>
        </w:rPr>
        <w:t>Recherche</w:t>
      </w:r>
      <w:r w:rsidRPr="00F81427">
        <w:rPr>
          <w:rFonts w:cstheme="majorBidi"/>
          <w:b/>
          <w:spacing w:val="-3"/>
        </w:rPr>
        <w:t xml:space="preserve"> </w:t>
      </w:r>
      <w:r w:rsidRPr="00F81427">
        <w:rPr>
          <w:rFonts w:cstheme="majorBidi"/>
          <w:b/>
          <w:spacing w:val="-2"/>
        </w:rPr>
        <w:t>scientifique</w:t>
      </w:r>
    </w:p>
    <w:p w14:paraId="1A8B4813" w14:textId="77777777" w:rsidR="009849A5" w:rsidRDefault="009849A5" w:rsidP="00F81427">
      <w:pPr>
        <w:spacing w:before="232" w:line="240" w:lineRule="auto"/>
        <w:ind w:right="146"/>
        <w:jc w:val="center"/>
        <w:rPr>
          <w:rFonts w:cstheme="majorBidi"/>
          <w:b/>
        </w:rPr>
      </w:pPr>
    </w:p>
    <w:p w14:paraId="6C58AF0E" w14:textId="77777777" w:rsidR="00F81427" w:rsidRPr="00F81427" w:rsidRDefault="00F81427" w:rsidP="00F81427">
      <w:pPr>
        <w:spacing w:before="232" w:line="240" w:lineRule="auto"/>
        <w:ind w:right="146"/>
        <w:jc w:val="center"/>
        <w:rPr>
          <w:rFonts w:cstheme="majorBidi"/>
          <w:b/>
        </w:rPr>
      </w:pPr>
      <w:r w:rsidRPr="00F81427">
        <w:rPr>
          <w:rFonts w:cstheme="majorBidi"/>
          <w:b/>
        </w:rPr>
        <w:t>Ecole</w:t>
      </w:r>
      <w:r w:rsidRPr="00F81427">
        <w:rPr>
          <w:rFonts w:cstheme="majorBidi"/>
          <w:b/>
          <w:spacing w:val="-3"/>
        </w:rPr>
        <w:t xml:space="preserve"> </w:t>
      </w:r>
      <w:r w:rsidRPr="00F81427">
        <w:rPr>
          <w:rFonts w:cstheme="majorBidi"/>
          <w:b/>
        </w:rPr>
        <w:t>supérieure</w:t>
      </w:r>
      <w:r w:rsidRPr="00F81427">
        <w:rPr>
          <w:rFonts w:cstheme="majorBidi"/>
          <w:b/>
          <w:spacing w:val="-2"/>
        </w:rPr>
        <w:t xml:space="preserve"> </w:t>
      </w:r>
      <w:r w:rsidRPr="00F81427">
        <w:rPr>
          <w:rFonts w:cstheme="majorBidi"/>
          <w:b/>
        </w:rPr>
        <w:t>de</w:t>
      </w:r>
      <w:r w:rsidRPr="00F81427">
        <w:rPr>
          <w:rFonts w:cstheme="majorBidi"/>
          <w:b/>
          <w:spacing w:val="-3"/>
        </w:rPr>
        <w:t xml:space="preserve"> </w:t>
      </w:r>
      <w:r w:rsidRPr="00F81427">
        <w:rPr>
          <w:rFonts w:cstheme="majorBidi"/>
          <w:b/>
        </w:rPr>
        <w:t>Management –</w:t>
      </w:r>
      <w:r w:rsidRPr="00F81427">
        <w:rPr>
          <w:rFonts w:cstheme="majorBidi"/>
          <w:b/>
          <w:spacing w:val="-3"/>
        </w:rPr>
        <w:t xml:space="preserve"> </w:t>
      </w:r>
      <w:r w:rsidRPr="00F81427">
        <w:rPr>
          <w:rFonts w:cstheme="majorBidi"/>
          <w:b/>
          <w:spacing w:val="-2"/>
        </w:rPr>
        <w:t>Tlemcen</w:t>
      </w:r>
    </w:p>
    <w:p w14:paraId="2140A818" w14:textId="77777777" w:rsidR="00F81427" w:rsidRPr="00F81427" w:rsidRDefault="00F81427" w:rsidP="00F81427">
      <w:pPr>
        <w:spacing w:line="240" w:lineRule="auto"/>
        <w:ind w:left="284"/>
        <w:jc w:val="center"/>
        <w:rPr>
          <w:rFonts w:cstheme="majorBidi"/>
          <w:b/>
        </w:rPr>
      </w:pPr>
      <w:r w:rsidRPr="00F81427">
        <w:rPr>
          <w:rFonts w:cstheme="majorBidi"/>
          <w:b/>
        </w:rPr>
        <w:t>Département</w:t>
      </w:r>
      <w:r w:rsidRPr="00F81427">
        <w:rPr>
          <w:rFonts w:cstheme="majorBidi"/>
          <w:b/>
          <w:spacing w:val="-3"/>
        </w:rPr>
        <w:t xml:space="preserve"> </w:t>
      </w:r>
      <w:r w:rsidRPr="00F81427">
        <w:rPr>
          <w:rFonts w:cstheme="majorBidi"/>
          <w:b/>
        </w:rPr>
        <w:t xml:space="preserve">: </w:t>
      </w:r>
      <w:r w:rsidRPr="00F81427">
        <w:rPr>
          <w:rFonts w:cstheme="majorBidi"/>
          <w:b/>
          <w:spacing w:val="-2"/>
        </w:rPr>
        <w:t>Mangement</w:t>
      </w:r>
    </w:p>
    <w:p w14:paraId="487D6BDF" w14:textId="77777777" w:rsidR="00F81427" w:rsidRPr="00F81427" w:rsidRDefault="009849A5" w:rsidP="00F81427">
      <w:pPr>
        <w:spacing w:line="240" w:lineRule="auto"/>
        <w:ind w:left="282"/>
        <w:jc w:val="center"/>
        <w:rPr>
          <w:rFonts w:cstheme="majorBidi"/>
          <w:b/>
        </w:rPr>
      </w:pPr>
      <w:r w:rsidRPr="00F81427">
        <w:rPr>
          <w:rFonts w:cstheme="majorBidi"/>
          <w:b/>
        </w:rPr>
        <w:t>Spécialité :</w:t>
      </w:r>
      <w:r w:rsidR="00F81427" w:rsidRPr="00F81427">
        <w:rPr>
          <w:rFonts w:cstheme="majorBidi"/>
          <w:b/>
          <w:spacing w:val="-2"/>
        </w:rPr>
        <w:t xml:space="preserve"> </w:t>
      </w:r>
      <w:r>
        <w:rPr>
          <w:rFonts w:cstheme="majorBidi"/>
          <w:b/>
        </w:rPr>
        <w:t>Marketing</w:t>
      </w:r>
    </w:p>
    <w:p w14:paraId="0EA02AF9" w14:textId="77777777" w:rsidR="00F81427" w:rsidRPr="00F81427" w:rsidRDefault="00F81427" w:rsidP="00F81427">
      <w:pPr>
        <w:spacing w:line="240" w:lineRule="auto"/>
        <w:ind w:left="281"/>
        <w:jc w:val="center"/>
        <w:rPr>
          <w:rFonts w:cstheme="majorBidi"/>
          <w:b/>
        </w:rPr>
      </w:pPr>
      <w:r w:rsidRPr="00F81427">
        <w:rPr>
          <w:rFonts w:cstheme="majorBidi"/>
          <w:b/>
        </w:rPr>
        <w:t>Mémoire</w:t>
      </w:r>
      <w:r w:rsidRPr="00F81427">
        <w:rPr>
          <w:rFonts w:cstheme="majorBidi"/>
          <w:b/>
          <w:spacing w:val="-3"/>
        </w:rPr>
        <w:t xml:space="preserve"> </w:t>
      </w:r>
      <w:r w:rsidRPr="00F81427">
        <w:rPr>
          <w:rFonts w:cstheme="majorBidi"/>
          <w:b/>
        </w:rPr>
        <w:t>de</w:t>
      </w:r>
      <w:r w:rsidRPr="00F81427">
        <w:rPr>
          <w:rFonts w:cstheme="majorBidi"/>
          <w:b/>
          <w:spacing w:val="-1"/>
        </w:rPr>
        <w:t xml:space="preserve"> </w:t>
      </w:r>
      <w:r w:rsidRPr="00F81427">
        <w:rPr>
          <w:rFonts w:cstheme="majorBidi"/>
          <w:b/>
        </w:rPr>
        <w:t>Fin</w:t>
      </w:r>
      <w:r w:rsidRPr="00F81427">
        <w:rPr>
          <w:rFonts w:cstheme="majorBidi"/>
          <w:b/>
          <w:spacing w:val="1"/>
        </w:rPr>
        <w:t xml:space="preserve"> </w:t>
      </w:r>
      <w:r w:rsidRPr="00F81427">
        <w:rPr>
          <w:rFonts w:cstheme="majorBidi"/>
          <w:b/>
          <w:spacing w:val="-2"/>
        </w:rPr>
        <w:t>d'Etudes</w:t>
      </w:r>
    </w:p>
    <w:p w14:paraId="319D4795" w14:textId="77777777" w:rsidR="00F81427" w:rsidRPr="00F81427" w:rsidRDefault="00F81427" w:rsidP="00F81427">
      <w:pPr>
        <w:ind w:left="276"/>
        <w:jc w:val="center"/>
        <w:rPr>
          <w:rFonts w:cstheme="majorBidi"/>
          <w:b/>
        </w:rPr>
      </w:pPr>
      <w:r w:rsidRPr="00F81427">
        <w:rPr>
          <w:rFonts w:cstheme="majorBidi"/>
          <w:b/>
        </w:rPr>
        <w:t>En</w:t>
      </w:r>
      <w:r w:rsidRPr="00F81427">
        <w:rPr>
          <w:rFonts w:cstheme="majorBidi"/>
          <w:b/>
          <w:spacing w:val="-3"/>
        </w:rPr>
        <w:t xml:space="preserve"> </w:t>
      </w:r>
      <w:r w:rsidRPr="00F81427">
        <w:rPr>
          <w:rFonts w:cstheme="majorBidi"/>
          <w:b/>
        </w:rPr>
        <w:t>vue</w:t>
      </w:r>
      <w:r w:rsidRPr="00F81427">
        <w:rPr>
          <w:rFonts w:cstheme="majorBidi"/>
          <w:b/>
          <w:spacing w:val="-3"/>
        </w:rPr>
        <w:t xml:space="preserve"> </w:t>
      </w:r>
      <w:r w:rsidRPr="00F81427">
        <w:rPr>
          <w:rFonts w:cstheme="majorBidi"/>
          <w:b/>
        </w:rPr>
        <w:t>de</w:t>
      </w:r>
      <w:r w:rsidRPr="00F81427">
        <w:rPr>
          <w:rFonts w:cstheme="majorBidi"/>
          <w:b/>
          <w:spacing w:val="-3"/>
        </w:rPr>
        <w:t xml:space="preserve"> </w:t>
      </w:r>
      <w:r w:rsidRPr="00F81427">
        <w:rPr>
          <w:rFonts w:cstheme="majorBidi"/>
          <w:b/>
        </w:rPr>
        <w:t>l’obtention</w:t>
      </w:r>
      <w:r w:rsidRPr="00F81427">
        <w:rPr>
          <w:rFonts w:cstheme="majorBidi"/>
          <w:b/>
          <w:spacing w:val="-2"/>
        </w:rPr>
        <w:t xml:space="preserve"> </w:t>
      </w:r>
      <w:r w:rsidRPr="00F81427">
        <w:rPr>
          <w:rFonts w:cstheme="majorBidi"/>
          <w:b/>
        </w:rPr>
        <w:t>du</w:t>
      </w:r>
      <w:r w:rsidRPr="00F81427">
        <w:rPr>
          <w:rFonts w:cstheme="majorBidi"/>
          <w:b/>
          <w:spacing w:val="-2"/>
        </w:rPr>
        <w:t xml:space="preserve"> </w:t>
      </w:r>
      <w:r w:rsidRPr="00F81427">
        <w:rPr>
          <w:rFonts w:cstheme="majorBidi"/>
          <w:b/>
        </w:rPr>
        <w:t>diplôme</w:t>
      </w:r>
      <w:r w:rsidRPr="00F81427">
        <w:rPr>
          <w:rFonts w:cstheme="majorBidi"/>
          <w:b/>
          <w:spacing w:val="-3"/>
        </w:rPr>
        <w:t xml:space="preserve"> </w:t>
      </w:r>
      <w:r w:rsidRPr="00F81427">
        <w:rPr>
          <w:rFonts w:cstheme="majorBidi"/>
          <w:b/>
        </w:rPr>
        <w:t>de</w:t>
      </w:r>
      <w:r w:rsidRPr="00F81427">
        <w:rPr>
          <w:rFonts w:cstheme="majorBidi"/>
          <w:b/>
          <w:spacing w:val="-1"/>
        </w:rPr>
        <w:t xml:space="preserve"> </w:t>
      </w:r>
      <w:r w:rsidRPr="00F81427">
        <w:rPr>
          <w:rFonts w:cstheme="majorBidi"/>
          <w:b/>
        </w:rPr>
        <w:t>Master</w:t>
      </w:r>
      <w:r w:rsidRPr="00F81427">
        <w:rPr>
          <w:rFonts w:cstheme="majorBidi"/>
          <w:b/>
          <w:spacing w:val="-3"/>
        </w:rPr>
        <w:t xml:space="preserve"> </w:t>
      </w:r>
      <w:r w:rsidRPr="00F81427">
        <w:rPr>
          <w:rFonts w:cstheme="majorBidi"/>
          <w:b/>
          <w:spacing w:val="-2"/>
        </w:rPr>
        <w:t>académique</w:t>
      </w:r>
    </w:p>
    <w:p w14:paraId="79CFF0A6" w14:textId="77777777" w:rsidR="00F81427" w:rsidRDefault="00F81427" w:rsidP="00F81427">
      <w:pPr>
        <w:ind w:firstLine="340"/>
        <w:jc w:val="center"/>
      </w:pPr>
      <w:r>
        <w:rPr>
          <w:b/>
          <w:i/>
          <w:noProof/>
          <w:sz w:val="20"/>
          <w:lang w:eastAsia="fr-FR"/>
        </w:rPr>
        <mc:AlternateContent>
          <mc:Choice Requires="wpg">
            <w:drawing>
              <wp:anchor distT="0" distB="0" distL="0" distR="0" simplePos="0" relativeHeight="251677696" behindDoc="1" locked="0" layoutInCell="1" allowOverlap="1" wp14:anchorId="5D35F27D" wp14:editId="79A4A024">
                <wp:simplePos x="0" y="0"/>
                <wp:positionH relativeFrom="page">
                  <wp:posOffset>903605</wp:posOffset>
                </wp:positionH>
                <wp:positionV relativeFrom="paragraph">
                  <wp:posOffset>444500</wp:posOffset>
                </wp:positionV>
                <wp:extent cx="5766435" cy="1450340"/>
                <wp:effectExtent l="0" t="0" r="5715" b="0"/>
                <wp:wrapTopAndBottom/>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6435" cy="1450340"/>
                          <a:chOff x="0" y="0"/>
                          <a:chExt cx="5766435" cy="1327339"/>
                        </a:xfrm>
                      </wpg:grpSpPr>
                      <pic:pic xmlns:pic="http://schemas.openxmlformats.org/drawingml/2006/picture">
                        <pic:nvPicPr>
                          <pic:cNvPr id="13" name="Image 13"/>
                          <pic:cNvPicPr/>
                        </pic:nvPicPr>
                        <pic:blipFill>
                          <a:blip r:embed="rId9" cstate="print"/>
                          <a:stretch>
                            <a:fillRect/>
                          </a:stretch>
                        </pic:blipFill>
                        <pic:spPr>
                          <a:xfrm>
                            <a:off x="0" y="74802"/>
                            <a:ext cx="5685789" cy="1252537"/>
                          </a:xfrm>
                          <a:prstGeom prst="rect">
                            <a:avLst/>
                          </a:prstGeom>
                        </pic:spPr>
                      </pic:pic>
                      <pic:pic xmlns:pic="http://schemas.openxmlformats.org/drawingml/2006/picture">
                        <pic:nvPicPr>
                          <pic:cNvPr id="15" name="Image 15"/>
                          <pic:cNvPicPr/>
                        </pic:nvPicPr>
                        <pic:blipFill>
                          <a:blip r:embed="rId10" cstate="print"/>
                          <a:stretch>
                            <a:fillRect/>
                          </a:stretch>
                        </pic:blipFill>
                        <pic:spPr>
                          <a:xfrm>
                            <a:off x="70103" y="190741"/>
                            <a:ext cx="5545709" cy="1020902"/>
                          </a:xfrm>
                          <a:prstGeom prst="rect">
                            <a:avLst/>
                          </a:prstGeom>
                        </pic:spPr>
                      </pic:pic>
                      <wps:wsp>
                        <wps:cNvPr id="16" name="Graphic 5"/>
                        <wps:cNvSpPr/>
                        <wps:spPr>
                          <a:xfrm>
                            <a:off x="82296" y="4762"/>
                            <a:ext cx="5678805" cy="1244600"/>
                          </a:xfrm>
                          <a:custGeom>
                            <a:avLst/>
                            <a:gdLst/>
                            <a:ahLst/>
                            <a:cxnLst/>
                            <a:rect l="l" t="t" r="r" b="b"/>
                            <a:pathLst>
                              <a:path w="5678805" h="1244600">
                                <a:moveTo>
                                  <a:pt x="5471414" y="0"/>
                                </a:moveTo>
                                <a:lnTo>
                                  <a:pt x="207391" y="0"/>
                                </a:lnTo>
                                <a:lnTo>
                                  <a:pt x="159833" y="5476"/>
                                </a:lnTo>
                                <a:lnTo>
                                  <a:pt x="116179" y="21076"/>
                                </a:lnTo>
                                <a:lnTo>
                                  <a:pt x="77672" y="45556"/>
                                </a:lnTo>
                                <a:lnTo>
                                  <a:pt x="45556" y="77672"/>
                                </a:lnTo>
                                <a:lnTo>
                                  <a:pt x="21076" y="116179"/>
                                </a:lnTo>
                                <a:lnTo>
                                  <a:pt x="5476" y="159833"/>
                                </a:lnTo>
                                <a:lnTo>
                                  <a:pt x="0" y="207390"/>
                                </a:lnTo>
                                <a:lnTo>
                                  <a:pt x="0" y="1037209"/>
                                </a:lnTo>
                                <a:lnTo>
                                  <a:pt x="5476" y="1084766"/>
                                </a:lnTo>
                                <a:lnTo>
                                  <a:pt x="21076" y="1128420"/>
                                </a:lnTo>
                                <a:lnTo>
                                  <a:pt x="45556" y="1166927"/>
                                </a:lnTo>
                                <a:lnTo>
                                  <a:pt x="77672" y="1199043"/>
                                </a:lnTo>
                                <a:lnTo>
                                  <a:pt x="116179" y="1223523"/>
                                </a:lnTo>
                                <a:lnTo>
                                  <a:pt x="159833" y="1239123"/>
                                </a:lnTo>
                                <a:lnTo>
                                  <a:pt x="207391" y="1244600"/>
                                </a:lnTo>
                                <a:lnTo>
                                  <a:pt x="5471414" y="1244600"/>
                                </a:lnTo>
                                <a:lnTo>
                                  <a:pt x="5518971" y="1239123"/>
                                </a:lnTo>
                                <a:lnTo>
                                  <a:pt x="5562625" y="1223523"/>
                                </a:lnTo>
                                <a:lnTo>
                                  <a:pt x="5601132" y="1199043"/>
                                </a:lnTo>
                                <a:lnTo>
                                  <a:pt x="5633248" y="1166927"/>
                                </a:lnTo>
                                <a:lnTo>
                                  <a:pt x="5657728" y="1128420"/>
                                </a:lnTo>
                                <a:lnTo>
                                  <a:pt x="5673328" y="1084766"/>
                                </a:lnTo>
                                <a:lnTo>
                                  <a:pt x="5678805" y="1037209"/>
                                </a:lnTo>
                                <a:lnTo>
                                  <a:pt x="5678805" y="207390"/>
                                </a:lnTo>
                                <a:lnTo>
                                  <a:pt x="5673328" y="159833"/>
                                </a:lnTo>
                                <a:lnTo>
                                  <a:pt x="5657728" y="116179"/>
                                </a:lnTo>
                                <a:lnTo>
                                  <a:pt x="5633248" y="77672"/>
                                </a:lnTo>
                                <a:lnTo>
                                  <a:pt x="5601132" y="45556"/>
                                </a:lnTo>
                                <a:lnTo>
                                  <a:pt x="5562625" y="21076"/>
                                </a:lnTo>
                                <a:lnTo>
                                  <a:pt x="5518971" y="5476"/>
                                </a:lnTo>
                                <a:lnTo>
                                  <a:pt x="5471414" y="0"/>
                                </a:lnTo>
                                <a:close/>
                              </a:path>
                            </a:pathLst>
                          </a:custGeom>
                          <a:solidFill>
                            <a:srgbClr val="FFFFFF"/>
                          </a:solidFill>
                        </wps:spPr>
                        <wps:bodyPr wrap="square" lIns="0" tIns="0" rIns="0" bIns="0" rtlCol="0">
                          <a:prstTxWarp prst="textNoShape">
                            <a:avLst/>
                          </a:prstTxWarp>
                          <a:noAutofit/>
                        </wps:bodyPr>
                      </wps:wsp>
                      <wps:wsp>
                        <wps:cNvPr id="17" name="Graphic 6"/>
                        <wps:cNvSpPr/>
                        <wps:spPr>
                          <a:xfrm>
                            <a:off x="82296" y="4762"/>
                            <a:ext cx="5678805" cy="1244600"/>
                          </a:xfrm>
                          <a:custGeom>
                            <a:avLst/>
                            <a:gdLst/>
                            <a:ahLst/>
                            <a:cxnLst/>
                            <a:rect l="l" t="t" r="r" b="b"/>
                            <a:pathLst>
                              <a:path w="5678805" h="1244600">
                                <a:moveTo>
                                  <a:pt x="0" y="207390"/>
                                </a:moveTo>
                                <a:lnTo>
                                  <a:pt x="5476" y="159833"/>
                                </a:lnTo>
                                <a:lnTo>
                                  <a:pt x="21076" y="116179"/>
                                </a:lnTo>
                                <a:lnTo>
                                  <a:pt x="45556" y="77672"/>
                                </a:lnTo>
                                <a:lnTo>
                                  <a:pt x="77672" y="45556"/>
                                </a:lnTo>
                                <a:lnTo>
                                  <a:pt x="116179" y="21076"/>
                                </a:lnTo>
                                <a:lnTo>
                                  <a:pt x="159833" y="5476"/>
                                </a:lnTo>
                                <a:lnTo>
                                  <a:pt x="207391" y="0"/>
                                </a:lnTo>
                                <a:lnTo>
                                  <a:pt x="5471414" y="0"/>
                                </a:lnTo>
                                <a:lnTo>
                                  <a:pt x="5518971" y="5476"/>
                                </a:lnTo>
                                <a:lnTo>
                                  <a:pt x="5562625" y="21076"/>
                                </a:lnTo>
                                <a:lnTo>
                                  <a:pt x="5601132" y="45556"/>
                                </a:lnTo>
                                <a:lnTo>
                                  <a:pt x="5633248" y="77672"/>
                                </a:lnTo>
                                <a:lnTo>
                                  <a:pt x="5657728" y="116179"/>
                                </a:lnTo>
                                <a:lnTo>
                                  <a:pt x="5673328" y="159833"/>
                                </a:lnTo>
                                <a:lnTo>
                                  <a:pt x="5678805" y="207390"/>
                                </a:lnTo>
                                <a:lnTo>
                                  <a:pt x="5678805" y="1037209"/>
                                </a:lnTo>
                                <a:lnTo>
                                  <a:pt x="5673328" y="1084766"/>
                                </a:lnTo>
                                <a:lnTo>
                                  <a:pt x="5657728" y="1128420"/>
                                </a:lnTo>
                                <a:lnTo>
                                  <a:pt x="5633248" y="1166927"/>
                                </a:lnTo>
                                <a:lnTo>
                                  <a:pt x="5601132" y="1199043"/>
                                </a:lnTo>
                                <a:lnTo>
                                  <a:pt x="5562625" y="1223523"/>
                                </a:lnTo>
                                <a:lnTo>
                                  <a:pt x="5518971" y="1239123"/>
                                </a:lnTo>
                                <a:lnTo>
                                  <a:pt x="5471414" y="1244600"/>
                                </a:lnTo>
                                <a:lnTo>
                                  <a:pt x="207391" y="1244600"/>
                                </a:lnTo>
                                <a:lnTo>
                                  <a:pt x="159833" y="1239123"/>
                                </a:lnTo>
                                <a:lnTo>
                                  <a:pt x="116179" y="1223523"/>
                                </a:lnTo>
                                <a:lnTo>
                                  <a:pt x="77672" y="1199043"/>
                                </a:lnTo>
                                <a:lnTo>
                                  <a:pt x="45556" y="1166927"/>
                                </a:lnTo>
                                <a:lnTo>
                                  <a:pt x="21076" y="1128420"/>
                                </a:lnTo>
                                <a:lnTo>
                                  <a:pt x="5476" y="1084766"/>
                                </a:lnTo>
                                <a:lnTo>
                                  <a:pt x="0" y="1037209"/>
                                </a:lnTo>
                                <a:lnTo>
                                  <a:pt x="0" y="207390"/>
                                </a:lnTo>
                                <a:close/>
                              </a:path>
                            </a:pathLst>
                          </a:custGeom>
                          <a:ln w="9525">
                            <a:solidFill>
                              <a:srgbClr val="000000"/>
                            </a:solidFill>
                            <a:prstDash val="solid"/>
                          </a:ln>
                        </wps:spPr>
                        <wps:bodyPr wrap="square" lIns="0" tIns="0" rIns="0" bIns="0" rtlCol="0">
                          <a:prstTxWarp prst="textNoShape">
                            <a:avLst/>
                          </a:prstTxWarp>
                          <a:noAutofit/>
                        </wps:bodyPr>
                      </wps:wsp>
                      <wps:wsp>
                        <wps:cNvPr id="18" name="Textbox 7"/>
                        <wps:cNvSpPr txBox="1"/>
                        <wps:spPr>
                          <a:xfrm>
                            <a:off x="0" y="0"/>
                            <a:ext cx="5766435" cy="1249361"/>
                          </a:xfrm>
                          <a:prstGeom prst="rect">
                            <a:avLst/>
                          </a:prstGeom>
                        </wps:spPr>
                        <wps:txbx>
                          <w:txbxContent>
                            <w:p w14:paraId="7BD0E7CB" w14:textId="77777777" w:rsidR="003D09A2" w:rsidRPr="00F81427" w:rsidRDefault="003D09A2" w:rsidP="00F81427">
                              <w:pPr>
                                <w:spacing w:before="183" w:line="276" w:lineRule="auto"/>
                                <w:ind w:left="602" w:right="335" w:hanging="147"/>
                                <w:jc w:val="center"/>
                                <w:rPr>
                                  <w:b/>
                                  <w:i/>
                                  <w:sz w:val="40"/>
                                  <w:szCs w:val="20"/>
                                </w:rPr>
                              </w:pPr>
                              <w:r w:rsidRPr="00F81427">
                                <w:rPr>
                                  <w:b/>
                                  <w:i/>
                                  <w:sz w:val="40"/>
                                  <w:szCs w:val="20"/>
                                </w:rPr>
                                <w:t>L'impact du Greenwashing sur la perception de la marque</w:t>
                              </w:r>
                            </w:p>
                            <w:p w14:paraId="18593F46" w14:textId="77777777" w:rsidR="003D09A2" w:rsidRPr="00F81427" w:rsidRDefault="003D09A2" w:rsidP="00F81427">
                              <w:pPr>
                                <w:spacing w:before="183" w:line="276" w:lineRule="auto"/>
                                <w:ind w:left="602" w:right="335" w:hanging="147"/>
                                <w:jc w:val="center"/>
                                <w:rPr>
                                  <w:b/>
                                  <w:i/>
                                  <w:sz w:val="40"/>
                                  <w:szCs w:val="20"/>
                                </w:rPr>
                              </w:pPr>
                              <w:r w:rsidRPr="00F81427">
                                <w:rPr>
                                  <w:b/>
                                  <w:i/>
                                  <w:sz w:val="40"/>
                                  <w:szCs w:val="20"/>
                                </w:rPr>
                                <w:t>Cas : SCHB-GICA</w:t>
                              </w:r>
                            </w:p>
                          </w:txbxContent>
                        </wps:txbx>
                        <wps:bodyPr wrap="square" lIns="0" tIns="0" rIns="0" bIns="0" rtlCol="0">
                          <a:noAutofit/>
                        </wps:bodyPr>
                      </wps:wsp>
                    </wpg:wgp>
                  </a:graphicData>
                </a:graphic>
                <wp14:sizeRelV relativeFrom="margin">
                  <wp14:pctHeight>0</wp14:pctHeight>
                </wp14:sizeRelV>
              </wp:anchor>
            </w:drawing>
          </mc:Choice>
          <mc:Fallback>
            <w:pict>
              <v:group w14:anchorId="5D35F27D" id="Group 2" o:spid="_x0000_s1026" style="position:absolute;left:0;text-align:left;margin-left:71.15pt;margin-top:35pt;width:454.05pt;height:114.2pt;z-index:-251638784;mso-wrap-distance-left:0;mso-wrap-distance-right:0;mso-position-horizontal-relative:page;mso-height-relative:margin" coordsize="57664,13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top:748;width:56857;height:1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">
                  <v:imagedata r:id="rId11" o:title=""/>
                </v:shape>
                <v:shape id="Image 15" o:spid="_x0000_s1028" type="#_x0000_t75" style="position:absolute;left:701;top:1907;width:55457;height:10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">
                  <v:imagedata r:id="rId12" o:title=""/>
                </v:shape>
                <v:shape id="Graphic 5" o:spid="_x0000_s1029" style="position:absolute;left:822;top:47;width:56789;height:12446;visibility:visible;mso-wrap-style:square;v-text-anchor:top" coordsize="5678805,124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" path="m5471414,l207391,,159833,5476,116179,21076,77672,45556,45556,77672,21076,116179,5476,159833,,207390r,829819l5476,1084766r15600,43654l45556,1166927r32116,32116l116179,1223523r43654,15600l207391,1244600r5264023,l5518971,1239123r43654,-15600l5601132,1199043r32116,-32116l5657728,1128420r15600,-43654l5678805,1037209r,-829819l5673328,159833r-15600,-43654l5633248,77672,5601132,45556,5562625,21076,5518971,5476,5471414,xe" stroked="f">
                  <v:path arrowok="t"/>
                </v:shape>
                <v:shape id="Graphic 6" o:spid="_x0000_s1030" style="position:absolute;left:822;top:47;width:56789;height:12446;visibility:visible;mso-wrap-style:square;v-text-anchor:top" coordsize="5678805,124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" path="m,207390l5476,159833,21076,116179,45556,77672,77672,45556,116179,21076,159833,5476,207391,,5471414,r47557,5476l5562625,21076r38507,24480l5633248,77672r24480,38507l5673328,159833r5477,47557l5678805,1037209r-5477,47557l5657728,1128420r-24480,38507l5601132,1199043r-38507,24480l5518971,1239123r-47557,5477l207391,1244600r-47558,-5477l116179,1223523,77672,1199043,45556,1166927,21076,1128420,5476,1084766,,1037209,,207390xe" filled="f">
                  <v:path arrowok="t"/>
                </v:shape>
                <v:shapetype id="_x0000_t202" coordsize="21600,21600" o:spt="202" path="m,l,21600r21600,l21600,xe">
                  <v:stroke joinstyle="miter"/>
                  <v:path gradientshapeok="t" o:connecttype="rect"/>
                </v:shapetype>
                <v:shape id="Textbox 7" o:spid="_x0000_s1031" type="#_x0000_t202" style="position:absolute;width:57664;height:12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BD0E7CB" w14:textId="77777777" w:rsidR="003D09A2" w:rsidRPr="00F81427" w:rsidRDefault="003D09A2" w:rsidP="00F81427">
                        <w:pPr>
                          <w:spacing w:before="183" w:line="276" w:lineRule="auto"/>
                          <w:ind w:left="602" w:right="335" w:hanging="147"/>
                          <w:jc w:val="center"/>
                          <w:rPr>
                            <w:b/>
                            <w:i/>
                            <w:sz w:val="40"/>
                            <w:szCs w:val="20"/>
                          </w:rPr>
                        </w:pPr>
                        <w:r w:rsidRPr="00F81427">
                          <w:rPr>
                            <w:b/>
                            <w:i/>
                            <w:sz w:val="40"/>
                            <w:szCs w:val="20"/>
                          </w:rPr>
                          <w:t>L'impact du Greenwashing sur la perception de la marque</w:t>
                        </w:r>
                      </w:p>
                      <w:p w14:paraId="18593F46" w14:textId="77777777" w:rsidR="003D09A2" w:rsidRPr="00F81427" w:rsidRDefault="003D09A2" w:rsidP="00F81427">
                        <w:pPr>
                          <w:spacing w:before="183" w:line="276" w:lineRule="auto"/>
                          <w:ind w:left="602" w:right="335" w:hanging="147"/>
                          <w:jc w:val="center"/>
                          <w:rPr>
                            <w:b/>
                            <w:i/>
                            <w:sz w:val="40"/>
                            <w:szCs w:val="20"/>
                          </w:rPr>
                        </w:pPr>
                        <w:r w:rsidRPr="00F81427">
                          <w:rPr>
                            <w:b/>
                            <w:i/>
                            <w:sz w:val="40"/>
                            <w:szCs w:val="20"/>
                          </w:rPr>
                          <w:t>Cas : SCHB-GICA</w:t>
                        </w:r>
                      </w:p>
                    </w:txbxContent>
                  </v:textbox>
                </v:shape>
                <w10:wrap type="topAndBottom" anchorx="page"/>
              </v:group>
            </w:pict>
          </mc:Fallback>
        </mc:AlternateContent>
      </w:r>
      <w:r>
        <w:rPr>
          <w:b/>
          <w:i/>
          <w:spacing w:val="-2"/>
          <w:w w:val="90"/>
          <w:sz w:val="40"/>
        </w:rPr>
        <w:t>Thème</w:t>
      </w:r>
    </w:p>
    <w:p w14:paraId="3950021F" w14:textId="4CE448BA" w:rsidR="00FB6F25" w:rsidRDefault="00F81427" w:rsidP="00FB6F25">
      <w:pPr>
        <w:tabs>
          <w:tab w:val="left" w:pos="3916"/>
        </w:tabs>
        <w:spacing w:line="240" w:lineRule="auto"/>
        <w:ind w:firstLine="340"/>
        <w:rPr>
          <w:b/>
          <w:bCs/>
          <w:szCs w:val="24"/>
        </w:rPr>
      </w:pPr>
      <w:r w:rsidRPr="00F81427">
        <w:rPr>
          <w:b/>
          <w:bCs/>
        </w:rPr>
        <w:t>Présenté</w:t>
      </w:r>
      <w:r w:rsidRPr="00F81427">
        <w:rPr>
          <w:b/>
          <w:bCs/>
          <w:spacing w:val="-6"/>
        </w:rPr>
        <w:t xml:space="preserve"> </w:t>
      </w:r>
      <w:r w:rsidRPr="00F81427">
        <w:rPr>
          <w:b/>
          <w:bCs/>
        </w:rPr>
        <w:t>par</w:t>
      </w:r>
      <w:r w:rsidRPr="00F81427">
        <w:rPr>
          <w:b/>
          <w:bCs/>
          <w:spacing w:val="-1"/>
        </w:rPr>
        <w:t xml:space="preserve"> </w:t>
      </w:r>
      <w:r w:rsidRPr="00F81427">
        <w:rPr>
          <w:b/>
          <w:bCs/>
          <w:spacing w:val="-10"/>
        </w:rPr>
        <w:t>:</w:t>
      </w:r>
      <w:r>
        <w:rPr>
          <w:b/>
          <w:bCs/>
        </w:rPr>
        <w:t xml:space="preserve">                                                         </w:t>
      </w:r>
      <w:r w:rsidRPr="008B3801">
        <w:rPr>
          <w:b/>
          <w:bCs/>
          <w:szCs w:val="24"/>
        </w:rPr>
        <w:t xml:space="preserve">Soutenu le : </w:t>
      </w:r>
      <w:r w:rsidR="00833904">
        <w:rPr>
          <w:b/>
          <w:bCs/>
          <w:szCs w:val="24"/>
        </w:rPr>
        <w:t>28-06-</w:t>
      </w:r>
      <w:r w:rsidR="00350FA5">
        <w:rPr>
          <w:b/>
          <w:bCs/>
          <w:szCs w:val="24"/>
        </w:rPr>
        <w:t>2025</w:t>
      </w:r>
    </w:p>
    <w:p w14:paraId="4D6E35CE" w14:textId="77777777" w:rsidR="00F81427" w:rsidRPr="00FB6F25" w:rsidRDefault="00F81427" w:rsidP="00FB6F25">
      <w:pPr>
        <w:tabs>
          <w:tab w:val="left" w:pos="3916"/>
        </w:tabs>
        <w:spacing w:line="240" w:lineRule="auto"/>
        <w:ind w:firstLine="340"/>
        <w:rPr>
          <w:b/>
          <w:bCs/>
          <w:szCs w:val="24"/>
        </w:rPr>
      </w:pPr>
      <w:r>
        <w:rPr>
          <w:i/>
        </w:rPr>
        <w:t xml:space="preserve">MANCEUR ASMA </w:t>
      </w:r>
    </w:p>
    <w:p w14:paraId="1812F1CF" w14:textId="77777777" w:rsidR="00F81427" w:rsidRDefault="00F81427" w:rsidP="00F81427">
      <w:pPr>
        <w:tabs>
          <w:tab w:val="left" w:pos="3916"/>
        </w:tabs>
        <w:spacing w:line="240" w:lineRule="auto"/>
        <w:ind w:firstLine="340"/>
        <w:rPr>
          <w:b/>
          <w:bCs/>
        </w:rPr>
      </w:pPr>
      <w:r w:rsidRPr="008B3801">
        <w:rPr>
          <w:b/>
          <w:bCs/>
        </w:rPr>
        <w:t>Devant le jury composé de :</w:t>
      </w:r>
    </w:p>
    <w:tbl>
      <w:tblPr>
        <w:tblStyle w:val="Grilledutableau"/>
        <w:tblW w:w="9823" w:type="dxa"/>
        <w:jc w:val="center"/>
        <w:tblLayout w:type="fixed"/>
        <w:tblLook w:val="0000" w:firstRow="0" w:lastRow="0" w:firstColumn="0" w:lastColumn="0" w:noHBand="0" w:noVBand="0"/>
      </w:tblPr>
      <w:tblGrid>
        <w:gridCol w:w="3539"/>
        <w:gridCol w:w="2552"/>
        <w:gridCol w:w="1984"/>
        <w:gridCol w:w="1748"/>
      </w:tblGrid>
      <w:tr w:rsidR="00E56125" w14:paraId="53465832" w14:textId="77777777" w:rsidTr="00E56125">
        <w:trPr>
          <w:jc w:val="center"/>
        </w:trPr>
        <w:tc>
          <w:tcPr>
            <w:tcW w:w="3539" w:type="dxa"/>
          </w:tcPr>
          <w:p w14:paraId="35B8F49F" w14:textId="77777777" w:rsidR="00833904" w:rsidRPr="00E56125" w:rsidRDefault="00833904" w:rsidP="00C741A7">
            <w:pPr>
              <w:jc w:val="center"/>
              <w:rPr>
                <w:rFonts w:ascii="Times New Roman" w:hAnsi="Times New Roman" w:cs="Times New Roman"/>
                <w:b/>
                <w:bCs/>
                <w:sz w:val="22"/>
                <w:szCs w:val="22"/>
              </w:rPr>
            </w:pPr>
            <w:bookmarkStart w:id="0" w:name="_Hlk201792671"/>
            <w:r w:rsidRPr="00E56125">
              <w:rPr>
                <w:rFonts w:ascii="Times New Roman" w:hAnsi="Times New Roman" w:cs="Times New Roman"/>
                <w:b/>
                <w:bCs/>
                <w:sz w:val="22"/>
                <w:szCs w:val="22"/>
              </w:rPr>
              <w:t>Nom et prénom</w:t>
            </w:r>
          </w:p>
        </w:tc>
        <w:tc>
          <w:tcPr>
            <w:tcW w:w="2552" w:type="dxa"/>
          </w:tcPr>
          <w:p w14:paraId="138D3BA6" w14:textId="77777777" w:rsidR="00833904" w:rsidRPr="00E56125" w:rsidRDefault="00833904" w:rsidP="00C741A7">
            <w:pPr>
              <w:jc w:val="center"/>
              <w:rPr>
                <w:rFonts w:ascii="Times New Roman" w:eastAsia="Times New Roman" w:hAnsi="Times New Roman" w:cs="Times New Roman"/>
                <w:b/>
                <w:bCs/>
                <w:kern w:val="32"/>
                <w:sz w:val="22"/>
                <w:szCs w:val="22"/>
              </w:rPr>
            </w:pPr>
            <w:r w:rsidRPr="00E56125">
              <w:rPr>
                <w:rFonts w:ascii="Times New Roman" w:eastAsia="Times New Roman" w:hAnsi="Times New Roman" w:cs="Times New Roman"/>
                <w:b/>
                <w:bCs/>
                <w:kern w:val="32"/>
                <w:sz w:val="22"/>
                <w:szCs w:val="22"/>
              </w:rPr>
              <w:t>Grade</w:t>
            </w:r>
          </w:p>
        </w:tc>
        <w:tc>
          <w:tcPr>
            <w:tcW w:w="1984" w:type="dxa"/>
          </w:tcPr>
          <w:p w14:paraId="2C361883" w14:textId="77777777" w:rsidR="00833904" w:rsidRPr="00E56125" w:rsidRDefault="00833904" w:rsidP="00E56125">
            <w:pPr>
              <w:ind w:hanging="388"/>
              <w:jc w:val="center"/>
              <w:rPr>
                <w:rFonts w:ascii="Times New Roman" w:hAnsi="Times New Roman" w:cs="Times New Roman"/>
                <w:b/>
                <w:bCs/>
                <w:sz w:val="22"/>
                <w:szCs w:val="22"/>
              </w:rPr>
            </w:pPr>
            <w:r w:rsidRPr="00E56125">
              <w:rPr>
                <w:rFonts w:ascii="Times New Roman" w:hAnsi="Times New Roman" w:cs="Times New Roman"/>
                <w:b/>
                <w:bCs/>
                <w:sz w:val="22"/>
                <w:szCs w:val="22"/>
              </w:rPr>
              <w:t>Etablissement</w:t>
            </w:r>
          </w:p>
        </w:tc>
        <w:tc>
          <w:tcPr>
            <w:tcW w:w="1748" w:type="dxa"/>
          </w:tcPr>
          <w:p w14:paraId="32571ED3" w14:textId="77777777" w:rsidR="00833904" w:rsidRPr="00E56125" w:rsidRDefault="00833904" w:rsidP="00E56125">
            <w:pPr>
              <w:ind w:left="180" w:hanging="6"/>
              <w:rPr>
                <w:rFonts w:ascii="Times New Roman" w:hAnsi="Times New Roman" w:cs="Times New Roman"/>
                <w:b/>
                <w:bCs/>
                <w:sz w:val="22"/>
                <w:szCs w:val="22"/>
              </w:rPr>
            </w:pPr>
            <w:r w:rsidRPr="00E56125">
              <w:rPr>
                <w:rFonts w:ascii="Times New Roman" w:hAnsi="Times New Roman" w:cs="Times New Roman"/>
                <w:b/>
                <w:bCs/>
                <w:sz w:val="22"/>
                <w:szCs w:val="22"/>
              </w:rPr>
              <w:t>Qualité</w:t>
            </w:r>
          </w:p>
        </w:tc>
      </w:tr>
      <w:tr w:rsidR="00E56125" w14:paraId="18FC0384" w14:textId="77777777" w:rsidTr="00E56125">
        <w:trPr>
          <w:jc w:val="center"/>
        </w:trPr>
        <w:tc>
          <w:tcPr>
            <w:tcW w:w="3539" w:type="dxa"/>
          </w:tcPr>
          <w:p w14:paraId="4CB2644F" w14:textId="5911663B" w:rsidR="00833904" w:rsidRPr="00E56125" w:rsidRDefault="00E56125" w:rsidP="00E56125">
            <w:pPr>
              <w:ind w:firstLine="32"/>
              <w:rPr>
                <w:rFonts w:ascii="Times New Roman" w:hAnsi="Times New Roman" w:cs="Times New Roman"/>
                <w:sz w:val="22"/>
                <w:szCs w:val="22"/>
              </w:rPr>
            </w:pPr>
            <w:r w:rsidRPr="00E56125">
              <w:rPr>
                <w:rFonts w:ascii="Times New Roman" w:hAnsi="Times New Roman" w:cs="Times New Roman"/>
                <w:sz w:val="22"/>
                <w:szCs w:val="22"/>
              </w:rPr>
              <w:t>AMMAR Asma</w:t>
            </w:r>
          </w:p>
        </w:tc>
        <w:tc>
          <w:tcPr>
            <w:tcW w:w="2552" w:type="dxa"/>
          </w:tcPr>
          <w:p w14:paraId="72BF04FC" w14:textId="35B172B1" w:rsidR="00833904" w:rsidRPr="00E56125" w:rsidRDefault="00833904" w:rsidP="00E56125">
            <w:pPr>
              <w:ind w:firstLine="0"/>
              <w:rPr>
                <w:rFonts w:ascii="Times New Roman" w:eastAsia="Times New Roman" w:hAnsi="Times New Roman" w:cs="Times New Roman"/>
                <w:kern w:val="32"/>
                <w:sz w:val="22"/>
                <w:szCs w:val="22"/>
              </w:rPr>
            </w:pPr>
            <w:r w:rsidRPr="00E56125">
              <w:rPr>
                <w:rFonts w:ascii="Times New Roman" w:eastAsia="Times New Roman" w:hAnsi="Times New Roman" w:cs="Times New Roman"/>
                <w:kern w:val="32"/>
                <w:sz w:val="22"/>
                <w:szCs w:val="22"/>
              </w:rPr>
              <w:t xml:space="preserve">Maître de conférences </w:t>
            </w:r>
            <w:r w:rsidR="00E56125">
              <w:rPr>
                <w:rFonts w:ascii="Times New Roman" w:eastAsia="Times New Roman" w:hAnsi="Times New Roman" w:cs="Times New Roman"/>
                <w:kern w:val="32"/>
                <w:sz w:val="22"/>
                <w:szCs w:val="22"/>
              </w:rPr>
              <w:t>B</w:t>
            </w:r>
          </w:p>
        </w:tc>
        <w:tc>
          <w:tcPr>
            <w:tcW w:w="1984" w:type="dxa"/>
          </w:tcPr>
          <w:p w14:paraId="252F3308" w14:textId="77777777" w:rsidR="00833904" w:rsidRPr="00E56125" w:rsidRDefault="00833904" w:rsidP="00E56125">
            <w:pPr>
              <w:ind w:firstLine="37"/>
              <w:rPr>
                <w:rFonts w:ascii="Times New Roman" w:hAnsi="Times New Roman" w:cs="Times New Roman"/>
                <w:b/>
                <w:bCs/>
                <w:sz w:val="22"/>
                <w:szCs w:val="22"/>
              </w:rPr>
            </w:pPr>
            <w:r w:rsidRPr="00E56125">
              <w:rPr>
                <w:rFonts w:ascii="Times New Roman" w:eastAsia="Times New Roman" w:hAnsi="Times New Roman" w:cs="Times New Roman"/>
                <w:kern w:val="32"/>
                <w:sz w:val="22"/>
                <w:szCs w:val="22"/>
              </w:rPr>
              <w:t>ESM Tlemcen</w:t>
            </w:r>
            <w:r w:rsidRPr="00E56125">
              <w:rPr>
                <w:rFonts w:ascii="Times New Roman" w:eastAsia="Times New Roman" w:hAnsi="Times New Roman" w:cs="Times New Roman"/>
                <w:sz w:val="22"/>
                <w:szCs w:val="22"/>
              </w:rPr>
              <w:t xml:space="preserve">              </w:t>
            </w:r>
          </w:p>
        </w:tc>
        <w:tc>
          <w:tcPr>
            <w:tcW w:w="1748" w:type="dxa"/>
          </w:tcPr>
          <w:p w14:paraId="1EC57A92" w14:textId="68228377" w:rsidR="00833904" w:rsidRPr="00E56125" w:rsidRDefault="00833904" w:rsidP="00E56125">
            <w:pPr>
              <w:ind w:left="180" w:hanging="148"/>
              <w:rPr>
                <w:rFonts w:ascii="Times New Roman" w:hAnsi="Times New Roman" w:cs="Times New Roman"/>
                <w:b/>
                <w:bCs/>
                <w:sz w:val="22"/>
                <w:szCs w:val="22"/>
              </w:rPr>
            </w:pPr>
            <w:r w:rsidRPr="00E56125">
              <w:rPr>
                <w:rFonts w:ascii="Times New Roman" w:eastAsia="Times New Roman" w:hAnsi="Times New Roman" w:cs="Times New Roman"/>
                <w:sz w:val="22"/>
                <w:szCs w:val="22"/>
              </w:rPr>
              <w:t>Président</w:t>
            </w:r>
            <w:r w:rsidR="00E56125">
              <w:rPr>
                <w:rFonts w:ascii="Times New Roman" w:eastAsia="Times New Roman" w:hAnsi="Times New Roman" w:cs="Times New Roman"/>
                <w:sz w:val="22"/>
                <w:szCs w:val="22"/>
              </w:rPr>
              <w:t>e</w:t>
            </w:r>
          </w:p>
        </w:tc>
      </w:tr>
      <w:tr w:rsidR="00E56125" w14:paraId="20287201" w14:textId="77777777" w:rsidTr="00E56125">
        <w:trPr>
          <w:jc w:val="center"/>
        </w:trPr>
        <w:tc>
          <w:tcPr>
            <w:tcW w:w="3539" w:type="dxa"/>
          </w:tcPr>
          <w:p w14:paraId="171F9594" w14:textId="278D764E" w:rsidR="00833904" w:rsidRPr="00E56125" w:rsidRDefault="00E56125" w:rsidP="00E56125">
            <w:pPr>
              <w:ind w:firstLine="32"/>
              <w:rPr>
                <w:rFonts w:ascii="Times New Roman" w:hAnsi="Times New Roman" w:cs="Times New Roman"/>
                <w:b/>
                <w:bCs/>
                <w:sz w:val="22"/>
                <w:szCs w:val="22"/>
              </w:rPr>
            </w:pPr>
            <w:r>
              <w:rPr>
                <w:rFonts w:ascii="Times New Roman" w:hAnsi="Times New Roman" w:cs="Times New Roman"/>
                <w:sz w:val="22"/>
                <w:szCs w:val="22"/>
              </w:rPr>
              <w:t xml:space="preserve">HELLABI </w:t>
            </w:r>
            <w:proofErr w:type="spellStart"/>
            <w:r>
              <w:rPr>
                <w:rFonts w:ascii="Times New Roman" w:hAnsi="Times New Roman" w:cs="Times New Roman"/>
                <w:sz w:val="22"/>
                <w:szCs w:val="22"/>
              </w:rPr>
              <w:t>Zoubeyda</w:t>
            </w:r>
            <w:proofErr w:type="spellEnd"/>
          </w:p>
        </w:tc>
        <w:tc>
          <w:tcPr>
            <w:tcW w:w="2552" w:type="dxa"/>
          </w:tcPr>
          <w:p w14:paraId="31BA1234" w14:textId="05C99386" w:rsidR="00833904" w:rsidRPr="00E56125" w:rsidRDefault="00833904" w:rsidP="00E56125">
            <w:pPr>
              <w:ind w:firstLine="0"/>
              <w:rPr>
                <w:rFonts w:ascii="Times New Roman" w:eastAsia="Times New Roman" w:hAnsi="Times New Roman" w:cs="Times New Roman"/>
                <w:kern w:val="32"/>
                <w:sz w:val="22"/>
                <w:szCs w:val="22"/>
              </w:rPr>
            </w:pPr>
            <w:r w:rsidRPr="00E56125">
              <w:rPr>
                <w:rFonts w:ascii="Times New Roman" w:eastAsia="Times New Roman" w:hAnsi="Times New Roman" w:cs="Times New Roman"/>
                <w:kern w:val="32"/>
                <w:sz w:val="22"/>
                <w:szCs w:val="22"/>
              </w:rPr>
              <w:t xml:space="preserve">Maître de conférences </w:t>
            </w:r>
            <w:r w:rsidR="00E56125">
              <w:rPr>
                <w:rFonts w:ascii="Times New Roman" w:eastAsia="Times New Roman" w:hAnsi="Times New Roman" w:cs="Times New Roman"/>
                <w:kern w:val="32"/>
                <w:sz w:val="22"/>
                <w:szCs w:val="22"/>
              </w:rPr>
              <w:t>B</w:t>
            </w:r>
          </w:p>
        </w:tc>
        <w:tc>
          <w:tcPr>
            <w:tcW w:w="1984" w:type="dxa"/>
          </w:tcPr>
          <w:p w14:paraId="4A591AA6" w14:textId="77777777" w:rsidR="00833904" w:rsidRPr="00E56125" w:rsidRDefault="00833904" w:rsidP="00E56125">
            <w:pPr>
              <w:ind w:firstLine="37"/>
              <w:rPr>
                <w:rFonts w:ascii="Times New Roman" w:hAnsi="Times New Roman" w:cs="Times New Roman"/>
                <w:b/>
                <w:bCs/>
                <w:sz w:val="22"/>
                <w:szCs w:val="22"/>
              </w:rPr>
            </w:pPr>
            <w:r w:rsidRPr="00E56125">
              <w:rPr>
                <w:rFonts w:ascii="Times New Roman" w:eastAsia="Times New Roman" w:hAnsi="Times New Roman" w:cs="Times New Roman"/>
                <w:kern w:val="32"/>
                <w:sz w:val="22"/>
                <w:szCs w:val="22"/>
              </w:rPr>
              <w:t>ESM Tlemcen</w:t>
            </w:r>
            <w:r w:rsidRPr="00E56125">
              <w:rPr>
                <w:rFonts w:ascii="Times New Roman" w:eastAsia="Times New Roman" w:hAnsi="Times New Roman" w:cs="Times New Roman"/>
                <w:sz w:val="22"/>
                <w:szCs w:val="22"/>
              </w:rPr>
              <w:t xml:space="preserve">              </w:t>
            </w:r>
          </w:p>
        </w:tc>
        <w:tc>
          <w:tcPr>
            <w:tcW w:w="1748" w:type="dxa"/>
          </w:tcPr>
          <w:p w14:paraId="57603043" w14:textId="77777777" w:rsidR="00833904" w:rsidRPr="00E56125" w:rsidRDefault="00833904" w:rsidP="00E56125">
            <w:pPr>
              <w:ind w:left="180" w:hanging="148"/>
              <w:rPr>
                <w:rFonts w:ascii="Times New Roman" w:hAnsi="Times New Roman" w:cs="Times New Roman"/>
                <w:b/>
                <w:bCs/>
                <w:sz w:val="22"/>
                <w:szCs w:val="22"/>
              </w:rPr>
            </w:pPr>
            <w:r w:rsidRPr="00E56125">
              <w:rPr>
                <w:rFonts w:ascii="Times New Roman" w:eastAsia="Times New Roman" w:hAnsi="Times New Roman" w:cs="Times New Roman"/>
                <w:sz w:val="22"/>
                <w:szCs w:val="22"/>
              </w:rPr>
              <w:t>Examinatrice</w:t>
            </w:r>
          </w:p>
        </w:tc>
      </w:tr>
      <w:tr w:rsidR="00E56125" w14:paraId="34C3BBDB" w14:textId="77777777" w:rsidTr="00E56125">
        <w:trPr>
          <w:trHeight w:val="383"/>
          <w:jc w:val="center"/>
        </w:trPr>
        <w:tc>
          <w:tcPr>
            <w:tcW w:w="3539" w:type="dxa"/>
          </w:tcPr>
          <w:p w14:paraId="4AAA46E9" w14:textId="77777777" w:rsidR="00833904" w:rsidRPr="00E56125" w:rsidRDefault="00833904" w:rsidP="00E56125">
            <w:pPr>
              <w:ind w:firstLine="32"/>
              <w:rPr>
                <w:rFonts w:ascii="Times New Roman" w:hAnsi="Times New Roman" w:cs="Times New Roman"/>
                <w:sz w:val="22"/>
                <w:szCs w:val="22"/>
              </w:rPr>
            </w:pPr>
            <w:r w:rsidRPr="00E56125">
              <w:rPr>
                <w:rFonts w:ascii="Times New Roman" w:hAnsi="Times New Roman" w:cs="Times New Roman"/>
                <w:sz w:val="22"/>
                <w:szCs w:val="22"/>
              </w:rPr>
              <w:t xml:space="preserve">BEZZAR Mohammed </w:t>
            </w:r>
            <w:proofErr w:type="spellStart"/>
            <w:r w:rsidRPr="00E56125">
              <w:rPr>
                <w:rFonts w:ascii="Times New Roman" w:hAnsi="Times New Roman" w:cs="Times New Roman"/>
                <w:sz w:val="22"/>
                <w:szCs w:val="22"/>
              </w:rPr>
              <w:t>Soufyane</w:t>
            </w:r>
            <w:proofErr w:type="spellEnd"/>
          </w:p>
        </w:tc>
        <w:tc>
          <w:tcPr>
            <w:tcW w:w="2552" w:type="dxa"/>
          </w:tcPr>
          <w:p w14:paraId="016F3B7B" w14:textId="77777777" w:rsidR="00833904" w:rsidRPr="00E56125" w:rsidRDefault="00833904" w:rsidP="00E56125">
            <w:pPr>
              <w:ind w:firstLine="0"/>
              <w:rPr>
                <w:rFonts w:ascii="Times New Roman" w:eastAsia="Times New Roman" w:hAnsi="Times New Roman" w:cs="Times New Roman"/>
                <w:kern w:val="32"/>
                <w:sz w:val="22"/>
                <w:szCs w:val="22"/>
              </w:rPr>
            </w:pPr>
            <w:r w:rsidRPr="00E56125">
              <w:rPr>
                <w:rFonts w:ascii="Times New Roman" w:eastAsia="Times New Roman" w:hAnsi="Times New Roman" w:cs="Times New Roman"/>
                <w:kern w:val="32"/>
                <w:sz w:val="22"/>
                <w:szCs w:val="22"/>
              </w:rPr>
              <w:t>Maître de conférences A</w:t>
            </w:r>
          </w:p>
        </w:tc>
        <w:tc>
          <w:tcPr>
            <w:tcW w:w="1984" w:type="dxa"/>
          </w:tcPr>
          <w:p w14:paraId="23498134" w14:textId="77777777" w:rsidR="00833904" w:rsidRPr="00E56125" w:rsidRDefault="00833904" w:rsidP="00E56125">
            <w:pPr>
              <w:ind w:firstLine="37"/>
              <w:rPr>
                <w:rFonts w:ascii="Times New Roman" w:eastAsia="Times New Roman" w:hAnsi="Times New Roman" w:cs="Times New Roman"/>
                <w:kern w:val="32"/>
                <w:sz w:val="22"/>
                <w:szCs w:val="22"/>
              </w:rPr>
            </w:pPr>
            <w:r w:rsidRPr="00E56125">
              <w:rPr>
                <w:rFonts w:ascii="Times New Roman" w:eastAsia="Times New Roman" w:hAnsi="Times New Roman" w:cs="Times New Roman"/>
                <w:kern w:val="32"/>
                <w:sz w:val="22"/>
                <w:szCs w:val="22"/>
              </w:rPr>
              <w:t>ESM Tlemcen</w:t>
            </w:r>
            <w:r w:rsidRPr="00E56125">
              <w:rPr>
                <w:rFonts w:ascii="Times New Roman" w:eastAsia="Times New Roman" w:hAnsi="Times New Roman" w:cs="Times New Roman"/>
                <w:sz w:val="22"/>
                <w:szCs w:val="22"/>
              </w:rPr>
              <w:t xml:space="preserve">                    </w:t>
            </w:r>
          </w:p>
        </w:tc>
        <w:tc>
          <w:tcPr>
            <w:tcW w:w="1748" w:type="dxa"/>
          </w:tcPr>
          <w:p w14:paraId="55EE5F1D" w14:textId="77777777" w:rsidR="00833904" w:rsidRPr="00E56125" w:rsidRDefault="00833904" w:rsidP="00E56125">
            <w:pPr>
              <w:ind w:left="180" w:hanging="148"/>
              <w:rPr>
                <w:rFonts w:ascii="Times New Roman" w:eastAsia="Times New Roman" w:hAnsi="Times New Roman" w:cs="Times New Roman"/>
                <w:sz w:val="22"/>
                <w:szCs w:val="22"/>
              </w:rPr>
            </w:pPr>
            <w:r w:rsidRPr="00E56125">
              <w:rPr>
                <w:rFonts w:ascii="Times New Roman" w:eastAsia="Times New Roman" w:hAnsi="Times New Roman" w:cs="Times New Roman"/>
                <w:sz w:val="22"/>
                <w:szCs w:val="22"/>
              </w:rPr>
              <w:t>Encadrant</w:t>
            </w:r>
          </w:p>
        </w:tc>
      </w:tr>
      <w:bookmarkEnd w:id="0"/>
    </w:tbl>
    <w:p w14:paraId="4C50424A" w14:textId="77777777" w:rsidR="00833904" w:rsidRDefault="00833904" w:rsidP="00F81427">
      <w:pPr>
        <w:tabs>
          <w:tab w:val="left" w:pos="3916"/>
        </w:tabs>
        <w:spacing w:line="240" w:lineRule="auto"/>
        <w:ind w:firstLine="340"/>
        <w:rPr>
          <w:b/>
          <w:bCs/>
        </w:rPr>
      </w:pPr>
    </w:p>
    <w:p w14:paraId="1A294384" w14:textId="77777777" w:rsidR="00F81427" w:rsidRPr="008B3801" w:rsidRDefault="00F81427" w:rsidP="003C07B4">
      <w:pPr>
        <w:tabs>
          <w:tab w:val="left" w:pos="3462"/>
        </w:tabs>
        <w:ind w:firstLine="0"/>
        <w:jc w:val="center"/>
        <w:rPr>
          <w:b/>
          <w:bCs/>
        </w:rPr>
      </w:pPr>
      <w:r w:rsidRPr="008B3801">
        <w:rPr>
          <w:b/>
          <w:bCs/>
        </w:rPr>
        <w:t>Année universitaire : 202</w:t>
      </w:r>
      <w:r w:rsidR="003C07B4">
        <w:rPr>
          <w:b/>
          <w:bCs/>
        </w:rPr>
        <w:t>4</w:t>
      </w:r>
      <w:r w:rsidRPr="008B3801">
        <w:rPr>
          <w:b/>
          <w:bCs/>
        </w:rPr>
        <w:t xml:space="preserve"> / 202</w:t>
      </w:r>
      <w:r w:rsidR="003C07B4">
        <w:rPr>
          <w:b/>
          <w:bCs/>
        </w:rPr>
        <w:t>5</w:t>
      </w:r>
    </w:p>
    <w:p w14:paraId="3C0FF173" w14:textId="77777777" w:rsidR="003C07B4" w:rsidRDefault="003C07B4" w:rsidP="00B15608">
      <w:pPr>
        <w:pStyle w:val="Citation"/>
        <w:rPr>
          <w:w w:val="90"/>
        </w:rPr>
      </w:pPr>
      <w:bookmarkStart w:id="1" w:name="_Toc200731449"/>
      <w:bookmarkStart w:id="2" w:name="_Toc200825366"/>
    </w:p>
    <w:p w14:paraId="4AAEA217" w14:textId="77777777" w:rsidR="00F81427" w:rsidRDefault="00F81427" w:rsidP="00B15608">
      <w:pPr>
        <w:pStyle w:val="Citation"/>
        <w:rPr>
          <w:color w:val="auto"/>
        </w:rPr>
      </w:pPr>
      <w:r>
        <w:rPr>
          <w:w w:val="90"/>
        </w:rPr>
        <w:lastRenderedPageBreak/>
        <w:t>Remerciement</w:t>
      </w:r>
      <w:bookmarkEnd w:id="1"/>
      <w:bookmarkEnd w:id="2"/>
    </w:p>
    <w:p w14:paraId="288D39FA" w14:textId="77777777" w:rsidR="00B15608" w:rsidRPr="00B15608" w:rsidRDefault="00B15608" w:rsidP="00B15608"/>
    <w:p w14:paraId="4CF5FBB2" w14:textId="77777777" w:rsidR="00F81427" w:rsidRPr="008A3B25" w:rsidRDefault="00F81427" w:rsidP="00B15608">
      <w:pPr>
        <w:spacing w:line="276" w:lineRule="auto"/>
        <w:ind w:firstLine="340"/>
        <w:jc w:val="center"/>
        <w:rPr>
          <w:i/>
          <w:iCs/>
          <w:color w:val="000000" w:themeColor="text1"/>
          <w:sz w:val="28"/>
          <w:szCs w:val="28"/>
          <w:lang w:eastAsia="fr-FR"/>
        </w:rPr>
      </w:pPr>
      <w:r w:rsidRPr="008A3B25">
        <w:rPr>
          <w:i/>
          <w:iCs/>
          <w:color w:val="000000" w:themeColor="text1"/>
          <w:sz w:val="28"/>
          <w:szCs w:val="28"/>
          <w:lang w:eastAsia="fr-FR"/>
        </w:rPr>
        <w:t>Avant tout, nous remercions Dieu, le Tout-Puissant et Miséricordieux, qui nous a accordé la force, la patience et le courage nécessaires pour mener à bien ce modeste travail.</w:t>
      </w:r>
    </w:p>
    <w:p w14:paraId="13C5A745" w14:textId="23C3597C" w:rsidR="00F81427" w:rsidRPr="008A3B25" w:rsidRDefault="00F81427" w:rsidP="00B15608">
      <w:pPr>
        <w:spacing w:line="276" w:lineRule="auto"/>
        <w:ind w:firstLine="340"/>
        <w:jc w:val="center"/>
        <w:rPr>
          <w:i/>
          <w:iCs/>
          <w:color w:val="000000" w:themeColor="text1"/>
          <w:sz w:val="28"/>
          <w:szCs w:val="28"/>
          <w:lang w:eastAsia="fr-FR"/>
        </w:rPr>
      </w:pPr>
      <w:r w:rsidRPr="008A3B25">
        <w:rPr>
          <w:i/>
          <w:iCs/>
          <w:color w:val="000000" w:themeColor="text1"/>
          <w:sz w:val="28"/>
          <w:szCs w:val="28"/>
          <w:lang w:eastAsia="fr-FR"/>
        </w:rPr>
        <w:t xml:space="preserve">Nous adressons nos remerciements les plus sincères à notre encadrant, Monsieur Mohammed </w:t>
      </w:r>
      <w:proofErr w:type="spellStart"/>
      <w:r w:rsidRPr="008A3B25">
        <w:rPr>
          <w:i/>
          <w:iCs/>
          <w:color w:val="000000" w:themeColor="text1"/>
          <w:sz w:val="28"/>
          <w:szCs w:val="28"/>
          <w:lang w:eastAsia="fr-FR"/>
        </w:rPr>
        <w:t>So</w:t>
      </w:r>
      <w:r w:rsidR="00E56125">
        <w:rPr>
          <w:i/>
          <w:iCs/>
          <w:color w:val="000000" w:themeColor="text1"/>
          <w:sz w:val="28"/>
          <w:szCs w:val="28"/>
          <w:lang w:eastAsia="fr-FR"/>
        </w:rPr>
        <w:t>u</w:t>
      </w:r>
      <w:r w:rsidRPr="008A3B25">
        <w:rPr>
          <w:i/>
          <w:iCs/>
          <w:color w:val="000000" w:themeColor="text1"/>
          <w:sz w:val="28"/>
          <w:szCs w:val="28"/>
          <w:lang w:eastAsia="fr-FR"/>
        </w:rPr>
        <w:t>f</w:t>
      </w:r>
      <w:r w:rsidR="00E56125">
        <w:rPr>
          <w:i/>
          <w:iCs/>
          <w:color w:val="000000" w:themeColor="text1"/>
          <w:sz w:val="28"/>
          <w:szCs w:val="28"/>
          <w:lang w:eastAsia="fr-FR"/>
        </w:rPr>
        <w:t>y</w:t>
      </w:r>
      <w:r w:rsidRPr="008A3B25">
        <w:rPr>
          <w:i/>
          <w:iCs/>
          <w:color w:val="000000" w:themeColor="text1"/>
          <w:sz w:val="28"/>
          <w:szCs w:val="28"/>
          <w:lang w:eastAsia="fr-FR"/>
        </w:rPr>
        <w:t>ane</w:t>
      </w:r>
      <w:proofErr w:type="spellEnd"/>
      <w:r w:rsidRPr="008A3B25">
        <w:rPr>
          <w:i/>
          <w:iCs/>
          <w:color w:val="000000" w:themeColor="text1"/>
          <w:sz w:val="28"/>
          <w:szCs w:val="28"/>
          <w:lang w:eastAsia="fr-FR"/>
        </w:rPr>
        <w:t xml:space="preserve"> B</w:t>
      </w:r>
      <w:r w:rsidR="00E56125">
        <w:rPr>
          <w:i/>
          <w:iCs/>
          <w:color w:val="000000" w:themeColor="text1"/>
          <w:sz w:val="28"/>
          <w:szCs w:val="28"/>
          <w:lang w:eastAsia="fr-FR"/>
        </w:rPr>
        <w:t>EZZAR</w:t>
      </w:r>
      <w:r w:rsidRPr="008A3B25">
        <w:rPr>
          <w:i/>
          <w:iCs/>
          <w:color w:val="000000" w:themeColor="text1"/>
          <w:sz w:val="28"/>
          <w:szCs w:val="28"/>
          <w:lang w:eastAsia="fr-FR"/>
        </w:rPr>
        <w:t>, pour son accompagnement précieux, sa bienveillance, sa disponibilité et ses conseils éclairés. Son soutien constant, tant sur le plan intellectuel que moral, a grandement contribué à la réalisation de ce mémoire. Nous lui sommes profondément reconnaissants pour la confiance qu’il nous a témoignée.</w:t>
      </w:r>
    </w:p>
    <w:p w14:paraId="20AEC01C" w14:textId="77777777" w:rsidR="00F81427" w:rsidRPr="008A3B25" w:rsidRDefault="00F81427" w:rsidP="00B15608">
      <w:pPr>
        <w:spacing w:line="276" w:lineRule="auto"/>
        <w:ind w:firstLine="340"/>
        <w:jc w:val="center"/>
        <w:rPr>
          <w:i/>
          <w:iCs/>
          <w:color w:val="000000" w:themeColor="text1"/>
          <w:sz w:val="28"/>
          <w:szCs w:val="28"/>
          <w:lang w:eastAsia="fr-FR"/>
        </w:rPr>
      </w:pPr>
      <w:r w:rsidRPr="008A3B25">
        <w:rPr>
          <w:i/>
          <w:iCs/>
          <w:color w:val="000000" w:themeColor="text1"/>
          <w:sz w:val="28"/>
          <w:szCs w:val="28"/>
          <w:lang w:eastAsia="fr-FR"/>
        </w:rPr>
        <w:t>Nos remerciements chaleureux vont également aux membres du jury, pour l’intérêt qu’ils ont porté à notre travail, pour leurs observations pertinentes et leur volonté de le faire évoluer par leurs remarques constructives.</w:t>
      </w:r>
    </w:p>
    <w:p w14:paraId="6B0CB4EE" w14:textId="77777777" w:rsidR="00F81427" w:rsidRPr="008A3B25" w:rsidRDefault="00F81427" w:rsidP="00B15608">
      <w:pPr>
        <w:spacing w:line="276" w:lineRule="auto"/>
        <w:ind w:firstLine="340"/>
        <w:jc w:val="center"/>
        <w:rPr>
          <w:i/>
          <w:iCs/>
          <w:color w:val="000000" w:themeColor="text1"/>
          <w:sz w:val="28"/>
          <w:szCs w:val="28"/>
          <w:lang w:eastAsia="fr-FR"/>
        </w:rPr>
      </w:pPr>
      <w:r w:rsidRPr="008A3B25">
        <w:rPr>
          <w:i/>
          <w:iCs/>
          <w:color w:val="000000" w:themeColor="text1"/>
          <w:sz w:val="28"/>
          <w:szCs w:val="28"/>
          <w:lang w:eastAsia="fr-FR"/>
        </w:rPr>
        <w:t>Nous exprimons toute notre gratitude à l’équipe de la Cimenterie SCHB-GICA, qui nous a accueillis avec gentillesse et professionnalisme. Grâce à leur collaboration et leur ouverture, nous avons pu vivre une expérience de stage enrichissante et formatrice.</w:t>
      </w:r>
    </w:p>
    <w:p w14:paraId="61860898" w14:textId="77777777" w:rsidR="00F81427" w:rsidRPr="008A3B25" w:rsidRDefault="00F81427" w:rsidP="00F81427">
      <w:pPr>
        <w:spacing w:line="276" w:lineRule="auto"/>
        <w:jc w:val="center"/>
        <w:rPr>
          <w:i/>
          <w:iCs/>
          <w:color w:val="000000" w:themeColor="text1"/>
          <w:sz w:val="28"/>
          <w:szCs w:val="28"/>
          <w:lang w:eastAsia="fr-FR"/>
        </w:rPr>
      </w:pPr>
      <w:r w:rsidRPr="008A3B25">
        <w:rPr>
          <w:i/>
          <w:iCs/>
          <w:color w:val="000000" w:themeColor="text1"/>
          <w:sz w:val="28"/>
          <w:szCs w:val="28"/>
          <w:lang w:eastAsia="fr-FR"/>
        </w:rPr>
        <w:t>Enfin, nous remercions du fond du cœur toutes les personnes qui, de près ou de loin, nous ont soutenues dans cette aventure. Une pensée particulière va à nos enseignants, qui nous ont transmis leurs savoirs avec passion, et à nos proches, pour leur patience, leurs encouragements et leur indéfectible soutien.</w:t>
      </w:r>
    </w:p>
    <w:p w14:paraId="6E048C0D" w14:textId="77777777" w:rsidR="00F81427" w:rsidRDefault="00F81427" w:rsidP="00F81427">
      <w:pPr>
        <w:tabs>
          <w:tab w:val="left" w:pos="3139"/>
        </w:tabs>
        <w:jc w:val="center"/>
      </w:pPr>
    </w:p>
    <w:p w14:paraId="3F7DD0F3" w14:textId="77777777" w:rsidR="00B15608" w:rsidRDefault="00B15608" w:rsidP="00465696">
      <w:pPr>
        <w:spacing w:before="15"/>
        <w:ind w:left="287"/>
        <w:jc w:val="center"/>
        <w:rPr>
          <w:b/>
          <w:i/>
          <w:spacing w:val="-2"/>
          <w:w w:val="95"/>
          <w:sz w:val="40"/>
        </w:rPr>
      </w:pPr>
    </w:p>
    <w:p w14:paraId="58C5C86D" w14:textId="77777777" w:rsidR="00B15608" w:rsidRDefault="00B15608" w:rsidP="00465696">
      <w:pPr>
        <w:spacing w:before="15"/>
        <w:ind w:left="287"/>
        <w:jc w:val="center"/>
        <w:rPr>
          <w:b/>
          <w:i/>
          <w:spacing w:val="-2"/>
          <w:w w:val="95"/>
          <w:sz w:val="40"/>
        </w:rPr>
      </w:pPr>
    </w:p>
    <w:p w14:paraId="36A6E8BF" w14:textId="77777777" w:rsidR="00B15608" w:rsidRDefault="00B15608" w:rsidP="00B15608">
      <w:pPr>
        <w:pStyle w:val="Citation"/>
        <w:rPr>
          <w:w w:val="95"/>
        </w:rPr>
      </w:pPr>
    </w:p>
    <w:p w14:paraId="3C3BB77C" w14:textId="77777777" w:rsidR="00B15608" w:rsidRPr="008A3B25" w:rsidRDefault="00B15608" w:rsidP="00B15608">
      <w:pPr>
        <w:pStyle w:val="Citation"/>
        <w:rPr>
          <w:w w:val="95"/>
        </w:rPr>
      </w:pPr>
    </w:p>
    <w:p w14:paraId="59FAF08E" w14:textId="77777777" w:rsidR="00F81427" w:rsidRPr="008A3B25" w:rsidRDefault="00F81427" w:rsidP="00B15608">
      <w:pPr>
        <w:pStyle w:val="Citation"/>
      </w:pPr>
      <w:bookmarkStart w:id="3" w:name="_Toc200731450"/>
      <w:bookmarkStart w:id="4" w:name="_Toc200825367"/>
      <w:r w:rsidRPr="008A3B25">
        <w:rPr>
          <w:w w:val="95"/>
        </w:rPr>
        <w:lastRenderedPageBreak/>
        <w:t>Dédicace</w:t>
      </w:r>
      <w:bookmarkEnd w:id="3"/>
      <w:bookmarkEnd w:id="4"/>
    </w:p>
    <w:p w14:paraId="0AEB4FA1" w14:textId="77777777" w:rsidR="00B15608" w:rsidRPr="008A3B25" w:rsidRDefault="00B15608" w:rsidP="00B15608">
      <w:pPr>
        <w:rPr>
          <w:color w:val="000000" w:themeColor="text1"/>
        </w:rPr>
      </w:pPr>
    </w:p>
    <w:p w14:paraId="005A9761" w14:textId="77777777" w:rsidR="00F81427" w:rsidRPr="008A3B25" w:rsidRDefault="00F81427" w:rsidP="00F81427">
      <w:pPr>
        <w:jc w:val="center"/>
        <w:rPr>
          <w:i/>
          <w:iCs/>
          <w:color w:val="000000" w:themeColor="text1"/>
          <w:sz w:val="28"/>
          <w:szCs w:val="28"/>
          <w:lang w:eastAsia="fr-FR"/>
        </w:rPr>
      </w:pPr>
      <w:r w:rsidRPr="008A3B25">
        <w:rPr>
          <w:i/>
          <w:iCs/>
          <w:color w:val="000000" w:themeColor="text1"/>
          <w:sz w:val="28"/>
          <w:szCs w:val="28"/>
          <w:lang w:eastAsia="fr-FR"/>
        </w:rPr>
        <w:t>À mes chers parents,</w:t>
      </w:r>
    </w:p>
    <w:p w14:paraId="2E6E0715" w14:textId="77777777" w:rsidR="00F81427" w:rsidRPr="008A3B25" w:rsidRDefault="00F81427" w:rsidP="00F81427">
      <w:pPr>
        <w:jc w:val="center"/>
        <w:rPr>
          <w:i/>
          <w:iCs/>
          <w:color w:val="000000" w:themeColor="text1"/>
          <w:sz w:val="28"/>
          <w:szCs w:val="28"/>
          <w:lang w:eastAsia="fr-FR"/>
        </w:rPr>
      </w:pPr>
      <w:r w:rsidRPr="008A3B25">
        <w:rPr>
          <w:i/>
          <w:iCs/>
          <w:color w:val="000000" w:themeColor="text1"/>
          <w:sz w:val="28"/>
          <w:szCs w:val="28"/>
          <w:lang w:eastAsia="fr-FR"/>
        </w:rPr>
        <w:t>et tout particulièrement à ma tendre mère</w:t>
      </w:r>
      <w:r w:rsidR="009645CF">
        <w:rPr>
          <w:i/>
          <w:iCs/>
          <w:color w:val="000000" w:themeColor="text1"/>
          <w:sz w:val="28"/>
          <w:szCs w:val="28"/>
          <w:lang w:eastAsia="fr-FR"/>
        </w:rPr>
        <w:t xml:space="preserve"> Tazzamouchte Samia </w:t>
      </w:r>
      <w:r w:rsidRPr="008A3B25">
        <w:rPr>
          <w:i/>
          <w:iCs/>
          <w:color w:val="000000" w:themeColor="text1"/>
          <w:sz w:val="28"/>
          <w:szCs w:val="28"/>
          <w:lang w:eastAsia="fr-FR"/>
        </w:rPr>
        <w:t>,</w:t>
      </w:r>
    </w:p>
    <w:p w14:paraId="4E1275DD" w14:textId="77777777" w:rsidR="00F81427" w:rsidRPr="008A3B25" w:rsidRDefault="00F81427" w:rsidP="00465696">
      <w:pPr>
        <w:ind w:firstLine="340"/>
        <w:jc w:val="center"/>
        <w:rPr>
          <w:i/>
          <w:iCs/>
          <w:color w:val="000000" w:themeColor="text1"/>
          <w:sz w:val="28"/>
          <w:szCs w:val="28"/>
          <w:lang w:eastAsia="fr-FR"/>
        </w:rPr>
      </w:pPr>
      <w:r w:rsidRPr="008A3B25">
        <w:rPr>
          <w:i/>
          <w:iCs/>
          <w:color w:val="000000" w:themeColor="text1"/>
          <w:sz w:val="28"/>
          <w:szCs w:val="28"/>
          <w:lang w:eastAsia="fr-FR"/>
        </w:rPr>
        <w:t>qui n’ont jamais cessé de prier pour moi, de me soutenir et de m’encourager avec amour et patience afin que je puisse atteindre mes objectifs.</w:t>
      </w:r>
    </w:p>
    <w:p w14:paraId="35408138" w14:textId="77777777" w:rsidR="00F81427" w:rsidRPr="008A3B25" w:rsidRDefault="00F81427" w:rsidP="00F81427">
      <w:pPr>
        <w:jc w:val="center"/>
        <w:rPr>
          <w:i/>
          <w:iCs/>
          <w:color w:val="000000" w:themeColor="text1"/>
          <w:sz w:val="28"/>
          <w:szCs w:val="28"/>
          <w:lang w:eastAsia="fr-FR"/>
        </w:rPr>
      </w:pPr>
      <w:r w:rsidRPr="008A3B25">
        <w:rPr>
          <w:i/>
          <w:iCs/>
          <w:color w:val="000000" w:themeColor="text1"/>
          <w:sz w:val="28"/>
          <w:szCs w:val="28"/>
          <w:lang w:eastAsia="fr-FR"/>
        </w:rPr>
        <w:t>À mes frères bien-aimés, Tahar et Oussama,</w:t>
      </w:r>
    </w:p>
    <w:p w14:paraId="06AA0455" w14:textId="77777777" w:rsidR="00F81427" w:rsidRPr="008A3B25" w:rsidRDefault="00F81427" w:rsidP="00465696">
      <w:pPr>
        <w:ind w:firstLine="340"/>
        <w:jc w:val="center"/>
        <w:rPr>
          <w:i/>
          <w:iCs/>
          <w:color w:val="000000" w:themeColor="text1"/>
          <w:sz w:val="28"/>
          <w:szCs w:val="28"/>
          <w:lang w:eastAsia="fr-FR"/>
        </w:rPr>
      </w:pPr>
      <w:r w:rsidRPr="008A3B25">
        <w:rPr>
          <w:i/>
          <w:iCs/>
          <w:color w:val="000000" w:themeColor="text1"/>
          <w:sz w:val="28"/>
          <w:szCs w:val="28"/>
          <w:lang w:eastAsia="fr-FR"/>
        </w:rPr>
        <w:t>pour leur soutien moral constant et leurs précieux conseils tout au long de mon parcours universitaire.</w:t>
      </w:r>
    </w:p>
    <w:p w14:paraId="4374F331" w14:textId="77777777" w:rsidR="00F81427" w:rsidRPr="008A3B25" w:rsidRDefault="00F81427" w:rsidP="00F81427">
      <w:pPr>
        <w:jc w:val="center"/>
        <w:rPr>
          <w:i/>
          <w:iCs/>
          <w:color w:val="000000" w:themeColor="text1"/>
          <w:sz w:val="28"/>
          <w:szCs w:val="28"/>
          <w:lang w:eastAsia="fr-FR"/>
        </w:rPr>
      </w:pPr>
      <w:r w:rsidRPr="008A3B25">
        <w:rPr>
          <w:i/>
          <w:iCs/>
          <w:color w:val="000000" w:themeColor="text1"/>
          <w:sz w:val="28"/>
          <w:szCs w:val="28"/>
          <w:lang w:eastAsia="fr-FR"/>
        </w:rPr>
        <w:t>À la mémoire de mon cher papy Tazzamouchte Abdelhamid,</w:t>
      </w:r>
    </w:p>
    <w:p w14:paraId="78A26F1F" w14:textId="77777777" w:rsidR="00F81427" w:rsidRPr="008A3B25" w:rsidRDefault="00D5614D" w:rsidP="00F81427">
      <w:pPr>
        <w:jc w:val="center"/>
        <w:rPr>
          <w:i/>
          <w:iCs/>
          <w:color w:val="000000" w:themeColor="text1"/>
          <w:sz w:val="28"/>
          <w:szCs w:val="28"/>
          <w:lang w:eastAsia="fr-FR"/>
        </w:rPr>
      </w:pPr>
      <w:r>
        <w:rPr>
          <w:i/>
          <w:iCs/>
          <w:color w:val="000000" w:themeColor="text1"/>
          <w:sz w:val="28"/>
          <w:szCs w:val="28"/>
          <w:lang w:eastAsia="fr-FR"/>
        </w:rPr>
        <w:t>p</w:t>
      </w:r>
      <w:r w:rsidR="00F81427" w:rsidRPr="008A3B25">
        <w:rPr>
          <w:i/>
          <w:iCs/>
          <w:color w:val="000000" w:themeColor="text1"/>
          <w:sz w:val="28"/>
          <w:szCs w:val="28"/>
          <w:lang w:eastAsia="fr-FR"/>
        </w:rPr>
        <w:t>arti trop tôt, mais dont le souvenir vit toujours dans mon cœur.</w:t>
      </w:r>
    </w:p>
    <w:p w14:paraId="0A8DEDAE" w14:textId="77777777" w:rsidR="00F81427" w:rsidRPr="008A3B25" w:rsidRDefault="00F81427" w:rsidP="00465696">
      <w:pPr>
        <w:ind w:firstLine="340"/>
        <w:jc w:val="center"/>
        <w:rPr>
          <w:i/>
          <w:iCs/>
          <w:color w:val="000000" w:themeColor="text1"/>
          <w:sz w:val="28"/>
          <w:szCs w:val="28"/>
          <w:lang w:eastAsia="fr-FR"/>
        </w:rPr>
      </w:pPr>
      <w:r w:rsidRPr="008A3B25">
        <w:rPr>
          <w:i/>
          <w:iCs/>
          <w:color w:val="000000" w:themeColor="text1"/>
          <w:sz w:val="28"/>
          <w:szCs w:val="28"/>
          <w:lang w:eastAsia="fr-FR"/>
        </w:rPr>
        <w:t>Je lui rends hommage pour son amour, sa sagesse et sa présence qui continue de m’inspirer.</w:t>
      </w:r>
    </w:p>
    <w:p w14:paraId="01E3D19B" w14:textId="77777777" w:rsidR="00F81427" w:rsidRPr="008A3B25" w:rsidRDefault="00F81427" w:rsidP="00F81427">
      <w:pPr>
        <w:jc w:val="center"/>
        <w:rPr>
          <w:i/>
          <w:iCs/>
          <w:color w:val="000000" w:themeColor="text1"/>
          <w:sz w:val="28"/>
          <w:szCs w:val="28"/>
          <w:lang w:eastAsia="fr-FR"/>
        </w:rPr>
      </w:pPr>
      <w:r w:rsidRPr="008A3B25">
        <w:rPr>
          <w:i/>
          <w:iCs/>
          <w:color w:val="000000" w:themeColor="text1"/>
          <w:sz w:val="28"/>
          <w:szCs w:val="28"/>
          <w:lang w:eastAsia="fr-FR"/>
        </w:rPr>
        <w:t>À tous ceux que j’aime et à ceux qui m’aiment,</w:t>
      </w:r>
    </w:p>
    <w:p w14:paraId="1BECCCED" w14:textId="77777777" w:rsidR="00F81427" w:rsidRPr="008A3B25" w:rsidRDefault="00F81427" w:rsidP="00465696">
      <w:pPr>
        <w:ind w:firstLine="340"/>
        <w:jc w:val="center"/>
        <w:rPr>
          <w:i/>
          <w:iCs/>
          <w:color w:val="000000" w:themeColor="text1"/>
          <w:sz w:val="28"/>
          <w:szCs w:val="28"/>
          <w:lang w:eastAsia="fr-FR"/>
        </w:rPr>
      </w:pPr>
      <w:r w:rsidRPr="008A3B25">
        <w:rPr>
          <w:i/>
          <w:iCs/>
          <w:color w:val="000000" w:themeColor="text1"/>
          <w:sz w:val="28"/>
          <w:szCs w:val="28"/>
          <w:lang w:eastAsia="fr-FR"/>
        </w:rPr>
        <w:t>pour leur présence, leur affection et leur soutien dans les moments difficiles.</w:t>
      </w:r>
    </w:p>
    <w:p w14:paraId="667E5A9E" w14:textId="77777777" w:rsidR="00F81427" w:rsidRPr="008A3B25" w:rsidRDefault="00F81427" w:rsidP="00F81427">
      <w:pPr>
        <w:jc w:val="center"/>
        <w:rPr>
          <w:i/>
          <w:iCs/>
          <w:color w:val="000000" w:themeColor="text1"/>
          <w:sz w:val="28"/>
          <w:szCs w:val="28"/>
          <w:lang w:eastAsia="fr-FR"/>
        </w:rPr>
      </w:pPr>
      <w:r w:rsidRPr="008A3B25">
        <w:rPr>
          <w:i/>
          <w:iCs/>
          <w:color w:val="000000" w:themeColor="text1"/>
          <w:sz w:val="28"/>
          <w:szCs w:val="28"/>
          <w:lang w:eastAsia="fr-FR"/>
        </w:rPr>
        <w:t>Je dédie ce modeste travail avec toute ma gratitude et mon affection.</w:t>
      </w:r>
    </w:p>
    <w:p w14:paraId="18674AEC" w14:textId="77777777" w:rsidR="00F81427" w:rsidRDefault="00F81427" w:rsidP="00465696">
      <w:pPr>
        <w:tabs>
          <w:tab w:val="left" w:pos="3996"/>
        </w:tabs>
        <w:ind w:firstLine="0"/>
        <w:rPr>
          <w:szCs w:val="24"/>
          <w:lang w:eastAsia="fr-FR"/>
        </w:rPr>
      </w:pPr>
    </w:p>
    <w:p w14:paraId="4DB20C50" w14:textId="77777777" w:rsidR="00B15608" w:rsidRDefault="00B15608" w:rsidP="00465696">
      <w:pPr>
        <w:tabs>
          <w:tab w:val="left" w:pos="3996"/>
        </w:tabs>
        <w:ind w:firstLine="0"/>
        <w:rPr>
          <w:szCs w:val="24"/>
          <w:lang w:eastAsia="fr-FR"/>
        </w:rPr>
      </w:pPr>
    </w:p>
    <w:p w14:paraId="428F24F7" w14:textId="77777777" w:rsidR="00B15608" w:rsidRDefault="00B15608" w:rsidP="00465696">
      <w:pPr>
        <w:tabs>
          <w:tab w:val="left" w:pos="3996"/>
        </w:tabs>
        <w:ind w:firstLine="0"/>
        <w:rPr>
          <w:szCs w:val="24"/>
          <w:lang w:eastAsia="fr-FR"/>
        </w:rPr>
      </w:pPr>
    </w:p>
    <w:p w14:paraId="0889F1A6" w14:textId="77777777" w:rsidR="009849A5" w:rsidRDefault="009849A5" w:rsidP="00E54F6F">
      <w:pPr>
        <w:pStyle w:val="Citation"/>
        <w:ind w:left="0" w:firstLine="0"/>
        <w:jc w:val="both"/>
        <w:rPr>
          <w:lang w:eastAsia="fr-FR"/>
        </w:rPr>
      </w:pPr>
      <w:bookmarkStart w:id="5" w:name="_Toc200731451"/>
    </w:p>
    <w:p w14:paraId="2F081F95" w14:textId="77777777" w:rsidR="009645CF" w:rsidRDefault="009645CF" w:rsidP="00B15608">
      <w:pPr>
        <w:pStyle w:val="Citation"/>
        <w:rPr>
          <w:lang w:eastAsia="fr-FR"/>
        </w:rPr>
      </w:pPr>
      <w:bookmarkStart w:id="6" w:name="_Toc200825368"/>
    </w:p>
    <w:p w14:paraId="65B06C65" w14:textId="77777777" w:rsidR="00F81427" w:rsidRPr="00B15608" w:rsidRDefault="003D09A2" w:rsidP="003D09A2">
      <w:pPr>
        <w:pStyle w:val="Citation"/>
        <w:jc w:val="left"/>
        <w:rPr>
          <w:lang w:eastAsia="fr-FR"/>
        </w:rPr>
      </w:pPr>
      <w:r>
        <w:rPr>
          <w:rFonts w:ascii="Calibri" w:cs="Calibri"/>
          <w:noProof/>
        </w:rPr>
        <w:lastRenderedPageBreak/>
        <mc:AlternateContent>
          <mc:Choice Requires="wps">
            <w:drawing>
              <wp:anchor distT="0" distB="0" distL="0" distR="0" simplePos="0" relativeHeight="251679744" behindDoc="1" locked="0" layoutInCell="1" allowOverlap="1" wp14:anchorId="3BA07326" wp14:editId="156E4C34">
                <wp:simplePos x="0" y="0"/>
                <wp:positionH relativeFrom="page">
                  <wp:posOffset>366395</wp:posOffset>
                </wp:positionH>
                <wp:positionV relativeFrom="page">
                  <wp:posOffset>358140</wp:posOffset>
                </wp:positionV>
                <wp:extent cx="6952615" cy="10084435"/>
                <wp:effectExtent l="0" t="0" r="0" b="0"/>
                <wp:wrapNone/>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4435"/>
                        </a:xfrm>
                        <a:custGeom>
                          <a:avLst/>
                          <a:gdLst/>
                          <a:ahLst/>
                          <a:cxnLst/>
                          <a:rect l="l" t="t" r="r" b="b"/>
                          <a:pathLst>
                            <a:path w="6952615" h="10084435">
                              <a:moveTo>
                                <a:pt x="6886956" y="65532"/>
                              </a:moveTo>
                              <a:lnTo>
                                <a:pt x="6877812" y="65532"/>
                              </a:lnTo>
                              <a:lnTo>
                                <a:pt x="6877812" y="74676"/>
                              </a:lnTo>
                              <a:lnTo>
                                <a:pt x="6877812" y="10009327"/>
                              </a:lnTo>
                              <a:lnTo>
                                <a:pt x="74676" y="10009327"/>
                              </a:lnTo>
                              <a:lnTo>
                                <a:pt x="74676" y="74676"/>
                              </a:lnTo>
                              <a:lnTo>
                                <a:pt x="6877812" y="74676"/>
                              </a:lnTo>
                              <a:lnTo>
                                <a:pt x="6877812" y="65532"/>
                              </a:lnTo>
                              <a:lnTo>
                                <a:pt x="74676" y="65532"/>
                              </a:lnTo>
                              <a:lnTo>
                                <a:pt x="65532" y="65532"/>
                              </a:lnTo>
                              <a:lnTo>
                                <a:pt x="65532" y="74625"/>
                              </a:lnTo>
                              <a:lnTo>
                                <a:pt x="65532" y="10009327"/>
                              </a:lnTo>
                              <a:lnTo>
                                <a:pt x="65532" y="10018471"/>
                              </a:lnTo>
                              <a:lnTo>
                                <a:pt x="74676" y="10018471"/>
                              </a:lnTo>
                              <a:lnTo>
                                <a:pt x="6877812" y="10018471"/>
                              </a:lnTo>
                              <a:lnTo>
                                <a:pt x="6886956" y="10018471"/>
                              </a:lnTo>
                              <a:lnTo>
                                <a:pt x="6886956" y="10009327"/>
                              </a:lnTo>
                              <a:lnTo>
                                <a:pt x="6886956" y="74676"/>
                              </a:lnTo>
                              <a:lnTo>
                                <a:pt x="6886956" y="65532"/>
                              </a:lnTo>
                              <a:close/>
                            </a:path>
                            <a:path w="6952615" h="10084435">
                              <a:moveTo>
                                <a:pt x="6934200" y="18288"/>
                              </a:moveTo>
                              <a:lnTo>
                                <a:pt x="6896100" y="18288"/>
                              </a:lnTo>
                              <a:lnTo>
                                <a:pt x="6896100" y="56388"/>
                              </a:lnTo>
                              <a:lnTo>
                                <a:pt x="6896100" y="74625"/>
                              </a:lnTo>
                              <a:lnTo>
                                <a:pt x="6896100" y="10009327"/>
                              </a:lnTo>
                              <a:lnTo>
                                <a:pt x="6896100" y="10027615"/>
                              </a:lnTo>
                              <a:lnTo>
                                <a:pt x="6877812" y="10027615"/>
                              </a:lnTo>
                              <a:lnTo>
                                <a:pt x="74676" y="10027615"/>
                              </a:lnTo>
                              <a:lnTo>
                                <a:pt x="56388" y="10027615"/>
                              </a:lnTo>
                              <a:lnTo>
                                <a:pt x="56388" y="10009327"/>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10065715"/>
                              </a:lnTo>
                              <a:lnTo>
                                <a:pt x="56388" y="10065715"/>
                              </a:lnTo>
                              <a:lnTo>
                                <a:pt x="74676" y="10065715"/>
                              </a:lnTo>
                              <a:lnTo>
                                <a:pt x="6877812" y="10065715"/>
                              </a:lnTo>
                              <a:lnTo>
                                <a:pt x="6896100" y="10065715"/>
                              </a:lnTo>
                              <a:lnTo>
                                <a:pt x="6934200" y="10065715"/>
                              </a:lnTo>
                              <a:lnTo>
                                <a:pt x="6934200" y="10027615"/>
                              </a:lnTo>
                              <a:lnTo>
                                <a:pt x="6934200" y="10009327"/>
                              </a:lnTo>
                              <a:lnTo>
                                <a:pt x="6934200" y="74676"/>
                              </a:lnTo>
                              <a:lnTo>
                                <a:pt x="6934200" y="56388"/>
                              </a:lnTo>
                              <a:lnTo>
                                <a:pt x="6934200" y="18288"/>
                              </a:lnTo>
                              <a:close/>
                            </a:path>
                            <a:path w="6952615" h="10084435">
                              <a:moveTo>
                                <a:pt x="6952475" y="0"/>
                              </a:moveTo>
                              <a:lnTo>
                                <a:pt x="6943344" y="0"/>
                              </a:lnTo>
                              <a:lnTo>
                                <a:pt x="6943344" y="9144"/>
                              </a:lnTo>
                              <a:lnTo>
                                <a:pt x="6943344" y="74625"/>
                              </a:lnTo>
                              <a:lnTo>
                                <a:pt x="6943344" y="10009327"/>
                              </a:lnTo>
                              <a:lnTo>
                                <a:pt x="6943344" y="10074872"/>
                              </a:lnTo>
                              <a:lnTo>
                                <a:pt x="6877812" y="10074872"/>
                              </a:lnTo>
                              <a:lnTo>
                                <a:pt x="74676" y="10074872"/>
                              </a:lnTo>
                              <a:lnTo>
                                <a:pt x="9144" y="10074872"/>
                              </a:lnTo>
                              <a:lnTo>
                                <a:pt x="9144" y="10009327"/>
                              </a:lnTo>
                              <a:lnTo>
                                <a:pt x="9144" y="74676"/>
                              </a:lnTo>
                              <a:lnTo>
                                <a:pt x="9144" y="9144"/>
                              </a:lnTo>
                              <a:lnTo>
                                <a:pt x="74676" y="9144"/>
                              </a:lnTo>
                              <a:lnTo>
                                <a:pt x="6877812" y="9144"/>
                              </a:lnTo>
                              <a:lnTo>
                                <a:pt x="6943344" y="9144"/>
                              </a:lnTo>
                              <a:lnTo>
                                <a:pt x="6943344" y="0"/>
                              </a:lnTo>
                              <a:lnTo>
                                <a:pt x="6877812" y="0"/>
                              </a:lnTo>
                              <a:lnTo>
                                <a:pt x="74676" y="0"/>
                              </a:lnTo>
                              <a:lnTo>
                                <a:pt x="9144" y="0"/>
                              </a:lnTo>
                              <a:lnTo>
                                <a:pt x="0" y="0"/>
                              </a:lnTo>
                              <a:lnTo>
                                <a:pt x="0" y="9144"/>
                              </a:lnTo>
                              <a:lnTo>
                                <a:pt x="0" y="10084003"/>
                              </a:lnTo>
                              <a:lnTo>
                                <a:pt x="9144" y="10084003"/>
                              </a:lnTo>
                              <a:lnTo>
                                <a:pt x="74676" y="10084003"/>
                              </a:lnTo>
                              <a:lnTo>
                                <a:pt x="6877812" y="10084003"/>
                              </a:lnTo>
                              <a:lnTo>
                                <a:pt x="6943344" y="10084003"/>
                              </a:lnTo>
                              <a:lnTo>
                                <a:pt x="6952475" y="10084003"/>
                              </a:lnTo>
                              <a:lnTo>
                                <a:pt x="6952475" y="10074872"/>
                              </a:lnTo>
                              <a:lnTo>
                                <a:pt x="6952475" y="10009327"/>
                              </a:lnTo>
                              <a:lnTo>
                                <a:pt x="6952475" y="74676"/>
                              </a:lnTo>
                              <a:lnTo>
                                <a:pt x="6952475" y="9144"/>
                              </a:lnTo>
                              <a:lnTo>
                                <a:pt x="69524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23DA6E" id="Graphic 354" o:spid="_x0000_s1026" style="position:absolute;margin-left:28.85pt;margin-top:28.2pt;width:547.45pt;height:794.05pt;z-index:-251636736;visibility:visible;mso-wrap-style:square;mso-wrap-distance-left:0;mso-wrap-distance-top:0;mso-wrap-distance-right:0;mso-wrap-distance-bottom:0;mso-position-horizontal:absolute;mso-position-horizontal-relative:page;mso-position-vertical:absolute;mso-position-vertical-relative:page;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" path="m6886956,65532r-9144,l6877812,74676r,9934651l74676,10009327r,-9934651l6877812,74676r,-9144l74676,65532r-9144,l65532,74625r,9934702l65532,10018471r9144,l6877812,10018471r9144,l6886956,10009327r,-9934651l6886956,65532xem6934200,18288r-38100,l6896100,56388r,18237l6896100,10009327r,18288l6877812,10027615r-6803136,l56388,10027615r,-18288l56388,74676r,-18288l74676,56388r6803136,l6896100,56388r,-38100l6877812,18288r-6803136,l56388,18288r-38100,l18288,56388r,10009327l56388,10065715r18288,l6877812,10065715r18288,l6934200,10065715r,-38100l6934200,10009327r,-9934651l6934200,56388r,-38100xem6952475,r-9131,l6943344,9144r,65481l6943344,10009327r,65545l6877812,10074872r-6803136,l9144,10074872r,-65545l9144,74676r,-65532l74676,9144r6803136,l6943344,9144r,-9144l6877812,,74676,,9144,,,,,9144,,10084003r9144,l74676,10084003r6803136,l6943344,10084003r9131,l6952475,10074872r,-65545l6952475,74676r,-65532l6952475,xe" fillcolor="black" stroked="f">
                <v:path arrowok="t"/>
                <w10:wrap anchorx="page" anchory="page"/>
              </v:shape>
            </w:pict>
          </mc:Fallback>
        </mc:AlternateContent>
      </w:r>
      <w:r w:rsidR="00F81427" w:rsidRPr="006E0336">
        <w:rPr>
          <w:lang w:eastAsia="fr-FR"/>
        </w:rPr>
        <w:t>Résumé</w:t>
      </w:r>
      <w:bookmarkEnd w:id="5"/>
      <w:bookmarkEnd w:id="6"/>
    </w:p>
    <w:p w14:paraId="3C3B53A8" w14:textId="77777777" w:rsidR="00623079" w:rsidRDefault="00623079" w:rsidP="00B15608">
      <w:pPr>
        <w:rPr>
          <w:color w:val="222222"/>
          <w:szCs w:val="24"/>
          <w:lang w:eastAsia="fr-FR"/>
        </w:rPr>
      </w:pPr>
      <w:r w:rsidRPr="00623079">
        <w:rPr>
          <w:color w:val="222222"/>
          <w:szCs w:val="24"/>
          <w:lang w:eastAsia="fr-FR"/>
        </w:rPr>
        <w:t xml:space="preserve">Dans un contexte où la responsabilité environnementale est cruciale, certaines entreprises, comme </w:t>
      </w:r>
      <w:r w:rsidR="003D09A2">
        <w:rPr>
          <w:szCs w:val="20"/>
        </w:rPr>
        <w:t xml:space="preserve">GICA en </w:t>
      </w:r>
      <w:r w:rsidRPr="00623079">
        <w:rPr>
          <w:color w:val="222222"/>
          <w:szCs w:val="24"/>
          <w:lang w:eastAsia="fr-FR"/>
        </w:rPr>
        <w:t xml:space="preserve"> Algérie, adoptent des stratégies de communication axées sur la durabilité. Cependant, le Greenwashing, qui consiste à donner une image écologique trompeuse, peut temporairement améliorer l'image de marque, mais nuit à long terme à la confiance des consommateurs. Cette étude met en lumière l'importance pour les entreprises d'adopter des pratiques environnementales authentiques pour construire une image de marque solide et durable</w:t>
      </w:r>
      <w:r>
        <w:rPr>
          <w:color w:val="222222"/>
          <w:szCs w:val="24"/>
          <w:lang w:eastAsia="fr-FR"/>
        </w:rPr>
        <w:t xml:space="preserve"> </w:t>
      </w:r>
      <w:r w:rsidRPr="00623079">
        <w:rPr>
          <w:color w:val="222222"/>
          <w:szCs w:val="24"/>
          <w:lang w:eastAsia="fr-FR"/>
        </w:rPr>
        <w:t xml:space="preserve">.. </w:t>
      </w:r>
    </w:p>
    <w:p w14:paraId="4B051C43" w14:textId="77777777" w:rsidR="00623079" w:rsidRDefault="00623079" w:rsidP="00B15608">
      <w:pPr>
        <w:rPr>
          <w:color w:val="222222"/>
          <w:szCs w:val="24"/>
          <w:lang w:eastAsia="fr-FR"/>
        </w:rPr>
      </w:pPr>
      <w:r w:rsidRPr="00623079">
        <w:rPr>
          <w:color w:val="222222"/>
          <w:szCs w:val="24"/>
          <w:lang w:eastAsia="fr-FR"/>
        </w:rPr>
        <w:t xml:space="preserve">Mots clés : Greenwashing, image de marque, confiance verte, GICA.. </w:t>
      </w:r>
    </w:p>
    <w:p w14:paraId="6980FFA8" w14:textId="77777777" w:rsidR="003D09A2" w:rsidRDefault="003D09A2" w:rsidP="00E56125">
      <w:pPr>
        <w:ind w:firstLine="0"/>
        <w:rPr>
          <w:color w:val="222222"/>
          <w:szCs w:val="24"/>
          <w:lang w:eastAsia="fr-FR"/>
        </w:rPr>
      </w:pPr>
    </w:p>
    <w:p w14:paraId="14DCB94F" w14:textId="77777777" w:rsidR="00B15608" w:rsidRPr="00CD3D49" w:rsidRDefault="00CD3D49" w:rsidP="003D09A2">
      <w:pPr>
        <w:pStyle w:val="Citation"/>
        <w:jc w:val="right"/>
        <w:rPr>
          <w:b w:val="0"/>
          <w:bCs/>
          <w:sz w:val="44"/>
          <w:szCs w:val="32"/>
        </w:rPr>
      </w:pPr>
      <w:r w:rsidRPr="00CD3D49">
        <w:rPr>
          <w:rFonts w:cs="Arial"/>
          <w:b w:val="0"/>
          <w:bCs/>
          <w:sz w:val="44"/>
          <w:szCs w:val="32"/>
          <w:rtl/>
        </w:rPr>
        <w:t>ملخص</w:t>
      </w:r>
    </w:p>
    <w:p w14:paraId="72BDC70A" w14:textId="77777777" w:rsidR="00CD3D49" w:rsidRPr="00CD3D49" w:rsidRDefault="00CD3D49" w:rsidP="00EB52F7">
      <w:pPr>
        <w:pStyle w:val="Citation"/>
        <w:rPr>
          <w:rFonts w:cstheme="majorBidi"/>
        </w:rPr>
      </w:pPr>
      <w:bookmarkStart w:id="7" w:name="_Toc200731452"/>
      <w:bookmarkStart w:id="8" w:name="_Toc200825369"/>
      <w:r w:rsidRPr="00CD3D49">
        <w:rPr>
          <w:rFonts w:cstheme="majorBidi"/>
          <w:rtl/>
        </w:rPr>
        <w:t xml:space="preserve">في سياق تعتبر فيه المسؤولية البيئية أمرًا بالغ الأهمية، تتبنى بعض الشركات، مثل شركة </w:t>
      </w:r>
      <w:proofErr w:type="spellStart"/>
      <w:r w:rsidRPr="00CD3D49">
        <w:rPr>
          <w:rFonts w:cstheme="majorBidi"/>
          <w:rtl/>
        </w:rPr>
        <w:t>جيكا</w:t>
      </w:r>
      <w:proofErr w:type="spellEnd"/>
      <w:r w:rsidRPr="00CD3D49">
        <w:rPr>
          <w:rFonts w:cstheme="majorBidi"/>
          <w:rtl/>
        </w:rPr>
        <w:t xml:space="preserve"> في الجزائر، استراتيجيات اتصال تركز على الاستدامة. ومع ذلك، فإن الغسل الأخضر، الذي يتكون من تقديم صورة بيئية مضللة، يمكن أن يحسن صورة العلامة التجارية مؤقتًا، ولكنه يضر بثقة المستهلك على المدى الطويل. تسلط هذه الدراسة الضوء على أهمية قيام الشركات بتبني ممارسات بيئية أصيلة لبناء صورة قوية ومستدامة للعلامة التجارية</w:t>
      </w:r>
      <w:r w:rsidRPr="00CD3D49">
        <w:rPr>
          <w:rFonts w:cstheme="majorBidi"/>
        </w:rPr>
        <w:t>.</w:t>
      </w:r>
    </w:p>
    <w:p w14:paraId="7589C570" w14:textId="77777777" w:rsidR="00623079" w:rsidRPr="00CD3D49" w:rsidRDefault="00CD3D49" w:rsidP="00EB52F7">
      <w:pPr>
        <w:pStyle w:val="Citation"/>
        <w:rPr>
          <w:rFonts w:cstheme="majorBidi"/>
        </w:rPr>
      </w:pPr>
      <w:r w:rsidRPr="00CD3D49">
        <w:rPr>
          <w:rFonts w:cstheme="majorBidi"/>
          <w:rtl/>
        </w:rPr>
        <w:t xml:space="preserve">الكلمات المفتاحية: الغسل الأخضر، صورة العلامة التجارية، الثقة الخضراء، </w:t>
      </w:r>
      <w:proofErr w:type="spellStart"/>
      <w:r w:rsidRPr="00CD3D49">
        <w:rPr>
          <w:rFonts w:cstheme="majorBidi"/>
          <w:rtl/>
        </w:rPr>
        <w:t>جيكا</w:t>
      </w:r>
      <w:proofErr w:type="spellEnd"/>
      <w:r w:rsidRPr="00CD3D49">
        <w:rPr>
          <w:rFonts w:cstheme="majorBidi"/>
        </w:rPr>
        <w:t>..</w:t>
      </w:r>
    </w:p>
    <w:p w14:paraId="41684ECD" w14:textId="77777777" w:rsidR="00623079" w:rsidRPr="00CD3D49" w:rsidRDefault="00623079" w:rsidP="003D09A2">
      <w:pPr>
        <w:pStyle w:val="Citation"/>
        <w:jc w:val="left"/>
        <w:rPr>
          <w:rFonts w:cstheme="majorBidi"/>
        </w:rPr>
      </w:pPr>
    </w:p>
    <w:p w14:paraId="59A3E4B7" w14:textId="77777777" w:rsidR="00623079" w:rsidRDefault="00623079" w:rsidP="00B15608">
      <w:pPr>
        <w:pStyle w:val="Citation"/>
      </w:pPr>
    </w:p>
    <w:p w14:paraId="7F8A1CF0" w14:textId="77777777" w:rsidR="00623079" w:rsidRDefault="00623079" w:rsidP="00B15608">
      <w:pPr>
        <w:pStyle w:val="Citation"/>
      </w:pPr>
    </w:p>
    <w:p w14:paraId="708528EF" w14:textId="77777777" w:rsidR="00623079" w:rsidRDefault="00623079" w:rsidP="00B15608">
      <w:pPr>
        <w:pStyle w:val="Citation"/>
      </w:pPr>
    </w:p>
    <w:p w14:paraId="3F803B81" w14:textId="77777777" w:rsidR="00623079" w:rsidRDefault="00623079" w:rsidP="00B15608">
      <w:pPr>
        <w:pStyle w:val="Citation"/>
      </w:pPr>
    </w:p>
    <w:p w14:paraId="3577A63F" w14:textId="77777777" w:rsidR="00623079" w:rsidRDefault="00623079" w:rsidP="00B15608">
      <w:pPr>
        <w:pStyle w:val="Citation"/>
      </w:pPr>
    </w:p>
    <w:p w14:paraId="4A318552" w14:textId="77777777" w:rsidR="00CD3D49" w:rsidRDefault="00CD3D49" w:rsidP="00B15608">
      <w:pPr>
        <w:pStyle w:val="Citation"/>
        <w:rPr>
          <w:rtl/>
        </w:rPr>
      </w:pPr>
    </w:p>
    <w:p w14:paraId="68D46ABC" w14:textId="77777777" w:rsidR="00B15608" w:rsidRDefault="00B15608" w:rsidP="00B15608">
      <w:pPr>
        <w:pStyle w:val="Citation"/>
      </w:pPr>
      <w:r>
        <w:lastRenderedPageBreak/>
        <w:t>Liste des abréviations</w:t>
      </w:r>
      <w:bookmarkEnd w:id="7"/>
      <w:bookmarkEnd w:id="8"/>
      <w:r>
        <w:t xml:space="preserve"> </w:t>
      </w:r>
    </w:p>
    <w:p w14:paraId="380FA73B" w14:textId="77777777" w:rsidR="00B15608" w:rsidRPr="00242BC2" w:rsidRDefault="00B15608" w:rsidP="00B15608">
      <w:pPr>
        <w:rPr>
          <w:szCs w:val="28"/>
        </w:rPr>
      </w:pPr>
      <w:r w:rsidRPr="00242BC2">
        <w:rPr>
          <w:b/>
          <w:bCs/>
          <w:szCs w:val="28"/>
        </w:rPr>
        <w:t>GICA</w:t>
      </w:r>
      <w:r w:rsidRPr="00242BC2">
        <w:rPr>
          <w:spacing w:val="-8"/>
          <w:szCs w:val="28"/>
        </w:rPr>
        <w:t xml:space="preserve"> </w:t>
      </w:r>
      <w:r w:rsidRPr="00242BC2">
        <w:rPr>
          <w:szCs w:val="28"/>
        </w:rPr>
        <w:t>:</w:t>
      </w:r>
      <w:r w:rsidRPr="00242BC2">
        <w:rPr>
          <w:spacing w:val="-6"/>
          <w:szCs w:val="28"/>
        </w:rPr>
        <w:t xml:space="preserve"> </w:t>
      </w:r>
      <w:r w:rsidRPr="00242BC2">
        <w:rPr>
          <w:szCs w:val="28"/>
        </w:rPr>
        <w:t>Groupe</w:t>
      </w:r>
      <w:r w:rsidRPr="00242BC2">
        <w:rPr>
          <w:spacing w:val="-6"/>
          <w:szCs w:val="28"/>
        </w:rPr>
        <w:t xml:space="preserve"> </w:t>
      </w:r>
      <w:r w:rsidRPr="00242BC2">
        <w:rPr>
          <w:szCs w:val="28"/>
        </w:rPr>
        <w:t>Industriel</w:t>
      </w:r>
      <w:r w:rsidRPr="00242BC2">
        <w:rPr>
          <w:spacing w:val="-5"/>
          <w:szCs w:val="28"/>
        </w:rPr>
        <w:t xml:space="preserve"> </w:t>
      </w:r>
      <w:r w:rsidRPr="00242BC2">
        <w:rPr>
          <w:szCs w:val="28"/>
        </w:rPr>
        <w:t>des</w:t>
      </w:r>
      <w:r w:rsidRPr="00242BC2">
        <w:rPr>
          <w:spacing w:val="-8"/>
          <w:szCs w:val="28"/>
        </w:rPr>
        <w:t xml:space="preserve"> </w:t>
      </w:r>
      <w:r w:rsidRPr="00242BC2">
        <w:rPr>
          <w:szCs w:val="28"/>
        </w:rPr>
        <w:t>Ciments</w:t>
      </w:r>
      <w:r w:rsidRPr="00242BC2">
        <w:rPr>
          <w:spacing w:val="-8"/>
          <w:szCs w:val="28"/>
        </w:rPr>
        <w:t xml:space="preserve"> </w:t>
      </w:r>
      <w:r w:rsidRPr="00242BC2">
        <w:rPr>
          <w:spacing w:val="-2"/>
          <w:szCs w:val="28"/>
        </w:rPr>
        <w:t>d’Algérie</w:t>
      </w:r>
    </w:p>
    <w:p w14:paraId="4B8F62B7" w14:textId="77777777" w:rsidR="00B15608" w:rsidRPr="00242BC2" w:rsidRDefault="00B15608" w:rsidP="00B15608">
      <w:pPr>
        <w:rPr>
          <w:szCs w:val="28"/>
        </w:rPr>
      </w:pPr>
      <w:r w:rsidRPr="00242BC2">
        <w:rPr>
          <w:b/>
          <w:bCs/>
          <w:szCs w:val="28"/>
        </w:rPr>
        <w:t>ERCE</w:t>
      </w:r>
      <w:r w:rsidRPr="00242BC2">
        <w:rPr>
          <w:spacing w:val="-6"/>
          <w:szCs w:val="28"/>
        </w:rPr>
        <w:t xml:space="preserve"> </w:t>
      </w:r>
      <w:r w:rsidRPr="00242BC2">
        <w:rPr>
          <w:szCs w:val="28"/>
        </w:rPr>
        <w:t>:</w:t>
      </w:r>
      <w:r w:rsidRPr="00242BC2">
        <w:rPr>
          <w:spacing w:val="-9"/>
          <w:szCs w:val="28"/>
        </w:rPr>
        <w:t xml:space="preserve"> </w:t>
      </w:r>
      <w:r w:rsidRPr="00242BC2">
        <w:rPr>
          <w:szCs w:val="28"/>
        </w:rPr>
        <w:t>Entreprise</w:t>
      </w:r>
      <w:r w:rsidRPr="00242BC2">
        <w:rPr>
          <w:spacing w:val="-7"/>
          <w:szCs w:val="28"/>
        </w:rPr>
        <w:t xml:space="preserve"> </w:t>
      </w:r>
      <w:r w:rsidRPr="00242BC2">
        <w:rPr>
          <w:szCs w:val="28"/>
        </w:rPr>
        <w:t>Régionale</w:t>
      </w:r>
      <w:r w:rsidRPr="00242BC2">
        <w:rPr>
          <w:spacing w:val="-3"/>
          <w:szCs w:val="28"/>
        </w:rPr>
        <w:t xml:space="preserve"> </w:t>
      </w:r>
      <w:r w:rsidRPr="00242BC2">
        <w:rPr>
          <w:szCs w:val="28"/>
        </w:rPr>
        <w:t>de</w:t>
      </w:r>
      <w:r w:rsidRPr="00242BC2">
        <w:rPr>
          <w:spacing w:val="-2"/>
          <w:szCs w:val="28"/>
        </w:rPr>
        <w:t xml:space="preserve"> </w:t>
      </w:r>
      <w:r w:rsidRPr="00242BC2">
        <w:rPr>
          <w:szCs w:val="28"/>
        </w:rPr>
        <w:t>Ciment</w:t>
      </w:r>
      <w:r w:rsidRPr="00242BC2">
        <w:rPr>
          <w:spacing w:val="-4"/>
          <w:szCs w:val="28"/>
        </w:rPr>
        <w:t xml:space="preserve"> </w:t>
      </w:r>
      <w:r w:rsidRPr="00242BC2">
        <w:rPr>
          <w:szCs w:val="28"/>
        </w:rPr>
        <w:t>de</w:t>
      </w:r>
      <w:r w:rsidRPr="00242BC2">
        <w:rPr>
          <w:spacing w:val="-7"/>
          <w:szCs w:val="28"/>
        </w:rPr>
        <w:t xml:space="preserve"> </w:t>
      </w:r>
      <w:r w:rsidRPr="00242BC2">
        <w:rPr>
          <w:spacing w:val="-4"/>
          <w:szCs w:val="28"/>
        </w:rPr>
        <w:t>l’Est</w:t>
      </w:r>
    </w:p>
    <w:p w14:paraId="56CAEFFA" w14:textId="77777777" w:rsidR="00612506" w:rsidRPr="00242BC2" w:rsidRDefault="00612506" w:rsidP="00612506">
      <w:pPr>
        <w:rPr>
          <w:szCs w:val="28"/>
        </w:rPr>
      </w:pPr>
      <w:r w:rsidRPr="00242BC2">
        <w:rPr>
          <w:b/>
          <w:bCs/>
          <w:szCs w:val="28"/>
        </w:rPr>
        <w:t>SNMC</w:t>
      </w:r>
      <w:r w:rsidRPr="00242BC2">
        <w:rPr>
          <w:spacing w:val="39"/>
          <w:szCs w:val="28"/>
        </w:rPr>
        <w:t xml:space="preserve"> </w:t>
      </w:r>
      <w:r w:rsidRPr="00242BC2">
        <w:rPr>
          <w:szCs w:val="28"/>
        </w:rPr>
        <w:t>:</w:t>
      </w:r>
      <w:r w:rsidRPr="00242BC2">
        <w:rPr>
          <w:spacing w:val="-9"/>
          <w:szCs w:val="28"/>
        </w:rPr>
        <w:t xml:space="preserve"> </w:t>
      </w:r>
      <w:r w:rsidRPr="00242BC2">
        <w:rPr>
          <w:szCs w:val="28"/>
        </w:rPr>
        <w:t>Société</w:t>
      </w:r>
      <w:r w:rsidRPr="00242BC2">
        <w:rPr>
          <w:spacing w:val="36"/>
          <w:szCs w:val="28"/>
        </w:rPr>
        <w:t xml:space="preserve"> </w:t>
      </w:r>
      <w:r w:rsidRPr="00242BC2">
        <w:rPr>
          <w:szCs w:val="28"/>
        </w:rPr>
        <w:t>Nationale</w:t>
      </w:r>
      <w:r w:rsidRPr="00242BC2">
        <w:rPr>
          <w:spacing w:val="-4"/>
          <w:szCs w:val="28"/>
        </w:rPr>
        <w:t xml:space="preserve"> </w:t>
      </w:r>
      <w:r w:rsidRPr="00242BC2">
        <w:rPr>
          <w:szCs w:val="28"/>
        </w:rPr>
        <w:t>de</w:t>
      </w:r>
      <w:r w:rsidRPr="00242BC2">
        <w:rPr>
          <w:spacing w:val="-5"/>
          <w:szCs w:val="28"/>
        </w:rPr>
        <w:t xml:space="preserve"> </w:t>
      </w:r>
      <w:r w:rsidRPr="00242BC2">
        <w:rPr>
          <w:szCs w:val="28"/>
        </w:rPr>
        <w:t>Matériaux</w:t>
      </w:r>
      <w:r w:rsidRPr="00242BC2">
        <w:rPr>
          <w:spacing w:val="-1"/>
          <w:szCs w:val="28"/>
        </w:rPr>
        <w:t xml:space="preserve"> </w:t>
      </w:r>
      <w:r w:rsidRPr="00242BC2">
        <w:rPr>
          <w:szCs w:val="28"/>
        </w:rPr>
        <w:t>de</w:t>
      </w:r>
      <w:r w:rsidRPr="00242BC2">
        <w:rPr>
          <w:spacing w:val="-4"/>
          <w:szCs w:val="28"/>
        </w:rPr>
        <w:t xml:space="preserve"> </w:t>
      </w:r>
      <w:r w:rsidRPr="00242BC2">
        <w:rPr>
          <w:spacing w:val="-2"/>
          <w:szCs w:val="28"/>
        </w:rPr>
        <w:t>Construction</w:t>
      </w:r>
    </w:p>
    <w:p w14:paraId="4265406F" w14:textId="77777777" w:rsidR="00612506" w:rsidRPr="002B5F78" w:rsidRDefault="00612506" w:rsidP="00612506">
      <w:pPr>
        <w:rPr>
          <w:rFonts w:eastAsia="Times New Roman"/>
          <w:szCs w:val="24"/>
          <w:lang w:eastAsia="fr-FR"/>
        </w:rPr>
      </w:pPr>
      <w:r w:rsidRPr="003C07B4">
        <w:rPr>
          <w:rFonts w:eastAsia="Times New Roman"/>
          <w:b/>
          <w:bCs/>
          <w:szCs w:val="24"/>
          <w:lang w:eastAsia="fr-FR"/>
        </w:rPr>
        <w:t>ERCE</w:t>
      </w:r>
      <w:r w:rsidRPr="002B5F78">
        <w:rPr>
          <w:rFonts w:eastAsia="Times New Roman"/>
          <w:szCs w:val="24"/>
          <w:lang w:eastAsia="fr-FR"/>
        </w:rPr>
        <w:t xml:space="preserve"> : Entreprise Régionale de Ciment de l’Est</w:t>
      </w:r>
    </w:p>
    <w:p w14:paraId="4165AA68" w14:textId="77777777" w:rsidR="00612506" w:rsidRDefault="00612506" w:rsidP="00612506">
      <w:pPr>
        <w:rPr>
          <w:sz w:val="20"/>
        </w:rPr>
      </w:pPr>
    </w:p>
    <w:p w14:paraId="74472794" w14:textId="77777777" w:rsidR="00612506" w:rsidRPr="004A2378" w:rsidRDefault="00612506" w:rsidP="00B15608">
      <w:pPr>
        <w:rPr>
          <w:sz w:val="20"/>
        </w:rPr>
      </w:pPr>
    </w:p>
    <w:p w14:paraId="68C643C3" w14:textId="77777777" w:rsidR="00B15608" w:rsidRPr="000C4755" w:rsidRDefault="00B15608" w:rsidP="00B15608"/>
    <w:p w14:paraId="1922785E" w14:textId="77777777" w:rsidR="00B15608" w:rsidRDefault="00B15608" w:rsidP="00B15608">
      <w:pPr>
        <w:pStyle w:val="Citation"/>
      </w:pPr>
    </w:p>
    <w:p w14:paraId="5A707089" w14:textId="77777777" w:rsidR="00B15608" w:rsidRDefault="00B15608" w:rsidP="00B15608">
      <w:pPr>
        <w:pStyle w:val="Citation"/>
      </w:pPr>
    </w:p>
    <w:p w14:paraId="269A0F10" w14:textId="77777777" w:rsidR="00B15608" w:rsidRDefault="00B15608" w:rsidP="00B15608">
      <w:pPr>
        <w:pStyle w:val="Citation"/>
      </w:pPr>
    </w:p>
    <w:p w14:paraId="7F40A3BD" w14:textId="77777777" w:rsidR="00B15608" w:rsidRDefault="00B15608" w:rsidP="00B15608">
      <w:pPr>
        <w:pStyle w:val="Citation"/>
      </w:pPr>
    </w:p>
    <w:p w14:paraId="6DD67C13" w14:textId="77777777" w:rsidR="00B15608" w:rsidRDefault="00B15608" w:rsidP="00B15608">
      <w:pPr>
        <w:pStyle w:val="Citation"/>
      </w:pPr>
    </w:p>
    <w:p w14:paraId="5862CCD4" w14:textId="77777777" w:rsidR="00B15608" w:rsidRDefault="00B15608" w:rsidP="00B15608">
      <w:pPr>
        <w:pStyle w:val="Citation"/>
      </w:pPr>
    </w:p>
    <w:p w14:paraId="6158B875" w14:textId="77777777" w:rsidR="00B15608" w:rsidRDefault="00B15608" w:rsidP="00B15608">
      <w:pPr>
        <w:pStyle w:val="Citation"/>
      </w:pPr>
    </w:p>
    <w:p w14:paraId="23A9395F" w14:textId="77777777" w:rsidR="00B15608" w:rsidRDefault="00B15608" w:rsidP="00B15608">
      <w:pPr>
        <w:pStyle w:val="Citation"/>
      </w:pPr>
    </w:p>
    <w:p w14:paraId="2E0AB553" w14:textId="77777777" w:rsidR="00B15608" w:rsidRDefault="00B15608" w:rsidP="00B15608">
      <w:pPr>
        <w:pStyle w:val="Citation"/>
      </w:pPr>
    </w:p>
    <w:p w14:paraId="6BDAF363" w14:textId="77777777" w:rsidR="00E54F6F" w:rsidRPr="00E54F6F" w:rsidRDefault="00E54F6F" w:rsidP="00E54F6F"/>
    <w:p w14:paraId="49B80CAF" w14:textId="77777777" w:rsidR="00B15608" w:rsidRDefault="00B15608" w:rsidP="00042A82">
      <w:pPr>
        <w:pStyle w:val="Citation"/>
        <w:tabs>
          <w:tab w:val="left" w:pos="3540"/>
        </w:tabs>
        <w:ind w:left="0" w:firstLine="0"/>
        <w:jc w:val="both"/>
      </w:pPr>
    </w:p>
    <w:p w14:paraId="34CB68D2" w14:textId="77777777" w:rsidR="00CD3D49" w:rsidRDefault="00CD3D49" w:rsidP="00B15608">
      <w:pPr>
        <w:pStyle w:val="Citation"/>
        <w:rPr>
          <w:rtl/>
        </w:rPr>
      </w:pPr>
      <w:bookmarkStart w:id="9" w:name="_Toc200731453"/>
      <w:bookmarkStart w:id="10" w:name="_Toc200825370"/>
    </w:p>
    <w:p w14:paraId="7A81128F" w14:textId="77777777" w:rsidR="008A3B25" w:rsidRDefault="00B15608" w:rsidP="00B15608">
      <w:pPr>
        <w:pStyle w:val="Citation"/>
      </w:pPr>
      <w:r>
        <w:lastRenderedPageBreak/>
        <w:t>Liste de figures</w:t>
      </w:r>
      <w:bookmarkEnd w:id="9"/>
      <w:bookmarkEnd w:id="10"/>
    </w:p>
    <w:p w14:paraId="44B1E2B9" w14:textId="77777777" w:rsidR="008A3B25" w:rsidRDefault="008A3B25">
      <w:pPr>
        <w:pStyle w:val="Tabledesillustrations"/>
        <w:tabs>
          <w:tab w:val="right" w:leader="dot" w:pos="9062"/>
        </w:tabs>
        <w:rPr>
          <w:noProof/>
        </w:rPr>
      </w:pPr>
      <w:r>
        <w:fldChar w:fldCharType="begin"/>
      </w:r>
      <w:r>
        <w:instrText xml:space="preserve"> TOC \c "Figure" </w:instrText>
      </w:r>
      <w:r>
        <w:fldChar w:fldCharType="separate"/>
      </w:r>
      <w:r w:rsidRPr="00781019">
        <w:rPr>
          <w:rFonts w:cstheme="majorBidi"/>
          <w:b/>
          <w:bCs/>
          <w:noProof/>
          <w:color w:val="000000" w:themeColor="text1"/>
        </w:rPr>
        <w:t xml:space="preserve">Figure 1 </w:t>
      </w:r>
      <w:r w:rsidRPr="00781019">
        <w:rPr>
          <w:rFonts w:cstheme="majorBidi"/>
          <w:noProof/>
          <w:color w:val="000000" w:themeColor="text1"/>
        </w:rPr>
        <w:t>: Classification des différents comportements de greenwashing</w:t>
      </w:r>
      <w:r>
        <w:rPr>
          <w:noProof/>
        </w:rPr>
        <w:tab/>
      </w:r>
      <w:r>
        <w:rPr>
          <w:noProof/>
        </w:rPr>
        <w:fldChar w:fldCharType="begin"/>
      </w:r>
      <w:r>
        <w:rPr>
          <w:noProof/>
        </w:rPr>
        <w:instrText xml:space="preserve"> PAGEREF _Toc200731380 \h </w:instrText>
      </w:r>
      <w:r>
        <w:rPr>
          <w:noProof/>
        </w:rPr>
      </w:r>
      <w:r>
        <w:rPr>
          <w:noProof/>
        </w:rPr>
        <w:fldChar w:fldCharType="separate"/>
      </w:r>
      <w:r w:rsidR="00B55438">
        <w:rPr>
          <w:noProof/>
        </w:rPr>
        <w:t>15</w:t>
      </w:r>
      <w:r>
        <w:rPr>
          <w:noProof/>
        </w:rPr>
        <w:fldChar w:fldCharType="end"/>
      </w:r>
    </w:p>
    <w:p w14:paraId="7753A6E6" w14:textId="77777777" w:rsidR="008A3B25" w:rsidRDefault="008A3B25">
      <w:pPr>
        <w:pStyle w:val="Tabledesillustrations"/>
        <w:tabs>
          <w:tab w:val="right" w:leader="dot" w:pos="9062"/>
        </w:tabs>
        <w:rPr>
          <w:noProof/>
        </w:rPr>
      </w:pPr>
      <w:r w:rsidRPr="00781019">
        <w:rPr>
          <w:b/>
          <w:bCs/>
          <w:noProof/>
          <w:color w:val="000000" w:themeColor="text1"/>
        </w:rPr>
        <w:t xml:space="preserve">Figure 2 : </w:t>
      </w:r>
      <w:r w:rsidRPr="00781019">
        <w:rPr>
          <w:noProof/>
          <w:color w:val="000000" w:themeColor="text1"/>
        </w:rPr>
        <w:t>Illustration du greenwashing par manque de transparence par obligation réglementaire (haut) ou par création d’ambiguïté (bas).</w:t>
      </w:r>
      <w:r>
        <w:rPr>
          <w:noProof/>
        </w:rPr>
        <w:tab/>
      </w:r>
      <w:r>
        <w:rPr>
          <w:noProof/>
        </w:rPr>
        <w:fldChar w:fldCharType="begin"/>
      </w:r>
      <w:r>
        <w:rPr>
          <w:noProof/>
        </w:rPr>
        <w:instrText xml:space="preserve"> PAGEREF _Toc200731381 \h </w:instrText>
      </w:r>
      <w:r>
        <w:rPr>
          <w:noProof/>
        </w:rPr>
      </w:r>
      <w:r>
        <w:rPr>
          <w:noProof/>
        </w:rPr>
        <w:fldChar w:fldCharType="separate"/>
      </w:r>
      <w:r w:rsidR="00B55438">
        <w:rPr>
          <w:noProof/>
        </w:rPr>
        <w:t>17</w:t>
      </w:r>
      <w:r>
        <w:rPr>
          <w:noProof/>
        </w:rPr>
        <w:fldChar w:fldCharType="end"/>
      </w:r>
    </w:p>
    <w:p w14:paraId="5F36C1A2" w14:textId="77777777" w:rsidR="008A3B25" w:rsidRDefault="008A3B25">
      <w:pPr>
        <w:pStyle w:val="Tabledesillustrations"/>
        <w:tabs>
          <w:tab w:val="right" w:leader="dot" w:pos="9062"/>
        </w:tabs>
        <w:rPr>
          <w:noProof/>
        </w:rPr>
      </w:pPr>
      <w:r w:rsidRPr="00781019">
        <w:rPr>
          <w:b/>
          <w:bCs/>
          <w:noProof/>
          <w:color w:val="000000" w:themeColor="text1"/>
        </w:rPr>
        <w:t>Figure 3  :</w:t>
      </w:r>
      <w:r w:rsidRPr="00781019">
        <w:rPr>
          <w:noProof/>
          <w:color w:val="000000" w:themeColor="text1"/>
        </w:rPr>
        <w:t xml:space="preserve"> Quelques exemples de faux labels (Source : Ecoconso.be)</w:t>
      </w:r>
      <w:r>
        <w:rPr>
          <w:noProof/>
        </w:rPr>
        <w:tab/>
      </w:r>
      <w:r>
        <w:rPr>
          <w:noProof/>
        </w:rPr>
        <w:fldChar w:fldCharType="begin"/>
      </w:r>
      <w:r>
        <w:rPr>
          <w:noProof/>
        </w:rPr>
        <w:instrText xml:space="preserve"> PAGEREF _Toc200731382 \h </w:instrText>
      </w:r>
      <w:r>
        <w:rPr>
          <w:noProof/>
        </w:rPr>
      </w:r>
      <w:r>
        <w:rPr>
          <w:noProof/>
        </w:rPr>
        <w:fldChar w:fldCharType="separate"/>
      </w:r>
      <w:r w:rsidR="00B55438">
        <w:rPr>
          <w:noProof/>
        </w:rPr>
        <w:t>18</w:t>
      </w:r>
      <w:r>
        <w:rPr>
          <w:noProof/>
        </w:rPr>
        <w:fldChar w:fldCharType="end"/>
      </w:r>
    </w:p>
    <w:p w14:paraId="52AF5C43" w14:textId="77777777" w:rsidR="008A3B25" w:rsidRDefault="008A3B25">
      <w:pPr>
        <w:pStyle w:val="Tabledesillustrations"/>
        <w:tabs>
          <w:tab w:val="right" w:leader="dot" w:pos="9062"/>
        </w:tabs>
        <w:rPr>
          <w:noProof/>
        </w:rPr>
      </w:pPr>
      <w:r w:rsidRPr="00781019">
        <w:rPr>
          <w:b/>
          <w:bCs/>
          <w:noProof/>
          <w:color w:val="000000" w:themeColor="text1"/>
        </w:rPr>
        <w:t xml:space="preserve">Figure 4 : </w:t>
      </w:r>
      <w:r w:rsidRPr="00781019">
        <w:rPr>
          <w:noProof/>
          <w:color w:val="000000" w:themeColor="text1"/>
        </w:rPr>
        <w:t>Greenwashing par mensonge frontal ou par omission. Dans ce cas, l’emballage ne provient pas du tout de plastiques issus des océans (Source: https://moxiefuture.com/2020/12/8-brands-called-out -for-greenwashing-in-2020/)</w:t>
      </w:r>
      <w:r>
        <w:rPr>
          <w:noProof/>
        </w:rPr>
        <w:tab/>
      </w:r>
      <w:r>
        <w:rPr>
          <w:noProof/>
        </w:rPr>
        <w:fldChar w:fldCharType="begin"/>
      </w:r>
      <w:r>
        <w:rPr>
          <w:noProof/>
        </w:rPr>
        <w:instrText xml:space="preserve"> PAGEREF _Toc200731383 \h </w:instrText>
      </w:r>
      <w:r>
        <w:rPr>
          <w:noProof/>
        </w:rPr>
      </w:r>
      <w:r>
        <w:rPr>
          <w:noProof/>
        </w:rPr>
        <w:fldChar w:fldCharType="separate"/>
      </w:r>
      <w:r w:rsidR="00B55438">
        <w:rPr>
          <w:noProof/>
        </w:rPr>
        <w:t>18</w:t>
      </w:r>
      <w:r>
        <w:rPr>
          <w:noProof/>
        </w:rPr>
        <w:fldChar w:fldCharType="end"/>
      </w:r>
    </w:p>
    <w:p w14:paraId="2C734C36" w14:textId="77777777" w:rsidR="008A3B25" w:rsidRDefault="008A3B25">
      <w:pPr>
        <w:pStyle w:val="Tabledesillustrations"/>
        <w:tabs>
          <w:tab w:val="right" w:leader="dot" w:pos="9062"/>
        </w:tabs>
        <w:rPr>
          <w:noProof/>
        </w:rPr>
      </w:pPr>
      <w:r w:rsidRPr="00781019">
        <w:rPr>
          <w:b/>
          <w:bCs/>
          <w:noProof/>
          <w:color w:val="000000" w:themeColor="text1"/>
        </w:rPr>
        <w:t xml:space="preserve">Figure 5  : </w:t>
      </w:r>
      <w:r w:rsidRPr="00781019">
        <w:rPr>
          <w:noProof/>
          <w:color w:val="000000" w:themeColor="text1"/>
        </w:rPr>
        <w:t>Exemples d’emballages trompeurs</w:t>
      </w:r>
      <w:r>
        <w:rPr>
          <w:noProof/>
        </w:rPr>
        <w:tab/>
      </w:r>
      <w:r>
        <w:rPr>
          <w:noProof/>
        </w:rPr>
        <w:fldChar w:fldCharType="begin"/>
      </w:r>
      <w:r>
        <w:rPr>
          <w:noProof/>
        </w:rPr>
        <w:instrText xml:space="preserve"> PAGEREF _Toc200731384 \h </w:instrText>
      </w:r>
      <w:r>
        <w:rPr>
          <w:noProof/>
        </w:rPr>
      </w:r>
      <w:r>
        <w:rPr>
          <w:noProof/>
        </w:rPr>
        <w:fldChar w:fldCharType="separate"/>
      </w:r>
      <w:r w:rsidR="00B55438">
        <w:rPr>
          <w:noProof/>
        </w:rPr>
        <w:t>19</w:t>
      </w:r>
      <w:r>
        <w:rPr>
          <w:noProof/>
        </w:rPr>
        <w:fldChar w:fldCharType="end"/>
      </w:r>
    </w:p>
    <w:p w14:paraId="5E3F6D3C" w14:textId="77777777" w:rsidR="008A3B25" w:rsidRDefault="008A3B25">
      <w:pPr>
        <w:pStyle w:val="Tabledesillustrations"/>
        <w:tabs>
          <w:tab w:val="right" w:leader="dot" w:pos="9062"/>
        </w:tabs>
        <w:rPr>
          <w:noProof/>
        </w:rPr>
      </w:pPr>
      <w:r w:rsidRPr="00781019">
        <w:rPr>
          <w:b/>
          <w:bCs/>
          <w:noProof/>
          <w:color w:val="000000" w:themeColor="text1"/>
        </w:rPr>
        <w:t xml:space="preserve">Figure 6 </w:t>
      </w:r>
      <w:r w:rsidRPr="00781019">
        <w:rPr>
          <w:rFonts w:ascii="Times New Roman" w:hAnsi="Times New Roman" w:cs="Times New Roman"/>
          <w:b/>
          <w:bCs/>
          <w:noProof/>
          <w:color w:val="000000" w:themeColor="text1"/>
        </w:rPr>
        <w:t xml:space="preserve"> : </w:t>
      </w:r>
      <w:r w:rsidRPr="00781019">
        <w:rPr>
          <w:rFonts w:ascii="Times New Roman" w:hAnsi="Times New Roman" w:cs="Times New Roman"/>
          <w:noProof/>
          <w:color w:val="000000" w:themeColor="text1"/>
        </w:rPr>
        <w:t>Les différents types de greenwashing selon BSR et Futerra .</w:t>
      </w:r>
      <w:r>
        <w:rPr>
          <w:noProof/>
        </w:rPr>
        <w:tab/>
      </w:r>
      <w:r>
        <w:rPr>
          <w:noProof/>
        </w:rPr>
        <w:fldChar w:fldCharType="begin"/>
      </w:r>
      <w:r>
        <w:rPr>
          <w:noProof/>
        </w:rPr>
        <w:instrText xml:space="preserve"> PAGEREF _Toc200731385 \h </w:instrText>
      </w:r>
      <w:r>
        <w:rPr>
          <w:noProof/>
        </w:rPr>
      </w:r>
      <w:r>
        <w:rPr>
          <w:noProof/>
        </w:rPr>
        <w:fldChar w:fldCharType="separate"/>
      </w:r>
      <w:r w:rsidR="00B55438">
        <w:rPr>
          <w:noProof/>
        </w:rPr>
        <w:t>22</w:t>
      </w:r>
      <w:r>
        <w:rPr>
          <w:noProof/>
        </w:rPr>
        <w:fldChar w:fldCharType="end"/>
      </w:r>
    </w:p>
    <w:p w14:paraId="424E8AC9" w14:textId="77777777" w:rsidR="008A3B25" w:rsidRDefault="008A3B25">
      <w:pPr>
        <w:pStyle w:val="Tabledesillustrations"/>
        <w:tabs>
          <w:tab w:val="right" w:leader="dot" w:pos="9062"/>
        </w:tabs>
        <w:rPr>
          <w:noProof/>
        </w:rPr>
      </w:pPr>
      <w:r w:rsidRPr="00781019">
        <w:rPr>
          <w:b/>
          <w:bCs/>
          <w:noProof/>
          <w:color w:val="000000" w:themeColor="text1"/>
        </w:rPr>
        <w:t xml:space="preserve">Figure 7 : </w:t>
      </w:r>
      <w:r w:rsidRPr="00781019">
        <w:rPr>
          <w:noProof/>
          <w:color w:val="000000" w:themeColor="text1"/>
        </w:rPr>
        <w:t>Les trois niveaux de l’image de marque selon J-J  .</w:t>
      </w:r>
      <w:r>
        <w:rPr>
          <w:noProof/>
        </w:rPr>
        <w:tab/>
      </w:r>
      <w:r>
        <w:rPr>
          <w:noProof/>
        </w:rPr>
        <w:fldChar w:fldCharType="begin"/>
      </w:r>
      <w:r>
        <w:rPr>
          <w:noProof/>
        </w:rPr>
        <w:instrText xml:space="preserve"> PAGEREF _Toc200731386 \h </w:instrText>
      </w:r>
      <w:r>
        <w:rPr>
          <w:noProof/>
        </w:rPr>
      </w:r>
      <w:r>
        <w:rPr>
          <w:noProof/>
        </w:rPr>
        <w:fldChar w:fldCharType="separate"/>
      </w:r>
      <w:r w:rsidR="00B55438">
        <w:rPr>
          <w:noProof/>
        </w:rPr>
        <w:t>35</w:t>
      </w:r>
      <w:r>
        <w:rPr>
          <w:noProof/>
        </w:rPr>
        <w:fldChar w:fldCharType="end"/>
      </w:r>
    </w:p>
    <w:p w14:paraId="5A2F21C0" w14:textId="77777777" w:rsidR="008A3B25" w:rsidRDefault="008A3B25">
      <w:pPr>
        <w:pStyle w:val="Tabledesillustrations"/>
        <w:tabs>
          <w:tab w:val="right" w:leader="dot" w:pos="9062"/>
        </w:tabs>
        <w:rPr>
          <w:noProof/>
        </w:rPr>
      </w:pPr>
      <w:r w:rsidRPr="00781019">
        <w:rPr>
          <w:b/>
          <w:bCs/>
          <w:noProof/>
          <w:color w:val="000000" w:themeColor="text1"/>
        </w:rPr>
        <w:t xml:space="preserve">Figure 8 : </w:t>
      </w:r>
      <w:r w:rsidRPr="00781019">
        <w:rPr>
          <w:noProof/>
          <w:color w:val="000000" w:themeColor="text1"/>
        </w:rPr>
        <w:t>Types d’associations à la marque selon Aaker (1994)</w:t>
      </w:r>
      <w:r>
        <w:rPr>
          <w:noProof/>
        </w:rPr>
        <w:tab/>
      </w:r>
      <w:r>
        <w:rPr>
          <w:noProof/>
        </w:rPr>
        <w:fldChar w:fldCharType="begin"/>
      </w:r>
      <w:r>
        <w:rPr>
          <w:noProof/>
        </w:rPr>
        <w:instrText xml:space="preserve"> PAGEREF _Toc200731387 \h </w:instrText>
      </w:r>
      <w:r>
        <w:rPr>
          <w:noProof/>
        </w:rPr>
      </w:r>
      <w:r>
        <w:rPr>
          <w:noProof/>
        </w:rPr>
        <w:fldChar w:fldCharType="separate"/>
      </w:r>
      <w:r w:rsidR="00B55438">
        <w:rPr>
          <w:noProof/>
        </w:rPr>
        <w:t>36</w:t>
      </w:r>
      <w:r>
        <w:rPr>
          <w:noProof/>
        </w:rPr>
        <w:fldChar w:fldCharType="end"/>
      </w:r>
    </w:p>
    <w:p w14:paraId="5D2EAFB2" w14:textId="77777777" w:rsidR="008A3B25" w:rsidRDefault="008A3B25">
      <w:pPr>
        <w:pStyle w:val="Tabledesillustrations"/>
        <w:tabs>
          <w:tab w:val="right" w:leader="dot" w:pos="9062"/>
        </w:tabs>
        <w:rPr>
          <w:noProof/>
        </w:rPr>
      </w:pPr>
      <w:r w:rsidRPr="00781019">
        <w:rPr>
          <w:b/>
          <w:bCs/>
          <w:noProof/>
          <w:color w:val="000000" w:themeColor="text1"/>
        </w:rPr>
        <w:t xml:space="preserve">Figure 9  : </w:t>
      </w:r>
      <w:r w:rsidRPr="00781019">
        <w:rPr>
          <w:noProof/>
          <w:color w:val="000000" w:themeColor="text1"/>
        </w:rPr>
        <w:t>La structure organisationnelle de la Cimenterie Hama Bouziane</w:t>
      </w:r>
      <w:r>
        <w:rPr>
          <w:noProof/>
        </w:rPr>
        <w:tab/>
      </w:r>
      <w:r>
        <w:rPr>
          <w:noProof/>
        </w:rPr>
        <w:fldChar w:fldCharType="begin"/>
      </w:r>
      <w:r>
        <w:rPr>
          <w:noProof/>
        </w:rPr>
        <w:instrText xml:space="preserve"> PAGEREF _Toc200731388 \h </w:instrText>
      </w:r>
      <w:r>
        <w:rPr>
          <w:noProof/>
        </w:rPr>
      </w:r>
      <w:r>
        <w:rPr>
          <w:noProof/>
        </w:rPr>
        <w:fldChar w:fldCharType="separate"/>
      </w:r>
      <w:r w:rsidR="00B55438">
        <w:rPr>
          <w:noProof/>
        </w:rPr>
        <w:t>63</w:t>
      </w:r>
      <w:r>
        <w:rPr>
          <w:noProof/>
        </w:rPr>
        <w:fldChar w:fldCharType="end"/>
      </w:r>
    </w:p>
    <w:p w14:paraId="63171D8C" w14:textId="77777777" w:rsidR="008A3B25" w:rsidRDefault="008A3B25">
      <w:pPr>
        <w:pStyle w:val="Tabledesillustrations"/>
        <w:tabs>
          <w:tab w:val="right" w:leader="dot" w:pos="9062"/>
        </w:tabs>
        <w:rPr>
          <w:noProof/>
        </w:rPr>
      </w:pPr>
      <w:r w:rsidRPr="00781019">
        <w:rPr>
          <w:b/>
          <w:bCs/>
          <w:noProof/>
          <w:color w:val="000000" w:themeColor="text1"/>
        </w:rPr>
        <w:t>Figure 10</w:t>
      </w:r>
      <w:r w:rsidRPr="00781019">
        <w:rPr>
          <w:noProof/>
          <w:color w:val="000000" w:themeColor="text1"/>
        </w:rPr>
        <w:t xml:space="preserve"> : Représentation graphique de la répartition des individus de l’échantillon selon l’âge.</w:t>
      </w:r>
      <w:r>
        <w:rPr>
          <w:noProof/>
        </w:rPr>
        <w:tab/>
      </w:r>
      <w:r>
        <w:rPr>
          <w:noProof/>
        </w:rPr>
        <w:fldChar w:fldCharType="begin"/>
      </w:r>
      <w:r>
        <w:rPr>
          <w:noProof/>
        </w:rPr>
        <w:instrText xml:space="preserve"> PAGEREF _Toc200731389 \h </w:instrText>
      </w:r>
      <w:r>
        <w:rPr>
          <w:noProof/>
        </w:rPr>
      </w:r>
      <w:r>
        <w:rPr>
          <w:noProof/>
        </w:rPr>
        <w:fldChar w:fldCharType="separate"/>
      </w:r>
      <w:r w:rsidR="00B55438">
        <w:rPr>
          <w:noProof/>
        </w:rPr>
        <w:t>82</w:t>
      </w:r>
      <w:r>
        <w:rPr>
          <w:noProof/>
        </w:rPr>
        <w:fldChar w:fldCharType="end"/>
      </w:r>
    </w:p>
    <w:p w14:paraId="08D5748E" w14:textId="77777777" w:rsidR="008A3B25" w:rsidRDefault="008A3B25">
      <w:pPr>
        <w:pStyle w:val="Tabledesillustrations"/>
        <w:tabs>
          <w:tab w:val="right" w:leader="dot" w:pos="9062"/>
        </w:tabs>
        <w:rPr>
          <w:noProof/>
        </w:rPr>
      </w:pPr>
      <w:r w:rsidRPr="00781019">
        <w:rPr>
          <w:b/>
          <w:bCs/>
          <w:noProof/>
          <w:color w:val="000000" w:themeColor="text1"/>
        </w:rPr>
        <w:t>Figure 11</w:t>
      </w:r>
      <w:r w:rsidRPr="00781019">
        <w:rPr>
          <w:rFonts w:cstheme="majorBidi"/>
          <w:b/>
          <w:bCs/>
          <w:noProof/>
          <w:color w:val="000000" w:themeColor="text1"/>
        </w:rPr>
        <w:t xml:space="preserve"> : </w:t>
      </w:r>
      <w:r w:rsidRPr="00781019">
        <w:rPr>
          <w:rFonts w:cstheme="majorBidi"/>
          <w:noProof/>
          <w:color w:val="000000" w:themeColor="text1"/>
        </w:rPr>
        <w:t>Représentation graphique de la répartition des individus de l’échantillon selon  le genre</w:t>
      </w:r>
      <w:r>
        <w:rPr>
          <w:noProof/>
        </w:rPr>
        <w:tab/>
      </w:r>
      <w:r>
        <w:rPr>
          <w:noProof/>
        </w:rPr>
        <w:fldChar w:fldCharType="begin"/>
      </w:r>
      <w:r>
        <w:rPr>
          <w:noProof/>
        </w:rPr>
        <w:instrText xml:space="preserve"> PAGEREF _Toc200731390 \h </w:instrText>
      </w:r>
      <w:r>
        <w:rPr>
          <w:noProof/>
        </w:rPr>
      </w:r>
      <w:r>
        <w:rPr>
          <w:noProof/>
        </w:rPr>
        <w:fldChar w:fldCharType="separate"/>
      </w:r>
      <w:r w:rsidR="00B55438">
        <w:rPr>
          <w:noProof/>
        </w:rPr>
        <w:t>83</w:t>
      </w:r>
      <w:r>
        <w:rPr>
          <w:noProof/>
        </w:rPr>
        <w:fldChar w:fldCharType="end"/>
      </w:r>
    </w:p>
    <w:p w14:paraId="7FE52640" w14:textId="77777777" w:rsidR="008A3B25" w:rsidRDefault="008A3B25">
      <w:pPr>
        <w:pStyle w:val="Tabledesillustrations"/>
        <w:tabs>
          <w:tab w:val="right" w:leader="dot" w:pos="9062"/>
        </w:tabs>
        <w:rPr>
          <w:noProof/>
        </w:rPr>
      </w:pPr>
      <w:r w:rsidRPr="00781019">
        <w:rPr>
          <w:b/>
          <w:bCs/>
          <w:noProof/>
          <w:color w:val="000000" w:themeColor="text1"/>
        </w:rPr>
        <w:t>Figure 12</w:t>
      </w:r>
      <w:r w:rsidRPr="00781019">
        <w:rPr>
          <w:rFonts w:cstheme="majorBidi"/>
          <w:b/>
          <w:bCs/>
          <w:noProof/>
          <w:color w:val="000000" w:themeColor="text1"/>
        </w:rPr>
        <w:t xml:space="preserve"> : </w:t>
      </w:r>
      <w:r w:rsidRPr="00781019">
        <w:rPr>
          <w:rFonts w:cstheme="majorBidi"/>
          <w:noProof/>
          <w:color w:val="000000" w:themeColor="text1"/>
        </w:rPr>
        <w:t>Représentation graphique de la répartition des individus de l’échantillon selon  le niveau d’études</w:t>
      </w:r>
      <w:r>
        <w:rPr>
          <w:noProof/>
        </w:rPr>
        <w:tab/>
      </w:r>
      <w:r>
        <w:rPr>
          <w:noProof/>
        </w:rPr>
        <w:fldChar w:fldCharType="begin"/>
      </w:r>
      <w:r>
        <w:rPr>
          <w:noProof/>
        </w:rPr>
        <w:instrText xml:space="preserve"> PAGEREF _Toc200731391 \h </w:instrText>
      </w:r>
      <w:r>
        <w:rPr>
          <w:noProof/>
        </w:rPr>
      </w:r>
      <w:r>
        <w:rPr>
          <w:noProof/>
        </w:rPr>
        <w:fldChar w:fldCharType="separate"/>
      </w:r>
      <w:r w:rsidR="00B55438">
        <w:rPr>
          <w:noProof/>
        </w:rPr>
        <w:t>84</w:t>
      </w:r>
      <w:r>
        <w:rPr>
          <w:noProof/>
        </w:rPr>
        <w:fldChar w:fldCharType="end"/>
      </w:r>
    </w:p>
    <w:p w14:paraId="14F96E12" w14:textId="77777777" w:rsidR="008A3B25" w:rsidRDefault="008A3B25">
      <w:pPr>
        <w:pStyle w:val="Tabledesillustrations"/>
        <w:tabs>
          <w:tab w:val="right" w:leader="dot" w:pos="9062"/>
        </w:tabs>
        <w:rPr>
          <w:noProof/>
        </w:rPr>
      </w:pPr>
      <w:r w:rsidRPr="00781019">
        <w:rPr>
          <w:b/>
          <w:bCs/>
          <w:noProof/>
          <w:color w:val="000000" w:themeColor="text1"/>
        </w:rPr>
        <w:t xml:space="preserve">Figure 13 : </w:t>
      </w:r>
      <w:r w:rsidRPr="00781019">
        <w:rPr>
          <w:noProof/>
          <w:color w:val="000000" w:themeColor="text1"/>
        </w:rPr>
        <w:t>Représentation graphique de la répartition des individus de l’échantillon selon le profil des répondants : client (e) ou voisin (e)  de GICA</w:t>
      </w:r>
      <w:r>
        <w:rPr>
          <w:noProof/>
        </w:rPr>
        <w:tab/>
      </w:r>
      <w:r>
        <w:rPr>
          <w:noProof/>
        </w:rPr>
        <w:fldChar w:fldCharType="begin"/>
      </w:r>
      <w:r>
        <w:rPr>
          <w:noProof/>
        </w:rPr>
        <w:instrText xml:space="preserve"> PAGEREF _Toc200731392 \h </w:instrText>
      </w:r>
      <w:r>
        <w:rPr>
          <w:noProof/>
        </w:rPr>
      </w:r>
      <w:r>
        <w:rPr>
          <w:noProof/>
        </w:rPr>
        <w:fldChar w:fldCharType="separate"/>
      </w:r>
      <w:r w:rsidR="00B55438">
        <w:rPr>
          <w:noProof/>
        </w:rPr>
        <w:t>85</w:t>
      </w:r>
      <w:r>
        <w:rPr>
          <w:noProof/>
        </w:rPr>
        <w:fldChar w:fldCharType="end"/>
      </w:r>
    </w:p>
    <w:p w14:paraId="40007617" w14:textId="77777777" w:rsidR="008A3B25" w:rsidRDefault="008A3B25">
      <w:pPr>
        <w:pStyle w:val="Tabledesillustrations"/>
        <w:tabs>
          <w:tab w:val="right" w:leader="dot" w:pos="9062"/>
        </w:tabs>
        <w:rPr>
          <w:noProof/>
        </w:rPr>
      </w:pPr>
      <w:r w:rsidRPr="00781019">
        <w:rPr>
          <w:b/>
          <w:bCs/>
          <w:noProof/>
          <w:color w:val="000000" w:themeColor="text1"/>
        </w:rPr>
        <w:t xml:space="preserve">Figure 14  : </w:t>
      </w:r>
      <w:r w:rsidRPr="00781019">
        <w:rPr>
          <w:noProof/>
          <w:color w:val="000000" w:themeColor="text1"/>
        </w:rPr>
        <w:t>Répartition de l’échantillon selon la durée depuis laquelle les répondants connaissent GICA</w:t>
      </w:r>
      <w:r>
        <w:rPr>
          <w:noProof/>
        </w:rPr>
        <w:tab/>
      </w:r>
      <w:r>
        <w:rPr>
          <w:noProof/>
        </w:rPr>
        <w:fldChar w:fldCharType="begin"/>
      </w:r>
      <w:r>
        <w:rPr>
          <w:noProof/>
        </w:rPr>
        <w:instrText xml:space="preserve"> PAGEREF _Toc200731393 \h </w:instrText>
      </w:r>
      <w:r>
        <w:rPr>
          <w:noProof/>
        </w:rPr>
      </w:r>
      <w:r>
        <w:rPr>
          <w:noProof/>
        </w:rPr>
        <w:fldChar w:fldCharType="separate"/>
      </w:r>
      <w:r w:rsidR="00B55438">
        <w:rPr>
          <w:noProof/>
        </w:rPr>
        <w:t>86</w:t>
      </w:r>
      <w:r>
        <w:rPr>
          <w:noProof/>
        </w:rPr>
        <w:fldChar w:fldCharType="end"/>
      </w:r>
    </w:p>
    <w:p w14:paraId="6CBF2A1E" w14:textId="77777777" w:rsidR="00B15608" w:rsidRDefault="008A3B25" w:rsidP="00B15608">
      <w:pPr>
        <w:pStyle w:val="Citation"/>
      </w:pPr>
      <w:r>
        <w:fldChar w:fldCharType="end"/>
      </w:r>
      <w:r w:rsidR="00B15608">
        <w:t xml:space="preserve"> </w:t>
      </w:r>
    </w:p>
    <w:p w14:paraId="7CBFB1F6" w14:textId="77777777" w:rsidR="00B15608" w:rsidRDefault="00B15608" w:rsidP="00B15608">
      <w:pPr>
        <w:pStyle w:val="Citation"/>
      </w:pPr>
      <w:bookmarkStart w:id="11" w:name="_Toc200731454"/>
      <w:bookmarkStart w:id="12" w:name="_Toc200825371"/>
      <w:r>
        <w:lastRenderedPageBreak/>
        <w:t>Liste des tableaux</w:t>
      </w:r>
      <w:bookmarkEnd w:id="11"/>
      <w:bookmarkEnd w:id="12"/>
      <w:r>
        <w:t xml:space="preserve"> </w:t>
      </w:r>
    </w:p>
    <w:p w14:paraId="611B2E50"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fldChar w:fldCharType="begin"/>
      </w:r>
      <w:r>
        <w:instrText xml:space="preserve"> TOC \c "Tableau " </w:instrText>
      </w:r>
      <w:r>
        <w:fldChar w:fldCharType="separate"/>
      </w:r>
      <w:r w:rsidRPr="00460C7F">
        <w:rPr>
          <w:b/>
          <w:bCs/>
          <w:noProof/>
          <w:color w:val="000000" w:themeColor="text1"/>
        </w:rPr>
        <w:t xml:space="preserve">Tableau  1 : </w:t>
      </w:r>
      <w:r w:rsidRPr="00460C7F">
        <w:rPr>
          <w:noProof/>
          <w:color w:val="000000" w:themeColor="text1"/>
        </w:rPr>
        <w:t>Statut professionnel des travailleurs de la Cimenterie Hamma Bouziane</w:t>
      </w:r>
      <w:r>
        <w:rPr>
          <w:noProof/>
        </w:rPr>
        <w:tab/>
      </w:r>
      <w:r>
        <w:rPr>
          <w:noProof/>
        </w:rPr>
        <w:fldChar w:fldCharType="begin"/>
      </w:r>
      <w:r>
        <w:rPr>
          <w:noProof/>
        </w:rPr>
        <w:instrText xml:space="preserve"> PAGEREF _Toc200731394 \h </w:instrText>
      </w:r>
      <w:r>
        <w:rPr>
          <w:noProof/>
        </w:rPr>
      </w:r>
      <w:r>
        <w:rPr>
          <w:noProof/>
        </w:rPr>
        <w:fldChar w:fldCharType="separate"/>
      </w:r>
      <w:r w:rsidR="00B55438">
        <w:rPr>
          <w:noProof/>
        </w:rPr>
        <w:t>60</w:t>
      </w:r>
      <w:r>
        <w:rPr>
          <w:noProof/>
        </w:rPr>
        <w:fldChar w:fldCharType="end"/>
      </w:r>
    </w:p>
    <w:p w14:paraId="6ACCAE51"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rFonts w:ascii="Simplified Arabic" w:hAnsi="Simplified Arabic" w:cs="Simplified Arabic"/>
          <w:b/>
          <w:bCs/>
          <w:noProof/>
          <w:color w:val="000000" w:themeColor="text1"/>
        </w:rPr>
        <w:t>Tableau  2 :</w:t>
      </w:r>
      <w:r w:rsidR="00FC012A" w:rsidRPr="00FC012A">
        <w:t xml:space="preserve"> </w:t>
      </w:r>
      <w:r w:rsidR="00FC012A" w:rsidRPr="00FC012A">
        <w:rPr>
          <w:rFonts w:ascii="Simplified Arabic" w:hAnsi="Simplified Arabic" w:cs="Simplified Arabic"/>
          <w:noProof/>
          <w:color w:val="000000" w:themeColor="text1"/>
        </w:rPr>
        <w:t xml:space="preserve">Répartition des travailleurs de la Cimenterie Hamma Bouziane selon le sexe, la fonction et le type de contrat </w:t>
      </w:r>
      <w:r>
        <w:rPr>
          <w:noProof/>
        </w:rPr>
        <w:tab/>
      </w:r>
      <w:r>
        <w:rPr>
          <w:noProof/>
        </w:rPr>
        <w:fldChar w:fldCharType="begin"/>
      </w:r>
      <w:r>
        <w:rPr>
          <w:noProof/>
        </w:rPr>
        <w:instrText xml:space="preserve"> PAGEREF _Toc200731395 \h </w:instrText>
      </w:r>
      <w:r>
        <w:rPr>
          <w:noProof/>
        </w:rPr>
      </w:r>
      <w:r>
        <w:rPr>
          <w:noProof/>
        </w:rPr>
        <w:fldChar w:fldCharType="separate"/>
      </w:r>
      <w:r w:rsidR="00B55438">
        <w:rPr>
          <w:noProof/>
        </w:rPr>
        <w:t>60</w:t>
      </w:r>
      <w:r>
        <w:rPr>
          <w:noProof/>
        </w:rPr>
        <w:fldChar w:fldCharType="end"/>
      </w:r>
    </w:p>
    <w:p w14:paraId="494851E9"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3 : </w:t>
      </w:r>
      <w:r w:rsidRPr="00460C7F">
        <w:rPr>
          <w:noProof/>
          <w:color w:val="000000" w:themeColor="text1"/>
        </w:rPr>
        <w:t>Répartition des travailleurs de la Cimenterie Hamma Bouziane selon le niveau de qualification</w:t>
      </w:r>
      <w:r>
        <w:rPr>
          <w:noProof/>
        </w:rPr>
        <w:tab/>
      </w:r>
      <w:r>
        <w:rPr>
          <w:noProof/>
        </w:rPr>
        <w:fldChar w:fldCharType="begin"/>
      </w:r>
      <w:r>
        <w:rPr>
          <w:noProof/>
        </w:rPr>
        <w:instrText xml:space="preserve"> PAGEREF _Toc200731396 \h </w:instrText>
      </w:r>
      <w:r>
        <w:rPr>
          <w:noProof/>
        </w:rPr>
      </w:r>
      <w:r>
        <w:rPr>
          <w:noProof/>
        </w:rPr>
        <w:fldChar w:fldCharType="separate"/>
      </w:r>
      <w:r w:rsidR="00B55438">
        <w:rPr>
          <w:noProof/>
        </w:rPr>
        <w:t>61</w:t>
      </w:r>
      <w:r>
        <w:rPr>
          <w:noProof/>
        </w:rPr>
        <w:fldChar w:fldCharType="end"/>
      </w:r>
    </w:p>
    <w:p w14:paraId="767B347A"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rFonts w:cstheme="majorBidi"/>
          <w:b/>
          <w:bCs/>
          <w:noProof/>
          <w:color w:val="000000" w:themeColor="text1"/>
        </w:rPr>
        <w:t xml:space="preserve">Tableau  </w:t>
      </w:r>
      <w:r w:rsidRPr="00460C7F">
        <w:rPr>
          <w:rFonts w:eastAsia="Times New Roman" w:cstheme="majorBidi"/>
          <w:b/>
          <w:bCs/>
          <w:noProof/>
          <w:color w:val="000000" w:themeColor="text1"/>
          <w:lang w:eastAsia="fr-FR"/>
        </w:rPr>
        <w:t>4 </w:t>
      </w:r>
      <w:r w:rsidRPr="00460C7F">
        <w:rPr>
          <w:rFonts w:eastAsia="Times New Roman" w:cstheme="majorBidi"/>
          <w:noProof/>
          <w:color w:val="000000" w:themeColor="text1"/>
          <w:lang w:eastAsia="fr-FR"/>
        </w:rPr>
        <w:t>: Codage des variables de recherche</w:t>
      </w:r>
      <w:r>
        <w:rPr>
          <w:noProof/>
        </w:rPr>
        <w:tab/>
      </w:r>
      <w:r>
        <w:rPr>
          <w:noProof/>
        </w:rPr>
        <w:fldChar w:fldCharType="begin"/>
      </w:r>
      <w:r>
        <w:rPr>
          <w:noProof/>
        </w:rPr>
        <w:instrText xml:space="preserve"> PAGEREF _Toc200731397 \h </w:instrText>
      </w:r>
      <w:r>
        <w:rPr>
          <w:noProof/>
        </w:rPr>
      </w:r>
      <w:r>
        <w:rPr>
          <w:noProof/>
        </w:rPr>
        <w:fldChar w:fldCharType="separate"/>
      </w:r>
      <w:r w:rsidR="00B55438">
        <w:rPr>
          <w:noProof/>
        </w:rPr>
        <w:t>75</w:t>
      </w:r>
      <w:r>
        <w:rPr>
          <w:noProof/>
        </w:rPr>
        <w:fldChar w:fldCharType="end"/>
      </w:r>
    </w:p>
    <w:p w14:paraId="6F992E8B"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5 : </w:t>
      </w:r>
      <w:r w:rsidRPr="00460C7F">
        <w:rPr>
          <w:rFonts w:cstheme="majorBidi"/>
          <w:noProof/>
          <w:color w:val="000000" w:themeColor="text1"/>
        </w:rPr>
        <w:t>Echelle de likert</w:t>
      </w:r>
      <w:r>
        <w:rPr>
          <w:noProof/>
        </w:rPr>
        <w:tab/>
      </w:r>
      <w:r>
        <w:rPr>
          <w:noProof/>
        </w:rPr>
        <w:fldChar w:fldCharType="begin"/>
      </w:r>
      <w:r>
        <w:rPr>
          <w:noProof/>
        </w:rPr>
        <w:instrText xml:space="preserve"> PAGEREF _Toc200731398 \h </w:instrText>
      </w:r>
      <w:r>
        <w:rPr>
          <w:noProof/>
        </w:rPr>
      </w:r>
      <w:r>
        <w:rPr>
          <w:noProof/>
        </w:rPr>
        <w:fldChar w:fldCharType="separate"/>
      </w:r>
      <w:r w:rsidR="00B55438">
        <w:rPr>
          <w:noProof/>
        </w:rPr>
        <w:t>81</w:t>
      </w:r>
      <w:r>
        <w:rPr>
          <w:noProof/>
        </w:rPr>
        <w:fldChar w:fldCharType="end"/>
      </w:r>
    </w:p>
    <w:p w14:paraId="629B7F02"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6 : </w:t>
      </w:r>
      <w:r w:rsidRPr="00460C7F">
        <w:rPr>
          <w:rFonts w:cstheme="majorBidi"/>
          <w:noProof/>
          <w:color w:val="000000" w:themeColor="text1"/>
        </w:rPr>
        <w:t>Répartition de l’échantillon selon l’âge</w:t>
      </w:r>
      <w:r>
        <w:rPr>
          <w:noProof/>
        </w:rPr>
        <w:tab/>
      </w:r>
      <w:r>
        <w:rPr>
          <w:noProof/>
        </w:rPr>
        <w:fldChar w:fldCharType="begin"/>
      </w:r>
      <w:r>
        <w:rPr>
          <w:noProof/>
        </w:rPr>
        <w:instrText xml:space="preserve"> PAGEREF _Toc200731399 \h </w:instrText>
      </w:r>
      <w:r>
        <w:rPr>
          <w:noProof/>
        </w:rPr>
      </w:r>
      <w:r>
        <w:rPr>
          <w:noProof/>
        </w:rPr>
        <w:fldChar w:fldCharType="separate"/>
      </w:r>
      <w:r w:rsidR="00B55438">
        <w:rPr>
          <w:noProof/>
        </w:rPr>
        <w:t>81</w:t>
      </w:r>
      <w:r>
        <w:rPr>
          <w:noProof/>
        </w:rPr>
        <w:fldChar w:fldCharType="end"/>
      </w:r>
    </w:p>
    <w:p w14:paraId="02645AF4"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7 : </w:t>
      </w:r>
      <w:r w:rsidRPr="00460C7F">
        <w:rPr>
          <w:rFonts w:cstheme="majorBidi"/>
          <w:noProof/>
          <w:color w:val="000000" w:themeColor="text1"/>
        </w:rPr>
        <w:t>Répartition de l’échantillon selon le genre</w:t>
      </w:r>
      <w:r>
        <w:rPr>
          <w:noProof/>
        </w:rPr>
        <w:tab/>
      </w:r>
      <w:r>
        <w:rPr>
          <w:noProof/>
        </w:rPr>
        <w:fldChar w:fldCharType="begin"/>
      </w:r>
      <w:r>
        <w:rPr>
          <w:noProof/>
        </w:rPr>
        <w:instrText xml:space="preserve"> PAGEREF _Toc200731400 \h </w:instrText>
      </w:r>
      <w:r>
        <w:rPr>
          <w:noProof/>
        </w:rPr>
      </w:r>
      <w:r>
        <w:rPr>
          <w:noProof/>
        </w:rPr>
        <w:fldChar w:fldCharType="separate"/>
      </w:r>
      <w:r w:rsidR="00B55438">
        <w:rPr>
          <w:noProof/>
        </w:rPr>
        <w:t>83</w:t>
      </w:r>
      <w:r>
        <w:rPr>
          <w:noProof/>
        </w:rPr>
        <w:fldChar w:fldCharType="end"/>
      </w:r>
    </w:p>
    <w:p w14:paraId="5F01F358"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8 : </w:t>
      </w:r>
      <w:r w:rsidRPr="00460C7F">
        <w:rPr>
          <w:rFonts w:cstheme="majorBidi"/>
          <w:noProof/>
          <w:color w:val="000000" w:themeColor="text1"/>
        </w:rPr>
        <w:t>Répartition de l’échantillon selon le niveau d’étude</w:t>
      </w:r>
      <w:r>
        <w:rPr>
          <w:noProof/>
        </w:rPr>
        <w:tab/>
      </w:r>
      <w:r>
        <w:rPr>
          <w:noProof/>
        </w:rPr>
        <w:fldChar w:fldCharType="begin"/>
      </w:r>
      <w:r>
        <w:rPr>
          <w:noProof/>
        </w:rPr>
        <w:instrText xml:space="preserve"> PAGEREF _Toc200731401 \h </w:instrText>
      </w:r>
      <w:r>
        <w:rPr>
          <w:noProof/>
        </w:rPr>
      </w:r>
      <w:r>
        <w:rPr>
          <w:noProof/>
        </w:rPr>
        <w:fldChar w:fldCharType="separate"/>
      </w:r>
      <w:r w:rsidR="00B55438">
        <w:rPr>
          <w:noProof/>
        </w:rPr>
        <w:t>84</w:t>
      </w:r>
      <w:r>
        <w:rPr>
          <w:noProof/>
        </w:rPr>
        <w:fldChar w:fldCharType="end"/>
      </w:r>
    </w:p>
    <w:p w14:paraId="68E1535B"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9 : </w:t>
      </w:r>
      <w:r w:rsidRPr="00460C7F">
        <w:rPr>
          <w:rFonts w:cstheme="majorBidi"/>
          <w:noProof/>
          <w:color w:val="000000" w:themeColor="text1"/>
        </w:rPr>
        <w:t>Répartition de l’échantillon selon le profil des répondants : Client(e) ou Voisin(e) de GICA</w:t>
      </w:r>
      <w:r>
        <w:rPr>
          <w:noProof/>
        </w:rPr>
        <w:tab/>
      </w:r>
      <w:r>
        <w:rPr>
          <w:noProof/>
        </w:rPr>
        <w:fldChar w:fldCharType="begin"/>
      </w:r>
      <w:r>
        <w:rPr>
          <w:noProof/>
        </w:rPr>
        <w:instrText xml:space="preserve"> PAGEREF _Toc200731402 \h </w:instrText>
      </w:r>
      <w:r>
        <w:rPr>
          <w:noProof/>
        </w:rPr>
      </w:r>
      <w:r>
        <w:rPr>
          <w:noProof/>
        </w:rPr>
        <w:fldChar w:fldCharType="separate"/>
      </w:r>
      <w:r w:rsidR="00B55438">
        <w:rPr>
          <w:noProof/>
        </w:rPr>
        <w:t>85</w:t>
      </w:r>
      <w:r>
        <w:rPr>
          <w:noProof/>
        </w:rPr>
        <w:fldChar w:fldCharType="end"/>
      </w:r>
    </w:p>
    <w:p w14:paraId="2747B97B"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10 :</w:t>
      </w:r>
      <w:r w:rsidRPr="00460C7F">
        <w:rPr>
          <w:rFonts w:cstheme="majorBidi"/>
          <w:noProof/>
          <w:color w:val="000000" w:themeColor="text1"/>
        </w:rPr>
        <w:t xml:space="preserve"> Répartition de l’échantillon selon la durée depuis laquelle les répondants connaissent GICA :</w:t>
      </w:r>
      <w:r>
        <w:rPr>
          <w:noProof/>
        </w:rPr>
        <w:tab/>
      </w:r>
      <w:r>
        <w:rPr>
          <w:noProof/>
        </w:rPr>
        <w:fldChar w:fldCharType="begin"/>
      </w:r>
      <w:r>
        <w:rPr>
          <w:noProof/>
        </w:rPr>
        <w:instrText xml:space="preserve"> PAGEREF _Toc200731403 \h </w:instrText>
      </w:r>
      <w:r>
        <w:rPr>
          <w:noProof/>
        </w:rPr>
      </w:r>
      <w:r>
        <w:rPr>
          <w:noProof/>
        </w:rPr>
        <w:fldChar w:fldCharType="separate"/>
      </w:r>
      <w:r w:rsidR="00B55438">
        <w:rPr>
          <w:noProof/>
        </w:rPr>
        <w:t>86</w:t>
      </w:r>
      <w:r>
        <w:rPr>
          <w:noProof/>
        </w:rPr>
        <w:fldChar w:fldCharType="end"/>
      </w:r>
    </w:p>
    <w:p w14:paraId="05A35AFC"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11 : </w:t>
      </w:r>
      <w:r w:rsidRPr="00460C7F">
        <w:rPr>
          <w:rFonts w:cstheme="majorBidi"/>
          <w:noProof/>
          <w:color w:val="000000" w:themeColor="text1"/>
        </w:rPr>
        <w:t>coefficient de fiabilité des parties de greenwashing</w:t>
      </w:r>
      <w:r>
        <w:rPr>
          <w:noProof/>
        </w:rPr>
        <w:tab/>
      </w:r>
      <w:r>
        <w:rPr>
          <w:noProof/>
        </w:rPr>
        <w:fldChar w:fldCharType="begin"/>
      </w:r>
      <w:r>
        <w:rPr>
          <w:noProof/>
        </w:rPr>
        <w:instrText xml:space="preserve"> PAGEREF _Toc200731404 \h </w:instrText>
      </w:r>
      <w:r>
        <w:rPr>
          <w:noProof/>
        </w:rPr>
      </w:r>
      <w:r>
        <w:rPr>
          <w:noProof/>
        </w:rPr>
        <w:fldChar w:fldCharType="separate"/>
      </w:r>
      <w:r w:rsidR="00B55438">
        <w:rPr>
          <w:noProof/>
        </w:rPr>
        <w:t>87</w:t>
      </w:r>
      <w:r>
        <w:rPr>
          <w:noProof/>
        </w:rPr>
        <w:fldChar w:fldCharType="end"/>
      </w:r>
    </w:p>
    <w:p w14:paraId="66E62AF8"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12 : </w:t>
      </w:r>
      <w:r w:rsidRPr="00460C7F">
        <w:rPr>
          <w:rFonts w:cstheme="majorBidi"/>
          <w:noProof/>
          <w:color w:val="000000" w:themeColor="text1"/>
        </w:rPr>
        <w:t>poids de l’échelle Likert</w:t>
      </w:r>
      <w:r>
        <w:rPr>
          <w:noProof/>
        </w:rPr>
        <w:tab/>
      </w:r>
      <w:r>
        <w:rPr>
          <w:noProof/>
        </w:rPr>
        <w:fldChar w:fldCharType="begin"/>
      </w:r>
      <w:r>
        <w:rPr>
          <w:noProof/>
        </w:rPr>
        <w:instrText xml:space="preserve"> PAGEREF _Toc200731405 \h </w:instrText>
      </w:r>
      <w:r>
        <w:rPr>
          <w:noProof/>
        </w:rPr>
      </w:r>
      <w:r>
        <w:rPr>
          <w:noProof/>
        </w:rPr>
        <w:fldChar w:fldCharType="separate"/>
      </w:r>
      <w:r w:rsidR="00B55438">
        <w:rPr>
          <w:noProof/>
        </w:rPr>
        <w:t>88</w:t>
      </w:r>
      <w:r>
        <w:rPr>
          <w:noProof/>
        </w:rPr>
        <w:fldChar w:fldCharType="end"/>
      </w:r>
    </w:p>
    <w:p w14:paraId="270B597E"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13 : </w:t>
      </w:r>
      <w:r w:rsidRPr="00460C7F">
        <w:rPr>
          <w:rFonts w:cstheme="majorBidi"/>
          <w:noProof/>
          <w:color w:val="000000" w:themeColor="text1"/>
        </w:rPr>
        <w:t>Analyse descriptive des données de la dimension confiance verte</w:t>
      </w:r>
      <w:r>
        <w:rPr>
          <w:noProof/>
        </w:rPr>
        <w:tab/>
      </w:r>
      <w:r>
        <w:rPr>
          <w:noProof/>
        </w:rPr>
        <w:fldChar w:fldCharType="begin"/>
      </w:r>
      <w:r>
        <w:rPr>
          <w:noProof/>
        </w:rPr>
        <w:instrText xml:space="preserve"> PAGEREF _Toc200731406 \h </w:instrText>
      </w:r>
      <w:r>
        <w:rPr>
          <w:noProof/>
        </w:rPr>
      </w:r>
      <w:r>
        <w:rPr>
          <w:noProof/>
        </w:rPr>
        <w:fldChar w:fldCharType="separate"/>
      </w:r>
      <w:r w:rsidR="00B55438">
        <w:rPr>
          <w:noProof/>
        </w:rPr>
        <w:t>88</w:t>
      </w:r>
      <w:r>
        <w:rPr>
          <w:noProof/>
        </w:rPr>
        <w:fldChar w:fldCharType="end"/>
      </w:r>
    </w:p>
    <w:p w14:paraId="7974F1BD"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14 : </w:t>
      </w:r>
      <w:r w:rsidRPr="00460C7F">
        <w:rPr>
          <w:rFonts w:cstheme="majorBidi"/>
          <w:noProof/>
          <w:color w:val="000000" w:themeColor="text1"/>
        </w:rPr>
        <w:t>Analyse descriptive des données de la dimension perception de risque environnemental</w:t>
      </w:r>
      <w:r>
        <w:rPr>
          <w:noProof/>
        </w:rPr>
        <w:tab/>
      </w:r>
      <w:r>
        <w:rPr>
          <w:noProof/>
        </w:rPr>
        <w:fldChar w:fldCharType="begin"/>
      </w:r>
      <w:r>
        <w:rPr>
          <w:noProof/>
        </w:rPr>
        <w:instrText xml:space="preserve"> PAGEREF _Toc200731407 \h </w:instrText>
      </w:r>
      <w:r>
        <w:rPr>
          <w:noProof/>
        </w:rPr>
      </w:r>
      <w:r>
        <w:rPr>
          <w:noProof/>
        </w:rPr>
        <w:fldChar w:fldCharType="separate"/>
      </w:r>
      <w:r w:rsidR="00B55438">
        <w:rPr>
          <w:noProof/>
        </w:rPr>
        <w:t>90</w:t>
      </w:r>
      <w:r>
        <w:rPr>
          <w:noProof/>
        </w:rPr>
        <w:fldChar w:fldCharType="end"/>
      </w:r>
    </w:p>
    <w:p w14:paraId="166ADDFE"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15 : </w:t>
      </w:r>
      <w:r w:rsidRPr="00460C7F">
        <w:rPr>
          <w:rFonts w:cstheme="majorBidi"/>
          <w:noProof/>
          <w:color w:val="000000" w:themeColor="text1"/>
        </w:rPr>
        <w:t>Analyse descriptive des données de la dimension crédibilité perçue de l’entreprise GICA</w:t>
      </w:r>
      <w:r>
        <w:rPr>
          <w:noProof/>
        </w:rPr>
        <w:tab/>
      </w:r>
      <w:r>
        <w:rPr>
          <w:noProof/>
        </w:rPr>
        <w:fldChar w:fldCharType="begin"/>
      </w:r>
      <w:r>
        <w:rPr>
          <w:noProof/>
        </w:rPr>
        <w:instrText xml:space="preserve"> PAGEREF _Toc200731408 \h </w:instrText>
      </w:r>
      <w:r>
        <w:rPr>
          <w:noProof/>
        </w:rPr>
      </w:r>
      <w:r>
        <w:rPr>
          <w:noProof/>
        </w:rPr>
        <w:fldChar w:fldCharType="separate"/>
      </w:r>
      <w:r w:rsidR="00B55438">
        <w:rPr>
          <w:noProof/>
        </w:rPr>
        <w:t>93</w:t>
      </w:r>
      <w:r>
        <w:rPr>
          <w:noProof/>
        </w:rPr>
        <w:fldChar w:fldCharType="end"/>
      </w:r>
    </w:p>
    <w:p w14:paraId="1CD31658"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16 : </w:t>
      </w:r>
      <w:r w:rsidRPr="00460C7F">
        <w:rPr>
          <w:rFonts w:cstheme="majorBidi"/>
          <w:noProof/>
          <w:color w:val="000000" w:themeColor="text1"/>
        </w:rPr>
        <w:t>Analyse descriptive des données de l’axe Greenwashing</w:t>
      </w:r>
      <w:r>
        <w:rPr>
          <w:noProof/>
        </w:rPr>
        <w:tab/>
      </w:r>
      <w:r>
        <w:rPr>
          <w:noProof/>
        </w:rPr>
        <w:fldChar w:fldCharType="begin"/>
      </w:r>
      <w:r>
        <w:rPr>
          <w:noProof/>
        </w:rPr>
        <w:instrText xml:space="preserve"> PAGEREF _Toc200731409 \h </w:instrText>
      </w:r>
      <w:r>
        <w:rPr>
          <w:noProof/>
        </w:rPr>
      </w:r>
      <w:r>
        <w:rPr>
          <w:noProof/>
        </w:rPr>
        <w:fldChar w:fldCharType="separate"/>
      </w:r>
      <w:r w:rsidR="00B55438">
        <w:rPr>
          <w:noProof/>
        </w:rPr>
        <w:t>94</w:t>
      </w:r>
      <w:r>
        <w:rPr>
          <w:noProof/>
        </w:rPr>
        <w:fldChar w:fldCharType="end"/>
      </w:r>
    </w:p>
    <w:p w14:paraId="690CE2DE"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lastRenderedPageBreak/>
        <w:t xml:space="preserve">Tableau  </w:t>
      </w:r>
      <w:r w:rsidRPr="00460C7F">
        <w:rPr>
          <w:rFonts w:cstheme="majorBidi"/>
          <w:b/>
          <w:bCs/>
          <w:noProof/>
          <w:color w:val="000000" w:themeColor="text1"/>
        </w:rPr>
        <w:t xml:space="preserve">17: </w:t>
      </w:r>
      <w:r w:rsidRPr="00460C7F">
        <w:rPr>
          <w:rFonts w:cstheme="majorBidi"/>
          <w:noProof/>
          <w:color w:val="000000" w:themeColor="text1"/>
        </w:rPr>
        <w:t>coefficient de fiabilité des parties de l’image de marque</w:t>
      </w:r>
      <w:r>
        <w:rPr>
          <w:noProof/>
        </w:rPr>
        <w:tab/>
      </w:r>
      <w:r>
        <w:rPr>
          <w:noProof/>
        </w:rPr>
        <w:fldChar w:fldCharType="begin"/>
      </w:r>
      <w:r>
        <w:rPr>
          <w:noProof/>
        </w:rPr>
        <w:instrText xml:space="preserve"> PAGEREF _Toc200731410 \h </w:instrText>
      </w:r>
      <w:r>
        <w:rPr>
          <w:noProof/>
        </w:rPr>
      </w:r>
      <w:r>
        <w:rPr>
          <w:noProof/>
        </w:rPr>
        <w:fldChar w:fldCharType="separate"/>
      </w:r>
      <w:r w:rsidR="00B55438">
        <w:rPr>
          <w:noProof/>
        </w:rPr>
        <w:t>95</w:t>
      </w:r>
      <w:r>
        <w:rPr>
          <w:noProof/>
        </w:rPr>
        <w:fldChar w:fldCharType="end"/>
      </w:r>
    </w:p>
    <w:p w14:paraId="2E6841A1"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18 : </w:t>
      </w:r>
      <w:r w:rsidRPr="00460C7F">
        <w:rPr>
          <w:rFonts w:cstheme="majorBidi"/>
          <w:noProof/>
          <w:color w:val="000000" w:themeColor="text1"/>
        </w:rPr>
        <w:t>Analyse descriptive des données de l’axe Image de marque</w:t>
      </w:r>
      <w:r>
        <w:rPr>
          <w:noProof/>
        </w:rPr>
        <w:tab/>
      </w:r>
      <w:r>
        <w:rPr>
          <w:noProof/>
        </w:rPr>
        <w:fldChar w:fldCharType="begin"/>
      </w:r>
      <w:r>
        <w:rPr>
          <w:noProof/>
        </w:rPr>
        <w:instrText xml:space="preserve"> PAGEREF _Toc200731411 \h </w:instrText>
      </w:r>
      <w:r>
        <w:rPr>
          <w:noProof/>
        </w:rPr>
      </w:r>
      <w:r>
        <w:rPr>
          <w:noProof/>
        </w:rPr>
        <w:fldChar w:fldCharType="separate"/>
      </w:r>
      <w:r w:rsidR="00B55438">
        <w:rPr>
          <w:noProof/>
        </w:rPr>
        <w:t>95</w:t>
      </w:r>
      <w:r>
        <w:rPr>
          <w:noProof/>
        </w:rPr>
        <w:fldChar w:fldCharType="end"/>
      </w:r>
    </w:p>
    <w:p w14:paraId="70AA954D"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19 : </w:t>
      </w:r>
      <w:r w:rsidRPr="00460C7F">
        <w:rPr>
          <w:rFonts w:cstheme="majorBidi"/>
          <w:noProof/>
          <w:color w:val="000000" w:themeColor="text1"/>
        </w:rPr>
        <w:t>coefficient de fiabilité de questionnaire</w:t>
      </w:r>
      <w:r>
        <w:rPr>
          <w:noProof/>
        </w:rPr>
        <w:tab/>
      </w:r>
      <w:r>
        <w:rPr>
          <w:noProof/>
        </w:rPr>
        <w:fldChar w:fldCharType="begin"/>
      </w:r>
      <w:r>
        <w:rPr>
          <w:noProof/>
        </w:rPr>
        <w:instrText xml:space="preserve"> PAGEREF _Toc200731412 \h </w:instrText>
      </w:r>
      <w:r>
        <w:rPr>
          <w:noProof/>
        </w:rPr>
      </w:r>
      <w:r>
        <w:rPr>
          <w:noProof/>
        </w:rPr>
        <w:fldChar w:fldCharType="separate"/>
      </w:r>
      <w:r w:rsidR="00B55438">
        <w:rPr>
          <w:noProof/>
        </w:rPr>
        <w:t>98</w:t>
      </w:r>
      <w:r>
        <w:rPr>
          <w:noProof/>
        </w:rPr>
        <w:fldChar w:fldCharType="end"/>
      </w:r>
    </w:p>
    <w:p w14:paraId="5B2EA6AE"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20 : </w:t>
      </w:r>
      <w:r w:rsidRPr="00460C7F">
        <w:rPr>
          <w:rFonts w:cstheme="majorBidi"/>
          <w:noProof/>
          <w:color w:val="000000" w:themeColor="text1"/>
        </w:rPr>
        <w:t>coefficient de corrélation</w:t>
      </w:r>
      <w:r>
        <w:rPr>
          <w:noProof/>
        </w:rPr>
        <w:tab/>
      </w:r>
      <w:r>
        <w:rPr>
          <w:noProof/>
        </w:rPr>
        <w:fldChar w:fldCharType="begin"/>
      </w:r>
      <w:r>
        <w:rPr>
          <w:noProof/>
        </w:rPr>
        <w:instrText xml:space="preserve"> PAGEREF _Toc200731413 \h </w:instrText>
      </w:r>
      <w:r>
        <w:rPr>
          <w:noProof/>
        </w:rPr>
      </w:r>
      <w:r>
        <w:rPr>
          <w:noProof/>
        </w:rPr>
        <w:fldChar w:fldCharType="separate"/>
      </w:r>
      <w:r w:rsidR="00B55438">
        <w:rPr>
          <w:noProof/>
        </w:rPr>
        <w:t>99</w:t>
      </w:r>
      <w:r>
        <w:rPr>
          <w:noProof/>
        </w:rPr>
        <w:fldChar w:fldCharType="end"/>
      </w:r>
    </w:p>
    <w:p w14:paraId="27BD36DB"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21 : </w:t>
      </w:r>
      <w:r w:rsidRPr="00460C7F">
        <w:rPr>
          <w:rFonts w:cstheme="majorBidi"/>
          <w:noProof/>
          <w:color w:val="000000" w:themeColor="text1"/>
        </w:rPr>
        <w:t>La variance ANOVA</w:t>
      </w:r>
      <w:r>
        <w:rPr>
          <w:noProof/>
        </w:rPr>
        <w:tab/>
      </w:r>
      <w:r>
        <w:rPr>
          <w:noProof/>
        </w:rPr>
        <w:fldChar w:fldCharType="begin"/>
      </w:r>
      <w:r>
        <w:rPr>
          <w:noProof/>
        </w:rPr>
        <w:instrText xml:space="preserve"> PAGEREF _Toc200731414 \h </w:instrText>
      </w:r>
      <w:r>
        <w:rPr>
          <w:noProof/>
        </w:rPr>
      </w:r>
      <w:r>
        <w:rPr>
          <w:noProof/>
        </w:rPr>
        <w:fldChar w:fldCharType="separate"/>
      </w:r>
      <w:r w:rsidR="00B55438">
        <w:rPr>
          <w:noProof/>
        </w:rPr>
        <w:t>99</w:t>
      </w:r>
      <w:r>
        <w:rPr>
          <w:noProof/>
        </w:rPr>
        <w:fldChar w:fldCharType="end"/>
      </w:r>
    </w:p>
    <w:p w14:paraId="20EE3AA4"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22 </w:t>
      </w:r>
      <w:r w:rsidRPr="00460C7F">
        <w:rPr>
          <w:rFonts w:cstheme="majorBidi"/>
          <w:b/>
          <w:bCs/>
          <w:noProof/>
          <w:color w:val="000000" w:themeColor="text1"/>
        </w:rPr>
        <w:t xml:space="preserve">: </w:t>
      </w:r>
      <w:r w:rsidRPr="00460C7F">
        <w:rPr>
          <w:rFonts w:cstheme="majorBidi"/>
          <w:noProof/>
          <w:color w:val="000000" w:themeColor="text1"/>
        </w:rPr>
        <w:t>coefficients de régression</w:t>
      </w:r>
      <w:r>
        <w:rPr>
          <w:noProof/>
        </w:rPr>
        <w:tab/>
      </w:r>
      <w:r>
        <w:rPr>
          <w:noProof/>
        </w:rPr>
        <w:fldChar w:fldCharType="begin"/>
      </w:r>
      <w:r>
        <w:rPr>
          <w:noProof/>
        </w:rPr>
        <w:instrText xml:space="preserve"> PAGEREF _Toc200731415 \h </w:instrText>
      </w:r>
      <w:r>
        <w:rPr>
          <w:noProof/>
        </w:rPr>
      </w:r>
      <w:r>
        <w:rPr>
          <w:noProof/>
        </w:rPr>
        <w:fldChar w:fldCharType="separate"/>
      </w:r>
      <w:r w:rsidR="00B55438">
        <w:rPr>
          <w:noProof/>
        </w:rPr>
        <w:t>100</w:t>
      </w:r>
      <w:r>
        <w:rPr>
          <w:noProof/>
        </w:rPr>
        <w:fldChar w:fldCharType="end"/>
      </w:r>
    </w:p>
    <w:p w14:paraId="6E4C5934"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23 : </w:t>
      </w:r>
      <w:r w:rsidRPr="00460C7F">
        <w:rPr>
          <w:rFonts w:cstheme="majorBidi"/>
          <w:noProof/>
          <w:color w:val="000000" w:themeColor="text1"/>
        </w:rPr>
        <w:t>coefficient de corrélation</w:t>
      </w:r>
      <w:r>
        <w:rPr>
          <w:noProof/>
        </w:rPr>
        <w:tab/>
      </w:r>
      <w:r>
        <w:rPr>
          <w:noProof/>
        </w:rPr>
        <w:fldChar w:fldCharType="begin"/>
      </w:r>
      <w:r>
        <w:rPr>
          <w:noProof/>
        </w:rPr>
        <w:instrText xml:space="preserve"> PAGEREF _Toc200731416 \h </w:instrText>
      </w:r>
      <w:r>
        <w:rPr>
          <w:noProof/>
        </w:rPr>
      </w:r>
      <w:r>
        <w:rPr>
          <w:noProof/>
        </w:rPr>
        <w:fldChar w:fldCharType="separate"/>
      </w:r>
      <w:r w:rsidR="00B55438">
        <w:rPr>
          <w:noProof/>
        </w:rPr>
        <w:t>100</w:t>
      </w:r>
      <w:r>
        <w:rPr>
          <w:noProof/>
        </w:rPr>
        <w:fldChar w:fldCharType="end"/>
      </w:r>
    </w:p>
    <w:p w14:paraId="0206FF81"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24 : </w:t>
      </w:r>
      <w:r w:rsidRPr="00460C7F">
        <w:rPr>
          <w:rFonts w:cstheme="majorBidi"/>
          <w:noProof/>
          <w:color w:val="000000" w:themeColor="text1"/>
        </w:rPr>
        <w:t>variance ANOVA</w:t>
      </w:r>
      <w:r>
        <w:rPr>
          <w:noProof/>
        </w:rPr>
        <w:tab/>
      </w:r>
      <w:r>
        <w:rPr>
          <w:noProof/>
        </w:rPr>
        <w:fldChar w:fldCharType="begin"/>
      </w:r>
      <w:r>
        <w:rPr>
          <w:noProof/>
        </w:rPr>
        <w:instrText xml:space="preserve"> PAGEREF _Toc200731417 \h </w:instrText>
      </w:r>
      <w:r>
        <w:rPr>
          <w:noProof/>
        </w:rPr>
      </w:r>
      <w:r>
        <w:rPr>
          <w:noProof/>
        </w:rPr>
        <w:fldChar w:fldCharType="separate"/>
      </w:r>
      <w:r w:rsidR="00B55438">
        <w:rPr>
          <w:noProof/>
        </w:rPr>
        <w:t>101</w:t>
      </w:r>
      <w:r>
        <w:rPr>
          <w:noProof/>
        </w:rPr>
        <w:fldChar w:fldCharType="end"/>
      </w:r>
    </w:p>
    <w:p w14:paraId="6184A2A5"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25 : </w:t>
      </w:r>
      <w:r w:rsidRPr="00460C7F">
        <w:rPr>
          <w:rFonts w:cstheme="majorBidi"/>
          <w:noProof/>
          <w:color w:val="000000" w:themeColor="text1"/>
        </w:rPr>
        <w:t>coefficients de régression</w:t>
      </w:r>
      <w:r>
        <w:rPr>
          <w:noProof/>
        </w:rPr>
        <w:tab/>
      </w:r>
      <w:r>
        <w:rPr>
          <w:noProof/>
        </w:rPr>
        <w:fldChar w:fldCharType="begin"/>
      </w:r>
      <w:r>
        <w:rPr>
          <w:noProof/>
        </w:rPr>
        <w:instrText xml:space="preserve"> PAGEREF _Toc200731418 \h </w:instrText>
      </w:r>
      <w:r>
        <w:rPr>
          <w:noProof/>
        </w:rPr>
      </w:r>
      <w:r>
        <w:rPr>
          <w:noProof/>
        </w:rPr>
        <w:fldChar w:fldCharType="separate"/>
      </w:r>
      <w:r w:rsidR="00B55438">
        <w:rPr>
          <w:noProof/>
        </w:rPr>
        <w:t>101</w:t>
      </w:r>
      <w:r>
        <w:rPr>
          <w:noProof/>
        </w:rPr>
        <w:fldChar w:fldCharType="end"/>
      </w:r>
    </w:p>
    <w:p w14:paraId="38608948"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26 : </w:t>
      </w:r>
      <w:r w:rsidRPr="00460C7F">
        <w:rPr>
          <w:rFonts w:cstheme="majorBidi"/>
          <w:noProof/>
          <w:color w:val="000000" w:themeColor="text1"/>
        </w:rPr>
        <w:t>coefficient de corrélation</w:t>
      </w:r>
      <w:r>
        <w:rPr>
          <w:noProof/>
        </w:rPr>
        <w:tab/>
      </w:r>
      <w:r>
        <w:rPr>
          <w:noProof/>
        </w:rPr>
        <w:fldChar w:fldCharType="begin"/>
      </w:r>
      <w:r>
        <w:rPr>
          <w:noProof/>
        </w:rPr>
        <w:instrText xml:space="preserve"> PAGEREF _Toc200731419 \h </w:instrText>
      </w:r>
      <w:r>
        <w:rPr>
          <w:noProof/>
        </w:rPr>
      </w:r>
      <w:r>
        <w:rPr>
          <w:noProof/>
        </w:rPr>
        <w:fldChar w:fldCharType="separate"/>
      </w:r>
      <w:r w:rsidR="00B55438">
        <w:rPr>
          <w:noProof/>
        </w:rPr>
        <w:t>102</w:t>
      </w:r>
      <w:r>
        <w:rPr>
          <w:noProof/>
        </w:rPr>
        <w:fldChar w:fldCharType="end"/>
      </w:r>
    </w:p>
    <w:p w14:paraId="6A7F6ADE"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27 : </w:t>
      </w:r>
      <w:r w:rsidRPr="00460C7F">
        <w:rPr>
          <w:rFonts w:cstheme="majorBidi"/>
          <w:noProof/>
          <w:color w:val="000000" w:themeColor="text1"/>
        </w:rPr>
        <w:t>Variance ANOVA</w:t>
      </w:r>
      <w:r>
        <w:rPr>
          <w:noProof/>
        </w:rPr>
        <w:tab/>
      </w:r>
      <w:r>
        <w:rPr>
          <w:noProof/>
        </w:rPr>
        <w:fldChar w:fldCharType="begin"/>
      </w:r>
      <w:r>
        <w:rPr>
          <w:noProof/>
        </w:rPr>
        <w:instrText xml:space="preserve"> PAGEREF _Toc200731420 \h </w:instrText>
      </w:r>
      <w:r>
        <w:rPr>
          <w:noProof/>
        </w:rPr>
      </w:r>
      <w:r>
        <w:rPr>
          <w:noProof/>
        </w:rPr>
        <w:fldChar w:fldCharType="separate"/>
      </w:r>
      <w:r w:rsidR="00B55438">
        <w:rPr>
          <w:noProof/>
        </w:rPr>
        <w:t>102</w:t>
      </w:r>
      <w:r>
        <w:rPr>
          <w:noProof/>
        </w:rPr>
        <w:fldChar w:fldCharType="end"/>
      </w:r>
    </w:p>
    <w:p w14:paraId="3533AD14"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28 : </w:t>
      </w:r>
      <w:r w:rsidRPr="00460C7F">
        <w:rPr>
          <w:rFonts w:cstheme="majorBidi"/>
          <w:noProof/>
          <w:color w:val="000000" w:themeColor="text1"/>
        </w:rPr>
        <w:t>Coefficients de régression</w:t>
      </w:r>
      <w:r>
        <w:rPr>
          <w:noProof/>
        </w:rPr>
        <w:tab/>
      </w:r>
      <w:r>
        <w:rPr>
          <w:noProof/>
        </w:rPr>
        <w:fldChar w:fldCharType="begin"/>
      </w:r>
      <w:r>
        <w:rPr>
          <w:noProof/>
        </w:rPr>
        <w:instrText xml:space="preserve"> PAGEREF _Toc200731421 \h </w:instrText>
      </w:r>
      <w:r>
        <w:rPr>
          <w:noProof/>
        </w:rPr>
      </w:r>
      <w:r>
        <w:rPr>
          <w:noProof/>
        </w:rPr>
        <w:fldChar w:fldCharType="separate"/>
      </w:r>
      <w:r w:rsidR="00B55438">
        <w:rPr>
          <w:noProof/>
        </w:rPr>
        <w:t>103</w:t>
      </w:r>
      <w:r>
        <w:rPr>
          <w:noProof/>
        </w:rPr>
        <w:fldChar w:fldCharType="end"/>
      </w:r>
    </w:p>
    <w:p w14:paraId="1A83975C"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29 : </w:t>
      </w:r>
      <w:r w:rsidRPr="00460C7F">
        <w:rPr>
          <w:rFonts w:cstheme="majorBidi"/>
          <w:noProof/>
          <w:color w:val="000000" w:themeColor="text1"/>
        </w:rPr>
        <w:t>coefficient de corrélation</w:t>
      </w:r>
      <w:r>
        <w:rPr>
          <w:noProof/>
        </w:rPr>
        <w:tab/>
      </w:r>
      <w:r>
        <w:rPr>
          <w:noProof/>
        </w:rPr>
        <w:fldChar w:fldCharType="begin"/>
      </w:r>
      <w:r>
        <w:rPr>
          <w:noProof/>
        </w:rPr>
        <w:instrText xml:space="preserve"> PAGEREF _Toc200731422 \h </w:instrText>
      </w:r>
      <w:r>
        <w:rPr>
          <w:noProof/>
        </w:rPr>
      </w:r>
      <w:r>
        <w:rPr>
          <w:noProof/>
        </w:rPr>
        <w:fldChar w:fldCharType="separate"/>
      </w:r>
      <w:r w:rsidR="00B55438">
        <w:rPr>
          <w:noProof/>
        </w:rPr>
        <w:t>104</w:t>
      </w:r>
      <w:r>
        <w:rPr>
          <w:noProof/>
        </w:rPr>
        <w:fldChar w:fldCharType="end"/>
      </w:r>
    </w:p>
    <w:p w14:paraId="455255A6"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30 : </w:t>
      </w:r>
      <w:r w:rsidRPr="00460C7F">
        <w:rPr>
          <w:rFonts w:cstheme="majorBidi"/>
          <w:noProof/>
          <w:color w:val="000000" w:themeColor="text1"/>
        </w:rPr>
        <w:t>variance ANOVA</w:t>
      </w:r>
      <w:r>
        <w:rPr>
          <w:noProof/>
        </w:rPr>
        <w:tab/>
      </w:r>
      <w:r>
        <w:rPr>
          <w:noProof/>
        </w:rPr>
        <w:fldChar w:fldCharType="begin"/>
      </w:r>
      <w:r>
        <w:rPr>
          <w:noProof/>
        </w:rPr>
        <w:instrText xml:space="preserve"> PAGEREF _Toc200731423 \h </w:instrText>
      </w:r>
      <w:r>
        <w:rPr>
          <w:noProof/>
        </w:rPr>
      </w:r>
      <w:r>
        <w:rPr>
          <w:noProof/>
        </w:rPr>
        <w:fldChar w:fldCharType="separate"/>
      </w:r>
      <w:r w:rsidR="00B55438">
        <w:rPr>
          <w:noProof/>
        </w:rPr>
        <w:t>104</w:t>
      </w:r>
      <w:r>
        <w:rPr>
          <w:noProof/>
        </w:rPr>
        <w:fldChar w:fldCharType="end"/>
      </w:r>
    </w:p>
    <w:p w14:paraId="02ACA81C" w14:textId="77777777" w:rsidR="008A3B25" w:rsidRDefault="008A3B25">
      <w:pPr>
        <w:pStyle w:val="Tabledesillustrations"/>
        <w:tabs>
          <w:tab w:val="right" w:leader="dot" w:pos="9062"/>
        </w:tabs>
        <w:rPr>
          <w:rFonts w:asciiTheme="minorHAnsi" w:eastAsiaTheme="minorEastAsia" w:hAnsiTheme="minorHAnsi"/>
          <w:noProof/>
          <w:sz w:val="22"/>
          <w:lang w:eastAsia="fr-FR"/>
        </w:rPr>
      </w:pPr>
      <w:r w:rsidRPr="00460C7F">
        <w:rPr>
          <w:b/>
          <w:bCs/>
          <w:noProof/>
          <w:color w:val="000000" w:themeColor="text1"/>
        </w:rPr>
        <w:t xml:space="preserve">Tableau  </w:t>
      </w:r>
      <w:r w:rsidRPr="00460C7F">
        <w:rPr>
          <w:rFonts w:cstheme="majorBidi"/>
          <w:b/>
          <w:bCs/>
          <w:noProof/>
          <w:color w:val="000000" w:themeColor="text1"/>
        </w:rPr>
        <w:t xml:space="preserve">31 : </w:t>
      </w:r>
      <w:r w:rsidRPr="00460C7F">
        <w:rPr>
          <w:rFonts w:cstheme="majorBidi"/>
          <w:noProof/>
          <w:color w:val="000000" w:themeColor="text1"/>
        </w:rPr>
        <w:t>Coefficients de régression</w:t>
      </w:r>
      <w:r>
        <w:rPr>
          <w:noProof/>
        </w:rPr>
        <w:tab/>
      </w:r>
      <w:r>
        <w:rPr>
          <w:noProof/>
        </w:rPr>
        <w:fldChar w:fldCharType="begin"/>
      </w:r>
      <w:r>
        <w:rPr>
          <w:noProof/>
        </w:rPr>
        <w:instrText xml:space="preserve"> PAGEREF _Toc200731424 \h </w:instrText>
      </w:r>
      <w:r>
        <w:rPr>
          <w:noProof/>
        </w:rPr>
      </w:r>
      <w:r>
        <w:rPr>
          <w:noProof/>
        </w:rPr>
        <w:fldChar w:fldCharType="separate"/>
      </w:r>
      <w:r w:rsidR="00B55438">
        <w:rPr>
          <w:noProof/>
        </w:rPr>
        <w:t>104</w:t>
      </w:r>
      <w:r>
        <w:rPr>
          <w:noProof/>
        </w:rPr>
        <w:fldChar w:fldCharType="end"/>
      </w:r>
    </w:p>
    <w:p w14:paraId="34B9F5BE" w14:textId="77777777" w:rsidR="008A3B25" w:rsidRPr="008A3B25" w:rsidRDefault="008A3B25" w:rsidP="008A3B25">
      <w:r>
        <w:fldChar w:fldCharType="end"/>
      </w:r>
    </w:p>
    <w:p w14:paraId="5D153D03" w14:textId="77777777" w:rsidR="008A3B25" w:rsidRDefault="008A3B25" w:rsidP="00B15608">
      <w:pPr>
        <w:pStyle w:val="Citation"/>
      </w:pPr>
    </w:p>
    <w:p w14:paraId="12D27568" w14:textId="77777777" w:rsidR="00042A82" w:rsidRDefault="00042A82" w:rsidP="00042A82"/>
    <w:p w14:paraId="2EEEDE0A" w14:textId="77777777" w:rsidR="008A3B25" w:rsidRDefault="008A3B25" w:rsidP="001D2A20">
      <w:pPr>
        <w:pStyle w:val="Citation"/>
        <w:ind w:left="0" w:firstLine="0"/>
        <w:jc w:val="both"/>
        <w:rPr>
          <w:b w:val="0"/>
          <w:iCs w:val="0"/>
          <w:color w:val="auto"/>
          <w:sz w:val="24"/>
        </w:rPr>
      </w:pPr>
    </w:p>
    <w:p w14:paraId="1CC8F582" w14:textId="77777777" w:rsidR="00EB52F7" w:rsidRPr="00EB52F7" w:rsidRDefault="00EB52F7" w:rsidP="00EB52F7"/>
    <w:p w14:paraId="647F47D4" w14:textId="77777777" w:rsidR="00B15608" w:rsidRDefault="00B15608" w:rsidP="00B15608">
      <w:pPr>
        <w:pStyle w:val="Citation"/>
      </w:pPr>
      <w:bookmarkStart w:id="13" w:name="_Toc200731455"/>
      <w:bookmarkStart w:id="14" w:name="_Toc200825372"/>
      <w:r>
        <w:t>Sommaire</w:t>
      </w:r>
      <w:bookmarkEnd w:id="13"/>
      <w:bookmarkEnd w:id="14"/>
    </w:p>
    <w:p w14:paraId="01F3746C" w14:textId="77777777" w:rsidR="001D2A20" w:rsidRDefault="00242BC2" w:rsidP="00350FA5">
      <w:pPr>
        <w:pStyle w:val="TM1"/>
        <w:rPr>
          <w:rFonts w:asciiTheme="minorHAnsi" w:eastAsiaTheme="minorEastAsia" w:hAnsiTheme="minorHAnsi"/>
          <w:noProof/>
          <w:sz w:val="22"/>
          <w:lang w:eastAsia="fr-FR"/>
        </w:rPr>
      </w:pPr>
      <w:r>
        <w:lastRenderedPageBreak/>
        <w:fldChar w:fldCharType="begin"/>
      </w:r>
      <w:r>
        <w:instrText xml:space="preserve"> TOC \o "1-3" \t "Citation;1;Citation intense;1" </w:instrText>
      </w:r>
      <w:r>
        <w:fldChar w:fldCharType="separate"/>
      </w:r>
      <w:r w:rsidR="001D2A20" w:rsidRPr="00F054BC">
        <w:rPr>
          <w:noProof/>
          <w:w w:val="90"/>
        </w:rPr>
        <w:t>Remerciement</w:t>
      </w:r>
    </w:p>
    <w:p w14:paraId="73C615FE" w14:textId="77777777" w:rsidR="001D2A20" w:rsidRDefault="001D2A20" w:rsidP="00350FA5">
      <w:pPr>
        <w:pStyle w:val="TM1"/>
        <w:rPr>
          <w:rFonts w:asciiTheme="minorHAnsi" w:eastAsiaTheme="minorEastAsia" w:hAnsiTheme="minorHAnsi"/>
          <w:noProof/>
          <w:sz w:val="22"/>
          <w:lang w:eastAsia="fr-FR"/>
        </w:rPr>
      </w:pPr>
      <w:r w:rsidRPr="00F054BC">
        <w:rPr>
          <w:noProof/>
          <w:w w:val="95"/>
        </w:rPr>
        <w:t>Dédicace</w:t>
      </w:r>
    </w:p>
    <w:p w14:paraId="1146AB69" w14:textId="77777777" w:rsidR="001D2A20" w:rsidRDefault="001D2A20" w:rsidP="00350FA5">
      <w:pPr>
        <w:pStyle w:val="TM1"/>
        <w:rPr>
          <w:rFonts w:asciiTheme="minorHAnsi" w:eastAsiaTheme="minorEastAsia" w:hAnsiTheme="minorHAnsi"/>
          <w:noProof/>
          <w:sz w:val="22"/>
          <w:lang w:eastAsia="fr-FR"/>
        </w:rPr>
      </w:pPr>
      <w:r>
        <w:rPr>
          <w:noProof/>
          <w:lang w:eastAsia="fr-FR"/>
        </w:rPr>
        <w:t>Résumé</w:t>
      </w:r>
    </w:p>
    <w:p w14:paraId="5F2AA88B" w14:textId="77777777" w:rsidR="001D2A20" w:rsidRDefault="001D2A20" w:rsidP="00350FA5">
      <w:pPr>
        <w:pStyle w:val="TM1"/>
        <w:rPr>
          <w:rFonts w:asciiTheme="minorHAnsi" w:eastAsiaTheme="minorEastAsia" w:hAnsiTheme="minorHAnsi"/>
          <w:noProof/>
          <w:sz w:val="22"/>
          <w:lang w:eastAsia="fr-FR"/>
        </w:rPr>
      </w:pPr>
      <w:r>
        <w:rPr>
          <w:noProof/>
        </w:rPr>
        <w:t>Liste des abréviations</w:t>
      </w:r>
    </w:p>
    <w:p w14:paraId="0290CEB1" w14:textId="77777777" w:rsidR="001D2A20" w:rsidRDefault="001D2A20" w:rsidP="00350FA5">
      <w:pPr>
        <w:pStyle w:val="TM1"/>
        <w:rPr>
          <w:rFonts w:asciiTheme="minorHAnsi" w:eastAsiaTheme="minorEastAsia" w:hAnsiTheme="minorHAnsi"/>
          <w:noProof/>
          <w:sz w:val="22"/>
          <w:lang w:eastAsia="fr-FR"/>
        </w:rPr>
      </w:pPr>
      <w:r>
        <w:rPr>
          <w:noProof/>
        </w:rPr>
        <w:t>Liste de figures</w:t>
      </w:r>
    </w:p>
    <w:p w14:paraId="085608E3" w14:textId="77777777" w:rsidR="001D2A20" w:rsidRDefault="001D2A20" w:rsidP="00350FA5">
      <w:pPr>
        <w:pStyle w:val="TM1"/>
        <w:rPr>
          <w:rFonts w:asciiTheme="minorHAnsi" w:eastAsiaTheme="minorEastAsia" w:hAnsiTheme="minorHAnsi"/>
          <w:noProof/>
          <w:sz w:val="22"/>
          <w:lang w:eastAsia="fr-FR"/>
        </w:rPr>
      </w:pPr>
      <w:r>
        <w:rPr>
          <w:noProof/>
        </w:rPr>
        <w:t>Liste des tableaux</w:t>
      </w:r>
    </w:p>
    <w:p w14:paraId="679FA2DD" w14:textId="77777777" w:rsidR="001D2A20" w:rsidRDefault="001D2A20" w:rsidP="00350FA5">
      <w:pPr>
        <w:pStyle w:val="TM1"/>
        <w:rPr>
          <w:rFonts w:asciiTheme="minorHAnsi" w:eastAsiaTheme="minorEastAsia" w:hAnsiTheme="minorHAnsi"/>
          <w:noProof/>
          <w:sz w:val="22"/>
          <w:lang w:eastAsia="fr-FR"/>
        </w:rPr>
      </w:pPr>
      <w:r>
        <w:rPr>
          <w:noProof/>
        </w:rPr>
        <w:t>Sommaire</w:t>
      </w:r>
    </w:p>
    <w:p w14:paraId="7237E42B" w14:textId="77777777" w:rsidR="001D2A20" w:rsidRDefault="001D2A20" w:rsidP="00350FA5">
      <w:pPr>
        <w:pStyle w:val="TM1"/>
        <w:rPr>
          <w:rFonts w:asciiTheme="minorHAnsi" w:eastAsiaTheme="minorEastAsia" w:hAnsiTheme="minorHAnsi"/>
          <w:noProof/>
          <w:sz w:val="22"/>
          <w:lang w:eastAsia="fr-FR"/>
        </w:rPr>
      </w:pPr>
      <w:r>
        <w:rPr>
          <w:noProof/>
          <w:lang w:eastAsia="fr-FR"/>
        </w:rPr>
        <w:t>Introduction générale</w:t>
      </w:r>
      <w:r>
        <w:rPr>
          <w:noProof/>
        </w:rPr>
        <w:tab/>
      </w:r>
      <w:r>
        <w:rPr>
          <w:noProof/>
        </w:rPr>
        <w:fldChar w:fldCharType="begin"/>
      </w:r>
      <w:r>
        <w:rPr>
          <w:noProof/>
        </w:rPr>
        <w:instrText xml:space="preserve"> PAGEREF _Toc200825374 \h </w:instrText>
      </w:r>
      <w:r>
        <w:rPr>
          <w:noProof/>
        </w:rPr>
      </w:r>
      <w:r>
        <w:rPr>
          <w:noProof/>
        </w:rPr>
        <w:fldChar w:fldCharType="separate"/>
      </w:r>
      <w:r w:rsidR="00B55438">
        <w:rPr>
          <w:noProof/>
        </w:rPr>
        <w:t>1</w:t>
      </w:r>
      <w:r>
        <w:rPr>
          <w:noProof/>
        </w:rPr>
        <w:fldChar w:fldCharType="end"/>
      </w:r>
    </w:p>
    <w:p w14:paraId="65394C1E" w14:textId="77777777" w:rsidR="00B10649" w:rsidRPr="00B10649" w:rsidRDefault="00B10649" w:rsidP="00B10649">
      <w:pPr>
        <w:rPr>
          <w:b/>
          <w:bCs/>
          <w:noProof/>
          <w:lang w:eastAsia="fr-FR"/>
        </w:rPr>
      </w:pPr>
      <w:r w:rsidRPr="00B10649">
        <w:rPr>
          <w:b/>
          <w:bCs/>
          <w:noProof/>
          <w:lang w:eastAsia="fr-FR"/>
        </w:rPr>
        <w:t xml:space="preserve">PARTIE THÉORIQUE </w:t>
      </w:r>
    </w:p>
    <w:p w14:paraId="6229F689" w14:textId="77777777" w:rsidR="001D2A20" w:rsidRDefault="001D2A20" w:rsidP="00350FA5">
      <w:pPr>
        <w:pStyle w:val="TM1"/>
        <w:rPr>
          <w:rFonts w:asciiTheme="minorHAnsi" w:eastAsiaTheme="minorEastAsia" w:hAnsiTheme="minorHAnsi"/>
          <w:noProof/>
          <w:sz w:val="22"/>
          <w:lang w:eastAsia="fr-FR"/>
        </w:rPr>
      </w:pPr>
      <w:r w:rsidRPr="009E7A70">
        <w:rPr>
          <w:noProof/>
        </w:rPr>
        <w:t>Chapitre 01: Le greenwashing: concepts et enjeux</w:t>
      </w:r>
      <w:r>
        <w:rPr>
          <w:noProof/>
        </w:rPr>
        <w:t>.</w:t>
      </w:r>
      <w:r>
        <w:rPr>
          <w:noProof/>
        </w:rPr>
        <w:tab/>
      </w:r>
      <w:r>
        <w:rPr>
          <w:noProof/>
        </w:rPr>
        <w:fldChar w:fldCharType="begin"/>
      </w:r>
      <w:r>
        <w:rPr>
          <w:noProof/>
        </w:rPr>
        <w:instrText xml:space="preserve"> PAGEREF _Toc200825375 \h </w:instrText>
      </w:r>
      <w:r>
        <w:rPr>
          <w:noProof/>
        </w:rPr>
      </w:r>
      <w:r>
        <w:rPr>
          <w:noProof/>
        </w:rPr>
        <w:fldChar w:fldCharType="separate"/>
      </w:r>
      <w:r w:rsidR="00B55438">
        <w:rPr>
          <w:noProof/>
        </w:rPr>
        <w:t>9</w:t>
      </w:r>
      <w:r>
        <w:rPr>
          <w:noProof/>
        </w:rPr>
        <w:fldChar w:fldCharType="end"/>
      </w:r>
    </w:p>
    <w:p w14:paraId="7EE3C53A" w14:textId="77777777" w:rsidR="001D2A20" w:rsidRDefault="001D2A20" w:rsidP="00350FA5">
      <w:pPr>
        <w:pStyle w:val="TM1"/>
        <w:rPr>
          <w:rFonts w:asciiTheme="minorHAnsi" w:eastAsiaTheme="minorEastAsia" w:hAnsiTheme="minorHAnsi"/>
          <w:noProof/>
          <w:sz w:val="22"/>
          <w:lang w:eastAsia="fr-FR"/>
        </w:rPr>
      </w:pPr>
      <w:r>
        <w:rPr>
          <w:noProof/>
        </w:rPr>
        <w:t>Introduction</w:t>
      </w:r>
      <w:r>
        <w:rPr>
          <w:noProof/>
        </w:rPr>
        <w:tab/>
      </w:r>
      <w:r>
        <w:rPr>
          <w:noProof/>
        </w:rPr>
        <w:fldChar w:fldCharType="begin"/>
      </w:r>
      <w:r>
        <w:rPr>
          <w:noProof/>
        </w:rPr>
        <w:instrText xml:space="preserve"> PAGEREF _Toc200825376 \h </w:instrText>
      </w:r>
      <w:r>
        <w:rPr>
          <w:noProof/>
        </w:rPr>
      </w:r>
      <w:r>
        <w:rPr>
          <w:noProof/>
        </w:rPr>
        <w:fldChar w:fldCharType="separate"/>
      </w:r>
      <w:r w:rsidR="00B55438">
        <w:rPr>
          <w:noProof/>
        </w:rPr>
        <w:t>9</w:t>
      </w:r>
      <w:r>
        <w:rPr>
          <w:noProof/>
        </w:rPr>
        <w:fldChar w:fldCharType="end"/>
      </w:r>
    </w:p>
    <w:p w14:paraId="03122BA6" w14:textId="77777777" w:rsidR="001D2A20" w:rsidRDefault="001D2A20" w:rsidP="00350FA5">
      <w:pPr>
        <w:pStyle w:val="TM1"/>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Définition et historique.</w:t>
      </w:r>
      <w:r>
        <w:rPr>
          <w:noProof/>
        </w:rPr>
        <w:tab/>
      </w:r>
      <w:r>
        <w:rPr>
          <w:noProof/>
        </w:rPr>
        <w:fldChar w:fldCharType="begin"/>
      </w:r>
      <w:r>
        <w:rPr>
          <w:noProof/>
        </w:rPr>
        <w:instrText xml:space="preserve"> PAGEREF _Toc200825377 \h </w:instrText>
      </w:r>
      <w:r>
        <w:rPr>
          <w:noProof/>
        </w:rPr>
      </w:r>
      <w:r>
        <w:rPr>
          <w:noProof/>
        </w:rPr>
        <w:fldChar w:fldCharType="separate"/>
      </w:r>
      <w:r w:rsidR="00B55438">
        <w:rPr>
          <w:noProof/>
        </w:rPr>
        <w:t>9</w:t>
      </w:r>
      <w:r>
        <w:rPr>
          <w:noProof/>
        </w:rPr>
        <w:fldChar w:fldCharType="end"/>
      </w:r>
    </w:p>
    <w:p w14:paraId="6B21303B" w14:textId="77777777" w:rsidR="001D2A20" w:rsidRDefault="001D2A20" w:rsidP="00623079">
      <w:pPr>
        <w:pStyle w:val="TM2"/>
        <w:rPr>
          <w:rFonts w:asciiTheme="minorHAnsi" w:eastAsiaTheme="minorEastAsia" w:hAnsiTheme="minorHAnsi"/>
          <w:noProof/>
          <w:sz w:val="22"/>
          <w:lang w:eastAsia="fr-FR"/>
        </w:rPr>
      </w:pPr>
      <w:r>
        <w:rPr>
          <w:noProof/>
        </w:rPr>
        <w:t>1.1</w:t>
      </w:r>
      <w:r>
        <w:rPr>
          <w:rFonts w:asciiTheme="minorHAnsi" w:eastAsiaTheme="minorEastAsia" w:hAnsiTheme="minorHAnsi"/>
          <w:noProof/>
          <w:sz w:val="22"/>
          <w:lang w:eastAsia="fr-FR"/>
        </w:rPr>
        <w:tab/>
      </w:r>
      <w:r>
        <w:rPr>
          <w:noProof/>
        </w:rPr>
        <w:t>Historique de greenwashing</w:t>
      </w:r>
      <w:r>
        <w:rPr>
          <w:noProof/>
        </w:rPr>
        <w:tab/>
      </w:r>
      <w:r>
        <w:rPr>
          <w:noProof/>
        </w:rPr>
        <w:fldChar w:fldCharType="begin"/>
      </w:r>
      <w:r>
        <w:rPr>
          <w:noProof/>
        </w:rPr>
        <w:instrText xml:space="preserve"> PAGEREF _Toc200825378 \h </w:instrText>
      </w:r>
      <w:r>
        <w:rPr>
          <w:noProof/>
        </w:rPr>
      </w:r>
      <w:r>
        <w:rPr>
          <w:noProof/>
        </w:rPr>
        <w:fldChar w:fldCharType="separate"/>
      </w:r>
      <w:r w:rsidR="00B55438">
        <w:rPr>
          <w:noProof/>
        </w:rPr>
        <w:t>9</w:t>
      </w:r>
      <w:r>
        <w:rPr>
          <w:noProof/>
        </w:rPr>
        <w:fldChar w:fldCharType="end"/>
      </w:r>
    </w:p>
    <w:p w14:paraId="734438BA" w14:textId="77777777" w:rsidR="001D2A20" w:rsidRDefault="001D2A20" w:rsidP="00623079">
      <w:pPr>
        <w:pStyle w:val="TM2"/>
        <w:rPr>
          <w:rFonts w:asciiTheme="minorHAnsi" w:eastAsiaTheme="minorEastAsia" w:hAnsiTheme="minorHAnsi"/>
          <w:noProof/>
          <w:sz w:val="22"/>
          <w:lang w:eastAsia="fr-FR"/>
        </w:rPr>
      </w:pPr>
      <w:r>
        <w:rPr>
          <w:noProof/>
        </w:rPr>
        <w:t>1.2</w:t>
      </w:r>
      <w:r>
        <w:rPr>
          <w:rFonts w:asciiTheme="minorHAnsi" w:eastAsiaTheme="minorEastAsia" w:hAnsiTheme="minorHAnsi"/>
          <w:noProof/>
          <w:sz w:val="22"/>
          <w:lang w:eastAsia="fr-FR"/>
        </w:rPr>
        <w:tab/>
      </w:r>
      <w:r>
        <w:rPr>
          <w:noProof/>
        </w:rPr>
        <w:t>Définition du greenwashing</w:t>
      </w:r>
      <w:r>
        <w:rPr>
          <w:noProof/>
        </w:rPr>
        <w:tab/>
      </w:r>
      <w:r>
        <w:rPr>
          <w:noProof/>
        </w:rPr>
        <w:fldChar w:fldCharType="begin"/>
      </w:r>
      <w:r>
        <w:rPr>
          <w:noProof/>
        </w:rPr>
        <w:instrText xml:space="preserve"> PAGEREF _Toc200825379 \h </w:instrText>
      </w:r>
      <w:r>
        <w:rPr>
          <w:noProof/>
        </w:rPr>
      </w:r>
      <w:r>
        <w:rPr>
          <w:noProof/>
        </w:rPr>
        <w:fldChar w:fldCharType="separate"/>
      </w:r>
      <w:r w:rsidR="00B55438">
        <w:rPr>
          <w:noProof/>
        </w:rPr>
        <w:t>12</w:t>
      </w:r>
      <w:r>
        <w:rPr>
          <w:noProof/>
        </w:rPr>
        <w:fldChar w:fldCharType="end"/>
      </w:r>
    </w:p>
    <w:p w14:paraId="1B411AB4" w14:textId="77777777" w:rsidR="001D2A20" w:rsidRDefault="001D2A20" w:rsidP="00350FA5">
      <w:pPr>
        <w:pStyle w:val="TM1"/>
        <w:rPr>
          <w:rFonts w:asciiTheme="minorHAnsi" w:eastAsiaTheme="minorEastAsia" w:hAnsiTheme="minorHAnsi"/>
          <w:noProof/>
          <w:sz w:val="22"/>
          <w:lang w:eastAsia="fr-FR"/>
        </w:rPr>
      </w:pPr>
      <w:r>
        <w:rPr>
          <w:noProof/>
        </w:rPr>
        <w:t>2</w:t>
      </w:r>
      <w:r>
        <w:rPr>
          <w:rFonts w:asciiTheme="minorHAnsi" w:eastAsiaTheme="minorEastAsia" w:hAnsiTheme="minorHAnsi"/>
          <w:noProof/>
          <w:sz w:val="22"/>
          <w:lang w:eastAsia="fr-FR"/>
        </w:rPr>
        <w:tab/>
      </w:r>
      <w:r>
        <w:rPr>
          <w:noProof/>
        </w:rPr>
        <w:t>Typologie et techniques de greenwashing</w:t>
      </w:r>
      <w:r>
        <w:rPr>
          <w:noProof/>
        </w:rPr>
        <w:tab/>
      </w:r>
      <w:r>
        <w:rPr>
          <w:noProof/>
        </w:rPr>
        <w:fldChar w:fldCharType="begin"/>
      </w:r>
      <w:r>
        <w:rPr>
          <w:noProof/>
        </w:rPr>
        <w:instrText xml:space="preserve"> PAGEREF _Toc200825380 \h </w:instrText>
      </w:r>
      <w:r>
        <w:rPr>
          <w:noProof/>
        </w:rPr>
      </w:r>
      <w:r>
        <w:rPr>
          <w:noProof/>
        </w:rPr>
        <w:fldChar w:fldCharType="separate"/>
      </w:r>
      <w:r w:rsidR="00B55438">
        <w:rPr>
          <w:noProof/>
        </w:rPr>
        <w:t>19</w:t>
      </w:r>
      <w:r>
        <w:rPr>
          <w:noProof/>
        </w:rPr>
        <w:fldChar w:fldCharType="end"/>
      </w:r>
    </w:p>
    <w:p w14:paraId="2BAA2ADB" w14:textId="77777777" w:rsidR="001D2A20" w:rsidRDefault="001D2A20" w:rsidP="00623079">
      <w:pPr>
        <w:pStyle w:val="TM2"/>
        <w:rPr>
          <w:rFonts w:asciiTheme="minorHAnsi" w:eastAsiaTheme="minorEastAsia" w:hAnsiTheme="minorHAnsi"/>
          <w:noProof/>
          <w:sz w:val="22"/>
          <w:lang w:eastAsia="fr-FR"/>
        </w:rPr>
      </w:pPr>
      <w:r>
        <w:rPr>
          <w:noProof/>
        </w:rPr>
        <w:t>2.1</w:t>
      </w:r>
      <w:r>
        <w:rPr>
          <w:rFonts w:asciiTheme="minorHAnsi" w:eastAsiaTheme="minorEastAsia" w:hAnsiTheme="minorHAnsi"/>
          <w:noProof/>
          <w:sz w:val="22"/>
          <w:lang w:eastAsia="fr-FR"/>
        </w:rPr>
        <w:tab/>
      </w:r>
      <w:r>
        <w:rPr>
          <w:noProof/>
        </w:rPr>
        <w:t>Typologie de greenwashing</w:t>
      </w:r>
      <w:r>
        <w:rPr>
          <w:noProof/>
        </w:rPr>
        <w:tab/>
      </w:r>
      <w:r>
        <w:rPr>
          <w:noProof/>
        </w:rPr>
        <w:fldChar w:fldCharType="begin"/>
      </w:r>
      <w:r>
        <w:rPr>
          <w:noProof/>
        </w:rPr>
        <w:instrText xml:space="preserve"> PAGEREF _Toc200825381 \h </w:instrText>
      </w:r>
      <w:r>
        <w:rPr>
          <w:noProof/>
        </w:rPr>
      </w:r>
      <w:r>
        <w:rPr>
          <w:noProof/>
        </w:rPr>
        <w:fldChar w:fldCharType="separate"/>
      </w:r>
      <w:r w:rsidR="00B55438">
        <w:rPr>
          <w:noProof/>
        </w:rPr>
        <w:t>19</w:t>
      </w:r>
      <w:r>
        <w:rPr>
          <w:noProof/>
        </w:rPr>
        <w:fldChar w:fldCharType="end"/>
      </w:r>
    </w:p>
    <w:p w14:paraId="3A3AE7A1" w14:textId="77777777" w:rsidR="001D2A20" w:rsidRDefault="001D2A20" w:rsidP="00623079">
      <w:pPr>
        <w:pStyle w:val="TM2"/>
        <w:rPr>
          <w:rFonts w:asciiTheme="minorHAnsi" w:eastAsiaTheme="minorEastAsia" w:hAnsiTheme="minorHAnsi"/>
          <w:noProof/>
          <w:sz w:val="22"/>
          <w:lang w:eastAsia="fr-FR"/>
        </w:rPr>
      </w:pPr>
      <w:r>
        <w:rPr>
          <w:noProof/>
        </w:rPr>
        <w:t>2.2</w:t>
      </w:r>
      <w:r>
        <w:rPr>
          <w:rFonts w:asciiTheme="minorHAnsi" w:eastAsiaTheme="minorEastAsia" w:hAnsiTheme="minorHAnsi"/>
          <w:noProof/>
          <w:sz w:val="22"/>
          <w:lang w:eastAsia="fr-FR"/>
        </w:rPr>
        <w:tab/>
      </w:r>
      <w:r>
        <w:rPr>
          <w:noProof/>
        </w:rPr>
        <w:t>Techniques de greenwashing</w:t>
      </w:r>
      <w:r>
        <w:rPr>
          <w:noProof/>
        </w:rPr>
        <w:tab/>
      </w:r>
      <w:r>
        <w:rPr>
          <w:noProof/>
        </w:rPr>
        <w:fldChar w:fldCharType="begin"/>
      </w:r>
      <w:r>
        <w:rPr>
          <w:noProof/>
        </w:rPr>
        <w:instrText xml:space="preserve"> PAGEREF _Toc200825382 \h </w:instrText>
      </w:r>
      <w:r>
        <w:rPr>
          <w:noProof/>
        </w:rPr>
      </w:r>
      <w:r>
        <w:rPr>
          <w:noProof/>
        </w:rPr>
        <w:fldChar w:fldCharType="separate"/>
      </w:r>
      <w:r w:rsidR="00B55438">
        <w:rPr>
          <w:noProof/>
        </w:rPr>
        <w:t>20</w:t>
      </w:r>
      <w:r>
        <w:rPr>
          <w:noProof/>
        </w:rPr>
        <w:fldChar w:fldCharType="end"/>
      </w:r>
    </w:p>
    <w:p w14:paraId="00D4DDB0" w14:textId="77777777" w:rsidR="001D2A20" w:rsidRDefault="001D2A20" w:rsidP="00350FA5">
      <w:pPr>
        <w:pStyle w:val="TM1"/>
        <w:rPr>
          <w:rFonts w:asciiTheme="minorHAnsi" w:eastAsiaTheme="minorEastAsia" w:hAnsiTheme="minorHAnsi"/>
          <w:noProof/>
          <w:sz w:val="22"/>
          <w:lang w:eastAsia="fr-FR"/>
        </w:rPr>
      </w:pPr>
      <w:r>
        <w:rPr>
          <w:noProof/>
        </w:rPr>
        <w:t>3</w:t>
      </w:r>
      <w:r>
        <w:rPr>
          <w:rFonts w:asciiTheme="minorHAnsi" w:eastAsiaTheme="minorEastAsia" w:hAnsiTheme="minorHAnsi"/>
          <w:noProof/>
          <w:sz w:val="22"/>
          <w:lang w:eastAsia="fr-FR"/>
        </w:rPr>
        <w:tab/>
      </w:r>
      <w:r>
        <w:rPr>
          <w:noProof/>
        </w:rPr>
        <w:t>Les impacts de greenwashing pour le consommateur</w:t>
      </w:r>
      <w:r>
        <w:rPr>
          <w:noProof/>
        </w:rPr>
        <w:tab/>
      </w:r>
      <w:r>
        <w:rPr>
          <w:noProof/>
        </w:rPr>
        <w:fldChar w:fldCharType="begin"/>
      </w:r>
      <w:r>
        <w:rPr>
          <w:noProof/>
        </w:rPr>
        <w:instrText xml:space="preserve"> PAGEREF _Toc200825383 \h </w:instrText>
      </w:r>
      <w:r>
        <w:rPr>
          <w:noProof/>
        </w:rPr>
      </w:r>
      <w:r>
        <w:rPr>
          <w:noProof/>
        </w:rPr>
        <w:fldChar w:fldCharType="separate"/>
      </w:r>
      <w:r w:rsidR="00B55438">
        <w:rPr>
          <w:noProof/>
        </w:rPr>
        <w:t>24</w:t>
      </w:r>
      <w:r>
        <w:rPr>
          <w:noProof/>
        </w:rPr>
        <w:fldChar w:fldCharType="end"/>
      </w:r>
    </w:p>
    <w:p w14:paraId="01496662" w14:textId="77777777" w:rsidR="001D2A20" w:rsidRDefault="001D2A20" w:rsidP="00623079">
      <w:pPr>
        <w:pStyle w:val="TM2"/>
        <w:rPr>
          <w:rFonts w:asciiTheme="minorHAnsi" w:eastAsiaTheme="minorEastAsia" w:hAnsiTheme="minorHAnsi"/>
          <w:noProof/>
          <w:sz w:val="22"/>
          <w:lang w:eastAsia="fr-FR"/>
        </w:rPr>
      </w:pPr>
      <w:r>
        <w:rPr>
          <w:noProof/>
        </w:rPr>
        <w:t>3.1</w:t>
      </w:r>
      <w:r>
        <w:rPr>
          <w:rFonts w:asciiTheme="minorHAnsi" w:eastAsiaTheme="minorEastAsia" w:hAnsiTheme="minorHAnsi"/>
          <w:noProof/>
          <w:sz w:val="22"/>
          <w:lang w:eastAsia="fr-FR"/>
        </w:rPr>
        <w:tab/>
      </w:r>
      <w:r>
        <w:rPr>
          <w:noProof/>
        </w:rPr>
        <w:t xml:space="preserve">L'impact du Greenwashing sur les consommateurs </w:t>
      </w:r>
      <w:r>
        <w:rPr>
          <w:noProof/>
        </w:rPr>
        <w:tab/>
      </w:r>
      <w:r>
        <w:rPr>
          <w:noProof/>
        </w:rPr>
        <w:fldChar w:fldCharType="begin"/>
      </w:r>
      <w:r>
        <w:rPr>
          <w:noProof/>
        </w:rPr>
        <w:instrText xml:space="preserve"> PAGEREF _Toc200825384 \h </w:instrText>
      </w:r>
      <w:r>
        <w:rPr>
          <w:noProof/>
        </w:rPr>
      </w:r>
      <w:r>
        <w:rPr>
          <w:noProof/>
        </w:rPr>
        <w:fldChar w:fldCharType="separate"/>
      </w:r>
      <w:r w:rsidR="00B55438">
        <w:rPr>
          <w:noProof/>
        </w:rPr>
        <w:t>24</w:t>
      </w:r>
      <w:r>
        <w:rPr>
          <w:noProof/>
        </w:rPr>
        <w:fldChar w:fldCharType="end"/>
      </w:r>
    </w:p>
    <w:p w14:paraId="77E96EF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3.1.1</w:t>
      </w:r>
      <w:r>
        <w:rPr>
          <w:rFonts w:asciiTheme="minorHAnsi" w:eastAsiaTheme="minorEastAsia" w:hAnsiTheme="minorHAnsi"/>
          <w:noProof/>
          <w:sz w:val="22"/>
          <w:lang w:eastAsia="fr-FR"/>
        </w:rPr>
        <w:tab/>
      </w:r>
      <w:r>
        <w:rPr>
          <w:noProof/>
        </w:rPr>
        <w:t>Perte de confiance des consommateurs</w:t>
      </w:r>
      <w:r>
        <w:rPr>
          <w:noProof/>
        </w:rPr>
        <w:tab/>
      </w:r>
      <w:r>
        <w:rPr>
          <w:noProof/>
        </w:rPr>
        <w:fldChar w:fldCharType="begin"/>
      </w:r>
      <w:r>
        <w:rPr>
          <w:noProof/>
        </w:rPr>
        <w:instrText xml:space="preserve"> PAGEREF _Toc200825385 \h </w:instrText>
      </w:r>
      <w:r>
        <w:rPr>
          <w:noProof/>
        </w:rPr>
      </w:r>
      <w:r>
        <w:rPr>
          <w:noProof/>
        </w:rPr>
        <w:fldChar w:fldCharType="separate"/>
      </w:r>
      <w:r w:rsidR="00B55438">
        <w:rPr>
          <w:noProof/>
        </w:rPr>
        <w:t>24</w:t>
      </w:r>
      <w:r>
        <w:rPr>
          <w:noProof/>
        </w:rPr>
        <w:fldChar w:fldCharType="end"/>
      </w:r>
    </w:p>
    <w:p w14:paraId="51536D0F"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3.1.2</w:t>
      </w:r>
      <w:r>
        <w:rPr>
          <w:rFonts w:asciiTheme="minorHAnsi" w:eastAsiaTheme="minorEastAsia" w:hAnsiTheme="minorHAnsi"/>
          <w:noProof/>
          <w:sz w:val="22"/>
          <w:lang w:eastAsia="fr-FR"/>
        </w:rPr>
        <w:tab/>
      </w:r>
      <w:r>
        <w:rPr>
          <w:noProof/>
        </w:rPr>
        <w:t>Impact sur le comportement d'achat</w:t>
      </w:r>
      <w:r>
        <w:rPr>
          <w:noProof/>
        </w:rPr>
        <w:tab/>
      </w:r>
      <w:r>
        <w:rPr>
          <w:noProof/>
        </w:rPr>
        <w:fldChar w:fldCharType="begin"/>
      </w:r>
      <w:r>
        <w:rPr>
          <w:noProof/>
        </w:rPr>
        <w:instrText xml:space="preserve"> PAGEREF _Toc200825386 \h </w:instrText>
      </w:r>
      <w:r>
        <w:rPr>
          <w:noProof/>
        </w:rPr>
      </w:r>
      <w:r>
        <w:rPr>
          <w:noProof/>
        </w:rPr>
        <w:fldChar w:fldCharType="separate"/>
      </w:r>
      <w:r w:rsidR="00B55438">
        <w:rPr>
          <w:noProof/>
        </w:rPr>
        <w:t>24</w:t>
      </w:r>
      <w:r>
        <w:rPr>
          <w:noProof/>
        </w:rPr>
        <w:fldChar w:fldCharType="end"/>
      </w:r>
    </w:p>
    <w:p w14:paraId="088BA9E6"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lastRenderedPageBreak/>
        <w:t>3.1.3</w:t>
      </w:r>
      <w:r>
        <w:rPr>
          <w:rFonts w:asciiTheme="minorHAnsi" w:eastAsiaTheme="minorEastAsia" w:hAnsiTheme="minorHAnsi"/>
          <w:noProof/>
          <w:sz w:val="22"/>
          <w:lang w:eastAsia="fr-FR"/>
        </w:rPr>
        <w:tab/>
      </w:r>
      <w:r>
        <w:rPr>
          <w:noProof/>
        </w:rPr>
        <w:t>Boycotts et réseaux sociaux</w:t>
      </w:r>
      <w:r>
        <w:rPr>
          <w:noProof/>
        </w:rPr>
        <w:tab/>
      </w:r>
      <w:r>
        <w:rPr>
          <w:noProof/>
        </w:rPr>
        <w:fldChar w:fldCharType="begin"/>
      </w:r>
      <w:r>
        <w:rPr>
          <w:noProof/>
        </w:rPr>
        <w:instrText xml:space="preserve"> PAGEREF _Toc200825387 \h </w:instrText>
      </w:r>
      <w:r>
        <w:rPr>
          <w:noProof/>
        </w:rPr>
      </w:r>
      <w:r>
        <w:rPr>
          <w:noProof/>
        </w:rPr>
        <w:fldChar w:fldCharType="separate"/>
      </w:r>
      <w:r w:rsidR="00B55438">
        <w:rPr>
          <w:noProof/>
        </w:rPr>
        <w:t>25</w:t>
      </w:r>
      <w:r>
        <w:rPr>
          <w:noProof/>
        </w:rPr>
        <w:fldChar w:fldCharType="end"/>
      </w:r>
    </w:p>
    <w:p w14:paraId="7101A109"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3.1.4</w:t>
      </w:r>
      <w:r>
        <w:rPr>
          <w:rFonts w:asciiTheme="minorHAnsi" w:eastAsiaTheme="minorEastAsia" w:hAnsiTheme="minorHAnsi"/>
          <w:noProof/>
          <w:sz w:val="22"/>
          <w:lang w:eastAsia="fr-FR"/>
        </w:rPr>
        <w:tab/>
      </w:r>
      <w:r>
        <w:rPr>
          <w:noProof/>
        </w:rPr>
        <w:t>Augmentation de la méfiance générale</w:t>
      </w:r>
      <w:r>
        <w:rPr>
          <w:noProof/>
        </w:rPr>
        <w:tab/>
      </w:r>
      <w:r>
        <w:rPr>
          <w:noProof/>
        </w:rPr>
        <w:fldChar w:fldCharType="begin"/>
      </w:r>
      <w:r>
        <w:rPr>
          <w:noProof/>
        </w:rPr>
        <w:instrText xml:space="preserve"> PAGEREF _Toc200825388 \h </w:instrText>
      </w:r>
      <w:r>
        <w:rPr>
          <w:noProof/>
        </w:rPr>
      </w:r>
      <w:r>
        <w:rPr>
          <w:noProof/>
        </w:rPr>
        <w:fldChar w:fldCharType="separate"/>
      </w:r>
      <w:r w:rsidR="00B55438">
        <w:rPr>
          <w:noProof/>
        </w:rPr>
        <w:t>25</w:t>
      </w:r>
      <w:r>
        <w:rPr>
          <w:noProof/>
        </w:rPr>
        <w:fldChar w:fldCharType="end"/>
      </w:r>
    </w:p>
    <w:p w14:paraId="668BD738" w14:textId="77777777" w:rsidR="001D2A20" w:rsidRDefault="001D2A20" w:rsidP="00623079">
      <w:pPr>
        <w:pStyle w:val="TM2"/>
        <w:rPr>
          <w:rFonts w:asciiTheme="minorHAnsi" w:eastAsiaTheme="minorEastAsia" w:hAnsiTheme="minorHAnsi"/>
          <w:noProof/>
          <w:sz w:val="22"/>
          <w:lang w:eastAsia="fr-FR"/>
        </w:rPr>
      </w:pPr>
      <w:r>
        <w:rPr>
          <w:noProof/>
        </w:rPr>
        <w:t>3.2</w:t>
      </w:r>
      <w:r>
        <w:rPr>
          <w:rFonts w:asciiTheme="minorHAnsi" w:eastAsiaTheme="minorEastAsia" w:hAnsiTheme="minorHAnsi"/>
          <w:noProof/>
          <w:sz w:val="22"/>
          <w:lang w:eastAsia="fr-FR"/>
        </w:rPr>
        <w:tab/>
      </w:r>
      <w:r>
        <w:rPr>
          <w:noProof/>
        </w:rPr>
        <w:t>L'impact du Greenwashing sur les entreprises</w:t>
      </w:r>
      <w:r>
        <w:rPr>
          <w:noProof/>
        </w:rPr>
        <w:tab/>
      </w:r>
      <w:r>
        <w:rPr>
          <w:noProof/>
        </w:rPr>
        <w:fldChar w:fldCharType="begin"/>
      </w:r>
      <w:r>
        <w:rPr>
          <w:noProof/>
        </w:rPr>
        <w:instrText xml:space="preserve"> PAGEREF _Toc200825389 \h </w:instrText>
      </w:r>
      <w:r>
        <w:rPr>
          <w:noProof/>
        </w:rPr>
      </w:r>
      <w:r>
        <w:rPr>
          <w:noProof/>
        </w:rPr>
        <w:fldChar w:fldCharType="separate"/>
      </w:r>
      <w:r w:rsidR="00B55438">
        <w:rPr>
          <w:noProof/>
        </w:rPr>
        <w:t>25</w:t>
      </w:r>
      <w:r>
        <w:rPr>
          <w:noProof/>
        </w:rPr>
        <w:fldChar w:fldCharType="end"/>
      </w:r>
    </w:p>
    <w:p w14:paraId="1DCC706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3.2.1</w:t>
      </w:r>
      <w:r>
        <w:rPr>
          <w:rFonts w:asciiTheme="minorHAnsi" w:eastAsiaTheme="minorEastAsia" w:hAnsiTheme="minorHAnsi"/>
          <w:noProof/>
          <w:sz w:val="22"/>
          <w:lang w:eastAsia="fr-FR"/>
        </w:rPr>
        <w:tab/>
      </w:r>
      <w:r>
        <w:rPr>
          <w:noProof/>
        </w:rPr>
        <w:t>Sanctions légales et financières</w:t>
      </w:r>
      <w:r>
        <w:rPr>
          <w:noProof/>
        </w:rPr>
        <w:tab/>
      </w:r>
      <w:r>
        <w:rPr>
          <w:noProof/>
        </w:rPr>
        <w:fldChar w:fldCharType="begin"/>
      </w:r>
      <w:r>
        <w:rPr>
          <w:noProof/>
        </w:rPr>
        <w:instrText xml:space="preserve"> PAGEREF _Toc200825390 \h </w:instrText>
      </w:r>
      <w:r>
        <w:rPr>
          <w:noProof/>
        </w:rPr>
      </w:r>
      <w:r>
        <w:rPr>
          <w:noProof/>
        </w:rPr>
        <w:fldChar w:fldCharType="separate"/>
      </w:r>
      <w:r w:rsidR="00B55438">
        <w:rPr>
          <w:noProof/>
        </w:rPr>
        <w:t>25</w:t>
      </w:r>
      <w:r>
        <w:rPr>
          <w:noProof/>
        </w:rPr>
        <w:fldChar w:fldCharType="end"/>
      </w:r>
    </w:p>
    <w:p w14:paraId="470149A8"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3.2.2</w:t>
      </w:r>
      <w:r>
        <w:rPr>
          <w:rFonts w:asciiTheme="minorHAnsi" w:eastAsiaTheme="minorEastAsia" w:hAnsiTheme="minorHAnsi"/>
          <w:noProof/>
          <w:sz w:val="22"/>
          <w:lang w:eastAsia="fr-FR"/>
        </w:rPr>
        <w:tab/>
      </w:r>
      <w:r>
        <w:rPr>
          <w:noProof/>
        </w:rPr>
        <w:t>Réputation ternie</w:t>
      </w:r>
      <w:r>
        <w:rPr>
          <w:noProof/>
        </w:rPr>
        <w:tab/>
      </w:r>
      <w:r>
        <w:rPr>
          <w:noProof/>
        </w:rPr>
        <w:fldChar w:fldCharType="begin"/>
      </w:r>
      <w:r>
        <w:rPr>
          <w:noProof/>
        </w:rPr>
        <w:instrText xml:space="preserve"> PAGEREF _Toc200825391 \h </w:instrText>
      </w:r>
      <w:r>
        <w:rPr>
          <w:noProof/>
        </w:rPr>
      </w:r>
      <w:r>
        <w:rPr>
          <w:noProof/>
        </w:rPr>
        <w:fldChar w:fldCharType="separate"/>
      </w:r>
      <w:r w:rsidR="00B55438">
        <w:rPr>
          <w:noProof/>
        </w:rPr>
        <w:t>25</w:t>
      </w:r>
      <w:r>
        <w:rPr>
          <w:noProof/>
        </w:rPr>
        <w:fldChar w:fldCharType="end"/>
      </w:r>
    </w:p>
    <w:p w14:paraId="17737FE2"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3.2.3</w:t>
      </w:r>
      <w:r>
        <w:rPr>
          <w:rFonts w:asciiTheme="minorHAnsi" w:eastAsiaTheme="minorEastAsia" w:hAnsiTheme="minorHAnsi"/>
          <w:noProof/>
          <w:sz w:val="22"/>
          <w:lang w:eastAsia="fr-FR"/>
        </w:rPr>
        <w:tab/>
      </w:r>
      <w:r>
        <w:rPr>
          <w:noProof/>
        </w:rPr>
        <w:t>Coûts de correction</w:t>
      </w:r>
      <w:r>
        <w:rPr>
          <w:noProof/>
        </w:rPr>
        <w:tab/>
      </w:r>
      <w:r>
        <w:rPr>
          <w:noProof/>
        </w:rPr>
        <w:fldChar w:fldCharType="begin"/>
      </w:r>
      <w:r>
        <w:rPr>
          <w:noProof/>
        </w:rPr>
        <w:instrText xml:space="preserve"> PAGEREF _Toc200825392 \h </w:instrText>
      </w:r>
      <w:r>
        <w:rPr>
          <w:noProof/>
        </w:rPr>
      </w:r>
      <w:r>
        <w:rPr>
          <w:noProof/>
        </w:rPr>
        <w:fldChar w:fldCharType="separate"/>
      </w:r>
      <w:r w:rsidR="00B55438">
        <w:rPr>
          <w:noProof/>
        </w:rPr>
        <w:t>26</w:t>
      </w:r>
      <w:r>
        <w:rPr>
          <w:noProof/>
        </w:rPr>
        <w:fldChar w:fldCharType="end"/>
      </w:r>
    </w:p>
    <w:p w14:paraId="44FDD060" w14:textId="77777777" w:rsidR="001D2A20" w:rsidRDefault="001D2A20" w:rsidP="00623079">
      <w:pPr>
        <w:pStyle w:val="TM2"/>
        <w:rPr>
          <w:rFonts w:asciiTheme="minorHAnsi" w:eastAsiaTheme="minorEastAsia" w:hAnsiTheme="minorHAnsi"/>
          <w:noProof/>
          <w:sz w:val="22"/>
          <w:lang w:eastAsia="fr-FR"/>
        </w:rPr>
      </w:pPr>
      <w:r>
        <w:rPr>
          <w:noProof/>
        </w:rPr>
        <w:t>3.3</w:t>
      </w:r>
      <w:r>
        <w:rPr>
          <w:rFonts w:asciiTheme="minorHAnsi" w:eastAsiaTheme="minorEastAsia" w:hAnsiTheme="minorHAnsi"/>
          <w:noProof/>
          <w:sz w:val="22"/>
          <w:lang w:eastAsia="fr-FR"/>
        </w:rPr>
        <w:tab/>
      </w:r>
      <w:r>
        <w:rPr>
          <w:noProof/>
        </w:rPr>
        <w:t>L’impact du greenwashing sur le marché concurrentiel</w:t>
      </w:r>
      <w:r>
        <w:rPr>
          <w:noProof/>
        </w:rPr>
        <w:tab/>
      </w:r>
      <w:r>
        <w:rPr>
          <w:noProof/>
        </w:rPr>
        <w:fldChar w:fldCharType="begin"/>
      </w:r>
      <w:r>
        <w:rPr>
          <w:noProof/>
        </w:rPr>
        <w:instrText xml:space="preserve"> PAGEREF _Toc200825393 \h </w:instrText>
      </w:r>
      <w:r>
        <w:rPr>
          <w:noProof/>
        </w:rPr>
      </w:r>
      <w:r>
        <w:rPr>
          <w:noProof/>
        </w:rPr>
        <w:fldChar w:fldCharType="separate"/>
      </w:r>
      <w:r w:rsidR="00B55438">
        <w:rPr>
          <w:noProof/>
        </w:rPr>
        <w:t>26</w:t>
      </w:r>
      <w:r>
        <w:rPr>
          <w:noProof/>
        </w:rPr>
        <w:fldChar w:fldCharType="end"/>
      </w:r>
    </w:p>
    <w:p w14:paraId="582FD375"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3.3.1</w:t>
      </w:r>
      <w:r>
        <w:rPr>
          <w:rFonts w:asciiTheme="minorHAnsi" w:eastAsiaTheme="minorEastAsia" w:hAnsiTheme="minorHAnsi"/>
          <w:noProof/>
          <w:sz w:val="22"/>
          <w:lang w:eastAsia="fr-FR"/>
        </w:rPr>
        <w:tab/>
      </w:r>
      <w:r>
        <w:rPr>
          <w:noProof/>
        </w:rPr>
        <w:t>Les impacts du greenwashing sur l’environnement</w:t>
      </w:r>
      <w:r>
        <w:rPr>
          <w:noProof/>
        </w:rPr>
        <w:tab/>
      </w:r>
      <w:r>
        <w:rPr>
          <w:noProof/>
        </w:rPr>
        <w:fldChar w:fldCharType="begin"/>
      </w:r>
      <w:r>
        <w:rPr>
          <w:noProof/>
        </w:rPr>
        <w:instrText xml:space="preserve"> PAGEREF _Toc200825394 \h </w:instrText>
      </w:r>
      <w:r>
        <w:rPr>
          <w:noProof/>
        </w:rPr>
      </w:r>
      <w:r>
        <w:rPr>
          <w:noProof/>
        </w:rPr>
        <w:fldChar w:fldCharType="separate"/>
      </w:r>
      <w:r w:rsidR="00B55438">
        <w:rPr>
          <w:noProof/>
        </w:rPr>
        <w:t>26</w:t>
      </w:r>
      <w:r>
        <w:rPr>
          <w:noProof/>
        </w:rPr>
        <w:fldChar w:fldCharType="end"/>
      </w:r>
    </w:p>
    <w:p w14:paraId="3DD00E83"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3.3.2</w:t>
      </w:r>
      <w:r>
        <w:rPr>
          <w:rFonts w:asciiTheme="minorHAnsi" w:eastAsiaTheme="minorEastAsia" w:hAnsiTheme="minorHAnsi"/>
          <w:noProof/>
          <w:sz w:val="22"/>
          <w:lang w:eastAsia="fr-FR"/>
        </w:rPr>
        <w:tab/>
      </w:r>
      <w:r>
        <w:rPr>
          <w:noProof/>
        </w:rPr>
        <w:t>Diversion par rapport aux vraies avancées écologiques</w:t>
      </w:r>
      <w:r>
        <w:rPr>
          <w:noProof/>
        </w:rPr>
        <w:tab/>
      </w:r>
      <w:r>
        <w:rPr>
          <w:noProof/>
        </w:rPr>
        <w:fldChar w:fldCharType="begin"/>
      </w:r>
      <w:r>
        <w:rPr>
          <w:noProof/>
        </w:rPr>
        <w:instrText xml:space="preserve"> PAGEREF _Toc200825395 \h </w:instrText>
      </w:r>
      <w:r>
        <w:rPr>
          <w:noProof/>
        </w:rPr>
      </w:r>
      <w:r>
        <w:rPr>
          <w:noProof/>
        </w:rPr>
        <w:fldChar w:fldCharType="separate"/>
      </w:r>
      <w:r w:rsidR="00B55438">
        <w:rPr>
          <w:noProof/>
        </w:rPr>
        <w:t>27</w:t>
      </w:r>
      <w:r>
        <w:rPr>
          <w:noProof/>
        </w:rPr>
        <w:fldChar w:fldCharType="end"/>
      </w:r>
    </w:p>
    <w:p w14:paraId="71C99DB7"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3.3.3</w:t>
      </w:r>
      <w:r>
        <w:rPr>
          <w:rFonts w:asciiTheme="minorHAnsi" w:eastAsiaTheme="minorEastAsia" w:hAnsiTheme="minorHAnsi"/>
          <w:noProof/>
          <w:sz w:val="22"/>
          <w:lang w:eastAsia="fr-FR"/>
        </w:rPr>
        <w:tab/>
      </w:r>
      <w:r>
        <w:rPr>
          <w:noProof/>
        </w:rPr>
        <w:t>Pollution de la planète</w:t>
      </w:r>
      <w:r>
        <w:rPr>
          <w:noProof/>
        </w:rPr>
        <w:tab/>
      </w:r>
      <w:r>
        <w:rPr>
          <w:noProof/>
        </w:rPr>
        <w:fldChar w:fldCharType="begin"/>
      </w:r>
      <w:r>
        <w:rPr>
          <w:noProof/>
        </w:rPr>
        <w:instrText xml:space="preserve"> PAGEREF _Toc200825396 \h </w:instrText>
      </w:r>
      <w:r>
        <w:rPr>
          <w:noProof/>
        </w:rPr>
      </w:r>
      <w:r>
        <w:rPr>
          <w:noProof/>
        </w:rPr>
        <w:fldChar w:fldCharType="separate"/>
      </w:r>
      <w:r w:rsidR="00B55438">
        <w:rPr>
          <w:noProof/>
        </w:rPr>
        <w:t>27</w:t>
      </w:r>
      <w:r>
        <w:rPr>
          <w:noProof/>
        </w:rPr>
        <w:fldChar w:fldCharType="end"/>
      </w:r>
    </w:p>
    <w:p w14:paraId="5EB4656C" w14:textId="77777777" w:rsidR="001D2A20" w:rsidRDefault="001D2A20" w:rsidP="00350FA5">
      <w:pPr>
        <w:pStyle w:val="TM1"/>
        <w:rPr>
          <w:rFonts w:asciiTheme="minorHAnsi" w:eastAsiaTheme="minorEastAsia" w:hAnsiTheme="minorHAnsi"/>
          <w:noProof/>
          <w:sz w:val="22"/>
          <w:lang w:eastAsia="fr-FR"/>
        </w:rPr>
      </w:pPr>
      <w:r w:rsidRPr="009E7A70">
        <w:rPr>
          <w:noProof/>
        </w:rPr>
        <w:t>Chapitre 02: La perception des consommateurs et son Influance Sur l'image de la marque.</w:t>
      </w:r>
      <w:r>
        <w:rPr>
          <w:noProof/>
        </w:rPr>
        <w:tab/>
      </w:r>
      <w:r>
        <w:rPr>
          <w:noProof/>
        </w:rPr>
        <w:fldChar w:fldCharType="begin"/>
      </w:r>
      <w:r>
        <w:rPr>
          <w:noProof/>
        </w:rPr>
        <w:instrText xml:space="preserve"> PAGEREF _Toc200825397 \h </w:instrText>
      </w:r>
      <w:r>
        <w:rPr>
          <w:noProof/>
        </w:rPr>
      </w:r>
      <w:r>
        <w:rPr>
          <w:noProof/>
        </w:rPr>
        <w:fldChar w:fldCharType="separate"/>
      </w:r>
      <w:r w:rsidR="00B55438">
        <w:rPr>
          <w:noProof/>
        </w:rPr>
        <w:t>29</w:t>
      </w:r>
      <w:r>
        <w:rPr>
          <w:noProof/>
        </w:rPr>
        <w:fldChar w:fldCharType="end"/>
      </w:r>
    </w:p>
    <w:p w14:paraId="49A3C876" w14:textId="77777777" w:rsidR="001D2A20" w:rsidRDefault="001D2A20" w:rsidP="00350FA5">
      <w:pPr>
        <w:pStyle w:val="TM1"/>
        <w:rPr>
          <w:rFonts w:asciiTheme="minorHAnsi" w:eastAsiaTheme="minorEastAsia" w:hAnsiTheme="minorHAnsi"/>
          <w:noProof/>
          <w:sz w:val="22"/>
          <w:lang w:eastAsia="fr-FR"/>
        </w:rPr>
      </w:pPr>
      <w:r>
        <w:rPr>
          <w:noProof/>
        </w:rPr>
        <w:t>Introduction</w:t>
      </w:r>
      <w:r>
        <w:rPr>
          <w:noProof/>
        </w:rPr>
        <w:tab/>
      </w:r>
      <w:r>
        <w:rPr>
          <w:noProof/>
        </w:rPr>
        <w:fldChar w:fldCharType="begin"/>
      </w:r>
      <w:r>
        <w:rPr>
          <w:noProof/>
        </w:rPr>
        <w:instrText xml:space="preserve"> PAGEREF _Toc200825398 \h </w:instrText>
      </w:r>
      <w:r>
        <w:rPr>
          <w:noProof/>
        </w:rPr>
      </w:r>
      <w:r>
        <w:rPr>
          <w:noProof/>
        </w:rPr>
        <w:fldChar w:fldCharType="separate"/>
      </w:r>
      <w:r w:rsidR="00B55438">
        <w:rPr>
          <w:noProof/>
        </w:rPr>
        <w:t>29</w:t>
      </w:r>
      <w:r>
        <w:rPr>
          <w:noProof/>
        </w:rPr>
        <w:fldChar w:fldCharType="end"/>
      </w:r>
    </w:p>
    <w:p w14:paraId="2B4E23BF" w14:textId="77777777" w:rsidR="001D2A20" w:rsidRDefault="001D2A20" w:rsidP="00350FA5">
      <w:pPr>
        <w:pStyle w:val="TM1"/>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Concepts de base sur la perception.</w:t>
      </w:r>
      <w:r>
        <w:rPr>
          <w:noProof/>
        </w:rPr>
        <w:tab/>
      </w:r>
      <w:r>
        <w:rPr>
          <w:noProof/>
        </w:rPr>
        <w:fldChar w:fldCharType="begin"/>
      </w:r>
      <w:r>
        <w:rPr>
          <w:noProof/>
        </w:rPr>
        <w:instrText xml:space="preserve"> PAGEREF _Toc200825399 \h </w:instrText>
      </w:r>
      <w:r>
        <w:rPr>
          <w:noProof/>
        </w:rPr>
      </w:r>
      <w:r>
        <w:rPr>
          <w:noProof/>
        </w:rPr>
        <w:fldChar w:fldCharType="separate"/>
      </w:r>
      <w:r w:rsidR="00B55438">
        <w:rPr>
          <w:noProof/>
        </w:rPr>
        <w:t>29</w:t>
      </w:r>
      <w:r>
        <w:rPr>
          <w:noProof/>
        </w:rPr>
        <w:fldChar w:fldCharType="end"/>
      </w:r>
    </w:p>
    <w:p w14:paraId="6FBE17CC" w14:textId="77777777" w:rsidR="001D2A20" w:rsidRDefault="001D2A20" w:rsidP="00623079">
      <w:pPr>
        <w:pStyle w:val="TM2"/>
        <w:rPr>
          <w:rFonts w:asciiTheme="minorHAnsi" w:eastAsiaTheme="minorEastAsia" w:hAnsiTheme="minorHAnsi"/>
          <w:noProof/>
          <w:sz w:val="22"/>
          <w:lang w:eastAsia="fr-FR"/>
        </w:rPr>
      </w:pPr>
      <w:r>
        <w:rPr>
          <w:noProof/>
        </w:rPr>
        <w:t>1.1</w:t>
      </w:r>
      <w:r>
        <w:rPr>
          <w:rFonts w:asciiTheme="minorHAnsi" w:eastAsiaTheme="minorEastAsia" w:hAnsiTheme="minorHAnsi"/>
          <w:noProof/>
          <w:sz w:val="22"/>
          <w:lang w:eastAsia="fr-FR"/>
        </w:rPr>
        <w:tab/>
      </w:r>
      <w:r>
        <w:rPr>
          <w:noProof/>
        </w:rPr>
        <w:t>La perception.</w:t>
      </w:r>
      <w:r>
        <w:rPr>
          <w:noProof/>
        </w:rPr>
        <w:tab/>
      </w:r>
      <w:r>
        <w:rPr>
          <w:noProof/>
        </w:rPr>
        <w:fldChar w:fldCharType="begin"/>
      </w:r>
      <w:r>
        <w:rPr>
          <w:noProof/>
        </w:rPr>
        <w:instrText xml:space="preserve"> PAGEREF _Toc200825400 \h </w:instrText>
      </w:r>
      <w:r>
        <w:rPr>
          <w:noProof/>
        </w:rPr>
      </w:r>
      <w:r>
        <w:rPr>
          <w:noProof/>
        </w:rPr>
        <w:fldChar w:fldCharType="separate"/>
      </w:r>
      <w:r w:rsidR="00B55438">
        <w:rPr>
          <w:noProof/>
        </w:rPr>
        <w:t>29</w:t>
      </w:r>
      <w:r>
        <w:rPr>
          <w:noProof/>
        </w:rPr>
        <w:fldChar w:fldCharType="end"/>
      </w:r>
    </w:p>
    <w:p w14:paraId="6AA3DCE6" w14:textId="77777777" w:rsidR="001D2A20" w:rsidRDefault="001D2A20" w:rsidP="00623079">
      <w:pPr>
        <w:pStyle w:val="TM2"/>
        <w:rPr>
          <w:rFonts w:asciiTheme="minorHAnsi" w:eastAsiaTheme="minorEastAsia" w:hAnsiTheme="minorHAnsi"/>
          <w:noProof/>
          <w:sz w:val="22"/>
          <w:lang w:eastAsia="fr-FR"/>
        </w:rPr>
      </w:pPr>
      <w:r>
        <w:rPr>
          <w:noProof/>
        </w:rPr>
        <w:t>1.2</w:t>
      </w:r>
      <w:r>
        <w:rPr>
          <w:rFonts w:asciiTheme="minorHAnsi" w:eastAsiaTheme="minorEastAsia" w:hAnsiTheme="minorHAnsi"/>
          <w:noProof/>
          <w:sz w:val="22"/>
          <w:lang w:eastAsia="fr-FR"/>
        </w:rPr>
        <w:tab/>
      </w:r>
      <w:r>
        <w:rPr>
          <w:noProof/>
        </w:rPr>
        <w:t>Classification des perceptions:</w:t>
      </w:r>
      <w:r>
        <w:rPr>
          <w:noProof/>
        </w:rPr>
        <w:tab/>
      </w:r>
      <w:r>
        <w:rPr>
          <w:noProof/>
        </w:rPr>
        <w:fldChar w:fldCharType="begin"/>
      </w:r>
      <w:r>
        <w:rPr>
          <w:noProof/>
        </w:rPr>
        <w:instrText xml:space="preserve"> PAGEREF _Toc200825401 \h </w:instrText>
      </w:r>
      <w:r>
        <w:rPr>
          <w:noProof/>
        </w:rPr>
      </w:r>
      <w:r>
        <w:rPr>
          <w:noProof/>
        </w:rPr>
        <w:fldChar w:fldCharType="separate"/>
      </w:r>
      <w:r w:rsidR="00B55438">
        <w:rPr>
          <w:noProof/>
        </w:rPr>
        <w:t>30</w:t>
      </w:r>
      <w:r>
        <w:rPr>
          <w:noProof/>
        </w:rPr>
        <w:fldChar w:fldCharType="end"/>
      </w:r>
    </w:p>
    <w:p w14:paraId="2B5E640F"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1.2.1</w:t>
      </w:r>
      <w:r>
        <w:rPr>
          <w:rFonts w:asciiTheme="minorHAnsi" w:eastAsiaTheme="minorEastAsia" w:hAnsiTheme="minorHAnsi"/>
          <w:noProof/>
          <w:sz w:val="22"/>
          <w:lang w:eastAsia="fr-FR"/>
        </w:rPr>
        <w:tab/>
      </w:r>
      <w:r>
        <w:rPr>
          <w:noProof/>
        </w:rPr>
        <w:t>La perception du temps:</w:t>
      </w:r>
      <w:r>
        <w:rPr>
          <w:noProof/>
        </w:rPr>
        <w:tab/>
      </w:r>
      <w:r>
        <w:rPr>
          <w:noProof/>
        </w:rPr>
        <w:fldChar w:fldCharType="begin"/>
      </w:r>
      <w:r>
        <w:rPr>
          <w:noProof/>
        </w:rPr>
        <w:instrText xml:space="preserve"> PAGEREF _Toc200825402 \h </w:instrText>
      </w:r>
      <w:r>
        <w:rPr>
          <w:noProof/>
        </w:rPr>
      </w:r>
      <w:r>
        <w:rPr>
          <w:noProof/>
        </w:rPr>
        <w:fldChar w:fldCharType="separate"/>
      </w:r>
      <w:r w:rsidR="00B55438">
        <w:rPr>
          <w:noProof/>
        </w:rPr>
        <w:t>30</w:t>
      </w:r>
      <w:r>
        <w:rPr>
          <w:noProof/>
        </w:rPr>
        <w:fldChar w:fldCharType="end"/>
      </w:r>
    </w:p>
    <w:p w14:paraId="5F315AA1"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1.2.2</w:t>
      </w:r>
      <w:r>
        <w:rPr>
          <w:rFonts w:asciiTheme="minorHAnsi" w:eastAsiaTheme="minorEastAsia" w:hAnsiTheme="minorHAnsi"/>
          <w:noProof/>
          <w:sz w:val="22"/>
          <w:lang w:eastAsia="fr-FR"/>
        </w:rPr>
        <w:tab/>
      </w:r>
      <w:r>
        <w:rPr>
          <w:noProof/>
        </w:rPr>
        <w:t>La perception de l'espace:</w:t>
      </w:r>
      <w:r>
        <w:rPr>
          <w:noProof/>
        </w:rPr>
        <w:tab/>
      </w:r>
      <w:r>
        <w:rPr>
          <w:noProof/>
        </w:rPr>
        <w:fldChar w:fldCharType="begin"/>
      </w:r>
      <w:r>
        <w:rPr>
          <w:noProof/>
        </w:rPr>
        <w:instrText xml:space="preserve"> PAGEREF _Toc200825403 \h </w:instrText>
      </w:r>
      <w:r>
        <w:rPr>
          <w:noProof/>
        </w:rPr>
      </w:r>
      <w:r>
        <w:rPr>
          <w:noProof/>
        </w:rPr>
        <w:fldChar w:fldCharType="separate"/>
      </w:r>
      <w:r w:rsidR="00B55438">
        <w:rPr>
          <w:noProof/>
        </w:rPr>
        <w:t>30</w:t>
      </w:r>
      <w:r>
        <w:rPr>
          <w:noProof/>
        </w:rPr>
        <w:fldChar w:fldCharType="end"/>
      </w:r>
    </w:p>
    <w:p w14:paraId="036EC1C3" w14:textId="77777777" w:rsidR="001D2A20" w:rsidRDefault="001D2A20" w:rsidP="00623079">
      <w:pPr>
        <w:pStyle w:val="TM2"/>
        <w:rPr>
          <w:rFonts w:asciiTheme="minorHAnsi" w:eastAsiaTheme="minorEastAsia" w:hAnsiTheme="minorHAnsi"/>
          <w:noProof/>
          <w:sz w:val="22"/>
          <w:lang w:eastAsia="fr-FR"/>
        </w:rPr>
      </w:pPr>
      <w:r>
        <w:rPr>
          <w:noProof/>
        </w:rPr>
        <w:t>1.3</w:t>
      </w:r>
      <w:r>
        <w:rPr>
          <w:rFonts w:asciiTheme="minorHAnsi" w:eastAsiaTheme="minorEastAsia" w:hAnsiTheme="minorHAnsi"/>
          <w:noProof/>
          <w:sz w:val="22"/>
          <w:lang w:eastAsia="fr-FR"/>
        </w:rPr>
        <w:tab/>
      </w:r>
      <w:r>
        <w:rPr>
          <w:noProof/>
        </w:rPr>
        <w:t>Facteurs qui influencent la perception :</w:t>
      </w:r>
      <w:r>
        <w:rPr>
          <w:noProof/>
        </w:rPr>
        <w:tab/>
      </w:r>
      <w:r>
        <w:rPr>
          <w:noProof/>
        </w:rPr>
        <w:fldChar w:fldCharType="begin"/>
      </w:r>
      <w:r>
        <w:rPr>
          <w:noProof/>
        </w:rPr>
        <w:instrText xml:space="preserve"> PAGEREF _Toc200825404 \h </w:instrText>
      </w:r>
      <w:r>
        <w:rPr>
          <w:noProof/>
        </w:rPr>
      </w:r>
      <w:r>
        <w:rPr>
          <w:noProof/>
        </w:rPr>
        <w:fldChar w:fldCharType="separate"/>
      </w:r>
      <w:r w:rsidR="00B55438">
        <w:rPr>
          <w:noProof/>
        </w:rPr>
        <w:t>30</w:t>
      </w:r>
      <w:r>
        <w:rPr>
          <w:noProof/>
        </w:rPr>
        <w:fldChar w:fldCharType="end"/>
      </w:r>
    </w:p>
    <w:p w14:paraId="4B0BFF33" w14:textId="77777777" w:rsidR="001D2A20" w:rsidRDefault="001D2A20" w:rsidP="00623079">
      <w:pPr>
        <w:pStyle w:val="TM2"/>
        <w:rPr>
          <w:rFonts w:asciiTheme="minorHAnsi" w:eastAsiaTheme="minorEastAsia" w:hAnsiTheme="minorHAnsi"/>
          <w:noProof/>
          <w:sz w:val="22"/>
          <w:lang w:eastAsia="fr-FR"/>
        </w:rPr>
      </w:pPr>
      <w:r>
        <w:rPr>
          <w:noProof/>
        </w:rPr>
        <w:t>1.4</w:t>
      </w:r>
      <w:r>
        <w:rPr>
          <w:rFonts w:asciiTheme="minorHAnsi" w:eastAsiaTheme="minorEastAsia" w:hAnsiTheme="minorHAnsi"/>
          <w:noProof/>
          <w:sz w:val="22"/>
          <w:lang w:eastAsia="fr-FR"/>
        </w:rPr>
        <w:tab/>
      </w:r>
      <w:r>
        <w:rPr>
          <w:noProof/>
        </w:rPr>
        <w:t>Les deux modes perceptifs:</w:t>
      </w:r>
      <w:r>
        <w:rPr>
          <w:noProof/>
        </w:rPr>
        <w:tab/>
      </w:r>
      <w:r>
        <w:rPr>
          <w:noProof/>
        </w:rPr>
        <w:fldChar w:fldCharType="begin"/>
      </w:r>
      <w:r>
        <w:rPr>
          <w:noProof/>
        </w:rPr>
        <w:instrText xml:space="preserve"> PAGEREF _Toc200825405 \h </w:instrText>
      </w:r>
      <w:r>
        <w:rPr>
          <w:noProof/>
        </w:rPr>
      </w:r>
      <w:r>
        <w:rPr>
          <w:noProof/>
        </w:rPr>
        <w:fldChar w:fldCharType="separate"/>
      </w:r>
      <w:r w:rsidR="00B55438">
        <w:rPr>
          <w:noProof/>
        </w:rPr>
        <w:t>31</w:t>
      </w:r>
      <w:r>
        <w:rPr>
          <w:noProof/>
        </w:rPr>
        <w:fldChar w:fldCharType="end"/>
      </w:r>
    </w:p>
    <w:p w14:paraId="264A2B8F"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1.4.1</w:t>
      </w:r>
      <w:r>
        <w:rPr>
          <w:rFonts w:asciiTheme="minorHAnsi" w:eastAsiaTheme="minorEastAsia" w:hAnsiTheme="minorHAnsi"/>
          <w:noProof/>
          <w:sz w:val="22"/>
          <w:lang w:eastAsia="fr-FR"/>
        </w:rPr>
        <w:tab/>
      </w:r>
      <w:r>
        <w:rPr>
          <w:noProof/>
        </w:rPr>
        <w:t>Le mode structural :</w:t>
      </w:r>
      <w:r>
        <w:rPr>
          <w:noProof/>
        </w:rPr>
        <w:tab/>
      </w:r>
      <w:r>
        <w:rPr>
          <w:noProof/>
        </w:rPr>
        <w:fldChar w:fldCharType="begin"/>
      </w:r>
      <w:r>
        <w:rPr>
          <w:noProof/>
        </w:rPr>
        <w:instrText xml:space="preserve"> PAGEREF _Toc200825406 \h </w:instrText>
      </w:r>
      <w:r>
        <w:rPr>
          <w:noProof/>
        </w:rPr>
      </w:r>
      <w:r>
        <w:rPr>
          <w:noProof/>
        </w:rPr>
        <w:fldChar w:fldCharType="separate"/>
      </w:r>
      <w:r w:rsidR="00B55438">
        <w:rPr>
          <w:noProof/>
        </w:rPr>
        <w:t>31</w:t>
      </w:r>
      <w:r>
        <w:rPr>
          <w:noProof/>
        </w:rPr>
        <w:fldChar w:fldCharType="end"/>
      </w:r>
    </w:p>
    <w:p w14:paraId="0675D33C"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1.4.2</w:t>
      </w:r>
      <w:r>
        <w:rPr>
          <w:rFonts w:asciiTheme="minorHAnsi" w:eastAsiaTheme="minorEastAsia" w:hAnsiTheme="minorHAnsi"/>
          <w:noProof/>
          <w:sz w:val="22"/>
          <w:lang w:eastAsia="fr-FR"/>
        </w:rPr>
        <w:tab/>
      </w:r>
      <w:r>
        <w:rPr>
          <w:noProof/>
        </w:rPr>
        <w:t>Le mode conceptuel :</w:t>
      </w:r>
      <w:r>
        <w:rPr>
          <w:noProof/>
        </w:rPr>
        <w:tab/>
      </w:r>
      <w:r>
        <w:rPr>
          <w:noProof/>
        </w:rPr>
        <w:fldChar w:fldCharType="begin"/>
      </w:r>
      <w:r>
        <w:rPr>
          <w:noProof/>
        </w:rPr>
        <w:instrText xml:space="preserve"> PAGEREF _Toc200825407 \h </w:instrText>
      </w:r>
      <w:r>
        <w:rPr>
          <w:noProof/>
        </w:rPr>
      </w:r>
      <w:r>
        <w:rPr>
          <w:noProof/>
        </w:rPr>
        <w:fldChar w:fldCharType="separate"/>
      </w:r>
      <w:r w:rsidR="00B55438">
        <w:rPr>
          <w:noProof/>
        </w:rPr>
        <w:t>31</w:t>
      </w:r>
      <w:r>
        <w:rPr>
          <w:noProof/>
        </w:rPr>
        <w:fldChar w:fldCharType="end"/>
      </w:r>
    </w:p>
    <w:p w14:paraId="713566CE" w14:textId="77777777" w:rsidR="001D2A20" w:rsidRDefault="001D2A20" w:rsidP="00623079">
      <w:pPr>
        <w:pStyle w:val="TM2"/>
        <w:rPr>
          <w:rFonts w:asciiTheme="minorHAnsi" w:eastAsiaTheme="minorEastAsia" w:hAnsiTheme="minorHAnsi"/>
          <w:noProof/>
          <w:sz w:val="22"/>
          <w:lang w:eastAsia="fr-FR"/>
        </w:rPr>
      </w:pPr>
      <w:r>
        <w:rPr>
          <w:noProof/>
        </w:rPr>
        <w:lastRenderedPageBreak/>
        <w:t>1.5</w:t>
      </w:r>
      <w:r>
        <w:rPr>
          <w:rFonts w:asciiTheme="minorHAnsi" w:eastAsiaTheme="minorEastAsia" w:hAnsiTheme="minorHAnsi"/>
          <w:noProof/>
          <w:sz w:val="22"/>
          <w:lang w:eastAsia="fr-FR"/>
        </w:rPr>
        <w:tab/>
      </w:r>
      <w:r>
        <w:rPr>
          <w:noProof/>
        </w:rPr>
        <w:t>Théories de la perception :</w:t>
      </w:r>
      <w:r>
        <w:rPr>
          <w:noProof/>
        </w:rPr>
        <w:tab/>
      </w:r>
      <w:r>
        <w:rPr>
          <w:noProof/>
        </w:rPr>
        <w:fldChar w:fldCharType="begin"/>
      </w:r>
      <w:r>
        <w:rPr>
          <w:noProof/>
        </w:rPr>
        <w:instrText xml:space="preserve"> PAGEREF _Toc200825408 \h </w:instrText>
      </w:r>
      <w:r>
        <w:rPr>
          <w:noProof/>
        </w:rPr>
      </w:r>
      <w:r>
        <w:rPr>
          <w:noProof/>
        </w:rPr>
        <w:fldChar w:fldCharType="separate"/>
      </w:r>
      <w:r w:rsidR="00B55438">
        <w:rPr>
          <w:noProof/>
        </w:rPr>
        <w:t>32</w:t>
      </w:r>
      <w:r>
        <w:rPr>
          <w:noProof/>
        </w:rPr>
        <w:fldChar w:fldCharType="end"/>
      </w:r>
    </w:p>
    <w:p w14:paraId="28B5EE04"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1.5.1</w:t>
      </w:r>
      <w:r>
        <w:rPr>
          <w:rFonts w:asciiTheme="minorHAnsi" w:eastAsiaTheme="minorEastAsia" w:hAnsiTheme="minorHAnsi"/>
          <w:noProof/>
          <w:sz w:val="22"/>
          <w:lang w:eastAsia="fr-FR"/>
        </w:rPr>
        <w:tab/>
      </w:r>
      <w:r>
        <w:rPr>
          <w:noProof/>
        </w:rPr>
        <w:t>La théorie de la Gestalt ou théorie de la forme :</w:t>
      </w:r>
      <w:r>
        <w:rPr>
          <w:noProof/>
        </w:rPr>
        <w:tab/>
      </w:r>
      <w:r>
        <w:rPr>
          <w:noProof/>
        </w:rPr>
        <w:fldChar w:fldCharType="begin"/>
      </w:r>
      <w:r>
        <w:rPr>
          <w:noProof/>
        </w:rPr>
        <w:instrText xml:space="preserve"> PAGEREF _Toc200825409 \h </w:instrText>
      </w:r>
      <w:r>
        <w:rPr>
          <w:noProof/>
        </w:rPr>
      </w:r>
      <w:r>
        <w:rPr>
          <w:noProof/>
        </w:rPr>
        <w:fldChar w:fldCharType="separate"/>
      </w:r>
      <w:r w:rsidR="00B55438">
        <w:rPr>
          <w:noProof/>
        </w:rPr>
        <w:t>32</w:t>
      </w:r>
      <w:r>
        <w:rPr>
          <w:noProof/>
        </w:rPr>
        <w:fldChar w:fldCharType="end"/>
      </w:r>
    </w:p>
    <w:p w14:paraId="6678C89F"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1.5.2</w:t>
      </w:r>
      <w:r>
        <w:rPr>
          <w:rFonts w:asciiTheme="minorHAnsi" w:eastAsiaTheme="minorEastAsia" w:hAnsiTheme="minorHAnsi"/>
          <w:noProof/>
          <w:sz w:val="22"/>
          <w:lang w:eastAsia="fr-FR"/>
        </w:rPr>
        <w:tab/>
      </w:r>
      <w:r>
        <w:rPr>
          <w:noProof/>
        </w:rPr>
        <w:t>La théorie de J Piaget:</w:t>
      </w:r>
      <w:r>
        <w:rPr>
          <w:noProof/>
        </w:rPr>
        <w:tab/>
      </w:r>
      <w:r>
        <w:rPr>
          <w:noProof/>
        </w:rPr>
        <w:fldChar w:fldCharType="begin"/>
      </w:r>
      <w:r>
        <w:rPr>
          <w:noProof/>
        </w:rPr>
        <w:instrText xml:space="preserve"> PAGEREF _Toc200825410 \h </w:instrText>
      </w:r>
      <w:r>
        <w:rPr>
          <w:noProof/>
        </w:rPr>
      </w:r>
      <w:r>
        <w:rPr>
          <w:noProof/>
        </w:rPr>
        <w:fldChar w:fldCharType="separate"/>
      </w:r>
      <w:r w:rsidR="00B55438">
        <w:rPr>
          <w:noProof/>
        </w:rPr>
        <w:t>33</w:t>
      </w:r>
      <w:r>
        <w:rPr>
          <w:noProof/>
        </w:rPr>
        <w:fldChar w:fldCharType="end"/>
      </w:r>
    </w:p>
    <w:p w14:paraId="42B56C4E"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1.5.3</w:t>
      </w:r>
      <w:r>
        <w:rPr>
          <w:rFonts w:asciiTheme="minorHAnsi" w:eastAsiaTheme="minorEastAsia" w:hAnsiTheme="minorHAnsi"/>
          <w:noProof/>
          <w:sz w:val="22"/>
          <w:lang w:eastAsia="fr-FR"/>
        </w:rPr>
        <w:tab/>
      </w:r>
      <w:r>
        <w:rPr>
          <w:noProof/>
        </w:rPr>
        <w:t>La théorie de JJ Gibson:</w:t>
      </w:r>
      <w:r>
        <w:rPr>
          <w:noProof/>
        </w:rPr>
        <w:tab/>
      </w:r>
      <w:r>
        <w:rPr>
          <w:noProof/>
        </w:rPr>
        <w:fldChar w:fldCharType="begin"/>
      </w:r>
      <w:r>
        <w:rPr>
          <w:noProof/>
        </w:rPr>
        <w:instrText xml:space="preserve"> PAGEREF _Toc200825411 \h </w:instrText>
      </w:r>
      <w:r>
        <w:rPr>
          <w:noProof/>
        </w:rPr>
      </w:r>
      <w:r>
        <w:rPr>
          <w:noProof/>
        </w:rPr>
        <w:fldChar w:fldCharType="separate"/>
      </w:r>
      <w:r w:rsidR="00B55438">
        <w:rPr>
          <w:noProof/>
        </w:rPr>
        <w:t>33</w:t>
      </w:r>
      <w:r>
        <w:rPr>
          <w:noProof/>
        </w:rPr>
        <w:fldChar w:fldCharType="end"/>
      </w:r>
    </w:p>
    <w:p w14:paraId="4508BF6E"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1.5.4</w:t>
      </w:r>
      <w:r>
        <w:rPr>
          <w:rFonts w:asciiTheme="minorHAnsi" w:eastAsiaTheme="minorEastAsia" w:hAnsiTheme="minorHAnsi"/>
          <w:noProof/>
          <w:sz w:val="22"/>
          <w:lang w:eastAsia="fr-FR"/>
        </w:rPr>
        <w:tab/>
      </w:r>
      <w:r>
        <w:rPr>
          <w:noProof/>
        </w:rPr>
        <w:t>La théorie de J.S Bruner:</w:t>
      </w:r>
      <w:r>
        <w:rPr>
          <w:noProof/>
        </w:rPr>
        <w:tab/>
      </w:r>
      <w:r>
        <w:rPr>
          <w:noProof/>
        </w:rPr>
        <w:fldChar w:fldCharType="begin"/>
      </w:r>
      <w:r>
        <w:rPr>
          <w:noProof/>
        </w:rPr>
        <w:instrText xml:space="preserve"> PAGEREF _Toc200825412 \h </w:instrText>
      </w:r>
      <w:r>
        <w:rPr>
          <w:noProof/>
        </w:rPr>
      </w:r>
      <w:r>
        <w:rPr>
          <w:noProof/>
        </w:rPr>
        <w:fldChar w:fldCharType="separate"/>
      </w:r>
      <w:r w:rsidR="00B55438">
        <w:rPr>
          <w:noProof/>
        </w:rPr>
        <w:t>34</w:t>
      </w:r>
      <w:r>
        <w:rPr>
          <w:noProof/>
        </w:rPr>
        <w:fldChar w:fldCharType="end"/>
      </w:r>
    </w:p>
    <w:p w14:paraId="7BA4C9A8"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1.5.5</w:t>
      </w:r>
      <w:r>
        <w:rPr>
          <w:rFonts w:asciiTheme="minorHAnsi" w:eastAsiaTheme="minorEastAsia" w:hAnsiTheme="minorHAnsi"/>
          <w:noProof/>
          <w:sz w:val="22"/>
          <w:lang w:eastAsia="fr-FR"/>
        </w:rPr>
        <w:tab/>
      </w:r>
      <w:r>
        <w:rPr>
          <w:noProof/>
        </w:rPr>
        <w:t>La théorie des ambiances :</w:t>
      </w:r>
      <w:r>
        <w:rPr>
          <w:noProof/>
        </w:rPr>
        <w:tab/>
      </w:r>
      <w:r>
        <w:rPr>
          <w:noProof/>
        </w:rPr>
        <w:fldChar w:fldCharType="begin"/>
      </w:r>
      <w:r>
        <w:rPr>
          <w:noProof/>
        </w:rPr>
        <w:instrText xml:space="preserve"> PAGEREF _Toc200825413 \h </w:instrText>
      </w:r>
      <w:r>
        <w:rPr>
          <w:noProof/>
        </w:rPr>
      </w:r>
      <w:r>
        <w:rPr>
          <w:noProof/>
        </w:rPr>
        <w:fldChar w:fldCharType="separate"/>
      </w:r>
      <w:r w:rsidR="00B55438">
        <w:rPr>
          <w:noProof/>
        </w:rPr>
        <w:t>34</w:t>
      </w:r>
      <w:r>
        <w:rPr>
          <w:noProof/>
        </w:rPr>
        <w:fldChar w:fldCharType="end"/>
      </w:r>
    </w:p>
    <w:p w14:paraId="7BD9250B" w14:textId="77777777" w:rsidR="001D2A20" w:rsidRDefault="001D2A20" w:rsidP="00350FA5">
      <w:pPr>
        <w:pStyle w:val="TM1"/>
        <w:rPr>
          <w:rFonts w:asciiTheme="minorHAnsi" w:eastAsiaTheme="minorEastAsia" w:hAnsiTheme="minorHAnsi"/>
          <w:noProof/>
          <w:sz w:val="22"/>
          <w:lang w:eastAsia="fr-FR"/>
        </w:rPr>
      </w:pPr>
      <w:r>
        <w:rPr>
          <w:noProof/>
        </w:rPr>
        <w:t>2</w:t>
      </w:r>
      <w:r>
        <w:rPr>
          <w:rFonts w:asciiTheme="minorHAnsi" w:eastAsiaTheme="minorEastAsia" w:hAnsiTheme="minorHAnsi"/>
          <w:noProof/>
          <w:sz w:val="22"/>
          <w:lang w:eastAsia="fr-FR"/>
        </w:rPr>
        <w:tab/>
      </w:r>
      <w:r>
        <w:rPr>
          <w:noProof/>
        </w:rPr>
        <w:t>La perception et l'image de la marque.</w:t>
      </w:r>
      <w:r>
        <w:rPr>
          <w:noProof/>
        </w:rPr>
        <w:tab/>
      </w:r>
      <w:r>
        <w:rPr>
          <w:noProof/>
        </w:rPr>
        <w:fldChar w:fldCharType="begin"/>
      </w:r>
      <w:r>
        <w:rPr>
          <w:noProof/>
        </w:rPr>
        <w:instrText xml:space="preserve"> PAGEREF _Toc200825414 \h </w:instrText>
      </w:r>
      <w:r>
        <w:rPr>
          <w:noProof/>
        </w:rPr>
      </w:r>
      <w:r>
        <w:rPr>
          <w:noProof/>
        </w:rPr>
        <w:fldChar w:fldCharType="separate"/>
      </w:r>
      <w:r w:rsidR="00B55438">
        <w:rPr>
          <w:noProof/>
        </w:rPr>
        <w:t>34</w:t>
      </w:r>
      <w:r>
        <w:rPr>
          <w:noProof/>
        </w:rPr>
        <w:fldChar w:fldCharType="end"/>
      </w:r>
    </w:p>
    <w:p w14:paraId="546F104E" w14:textId="77777777" w:rsidR="001D2A20" w:rsidRDefault="001D2A20" w:rsidP="00623079">
      <w:pPr>
        <w:pStyle w:val="TM2"/>
        <w:rPr>
          <w:rFonts w:asciiTheme="minorHAnsi" w:eastAsiaTheme="minorEastAsia" w:hAnsiTheme="minorHAnsi"/>
          <w:noProof/>
          <w:sz w:val="22"/>
          <w:lang w:eastAsia="fr-FR"/>
        </w:rPr>
      </w:pPr>
      <w:r>
        <w:rPr>
          <w:noProof/>
        </w:rPr>
        <w:t>2.1</w:t>
      </w:r>
      <w:r>
        <w:rPr>
          <w:rFonts w:asciiTheme="minorHAnsi" w:eastAsiaTheme="minorEastAsia" w:hAnsiTheme="minorHAnsi"/>
          <w:noProof/>
          <w:sz w:val="22"/>
          <w:lang w:eastAsia="fr-FR"/>
        </w:rPr>
        <w:tab/>
      </w:r>
      <w:r>
        <w:rPr>
          <w:noProof/>
        </w:rPr>
        <w:t>Définitions de l'image de marque</w:t>
      </w:r>
      <w:r>
        <w:rPr>
          <w:noProof/>
        </w:rPr>
        <w:tab/>
      </w:r>
      <w:r>
        <w:rPr>
          <w:noProof/>
        </w:rPr>
        <w:fldChar w:fldCharType="begin"/>
      </w:r>
      <w:r>
        <w:rPr>
          <w:noProof/>
        </w:rPr>
        <w:instrText xml:space="preserve"> PAGEREF _Toc200825415 \h </w:instrText>
      </w:r>
      <w:r>
        <w:rPr>
          <w:noProof/>
        </w:rPr>
      </w:r>
      <w:r>
        <w:rPr>
          <w:noProof/>
        </w:rPr>
        <w:fldChar w:fldCharType="separate"/>
      </w:r>
      <w:r w:rsidR="00B55438">
        <w:rPr>
          <w:noProof/>
        </w:rPr>
        <w:t>34</w:t>
      </w:r>
      <w:r>
        <w:rPr>
          <w:noProof/>
        </w:rPr>
        <w:fldChar w:fldCharType="end"/>
      </w:r>
    </w:p>
    <w:p w14:paraId="43D15D2C" w14:textId="77777777" w:rsidR="001D2A20" w:rsidRDefault="001D2A20" w:rsidP="00623079">
      <w:pPr>
        <w:pStyle w:val="TM2"/>
        <w:rPr>
          <w:rFonts w:asciiTheme="minorHAnsi" w:eastAsiaTheme="minorEastAsia" w:hAnsiTheme="minorHAnsi"/>
          <w:noProof/>
          <w:sz w:val="22"/>
          <w:lang w:eastAsia="fr-FR"/>
        </w:rPr>
      </w:pPr>
      <w:r>
        <w:rPr>
          <w:noProof/>
        </w:rPr>
        <w:t>2.2</w:t>
      </w:r>
      <w:r>
        <w:rPr>
          <w:rFonts w:asciiTheme="minorHAnsi" w:eastAsiaTheme="minorEastAsia" w:hAnsiTheme="minorHAnsi"/>
          <w:noProof/>
          <w:sz w:val="22"/>
          <w:lang w:eastAsia="fr-FR"/>
        </w:rPr>
        <w:tab/>
      </w:r>
      <w:r>
        <w:rPr>
          <w:noProof/>
        </w:rPr>
        <w:t>L'évolution de l'image de marque</w:t>
      </w:r>
      <w:r>
        <w:rPr>
          <w:noProof/>
        </w:rPr>
        <w:tab/>
      </w:r>
      <w:r>
        <w:rPr>
          <w:noProof/>
        </w:rPr>
        <w:fldChar w:fldCharType="begin"/>
      </w:r>
      <w:r>
        <w:rPr>
          <w:noProof/>
        </w:rPr>
        <w:instrText xml:space="preserve"> PAGEREF _Toc200825416 \h </w:instrText>
      </w:r>
      <w:r>
        <w:rPr>
          <w:noProof/>
        </w:rPr>
      </w:r>
      <w:r>
        <w:rPr>
          <w:noProof/>
        </w:rPr>
        <w:fldChar w:fldCharType="separate"/>
      </w:r>
      <w:r w:rsidR="00B55438">
        <w:rPr>
          <w:noProof/>
        </w:rPr>
        <w:t>36</w:t>
      </w:r>
      <w:r>
        <w:rPr>
          <w:noProof/>
        </w:rPr>
        <w:fldChar w:fldCharType="end"/>
      </w:r>
    </w:p>
    <w:p w14:paraId="51F03CD8" w14:textId="77777777" w:rsidR="001D2A20" w:rsidRDefault="001D2A20" w:rsidP="00623079">
      <w:pPr>
        <w:pStyle w:val="TM2"/>
        <w:rPr>
          <w:rFonts w:asciiTheme="minorHAnsi" w:eastAsiaTheme="minorEastAsia" w:hAnsiTheme="minorHAnsi"/>
          <w:noProof/>
          <w:sz w:val="22"/>
          <w:lang w:eastAsia="fr-FR"/>
        </w:rPr>
      </w:pPr>
      <w:r>
        <w:rPr>
          <w:noProof/>
        </w:rPr>
        <w:t>2.3</w:t>
      </w:r>
      <w:r>
        <w:rPr>
          <w:rFonts w:asciiTheme="minorHAnsi" w:eastAsiaTheme="minorEastAsia" w:hAnsiTheme="minorHAnsi"/>
          <w:noProof/>
          <w:sz w:val="22"/>
          <w:lang w:eastAsia="fr-FR"/>
        </w:rPr>
        <w:tab/>
      </w:r>
      <w:r>
        <w:rPr>
          <w:noProof/>
        </w:rPr>
        <w:t>L'influence de l'image de marque</w:t>
      </w:r>
      <w:r>
        <w:rPr>
          <w:noProof/>
        </w:rPr>
        <w:tab/>
      </w:r>
      <w:r>
        <w:rPr>
          <w:noProof/>
        </w:rPr>
        <w:fldChar w:fldCharType="begin"/>
      </w:r>
      <w:r>
        <w:rPr>
          <w:noProof/>
        </w:rPr>
        <w:instrText xml:space="preserve"> PAGEREF _Toc200825417 \h </w:instrText>
      </w:r>
      <w:r>
        <w:rPr>
          <w:noProof/>
        </w:rPr>
      </w:r>
      <w:r>
        <w:rPr>
          <w:noProof/>
        </w:rPr>
        <w:fldChar w:fldCharType="separate"/>
      </w:r>
      <w:r w:rsidR="00B55438">
        <w:rPr>
          <w:noProof/>
        </w:rPr>
        <w:t>37</w:t>
      </w:r>
      <w:r>
        <w:rPr>
          <w:noProof/>
        </w:rPr>
        <w:fldChar w:fldCharType="end"/>
      </w:r>
    </w:p>
    <w:p w14:paraId="085B1ED6" w14:textId="77777777" w:rsidR="001D2A20" w:rsidRDefault="001D2A20" w:rsidP="00623079">
      <w:pPr>
        <w:pStyle w:val="TM2"/>
        <w:rPr>
          <w:rFonts w:asciiTheme="minorHAnsi" w:eastAsiaTheme="minorEastAsia" w:hAnsiTheme="minorHAnsi"/>
          <w:noProof/>
          <w:sz w:val="22"/>
          <w:lang w:eastAsia="fr-FR"/>
        </w:rPr>
      </w:pPr>
      <w:r>
        <w:rPr>
          <w:noProof/>
        </w:rPr>
        <w:t>2.4</w:t>
      </w:r>
      <w:r>
        <w:rPr>
          <w:rFonts w:asciiTheme="minorHAnsi" w:eastAsiaTheme="minorEastAsia" w:hAnsiTheme="minorHAnsi"/>
          <w:noProof/>
          <w:sz w:val="22"/>
          <w:lang w:eastAsia="fr-FR"/>
        </w:rPr>
        <w:tab/>
      </w:r>
      <w:r>
        <w:rPr>
          <w:noProof/>
        </w:rPr>
        <w:t>Les facteurs-clés de succès de l'image de marque</w:t>
      </w:r>
      <w:r>
        <w:rPr>
          <w:noProof/>
        </w:rPr>
        <w:tab/>
      </w:r>
      <w:r>
        <w:rPr>
          <w:noProof/>
        </w:rPr>
        <w:fldChar w:fldCharType="begin"/>
      </w:r>
      <w:r>
        <w:rPr>
          <w:noProof/>
        </w:rPr>
        <w:instrText xml:space="preserve"> PAGEREF _Toc200825418 \h </w:instrText>
      </w:r>
      <w:r>
        <w:rPr>
          <w:noProof/>
        </w:rPr>
      </w:r>
      <w:r>
        <w:rPr>
          <w:noProof/>
        </w:rPr>
        <w:fldChar w:fldCharType="separate"/>
      </w:r>
      <w:r w:rsidR="00B55438">
        <w:rPr>
          <w:noProof/>
        </w:rPr>
        <w:t>39</w:t>
      </w:r>
      <w:r>
        <w:rPr>
          <w:noProof/>
        </w:rPr>
        <w:fldChar w:fldCharType="end"/>
      </w:r>
    </w:p>
    <w:p w14:paraId="2ABAAE97" w14:textId="77777777" w:rsidR="001D2A20" w:rsidRDefault="001D2A20" w:rsidP="00623079">
      <w:pPr>
        <w:pStyle w:val="TM2"/>
        <w:rPr>
          <w:rFonts w:asciiTheme="minorHAnsi" w:eastAsiaTheme="minorEastAsia" w:hAnsiTheme="minorHAnsi"/>
          <w:noProof/>
          <w:sz w:val="22"/>
          <w:lang w:eastAsia="fr-FR"/>
        </w:rPr>
      </w:pPr>
      <w:r>
        <w:rPr>
          <w:noProof/>
        </w:rPr>
        <w:t>2.5</w:t>
      </w:r>
      <w:r>
        <w:rPr>
          <w:rFonts w:asciiTheme="minorHAnsi" w:eastAsiaTheme="minorEastAsia" w:hAnsiTheme="minorHAnsi"/>
          <w:noProof/>
          <w:sz w:val="22"/>
          <w:lang w:eastAsia="fr-FR"/>
        </w:rPr>
        <w:tab/>
      </w:r>
      <w:r>
        <w:rPr>
          <w:noProof/>
        </w:rPr>
        <w:t>La perception et l'image de la marque.</w:t>
      </w:r>
      <w:r>
        <w:rPr>
          <w:noProof/>
        </w:rPr>
        <w:tab/>
      </w:r>
      <w:r>
        <w:rPr>
          <w:noProof/>
        </w:rPr>
        <w:fldChar w:fldCharType="begin"/>
      </w:r>
      <w:r>
        <w:rPr>
          <w:noProof/>
        </w:rPr>
        <w:instrText xml:space="preserve"> PAGEREF _Toc200825419 \h </w:instrText>
      </w:r>
      <w:r>
        <w:rPr>
          <w:noProof/>
        </w:rPr>
      </w:r>
      <w:r>
        <w:rPr>
          <w:noProof/>
        </w:rPr>
        <w:fldChar w:fldCharType="separate"/>
      </w:r>
      <w:r w:rsidR="00B55438">
        <w:rPr>
          <w:noProof/>
        </w:rPr>
        <w:t>40</w:t>
      </w:r>
      <w:r>
        <w:rPr>
          <w:noProof/>
        </w:rPr>
        <w:fldChar w:fldCharType="end"/>
      </w:r>
    </w:p>
    <w:p w14:paraId="56C8AF32"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2.5.1</w:t>
      </w:r>
      <w:r>
        <w:rPr>
          <w:rFonts w:asciiTheme="minorHAnsi" w:eastAsiaTheme="minorEastAsia" w:hAnsiTheme="minorHAnsi"/>
          <w:noProof/>
          <w:sz w:val="22"/>
          <w:lang w:eastAsia="fr-FR"/>
        </w:rPr>
        <w:tab/>
      </w:r>
      <w:r>
        <w:rPr>
          <w:noProof/>
        </w:rPr>
        <w:t>La Communication Marketing</w:t>
      </w:r>
      <w:r>
        <w:rPr>
          <w:noProof/>
        </w:rPr>
        <w:tab/>
      </w:r>
      <w:r>
        <w:rPr>
          <w:noProof/>
        </w:rPr>
        <w:fldChar w:fldCharType="begin"/>
      </w:r>
      <w:r>
        <w:rPr>
          <w:noProof/>
        </w:rPr>
        <w:instrText xml:space="preserve"> PAGEREF _Toc200825420 \h </w:instrText>
      </w:r>
      <w:r>
        <w:rPr>
          <w:noProof/>
        </w:rPr>
      </w:r>
      <w:r>
        <w:rPr>
          <w:noProof/>
        </w:rPr>
        <w:fldChar w:fldCharType="separate"/>
      </w:r>
      <w:r w:rsidR="00B55438">
        <w:rPr>
          <w:noProof/>
        </w:rPr>
        <w:t>40</w:t>
      </w:r>
      <w:r>
        <w:rPr>
          <w:noProof/>
        </w:rPr>
        <w:fldChar w:fldCharType="end"/>
      </w:r>
    </w:p>
    <w:p w14:paraId="6BF5F0EC"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2.5.2</w:t>
      </w:r>
      <w:r>
        <w:rPr>
          <w:rFonts w:asciiTheme="minorHAnsi" w:eastAsiaTheme="minorEastAsia" w:hAnsiTheme="minorHAnsi"/>
          <w:noProof/>
          <w:sz w:val="22"/>
          <w:lang w:eastAsia="fr-FR"/>
        </w:rPr>
        <w:tab/>
      </w:r>
      <w:r>
        <w:rPr>
          <w:noProof/>
        </w:rPr>
        <w:t>L’Expérience Client</w:t>
      </w:r>
      <w:r>
        <w:rPr>
          <w:noProof/>
        </w:rPr>
        <w:tab/>
      </w:r>
      <w:r>
        <w:rPr>
          <w:noProof/>
        </w:rPr>
        <w:fldChar w:fldCharType="begin"/>
      </w:r>
      <w:r>
        <w:rPr>
          <w:noProof/>
        </w:rPr>
        <w:instrText xml:space="preserve"> PAGEREF _Toc200825421 \h </w:instrText>
      </w:r>
      <w:r>
        <w:rPr>
          <w:noProof/>
        </w:rPr>
      </w:r>
      <w:r>
        <w:rPr>
          <w:noProof/>
        </w:rPr>
        <w:fldChar w:fldCharType="separate"/>
      </w:r>
      <w:r w:rsidR="00B55438">
        <w:rPr>
          <w:noProof/>
        </w:rPr>
        <w:t>41</w:t>
      </w:r>
      <w:r>
        <w:rPr>
          <w:noProof/>
        </w:rPr>
        <w:fldChar w:fldCharType="end"/>
      </w:r>
    </w:p>
    <w:p w14:paraId="55286CD1"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2.5.3</w:t>
      </w:r>
      <w:r>
        <w:rPr>
          <w:rFonts w:asciiTheme="minorHAnsi" w:eastAsiaTheme="minorEastAsia" w:hAnsiTheme="minorHAnsi"/>
          <w:noProof/>
          <w:sz w:val="22"/>
          <w:lang w:eastAsia="fr-FR"/>
        </w:rPr>
        <w:tab/>
      </w:r>
      <w:r>
        <w:rPr>
          <w:noProof/>
        </w:rPr>
        <w:t>La Réputation et la Notoriété de la Marque</w:t>
      </w:r>
      <w:r>
        <w:rPr>
          <w:noProof/>
        </w:rPr>
        <w:tab/>
      </w:r>
      <w:r>
        <w:rPr>
          <w:noProof/>
        </w:rPr>
        <w:fldChar w:fldCharType="begin"/>
      </w:r>
      <w:r>
        <w:rPr>
          <w:noProof/>
        </w:rPr>
        <w:instrText xml:space="preserve"> PAGEREF _Toc200825422 \h </w:instrText>
      </w:r>
      <w:r>
        <w:rPr>
          <w:noProof/>
        </w:rPr>
      </w:r>
      <w:r>
        <w:rPr>
          <w:noProof/>
        </w:rPr>
        <w:fldChar w:fldCharType="separate"/>
      </w:r>
      <w:r w:rsidR="00B55438">
        <w:rPr>
          <w:noProof/>
        </w:rPr>
        <w:t>41</w:t>
      </w:r>
      <w:r>
        <w:rPr>
          <w:noProof/>
        </w:rPr>
        <w:fldChar w:fldCharType="end"/>
      </w:r>
    </w:p>
    <w:p w14:paraId="0AE37B1A" w14:textId="77777777" w:rsidR="001D2A20" w:rsidRDefault="001D2A20" w:rsidP="00350FA5">
      <w:pPr>
        <w:pStyle w:val="TM1"/>
        <w:rPr>
          <w:rFonts w:asciiTheme="minorHAnsi" w:eastAsiaTheme="minorEastAsia" w:hAnsiTheme="minorHAnsi"/>
          <w:noProof/>
          <w:sz w:val="22"/>
          <w:lang w:eastAsia="fr-FR"/>
        </w:rPr>
      </w:pPr>
      <w:r>
        <w:rPr>
          <w:noProof/>
        </w:rPr>
        <w:t>3</w:t>
      </w:r>
      <w:r>
        <w:rPr>
          <w:rFonts w:asciiTheme="minorHAnsi" w:eastAsiaTheme="minorEastAsia" w:hAnsiTheme="minorHAnsi"/>
          <w:noProof/>
          <w:sz w:val="22"/>
          <w:lang w:eastAsia="fr-FR"/>
        </w:rPr>
        <w:tab/>
      </w:r>
      <w:r>
        <w:rPr>
          <w:noProof/>
        </w:rPr>
        <w:t>L’impact la perception du greenwashing</w:t>
      </w:r>
      <w:r>
        <w:rPr>
          <w:noProof/>
        </w:rPr>
        <w:tab/>
      </w:r>
      <w:r>
        <w:rPr>
          <w:noProof/>
        </w:rPr>
        <w:fldChar w:fldCharType="begin"/>
      </w:r>
      <w:r>
        <w:rPr>
          <w:noProof/>
        </w:rPr>
        <w:instrText xml:space="preserve"> PAGEREF _Toc200825423 \h </w:instrText>
      </w:r>
      <w:r>
        <w:rPr>
          <w:noProof/>
        </w:rPr>
      </w:r>
      <w:r>
        <w:rPr>
          <w:noProof/>
        </w:rPr>
        <w:fldChar w:fldCharType="separate"/>
      </w:r>
      <w:r w:rsidR="00B55438">
        <w:rPr>
          <w:noProof/>
        </w:rPr>
        <w:t>41</w:t>
      </w:r>
      <w:r>
        <w:rPr>
          <w:noProof/>
        </w:rPr>
        <w:fldChar w:fldCharType="end"/>
      </w:r>
    </w:p>
    <w:p w14:paraId="53F63A82" w14:textId="77777777" w:rsidR="001D2A20" w:rsidRDefault="001D2A20" w:rsidP="00623079">
      <w:pPr>
        <w:pStyle w:val="TM2"/>
        <w:rPr>
          <w:rFonts w:asciiTheme="minorHAnsi" w:eastAsiaTheme="minorEastAsia" w:hAnsiTheme="minorHAnsi"/>
          <w:noProof/>
          <w:sz w:val="22"/>
          <w:lang w:eastAsia="fr-FR"/>
        </w:rPr>
      </w:pPr>
      <w:r>
        <w:rPr>
          <w:noProof/>
        </w:rPr>
        <w:t>3.1</w:t>
      </w:r>
      <w:r>
        <w:rPr>
          <w:rFonts w:asciiTheme="minorHAnsi" w:eastAsiaTheme="minorEastAsia" w:hAnsiTheme="minorHAnsi"/>
          <w:noProof/>
          <w:sz w:val="22"/>
          <w:lang w:eastAsia="fr-FR"/>
        </w:rPr>
        <w:tab/>
      </w:r>
      <w:r>
        <w:rPr>
          <w:noProof/>
        </w:rPr>
        <w:t>Impacts sur l'image de marque</w:t>
      </w:r>
      <w:r>
        <w:rPr>
          <w:noProof/>
        </w:rPr>
        <w:tab/>
      </w:r>
      <w:r>
        <w:rPr>
          <w:noProof/>
        </w:rPr>
        <w:fldChar w:fldCharType="begin"/>
      </w:r>
      <w:r>
        <w:rPr>
          <w:noProof/>
        </w:rPr>
        <w:instrText xml:space="preserve"> PAGEREF _Toc200825424 \h </w:instrText>
      </w:r>
      <w:r>
        <w:rPr>
          <w:noProof/>
        </w:rPr>
      </w:r>
      <w:r>
        <w:rPr>
          <w:noProof/>
        </w:rPr>
        <w:fldChar w:fldCharType="separate"/>
      </w:r>
      <w:r w:rsidR="00B55438">
        <w:rPr>
          <w:noProof/>
        </w:rPr>
        <w:t>42</w:t>
      </w:r>
      <w:r>
        <w:rPr>
          <w:noProof/>
        </w:rPr>
        <w:fldChar w:fldCharType="end"/>
      </w:r>
    </w:p>
    <w:p w14:paraId="282F718F"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3.1.1</w:t>
      </w:r>
      <w:r>
        <w:rPr>
          <w:rFonts w:asciiTheme="minorHAnsi" w:eastAsiaTheme="minorEastAsia" w:hAnsiTheme="minorHAnsi"/>
          <w:noProof/>
          <w:sz w:val="22"/>
          <w:lang w:eastAsia="fr-FR"/>
        </w:rPr>
        <w:tab/>
      </w:r>
      <w:r>
        <w:rPr>
          <w:noProof/>
        </w:rPr>
        <w:t>Érosion de la confiance et crédibilité affaiblie</w:t>
      </w:r>
      <w:r>
        <w:rPr>
          <w:noProof/>
        </w:rPr>
        <w:tab/>
      </w:r>
      <w:r>
        <w:rPr>
          <w:noProof/>
        </w:rPr>
        <w:fldChar w:fldCharType="begin"/>
      </w:r>
      <w:r>
        <w:rPr>
          <w:noProof/>
        </w:rPr>
        <w:instrText xml:space="preserve"> PAGEREF _Toc200825425 \h </w:instrText>
      </w:r>
      <w:r>
        <w:rPr>
          <w:noProof/>
        </w:rPr>
      </w:r>
      <w:r>
        <w:rPr>
          <w:noProof/>
        </w:rPr>
        <w:fldChar w:fldCharType="separate"/>
      </w:r>
      <w:r w:rsidR="00B55438">
        <w:rPr>
          <w:noProof/>
        </w:rPr>
        <w:t>42</w:t>
      </w:r>
      <w:r>
        <w:rPr>
          <w:noProof/>
        </w:rPr>
        <w:fldChar w:fldCharType="end"/>
      </w:r>
    </w:p>
    <w:p w14:paraId="3F2436BE"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3.1.2</w:t>
      </w:r>
      <w:r>
        <w:rPr>
          <w:rFonts w:asciiTheme="minorHAnsi" w:eastAsiaTheme="minorEastAsia" w:hAnsiTheme="minorHAnsi"/>
          <w:noProof/>
          <w:sz w:val="22"/>
          <w:lang w:eastAsia="fr-FR"/>
        </w:rPr>
        <w:tab/>
      </w:r>
      <w:r>
        <w:rPr>
          <w:noProof/>
        </w:rPr>
        <w:t>Réduction de l'engagement des consommateurs</w:t>
      </w:r>
      <w:r>
        <w:rPr>
          <w:noProof/>
        </w:rPr>
        <w:tab/>
      </w:r>
      <w:r>
        <w:rPr>
          <w:noProof/>
        </w:rPr>
        <w:fldChar w:fldCharType="begin"/>
      </w:r>
      <w:r>
        <w:rPr>
          <w:noProof/>
        </w:rPr>
        <w:instrText xml:space="preserve"> PAGEREF _Toc200825426 \h </w:instrText>
      </w:r>
      <w:r>
        <w:rPr>
          <w:noProof/>
        </w:rPr>
      </w:r>
      <w:r>
        <w:rPr>
          <w:noProof/>
        </w:rPr>
        <w:fldChar w:fldCharType="separate"/>
      </w:r>
      <w:r w:rsidR="00B55438">
        <w:rPr>
          <w:noProof/>
        </w:rPr>
        <w:t>42</w:t>
      </w:r>
      <w:r>
        <w:rPr>
          <w:noProof/>
        </w:rPr>
        <w:fldChar w:fldCharType="end"/>
      </w:r>
    </w:p>
    <w:p w14:paraId="6B54EEE9"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3.1.3</w:t>
      </w:r>
      <w:r>
        <w:rPr>
          <w:rFonts w:asciiTheme="minorHAnsi" w:eastAsiaTheme="minorEastAsia" w:hAnsiTheme="minorHAnsi"/>
          <w:noProof/>
          <w:sz w:val="22"/>
          <w:lang w:eastAsia="fr-FR"/>
        </w:rPr>
        <w:tab/>
      </w:r>
      <w:r>
        <w:rPr>
          <w:noProof/>
        </w:rPr>
        <w:t>Affaiblissement de l'attachement à la marque</w:t>
      </w:r>
      <w:r>
        <w:rPr>
          <w:noProof/>
        </w:rPr>
        <w:tab/>
      </w:r>
      <w:r>
        <w:rPr>
          <w:noProof/>
        </w:rPr>
        <w:fldChar w:fldCharType="begin"/>
      </w:r>
      <w:r>
        <w:rPr>
          <w:noProof/>
        </w:rPr>
        <w:instrText xml:space="preserve"> PAGEREF _Toc200825427 \h </w:instrText>
      </w:r>
      <w:r>
        <w:rPr>
          <w:noProof/>
        </w:rPr>
      </w:r>
      <w:r>
        <w:rPr>
          <w:noProof/>
        </w:rPr>
        <w:fldChar w:fldCharType="separate"/>
      </w:r>
      <w:r w:rsidR="00B55438">
        <w:rPr>
          <w:noProof/>
        </w:rPr>
        <w:t>43</w:t>
      </w:r>
      <w:r>
        <w:rPr>
          <w:noProof/>
        </w:rPr>
        <w:fldChar w:fldCharType="end"/>
      </w:r>
    </w:p>
    <w:p w14:paraId="345E6352"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3.1.4</w:t>
      </w:r>
      <w:r>
        <w:rPr>
          <w:rFonts w:asciiTheme="minorHAnsi" w:eastAsiaTheme="minorEastAsia" w:hAnsiTheme="minorHAnsi"/>
          <w:noProof/>
          <w:sz w:val="22"/>
          <w:lang w:eastAsia="fr-FR"/>
        </w:rPr>
        <w:tab/>
      </w:r>
      <w:r>
        <w:rPr>
          <w:noProof/>
        </w:rPr>
        <w:t>Répercussions sur la réputation de la marque</w:t>
      </w:r>
      <w:r>
        <w:rPr>
          <w:noProof/>
        </w:rPr>
        <w:tab/>
      </w:r>
      <w:r>
        <w:rPr>
          <w:noProof/>
        </w:rPr>
        <w:fldChar w:fldCharType="begin"/>
      </w:r>
      <w:r>
        <w:rPr>
          <w:noProof/>
        </w:rPr>
        <w:instrText xml:space="preserve"> PAGEREF _Toc200825428 \h </w:instrText>
      </w:r>
      <w:r>
        <w:rPr>
          <w:noProof/>
        </w:rPr>
      </w:r>
      <w:r>
        <w:rPr>
          <w:noProof/>
        </w:rPr>
        <w:fldChar w:fldCharType="separate"/>
      </w:r>
      <w:r w:rsidR="00B55438">
        <w:rPr>
          <w:noProof/>
        </w:rPr>
        <w:t>43</w:t>
      </w:r>
      <w:r>
        <w:rPr>
          <w:noProof/>
        </w:rPr>
        <w:fldChar w:fldCharType="end"/>
      </w:r>
    </w:p>
    <w:p w14:paraId="2415123D" w14:textId="77777777" w:rsidR="001D2A20" w:rsidRDefault="001D2A20" w:rsidP="00623079">
      <w:pPr>
        <w:pStyle w:val="TM2"/>
        <w:rPr>
          <w:rFonts w:asciiTheme="minorHAnsi" w:eastAsiaTheme="minorEastAsia" w:hAnsiTheme="minorHAnsi"/>
          <w:noProof/>
          <w:sz w:val="22"/>
          <w:lang w:eastAsia="fr-FR"/>
        </w:rPr>
      </w:pPr>
      <w:r>
        <w:rPr>
          <w:noProof/>
        </w:rPr>
        <w:lastRenderedPageBreak/>
        <w:t>3.2</w:t>
      </w:r>
      <w:r>
        <w:rPr>
          <w:rFonts w:asciiTheme="minorHAnsi" w:eastAsiaTheme="minorEastAsia" w:hAnsiTheme="minorHAnsi"/>
          <w:noProof/>
          <w:sz w:val="22"/>
          <w:lang w:eastAsia="fr-FR"/>
        </w:rPr>
        <w:tab/>
      </w:r>
      <w:r>
        <w:rPr>
          <w:noProof/>
        </w:rPr>
        <w:t>Impacts sur l'intention d'achat</w:t>
      </w:r>
      <w:r>
        <w:rPr>
          <w:noProof/>
        </w:rPr>
        <w:tab/>
      </w:r>
      <w:r>
        <w:rPr>
          <w:noProof/>
        </w:rPr>
        <w:fldChar w:fldCharType="begin"/>
      </w:r>
      <w:r>
        <w:rPr>
          <w:noProof/>
        </w:rPr>
        <w:instrText xml:space="preserve"> PAGEREF _Toc200825429 \h </w:instrText>
      </w:r>
      <w:r>
        <w:rPr>
          <w:noProof/>
        </w:rPr>
      </w:r>
      <w:r>
        <w:rPr>
          <w:noProof/>
        </w:rPr>
        <w:fldChar w:fldCharType="separate"/>
      </w:r>
      <w:r w:rsidR="00B55438">
        <w:rPr>
          <w:noProof/>
        </w:rPr>
        <w:t>44</w:t>
      </w:r>
      <w:r>
        <w:rPr>
          <w:noProof/>
        </w:rPr>
        <w:fldChar w:fldCharType="end"/>
      </w:r>
    </w:p>
    <w:p w14:paraId="576972A5"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3.2.1</w:t>
      </w:r>
      <w:r>
        <w:rPr>
          <w:rFonts w:asciiTheme="minorHAnsi" w:eastAsiaTheme="minorEastAsia" w:hAnsiTheme="minorHAnsi"/>
          <w:noProof/>
          <w:sz w:val="22"/>
          <w:lang w:eastAsia="fr-FR"/>
        </w:rPr>
        <w:tab/>
      </w:r>
      <w:r>
        <w:rPr>
          <w:noProof/>
        </w:rPr>
        <w:t>Perte de fidélité des clients</w:t>
      </w:r>
      <w:r>
        <w:rPr>
          <w:noProof/>
        </w:rPr>
        <w:tab/>
      </w:r>
      <w:r>
        <w:rPr>
          <w:noProof/>
        </w:rPr>
        <w:fldChar w:fldCharType="begin"/>
      </w:r>
      <w:r>
        <w:rPr>
          <w:noProof/>
        </w:rPr>
        <w:instrText xml:space="preserve"> PAGEREF _Toc200825430 \h </w:instrText>
      </w:r>
      <w:r>
        <w:rPr>
          <w:noProof/>
        </w:rPr>
      </w:r>
      <w:r>
        <w:rPr>
          <w:noProof/>
        </w:rPr>
        <w:fldChar w:fldCharType="separate"/>
      </w:r>
      <w:r w:rsidR="00B55438">
        <w:rPr>
          <w:noProof/>
        </w:rPr>
        <w:t>44</w:t>
      </w:r>
      <w:r>
        <w:rPr>
          <w:noProof/>
        </w:rPr>
        <w:fldChar w:fldCharType="end"/>
      </w:r>
    </w:p>
    <w:p w14:paraId="035FFE89" w14:textId="77777777" w:rsidR="001D2A20" w:rsidRDefault="001D2A20" w:rsidP="00623079">
      <w:pPr>
        <w:pStyle w:val="TM2"/>
        <w:rPr>
          <w:rFonts w:asciiTheme="minorHAnsi" w:eastAsiaTheme="minorEastAsia" w:hAnsiTheme="minorHAnsi"/>
          <w:noProof/>
          <w:sz w:val="22"/>
          <w:lang w:eastAsia="fr-FR"/>
        </w:rPr>
      </w:pPr>
      <w:r>
        <w:rPr>
          <w:noProof/>
        </w:rPr>
        <w:t>3.3</w:t>
      </w:r>
      <w:r>
        <w:rPr>
          <w:rFonts w:asciiTheme="minorHAnsi" w:eastAsiaTheme="minorEastAsia" w:hAnsiTheme="minorHAnsi"/>
          <w:noProof/>
          <w:sz w:val="22"/>
          <w:lang w:eastAsia="fr-FR"/>
        </w:rPr>
        <w:tab/>
      </w:r>
      <w:r>
        <w:rPr>
          <w:noProof/>
        </w:rPr>
        <w:t>Risques de boycott de la marque</w:t>
      </w:r>
      <w:r>
        <w:rPr>
          <w:noProof/>
        </w:rPr>
        <w:tab/>
      </w:r>
      <w:r>
        <w:rPr>
          <w:noProof/>
        </w:rPr>
        <w:fldChar w:fldCharType="begin"/>
      </w:r>
      <w:r>
        <w:rPr>
          <w:noProof/>
        </w:rPr>
        <w:instrText xml:space="preserve"> PAGEREF _Toc200825431 \h </w:instrText>
      </w:r>
      <w:r>
        <w:rPr>
          <w:noProof/>
        </w:rPr>
      </w:r>
      <w:r>
        <w:rPr>
          <w:noProof/>
        </w:rPr>
        <w:fldChar w:fldCharType="separate"/>
      </w:r>
      <w:r w:rsidR="00B55438">
        <w:rPr>
          <w:noProof/>
        </w:rPr>
        <w:t>44</w:t>
      </w:r>
      <w:r>
        <w:rPr>
          <w:noProof/>
        </w:rPr>
        <w:fldChar w:fldCharType="end"/>
      </w:r>
    </w:p>
    <w:p w14:paraId="14B4720A" w14:textId="77777777" w:rsidR="001D2A20" w:rsidRDefault="001D2A20" w:rsidP="00623079">
      <w:pPr>
        <w:pStyle w:val="TM2"/>
        <w:rPr>
          <w:rFonts w:asciiTheme="minorHAnsi" w:eastAsiaTheme="minorEastAsia" w:hAnsiTheme="minorHAnsi"/>
          <w:noProof/>
          <w:sz w:val="22"/>
          <w:lang w:eastAsia="fr-FR"/>
        </w:rPr>
      </w:pPr>
      <w:r>
        <w:rPr>
          <w:noProof/>
        </w:rPr>
        <w:t>3.4</w:t>
      </w:r>
      <w:r>
        <w:rPr>
          <w:rFonts w:asciiTheme="minorHAnsi" w:eastAsiaTheme="minorEastAsia" w:hAnsiTheme="minorHAnsi"/>
          <w:noProof/>
          <w:sz w:val="22"/>
          <w:lang w:eastAsia="fr-FR"/>
        </w:rPr>
        <w:tab/>
      </w:r>
      <w:r>
        <w:rPr>
          <w:noProof/>
        </w:rPr>
        <w:t>Conséquences sur les ventes et l'acquisition de clients</w:t>
      </w:r>
      <w:r>
        <w:rPr>
          <w:noProof/>
        </w:rPr>
        <w:tab/>
      </w:r>
      <w:r>
        <w:rPr>
          <w:noProof/>
        </w:rPr>
        <w:fldChar w:fldCharType="begin"/>
      </w:r>
      <w:r>
        <w:rPr>
          <w:noProof/>
        </w:rPr>
        <w:instrText xml:space="preserve"> PAGEREF _Toc200825432 \h </w:instrText>
      </w:r>
      <w:r>
        <w:rPr>
          <w:noProof/>
        </w:rPr>
      </w:r>
      <w:r>
        <w:rPr>
          <w:noProof/>
        </w:rPr>
        <w:fldChar w:fldCharType="separate"/>
      </w:r>
      <w:r w:rsidR="00B55438">
        <w:rPr>
          <w:noProof/>
        </w:rPr>
        <w:t>45</w:t>
      </w:r>
      <w:r>
        <w:rPr>
          <w:noProof/>
        </w:rPr>
        <w:fldChar w:fldCharType="end"/>
      </w:r>
    </w:p>
    <w:p w14:paraId="698799CF" w14:textId="77777777" w:rsidR="001D2A20" w:rsidRDefault="001D2A20" w:rsidP="00623079">
      <w:pPr>
        <w:pStyle w:val="TM2"/>
        <w:rPr>
          <w:rFonts w:asciiTheme="minorHAnsi" w:eastAsiaTheme="minorEastAsia" w:hAnsiTheme="minorHAnsi"/>
          <w:noProof/>
          <w:sz w:val="22"/>
          <w:lang w:eastAsia="fr-FR"/>
        </w:rPr>
      </w:pPr>
      <w:r>
        <w:rPr>
          <w:noProof/>
        </w:rPr>
        <w:t>3.5</w:t>
      </w:r>
      <w:r>
        <w:rPr>
          <w:rFonts w:asciiTheme="minorHAnsi" w:eastAsiaTheme="minorEastAsia" w:hAnsiTheme="minorHAnsi"/>
          <w:noProof/>
          <w:sz w:val="22"/>
          <w:lang w:eastAsia="fr-FR"/>
        </w:rPr>
        <w:tab/>
      </w:r>
      <w:r>
        <w:rPr>
          <w:noProof/>
        </w:rPr>
        <w:t>La relation théorique entre les trois déterminants de Greenwashing avec la perception de la marque</w:t>
      </w:r>
      <w:r>
        <w:rPr>
          <w:noProof/>
        </w:rPr>
        <w:tab/>
      </w:r>
      <w:r>
        <w:rPr>
          <w:noProof/>
        </w:rPr>
        <w:fldChar w:fldCharType="begin"/>
      </w:r>
      <w:r>
        <w:rPr>
          <w:noProof/>
        </w:rPr>
        <w:instrText xml:space="preserve"> PAGEREF _Toc200825433 \h </w:instrText>
      </w:r>
      <w:r>
        <w:rPr>
          <w:noProof/>
        </w:rPr>
      </w:r>
      <w:r>
        <w:rPr>
          <w:noProof/>
        </w:rPr>
        <w:fldChar w:fldCharType="separate"/>
      </w:r>
      <w:r w:rsidR="00B55438">
        <w:rPr>
          <w:noProof/>
        </w:rPr>
        <w:t>45</w:t>
      </w:r>
      <w:r>
        <w:rPr>
          <w:noProof/>
        </w:rPr>
        <w:fldChar w:fldCharType="end"/>
      </w:r>
    </w:p>
    <w:p w14:paraId="1224928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3.5.1</w:t>
      </w:r>
      <w:r>
        <w:rPr>
          <w:rFonts w:asciiTheme="minorHAnsi" w:eastAsiaTheme="minorEastAsia" w:hAnsiTheme="minorHAnsi"/>
          <w:noProof/>
          <w:sz w:val="22"/>
          <w:lang w:eastAsia="fr-FR"/>
        </w:rPr>
        <w:tab/>
      </w:r>
      <w:r>
        <w:rPr>
          <w:noProof/>
        </w:rPr>
        <w:t>Déterminant 1 : Crédibilité de la marque</w:t>
      </w:r>
      <w:r>
        <w:rPr>
          <w:noProof/>
        </w:rPr>
        <w:tab/>
      </w:r>
      <w:r>
        <w:rPr>
          <w:noProof/>
        </w:rPr>
        <w:fldChar w:fldCharType="begin"/>
      </w:r>
      <w:r>
        <w:rPr>
          <w:noProof/>
        </w:rPr>
        <w:instrText xml:space="preserve"> PAGEREF _Toc200825434 \h </w:instrText>
      </w:r>
      <w:r>
        <w:rPr>
          <w:noProof/>
        </w:rPr>
      </w:r>
      <w:r>
        <w:rPr>
          <w:noProof/>
        </w:rPr>
        <w:fldChar w:fldCharType="separate"/>
      </w:r>
      <w:r w:rsidR="00B55438">
        <w:rPr>
          <w:noProof/>
        </w:rPr>
        <w:t>45</w:t>
      </w:r>
      <w:r>
        <w:rPr>
          <w:noProof/>
        </w:rPr>
        <w:fldChar w:fldCharType="end"/>
      </w:r>
    </w:p>
    <w:p w14:paraId="201660AC"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3.5.2</w:t>
      </w:r>
      <w:r>
        <w:rPr>
          <w:rFonts w:asciiTheme="minorHAnsi" w:eastAsiaTheme="minorEastAsia" w:hAnsiTheme="minorHAnsi"/>
          <w:noProof/>
          <w:sz w:val="22"/>
          <w:lang w:eastAsia="fr-FR"/>
        </w:rPr>
        <w:tab/>
      </w:r>
      <w:r>
        <w:rPr>
          <w:noProof/>
        </w:rPr>
        <w:t>Déterminant 2 : Confiance verte (Green Trust)</w:t>
      </w:r>
      <w:r>
        <w:rPr>
          <w:noProof/>
        </w:rPr>
        <w:tab/>
      </w:r>
      <w:r>
        <w:rPr>
          <w:noProof/>
        </w:rPr>
        <w:fldChar w:fldCharType="begin"/>
      </w:r>
      <w:r>
        <w:rPr>
          <w:noProof/>
        </w:rPr>
        <w:instrText xml:space="preserve"> PAGEREF _Toc200825435 \h </w:instrText>
      </w:r>
      <w:r>
        <w:rPr>
          <w:noProof/>
        </w:rPr>
      </w:r>
      <w:r>
        <w:rPr>
          <w:noProof/>
        </w:rPr>
        <w:fldChar w:fldCharType="separate"/>
      </w:r>
      <w:r w:rsidR="00B55438">
        <w:rPr>
          <w:noProof/>
        </w:rPr>
        <w:t>48</w:t>
      </w:r>
      <w:r>
        <w:rPr>
          <w:noProof/>
        </w:rPr>
        <w:fldChar w:fldCharType="end"/>
      </w:r>
    </w:p>
    <w:p w14:paraId="1587643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3.5.3</w:t>
      </w:r>
      <w:r>
        <w:rPr>
          <w:rFonts w:asciiTheme="minorHAnsi" w:eastAsiaTheme="minorEastAsia" w:hAnsiTheme="minorHAnsi"/>
          <w:noProof/>
          <w:sz w:val="22"/>
          <w:lang w:eastAsia="fr-FR"/>
        </w:rPr>
        <w:tab/>
      </w:r>
      <w:r>
        <w:rPr>
          <w:noProof/>
        </w:rPr>
        <w:t>Déterminant 3 : Perception du risque environnemental</w:t>
      </w:r>
      <w:r>
        <w:rPr>
          <w:noProof/>
        </w:rPr>
        <w:tab/>
      </w:r>
      <w:r>
        <w:rPr>
          <w:noProof/>
        </w:rPr>
        <w:fldChar w:fldCharType="begin"/>
      </w:r>
      <w:r>
        <w:rPr>
          <w:noProof/>
        </w:rPr>
        <w:instrText xml:space="preserve"> PAGEREF _Toc200825436 \h </w:instrText>
      </w:r>
      <w:r>
        <w:rPr>
          <w:noProof/>
        </w:rPr>
      </w:r>
      <w:r>
        <w:rPr>
          <w:noProof/>
        </w:rPr>
        <w:fldChar w:fldCharType="separate"/>
      </w:r>
      <w:r w:rsidR="00B55438">
        <w:rPr>
          <w:noProof/>
        </w:rPr>
        <w:t>50</w:t>
      </w:r>
      <w:r>
        <w:rPr>
          <w:noProof/>
        </w:rPr>
        <w:fldChar w:fldCharType="end"/>
      </w:r>
    </w:p>
    <w:p w14:paraId="061CD253" w14:textId="77777777" w:rsidR="001D2A20" w:rsidRDefault="001D2A20" w:rsidP="00350FA5">
      <w:pPr>
        <w:pStyle w:val="TM1"/>
        <w:rPr>
          <w:rFonts w:asciiTheme="minorHAnsi" w:eastAsiaTheme="minorEastAsia" w:hAnsiTheme="minorHAnsi"/>
          <w:noProof/>
          <w:sz w:val="22"/>
          <w:lang w:eastAsia="fr-FR"/>
        </w:rPr>
      </w:pPr>
      <w:r>
        <w:rPr>
          <w:noProof/>
        </w:rPr>
        <w:t>4</w:t>
      </w:r>
      <w:r>
        <w:rPr>
          <w:rFonts w:asciiTheme="minorHAnsi" w:eastAsiaTheme="minorEastAsia" w:hAnsiTheme="minorHAnsi"/>
          <w:noProof/>
          <w:sz w:val="22"/>
          <w:lang w:eastAsia="fr-FR"/>
        </w:rPr>
        <w:tab/>
      </w:r>
      <w:r>
        <w:rPr>
          <w:noProof/>
        </w:rPr>
        <w:t>Conclusion</w:t>
      </w:r>
      <w:r>
        <w:rPr>
          <w:noProof/>
        </w:rPr>
        <w:tab/>
      </w:r>
      <w:r>
        <w:rPr>
          <w:noProof/>
        </w:rPr>
        <w:fldChar w:fldCharType="begin"/>
      </w:r>
      <w:r>
        <w:rPr>
          <w:noProof/>
        </w:rPr>
        <w:instrText xml:space="preserve"> PAGEREF _Toc200825437 \h </w:instrText>
      </w:r>
      <w:r>
        <w:rPr>
          <w:noProof/>
        </w:rPr>
      </w:r>
      <w:r>
        <w:rPr>
          <w:noProof/>
        </w:rPr>
        <w:fldChar w:fldCharType="separate"/>
      </w:r>
      <w:r w:rsidR="00B55438">
        <w:rPr>
          <w:noProof/>
        </w:rPr>
        <w:t>51</w:t>
      </w:r>
      <w:r>
        <w:rPr>
          <w:noProof/>
        </w:rPr>
        <w:fldChar w:fldCharType="end"/>
      </w:r>
    </w:p>
    <w:p w14:paraId="1ABD780C" w14:textId="77777777" w:rsidR="009E7A70" w:rsidRPr="009E7A70" w:rsidRDefault="009E7A70" w:rsidP="009E7A70">
      <w:pPr>
        <w:rPr>
          <w:b/>
          <w:bCs/>
          <w:noProof/>
          <w:lang w:eastAsia="fr-FR"/>
        </w:rPr>
      </w:pPr>
      <w:r w:rsidRPr="009E7A70">
        <w:rPr>
          <w:b/>
          <w:bCs/>
          <w:noProof/>
          <w:lang w:eastAsia="fr-FR"/>
        </w:rPr>
        <w:t>PARTIE PRATIQUE</w:t>
      </w:r>
    </w:p>
    <w:p w14:paraId="71B3192E" w14:textId="77777777" w:rsidR="009E7A70" w:rsidRPr="009E7A70" w:rsidRDefault="009E7A70" w:rsidP="009E7A70">
      <w:pPr>
        <w:jc w:val="left"/>
        <w:rPr>
          <w:b/>
          <w:bCs/>
          <w:noProof/>
          <w:lang w:eastAsia="fr-FR"/>
        </w:rPr>
      </w:pPr>
      <w:r w:rsidRPr="009E7A70">
        <w:rPr>
          <w:b/>
          <w:bCs/>
          <w:noProof/>
          <w:lang w:eastAsia="fr-FR"/>
        </w:rPr>
        <w:t>Chapitre 03 : Présentation générale de la société de ciment Hamma Bouziane à Constantine</w:t>
      </w:r>
    </w:p>
    <w:p w14:paraId="7ED9FC15" w14:textId="77777777" w:rsidR="001D2A20" w:rsidRDefault="001D2A20" w:rsidP="00350FA5">
      <w:pPr>
        <w:pStyle w:val="TM1"/>
        <w:rPr>
          <w:rFonts w:asciiTheme="minorHAnsi" w:eastAsiaTheme="minorEastAsia" w:hAnsiTheme="minorHAnsi"/>
          <w:noProof/>
          <w:sz w:val="22"/>
          <w:lang w:eastAsia="fr-FR"/>
        </w:rPr>
      </w:pPr>
      <w:r>
        <w:rPr>
          <w:noProof/>
        </w:rPr>
        <w:t>Introduction :</w:t>
      </w:r>
      <w:r>
        <w:rPr>
          <w:noProof/>
        </w:rPr>
        <w:tab/>
      </w:r>
      <w:r>
        <w:rPr>
          <w:noProof/>
        </w:rPr>
        <w:fldChar w:fldCharType="begin"/>
      </w:r>
      <w:r>
        <w:rPr>
          <w:noProof/>
        </w:rPr>
        <w:instrText xml:space="preserve"> PAGEREF _Toc200825438 \h </w:instrText>
      </w:r>
      <w:r>
        <w:rPr>
          <w:noProof/>
        </w:rPr>
      </w:r>
      <w:r>
        <w:rPr>
          <w:noProof/>
        </w:rPr>
        <w:fldChar w:fldCharType="separate"/>
      </w:r>
      <w:r w:rsidR="00B55438">
        <w:rPr>
          <w:noProof/>
        </w:rPr>
        <w:t>53</w:t>
      </w:r>
      <w:r>
        <w:rPr>
          <w:noProof/>
        </w:rPr>
        <w:fldChar w:fldCharType="end"/>
      </w:r>
    </w:p>
    <w:p w14:paraId="0BA8B3EF" w14:textId="77777777" w:rsidR="001D2A20" w:rsidRDefault="001D2A20" w:rsidP="00350FA5">
      <w:pPr>
        <w:pStyle w:val="TM1"/>
        <w:rPr>
          <w:rFonts w:asciiTheme="minorHAnsi" w:eastAsiaTheme="minorEastAsia" w:hAnsiTheme="minorHAnsi"/>
          <w:noProof/>
          <w:sz w:val="22"/>
          <w:lang w:eastAsia="fr-FR"/>
        </w:rPr>
      </w:pPr>
      <w:r>
        <w:rPr>
          <w:noProof/>
          <w:lang w:eastAsia="fr-FR"/>
        </w:rPr>
        <w:t>Section 01 : Présentation générale de la société de ciment Hamma Bouziane à Constantine</w:t>
      </w:r>
      <w:r>
        <w:rPr>
          <w:noProof/>
        </w:rPr>
        <w:tab/>
      </w:r>
      <w:r>
        <w:rPr>
          <w:noProof/>
        </w:rPr>
        <w:fldChar w:fldCharType="begin"/>
      </w:r>
      <w:r>
        <w:rPr>
          <w:noProof/>
        </w:rPr>
        <w:instrText xml:space="preserve"> PAGEREF _Toc200825439 \h </w:instrText>
      </w:r>
      <w:r>
        <w:rPr>
          <w:noProof/>
        </w:rPr>
      </w:r>
      <w:r>
        <w:rPr>
          <w:noProof/>
        </w:rPr>
        <w:fldChar w:fldCharType="separate"/>
      </w:r>
      <w:r w:rsidR="00B55438">
        <w:rPr>
          <w:noProof/>
        </w:rPr>
        <w:t>54</w:t>
      </w:r>
      <w:r>
        <w:rPr>
          <w:noProof/>
        </w:rPr>
        <w:fldChar w:fldCharType="end"/>
      </w:r>
    </w:p>
    <w:p w14:paraId="620B8681" w14:textId="77777777" w:rsidR="001D2A20" w:rsidRDefault="001D2A20" w:rsidP="00350FA5">
      <w:pPr>
        <w:pStyle w:val="TM1"/>
        <w:rPr>
          <w:rFonts w:asciiTheme="minorHAnsi" w:eastAsiaTheme="minorEastAsia" w:hAnsiTheme="minorHAnsi"/>
          <w:noProof/>
          <w:sz w:val="22"/>
          <w:lang w:eastAsia="fr-FR"/>
        </w:rPr>
      </w:pPr>
      <w:r>
        <w:rPr>
          <w:noProof/>
          <w:rtl/>
        </w:rPr>
        <w:t>1</w:t>
      </w:r>
      <w:r>
        <w:rPr>
          <w:rFonts w:asciiTheme="minorHAnsi" w:eastAsiaTheme="minorEastAsia" w:hAnsiTheme="minorHAnsi"/>
          <w:noProof/>
          <w:sz w:val="22"/>
          <w:lang w:eastAsia="fr-FR"/>
        </w:rPr>
        <w:tab/>
      </w:r>
      <w:r>
        <w:rPr>
          <w:noProof/>
        </w:rPr>
        <w:t>Présentation de la société de ciment Hamma Bouziane</w:t>
      </w:r>
      <w:r>
        <w:rPr>
          <w:noProof/>
        </w:rPr>
        <w:tab/>
      </w:r>
      <w:r>
        <w:rPr>
          <w:noProof/>
        </w:rPr>
        <w:fldChar w:fldCharType="begin"/>
      </w:r>
      <w:r>
        <w:rPr>
          <w:noProof/>
        </w:rPr>
        <w:instrText xml:space="preserve"> PAGEREF _Toc200825440 \h </w:instrText>
      </w:r>
      <w:r>
        <w:rPr>
          <w:noProof/>
        </w:rPr>
      </w:r>
      <w:r>
        <w:rPr>
          <w:noProof/>
        </w:rPr>
        <w:fldChar w:fldCharType="separate"/>
      </w:r>
      <w:r w:rsidR="00B55438">
        <w:rPr>
          <w:noProof/>
        </w:rPr>
        <w:t>54</w:t>
      </w:r>
      <w:r>
        <w:rPr>
          <w:noProof/>
        </w:rPr>
        <w:fldChar w:fldCharType="end"/>
      </w:r>
    </w:p>
    <w:p w14:paraId="6F33E2EB" w14:textId="77777777" w:rsidR="001D2A20" w:rsidRDefault="001D2A20" w:rsidP="00350FA5">
      <w:pPr>
        <w:pStyle w:val="TM1"/>
        <w:rPr>
          <w:rFonts w:asciiTheme="minorHAnsi" w:eastAsiaTheme="minorEastAsia" w:hAnsiTheme="minorHAnsi"/>
          <w:noProof/>
          <w:sz w:val="22"/>
          <w:lang w:eastAsia="fr-FR"/>
        </w:rPr>
      </w:pPr>
      <w:r w:rsidRPr="00F054BC">
        <w:rPr>
          <w:rFonts w:eastAsia="Times New Roman"/>
          <w:noProof/>
        </w:rPr>
        <w:t>2</w:t>
      </w:r>
      <w:r>
        <w:rPr>
          <w:rFonts w:asciiTheme="minorHAnsi" w:eastAsiaTheme="minorEastAsia" w:hAnsiTheme="minorHAnsi"/>
          <w:noProof/>
          <w:sz w:val="22"/>
          <w:lang w:eastAsia="fr-FR"/>
        </w:rPr>
        <w:tab/>
      </w:r>
      <w:r>
        <w:rPr>
          <w:noProof/>
        </w:rPr>
        <w:t>Aperçu historique de l’entreprise</w:t>
      </w:r>
      <w:r>
        <w:rPr>
          <w:noProof/>
        </w:rPr>
        <w:tab/>
      </w:r>
      <w:r>
        <w:rPr>
          <w:noProof/>
        </w:rPr>
        <w:fldChar w:fldCharType="begin"/>
      </w:r>
      <w:r>
        <w:rPr>
          <w:noProof/>
        </w:rPr>
        <w:instrText xml:space="preserve"> PAGEREF _Toc200825441 \h </w:instrText>
      </w:r>
      <w:r>
        <w:rPr>
          <w:noProof/>
        </w:rPr>
      </w:r>
      <w:r>
        <w:rPr>
          <w:noProof/>
        </w:rPr>
        <w:fldChar w:fldCharType="separate"/>
      </w:r>
      <w:r w:rsidR="00B55438">
        <w:rPr>
          <w:noProof/>
        </w:rPr>
        <w:t>54</w:t>
      </w:r>
      <w:r>
        <w:rPr>
          <w:noProof/>
        </w:rPr>
        <w:fldChar w:fldCharType="end"/>
      </w:r>
    </w:p>
    <w:p w14:paraId="34954C54" w14:textId="77777777" w:rsidR="001D2A20" w:rsidRDefault="001D2A20" w:rsidP="00350FA5">
      <w:pPr>
        <w:pStyle w:val="TM1"/>
        <w:rPr>
          <w:rFonts w:asciiTheme="minorHAnsi" w:eastAsiaTheme="minorEastAsia" w:hAnsiTheme="minorHAnsi"/>
          <w:noProof/>
          <w:sz w:val="22"/>
          <w:lang w:eastAsia="fr-FR"/>
        </w:rPr>
      </w:pPr>
      <w:r w:rsidRPr="00F054BC">
        <w:rPr>
          <w:rFonts w:eastAsia="Times New Roman"/>
          <w:noProof/>
        </w:rPr>
        <w:t>3</w:t>
      </w:r>
      <w:r>
        <w:rPr>
          <w:rFonts w:asciiTheme="minorHAnsi" w:eastAsiaTheme="minorEastAsia" w:hAnsiTheme="minorHAnsi"/>
          <w:noProof/>
          <w:sz w:val="22"/>
          <w:lang w:eastAsia="fr-FR"/>
        </w:rPr>
        <w:tab/>
      </w:r>
      <w:r>
        <w:rPr>
          <w:noProof/>
        </w:rPr>
        <w:t>Évolution de la société de ciment Hamma Bouziane</w:t>
      </w:r>
      <w:r>
        <w:rPr>
          <w:noProof/>
        </w:rPr>
        <w:tab/>
      </w:r>
      <w:r>
        <w:rPr>
          <w:noProof/>
        </w:rPr>
        <w:fldChar w:fldCharType="begin"/>
      </w:r>
      <w:r>
        <w:rPr>
          <w:noProof/>
        </w:rPr>
        <w:instrText xml:space="preserve"> PAGEREF _Toc200825442 \h </w:instrText>
      </w:r>
      <w:r>
        <w:rPr>
          <w:noProof/>
        </w:rPr>
      </w:r>
      <w:r>
        <w:rPr>
          <w:noProof/>
        </w:rPr>
        <w:fldChar w:fldCharType="separate"/>
      </w:r>
      <w:r w:rsidR="00B55438">
        <w:rPr>
          <w:noProof/>
        </w:rPr>
        <w:t>54</w:t>
      </w:r>
      <w:r>
        <w:rPr>
          <w:noProof/>
        </w:rPr>
        <w:fldChar w:fldCharType="end"/>
      </w:r>
    </w:p>
    <w:p w14:paraId="5E9E0F33" w14:textId="77777777" w:rsidR="001D2A20" w:rsidRDefault="001D2A20" w:rsidP="00350FA5">
      <w:pPr>
        <w:pStyle w:val="TM1"/>
        <w:rPr>
          <w:rFonts w:asciiTheme="minorHAnsi" w:eastAsiaTheme="minorEastAsia" w:hAnsiTheme="minorHAnsi"/>
          <w:noProof/>
          <w:sz w:val="22"/>
          <w:lang w:eastAsia="fr-FR"/>
        </w:rPr>
      </w:pPr>
      <w:r w:rsidRPr="00F054BC">
        <w:rPr>
          <w:rFonts w:eastAsia="Times New Roman"/>
          <w:noProof/>
        </w:rPr>
        <w:t>4</w:t>
      </w:r>
      <w:r>
        <w:rPr>
          <w:rFonts w:asciiTheme="minorHAnsi" w:eastAsiaTheme="minorEastAsia" w:hAnsiTheme="minorHAnsi"/>
          <w:noProof/>
          <w:sz w:val="22"/>
          <w:lang w:eastAsia="fr-FR"/>
        </w:rPr>
        <w:tab/>
      </w:r>
      <w:r>
        <w:rPr>
          <w:noProof/>
        </w:rPr>
        <w:t>Identification de la société SCHB – Hamma Bouziane</w:t>
      </w:r>
      <w:r>
        <w:rPr>
          <w:noProof/>
        </w:rPr>
        <w:tab/>
      </w:r>
      <w:r>
        <w:rPr>
          <w:noProof/>
        </w:rPr>
        <w:fldChar w:fldCharType="begin"/>
      </w:r>
      <w:r>
        <w:rPr>
          <w:noProof/>
        </w:rPr>
        <w:instrText xml:space="preserve"> PAGEREF _Toc200825443 \h </w:instrText>
      </w:r>
      <w:r>
        <w:rPr>
          <w:noProof/>
        </w:rPr>
      </w:r>
      <w:r>
        <w:rPr>
          <w:noProof/>
        </w:rPr>
        <w:fldChar w:fldCharType="separate"/>
      </w:r>
      <w:r w:rsidR="00B55438">
        <w:rPr>
          <w:noProof/>
        </w:rPr>
        <w:t>55</w:t>
      </w:r>
      <w:r>
        <w:rPr>
          <w:noProof/>
        </w:rPr>
        <w:fldChar w:fldCharType="end"/>
      </w:r>
    </w:p>
    <w:p w14:paraId="70BA0BD0" w14:textId="77777777" w:rsidR="001D2A20" w:rsidRDefault="001D2A20" w:rsidP="00350FA5">
      <w:pPr>
        <w:pStyle w:val="TM1"/>
        <w:rPr>
          <w:rFonts w:asciiTheme="minorHAnsi" w:eastAsiaTheme="minorEastAsia" w:hAnsiTheme="minorHAnsi"/>
          <w:noProof/>
          <w:sz w:val="22"/>
          <w:lang w:eastAsia="fr-FR"/>
        </w:rPr>
      </w:pPr>
      <w:r>
        <w:rPr>
          <w:noProof/>
        </w:rPr>
        <w:t>Section 02 : Objectifs et missions de la société de ciment Hamma Bouziane</w:t>
      </w:r>
      <w:r>
        <w:rPr>
          <w:noProof/>
        </w:rPr>
        <w:tab/>
      </w:r>
      <w:r>
        <w:rPr>
          <w:noProof/>
        </w:rPr>
        <w:fldChar w:fldCharType="begin"/>
      </w:r>
      <w:r>
        <w:rPr>
          <w:noProof/>
        </w:rPr>
        <w:instrText xml:space="preserve"> PAGEREF _Toc200825444 \h </w:instrText>
      </w:r>
      <w:r>
        <w:rPr>
          <w:noProof/>
        </w:rPr>
      </w:r>
      <w:r>
        <w:rPr>
          <w:noProof/>
        </w:rPr>
        <w:fldChar w:fldCharType="separate"/>
      </w:r>
      <w:r w:rsidR="00B55438">
        <w:rPr>
          <w:noProof/>
        </w:rPr>
        <w:t>56</w:t>
      </w:r>
      <w:r>
        <w:rPr>
          <w:noProof/>
        </w:rPr>
        <w:fldChar w:fldCharType="end"/>
      </w:r>
    </w:p>
    <w:p w14:paraId="2C64272B" w14:textId="77777777" w:rsidR="001D2A20" w:rsidRDefault="001D2A20" w:rsidP="00350FA5">
      <w:pPr>
        <w:pStyle w:val="TM1"/>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Objectifs de l’entreprise :</w:t>
      </w:r>
      <w:r>
        <w:rPr>
          <w:noProof/>
        </w:rPr>
        <w:tab/>
      </w:r>
      <w:r>
        <w:rPr>
          <w:noProof/>
        </w:rPr>
        <w:fldChar w:fldCharType="begin"/>
      </w:r>
      <w:r>
        <w:rPr>
          <w:noProof/>
        </w:rPr>
        <w:instrText xml:space="preserve"> PAGEREF _Toc200825445 \h </w:instrText>
      </w:r>
      <w:r>
        <w:rPr>
          <w:noProof/>
        </w:rPr>
      </w:r>
      <w:r>
        <w:rPr>
          <w:noProof/>
        </w:rPr>
        <w:fldChar w:fldCharType="separate"/>
      </w:r>
      <w:r w:rsidR="00B55438">
        <w:rPr>
          <w:noProof/>
        </w:rPr>
        <w:t>56</w:t>
      </w:r>
      <w:r>
        <w:rPr>
          <w:noProof/>
        </w:rPr>
        <w:fldChar w:fldCharType="end"/>
      </w:r>
    </w:p>
    <w:p w14:paraId="193F7929" w14:textId="77777777" w:rsidR="001D2A20" w:rsidRDefault="00623079" w:rsidP="00623079">
      <w:pPr>
        <w:pStyle w:val="TM2"/>
        <w:rPr>
          <w:rFonts w:asciiTheme="minorHAnsi" w:eastAsiaTheme="minorEastAsia" w:hAnsiTheme="minorHAnsi"/>
          <w:noProof/>
          <w:sz w:val="22"/>
          <w:lang w:eastAsia="fr-FR"/>
        </w:rPr>
      </w:pPr>
      <w:r>
        <w:rPr>
          <w:rFonts w:eastAsia="Times New Roman"/>
          <w:noProof/>
          <w:lang w:eastAsia="fr-FR"/>
        </w:rPr>
        <w:t>1</w:t>
      </w:r>
      <w:r w:rsidR="001D2A20" w:rsidRPr="00F054BC">
        <w:rPr>
          <w:rFonts w:eastAsia="Times New Roman"/>
          <w:noProof/>
          <w:lang w:eastAsia="fr-FR"/>
        </w:rPr>
        <w:t>.1</w:t>
      </w:r>
      <w:r w:rsidR="001D2A20">
        <w:rPr>
          <w:rFonts w:asciiTheme="minorHAnsi" w:eastAsiaTheme="minorEastAsia" w:hAnsiTheme="minorHAnsi"/>
          <w:noProof/>
          <w:sz w:val="22"/>
          <w:lang w:eastAsia="fr-FR"/>
        </w:rPr>
        <w:tab/>
      </w:r>
      <w:r w:rsidR="001D2A20" w:rsidRPr="00F054BC">
        <w:rPr>
          <w:rFonts w:eastAsia="Times New Roman"/>
          <w:noProof/>
          <w:lang w:eastAsia="fr-FR"/>
        </w:rPr>
        <w:t>Activité de production</w:t>
      </w:r>
      <w:r w:rsidR="001D2A20">
        <w:rPr>
          <w:noProof/>
        </w:rPr>
        <w:tab/>
      </w:r>
      <w:r w:rsidR="001D2A20">
        <w:rPr>
          <w:noProof/>
        </w:rPr>
        <w:fldChar w:fldCharType="begin"/>
      </w:r>
      <w:r w:rsidR="001D2A20">
        <w:rPr>
          <w:noProof/>
        </w:rPr>
        <w:instrText xml:space="preserve"> PAGEREF _Toc200825446 \h </w:instrText>
      </w:r>
      <w:r w:rsidR="001D2A20">
        <w:rPr>
          <w:noProof/>
        </w:rPr>
      </w:r>
      <w:r w:rsidR="001D2A20">
        <w:rPr>
          <w:noProof/>
        </w:rPr>
        <w:fldChar w:fldCharType="separate"/>
      </w:r>
      <w:r w:rsidR="00B55438">
        <w:rPr>
          <w:noProof/>
        </w:rPr>
        <w:t>57</w:t>
      </w:r>
      <w:r w:rsidR="001D2A20">
        <w:rPr>
          <w:noProof/>
        </w:rPr>
        <w:fldChar w:fldCharType="end"/>
      </w:r>
    </w:p>
    <w:p w14:paraId="3317D9E2" w14:textId="77777777" w:rsidR="001D2A20" w:rsidRDefault="00623079" w:rsidP="00623079">
      <w:pPr>
        <w:pStyle w:val="TM2"/>
        <w:rPr>
          <w:rFonts w:asciiTheme="minorHAnsi" w:eastAsiaTheme="minorEastAsia" w:hAnsiTheme="minorHAnsi"/>
          <w:noProof/>
          <w:sz w:val="22"/>
          <w:lang w:eastAsia="fr-FR"/>
        </w:rPr>
      </w:pPr>
      <w:r>
        <w:rPr>
          <w:noProof/>
        </w:rPr>
        <w:lastRenderedPageBreak/>
        <w:t>1</w:t>
      </w:r>
      <w:r w:rsidR="001D2A20">
        <w:rPr>
          <w:noProof/>
        </w:rPr>
        <w:t>.2</w:t>
      </w:r>
      <w:r w:rsidR="001D2A20">
        <w:rPr>
          <w:rFonts w:asciiTheme="minorHAnsi" w:eastAsiaTheme="minorEastAsia" w:hAnsiTheme="minorHAnsi"/>
          <w:noProof/>
          <w:sz w:val="22"/>
          <w:lang w:eastAsia="fr-FR"/>
        </w:rPr>
        <w:tab/>
      </w:r>
      <w:r w:rsidR="001D2A20">
        <w:rPr>
          <w:noProof/>
        </w:rPr>
        <w:t>Activité sociale</w:t>
      </w:r>
      <w:r w:rsidR="001D2A20">
        <w:rPr>
          <w:noProof/>
        </w:rPr>
        <w:tab/>
      </w:r>
      <w:r w:rsidR="001D2A20">
        <w:rPr>
          <w:noProof/>
        </w:rPr>
        <w:fldChar w:fldCharType="begin"/>
      </w:r>
      <w:r w:rsidR="001D2A20">
        <w:rPr>
          <w:noProof/>
        </w:rPr>
        <w:instrText xml:space="preserve"> PAGEREF _Toc200825447 \h </w:instrText>
      </w:r>
      <w:r w:rsidR="001D2A20">
        <w:rPr>
          <w:noProof/>
        </w:rPr>
      </w:r>
      <w:r w:rsidR="001D2A20">
        <w:rPr>
          <w:noProof/>
        </w:rPr>
        <w:fldChar w:fldCharType="separate"/>
      </w:r>
      <w:r w:rsidR="00B55438">
        <w:rPr>
          <w:noProof/>
        </w:rPr>
        <w:t>58</w:t>
      </w:r>
      <w:r w:rsidR="001D2A20">
        <w:rPr>
          <w:noProof/>
        </w:rPr>
        <w:fldChar w:fldCharType="end"/>
      </w:r>
    </w:p>
    <w:p w14:paraId="350E9196" w14:textId="77777777" w:rsidR="001D2A20" w:rsidRDefault="00623079" w:rsidP="00350FA5">
      <w:pPr>
        <w:pStyle w:val="TM1"/>
        <w:rPr>
          <w:rFonts w:asciiTheme="minorHAnsi" w:eastAsiaTheme="minorEastAsia" w:hAnsiTheme="minorHAnsi"/>
          <w:noProof/>
          <w:sz w:val="22"/>
          <w:lang w:eastAsia="fr-FR"/>
        </w:rPr>
      </w:pPr>
      <w:r>
        <w:rPr>
          <w:noProof/>
        </w:rPr>
        <w:t>2</w:t>
      </w:r>
      <w:r w:rsidR="001D2A20">
        <w:rPr>
          <w:rFonts w:asciiTheme="minorHAnsi" w:eastAsiaTheme="minorEastAsia" w:hAnsiTheme="minorHAnsi"/>
          <w:noProof/>
          <w:sz w:val="22"/>
          <w:lang w:eastAsia="fr-FR"/>
        </w:rPr>
        <w:tab/>
      </w:r>
      <w:r w:rsidR="001D2A20">
        <w:rPr>
          <w:noProof/>
        </w:rPr>
        <w:t>Les capacités de la société de ciment Hamma Bouziane</w:t>
      </w:r>
      <w:r w:rsidR="001D2A20">
        <w:rPr>
          <w:noProof/>
        </w:rPr>
        <w:tab/>
      </w:r>
      <w:r w:rsidR="001D2A20">
        <w:rPr>
          <w:noProof/>
        </w:rPr>
        <w:fldChar w:fldCharType="begin"/>
      </w:r>
      <w:r w:rsidR="001D2A20">
        <w:rPr>
          <w:noProof/>
        </w:rPr>
        <w:instrText xml:space="preserve"> PAGEREF _Toc200825448 \h </w:instrText>
      </w:r>
      <w:r w:rsidR="001D2A20">
        <w:rPr>
          <w:noProof/>
        </w:rPr>
      </w:r>
      <w:r w:rsidR="001D2A20">
        <w:rPr>
          <w:noProof/>
        </w:rPr>
        <w:fldChar w:fldCharType="separate"/>
      </w:r>
      <w:r w:rsidR="00B55438">
        <w:rPr>
          <w:noProof/>
        </w:rPr>
        <w:t>58</w:t>
      </w:r>
      <w:r w:rsidR="001D2A20">
        <w:rPr>
          <w:noProof/>
        </w:rPr>
        <w:fldChar w:fldCharType="end"/>
      </w:r>
    </w:p>
    <w:p w14:paraId="0AF40335" w14:textId="77777777" w:rsidR="001D2A20" w:rsidRDefault="00623079" w:rsidP="00350FA5">
      <w:pPr>
        <w:pStyle w:val="TM1"/>
        <w:rPr>
          <w:rFonts w:asciiTheme="minorHAnsi" w:eastAsiaTheme="minorEastAsia" w:hAnsiTheme="minorHAnsi"/>
          <w:noProof/>
          <w:sz w:val="22"/>
          <w:lang w:eastAsia="fr-FR"/>
        </w:rPr>
      </w:pPr>
      <w:r>
        <w:rPr>
          <w:noProof/>
        </w:rPr>
        <w:t>3</w:t>
      </w:r>
      <w:r w:rsidR="001D2A20">
        <w:rPr>
          <w:rFonts w:asciiTheme="minorHAnsi" w:eastAsiaTheme="minorEastAsia" w:hAnsiTheme="minorHAnsi"/>
          <w:noProof/>
          <w:sz w:val="22"/>
          <w:lang w:eastAsia="fr-FR"/>
        </w:rPr>
        <w:tab/>
      </w:r>
      <w:r w:rsidR="001D2A20">
        <w:rPr>
          <w:noProof/>
        </w:rPr>
        <w:t>La structure organisationnelle de la cimenterie Hamma Bouziane</w:t>
      </w:r>
      <w:r w:rsidR="001D2A20">
        <w:rPr>
          <w:noProof/>
        </w:rPr>
        <w:tab/>
      </w:r>
      <w:r w:rsidR="001D2A20">
        <w:rPr>
          <w:noProof/>
        </w:rPr>
        <w:fldChar w:fldCharType="begin"/>
      </w:r>
      <w:r w:rsidR="001D2A20">
        <w:rPr>
          <w:noProof/>
        </w:rPr>
        <w:instrText xml:space="preserve"> PAGEREF _Toc200825449 \h </w:instrText>
      </w:r>
      <w:r w:rsidR="001D2A20">
        <w:rPr>
          <w:noProof/>
        </w:rPr>
      </w:r>
      <w:r w:rsidR="001D2A20">
        <w:rPr>
          <w:noProof/>
        </w:rPr>
        <w:fldChar w:fldCharType="separate"/>
      </w:r>
      <w:r w:rsidR="00B55438">
        <w:rPr>
          <w:noProof/>
        </w:rPr>
        <w:t>62</w:t>
      </w:r>
      <w:r w:rsidR="001D2A20">
        <w:rPr>
          <w:noProof/>
        </w:rPr>
        <w:fldChar w:fldCharType="end"/>
      </w:r>
    </w:p>
    <w:p w14:paraId="4E2BC851" w14:textId="77777777" w:rsidR="001D2A20" w:rsidRDefault="00623079" w:rsidP="00350FA5">
      <w:pPr>
        <w:pStyle w:val="TM1"/>
        <w:rPr>
          <w:rFonts w:asciiTheme="minorHAnsi" w:eastAsiaTheme="minorEastAsia" w:hAnsiTheme="minorHAnsi"/>
          <w:noProof/>
          <w:sz w:val="22"/>
          <w:lang w:eastAsia="fr-FR"/>
        </w:rPr>
      </w:pPr>
      <w:r>
        <w:rPr>
          <w:noProof/>
          <w:lang w:eastAsia="fr-FR"/>
        </w:rPr>
        <w:t>4</w:t>
      </w:r>
      <w:r w:rsidR="001D2A20">
        <w:rPr>
          <w:rFonts w:asciiTheme="minorHAnsi" w:eastAsiaTheme="minorEastAsia" w:hAnsiTheme="minorHAnsi"/>
          <w:noProof/>
          <w:sz w:val="22"/>
          <w:lang w:eastAsia="fr-FR"/>
        </w:rPr>
        <w:tab/>
      </w:r>
      <w:r w:rsidR="001D2A20" w:rsidRPr="00F054BC">
        <w:rPr>
          <w:noProof/>
          <w:lang w:eastAsia="fr-FR"/>
        </w:rPr>
        <w:t>Service HSE (Hygiène, Sécurité, Environnement)</w:t>
      </w:r>
      <w:r w:rsidR="001D2A20">
        <w:rPr>
          <w:noProof/>
        </w:rPr>
        <w:tab/>
      </w:r>
      <w:r w:rsidR="001D2A20">
        <w:rPr>
          <w:noProof/>
        </w:rPr>
        <w:fldChar w:fldCharType="begin"/>
      </w:r>
      <w:r w:rsidR="001D2A20">
        <w:rPr>
          <w:noProof/>
        </w:rPr>
        <w:instrText xml:space="preserve"> PAGEREF _Toc200825452 \h </w:instrText>
      </w:r>
      <w:r w:rsidR="001D2A20">
        <w:rPr>
          <w:noProof/>
        </w:rPr>
      </w:r>
      <w:r w:rsidR="001D2A20">
        <w:rPr>
          <w:noProof/>
        </w:rPr>
        <w:fldChar w:fldCharType="separate"/>
      </w:r>
      <w:r w:rsidR="00B55438">
        <w:rPr>
          <w:noProof/>
        </w:rPr>
        <w:t>66</w:t>
      </w:r>
      <w:r w:rsidR="001D2A20">
        <w:rPr>
          <w:noProof/>
        </w:rPr>
        <w:fldChar w:fldCharType="end"/>
      </w:r>
    </w:p>
    <w:p w14:paraId="00B0B0E2" w14:textId="77777777" w:rsidR="001D2A20" w:rsidRDefault="00623079" w:rsidP="00350FA5">
      <w:pPr>
        <w:pStyle w:val="TM1"/>
        <w:rPr>
          <w:rFonts w:asciiTheme="minorHAnsi" w:eastAsiaTheme="minorEastAsia" w:hAnsiTheme="minorHAnsi"/>
          <w:noProof/>
          <w:sz w:val="22"/>
          <w:lang w:eastAsia="fr-FR"/>
        </w:rPr>
      </w:pPr>
      <w:r>
        <w:rPr>
          <w:noProof/>
          <w:lang w:eastAsia="fr-FR"/>
        </w:rPr>
        <w:t>5</w:t>
      </w:r>
      <w:r w:rsidR="001D2A20">
        <w:rPr>
          <w:rFonts w:asciiTheme="minorHAnsi" w:eastAsiaTheme="minorEastAsia" w:hAnsiTheme="minorHAnsi"/>
          <w:noProof/>
          <w:sz w:val="22"/>
          <w:lang w:eastAsia="fr-FR"/>
        </w:rPr>
        <w:tab/>
      </w:r>
      <w:r w:rsidR="001D2A20" w:rsidRPr="00F054BC">
        <w:rPr>
          <w:noProof/>
          <w:lang w:eastAsia="fr-FR"/>
        </w:rPr>
        <w:t>Communication externe et présence numérique</w:t>
      </w:r>
      <w:r w:rsidR="001D2A20">
        <w:rPr>
          <w:noProof/>
        </w:rPr>
        <w:tab/>
      </w:r>
      <w:r w:rsidR="001D2A20">
        <w:rPr>
          <w:noProof/>
        </w:rPr>
        <w:fldChar w:fldCharType="begin"/>
      </w:r>
      <w:r w:rsidR="001D2A20">
        <w:rPr>
          <w:noProof/>
        </w:rPr>
        <w:instrText xml:space="preserve"> PAGEREF _Toc200825453 \h </w:instrText>
      </w:r>
      <w:r w:rsidR="001D2A20">
        <w:rPr>
          <w:noProof/>
        </w:rPr>
      </w:r>
      <w:r w:rsidR="001D2A20">
        <w:rPr>
          <w:noProof/>
        </w:rPr>
        <w:fldChar w:fldCharType="separate"/>
      </w:r>
      <w:r w:rsidR="00B55438">
        <w:rPr>
          <w:noProof/>
        </w:rPr>
        <w:t>67</w:t>
      </w:r>
      <w:r w:rsidR="001D2A20">
        <w:rPr>
          <w:noProof/>
        </w:rPr>
        <w:fldChar w:fldCharType="end"/>
      </w:r>
    </w:p>
    <w:p w14:paraId="157E7F55" w14:textId="77777777" w:rsidR="001D2A20" w:rsidRDefault="00623079" w:rsidP="00623079">
      <w:pPr>
        <w:pStyle w:val="TM2"/>
        <w:rPr>
          <w:rFonts w:asciiTheme="minorHAnsi" w:eastAsiaTheme="minorEastAsia" w:hAnsiTheme="minorHAnsi"/>
          <w:noProof/>
          <w:sz w:val="22"/>
          <w:lang w:eastAsia="fr-FR"/>
        </w:rPr>
      </w:pPr>
      <w:r>
        <w:rPr>
          <w:noProof/>
        </w:rPr>
        <w:t>5</w:t>
      </w:r>
      <w:r w:rsidR="001D2A20">
        <w:rPr>
          <w:noProof/>
        </w:rPr>
        <w:t>.1</w:t>
      </w:r>
      <w:r w:rsidR="001D2A20">
        <w:rPr>
          <w:rFonts w:asciiTheme="minorHAnsi" w:eastAsiaTheme="minorEastAsia" w:hAnsiTheme="minorHAnsi"/>
          <w:noProof/>
          <w:sz w:val="22"/>
          <w:lang w:eastAsia="fr-FR"/>
        </w:rPr>
        <w:tab/>
      </w:r>
      <w:r w:rsidR="001D2A20">
        <w:rPr>
          <w:noProof/>
        </w:rPr>
        <w:t>Communication institutionnelle</w:t>
      </w:r>
      <w:r w:rsidR="001D2A20">
        <w:rPr>
          <w:noProof/>
        </w:rPr>
        <w:tab/>
      </w:r>
      <w:r w:rsidR="001D2A20">
        <w:rPr>
          <w:noProof/>
        </w:rPr>
        <w:fldChar w:fldCharType="begin"/>
      </w:r>
      <w:r w:rsidR="001D2A20">
        <w:rPr>
          <w:noProof/>
        </w:rPr>
        <w:instrText xml:space="preserve"> PAGEREF _Toc200825454 \h </w:instrText>
      </w:r>
      <w:r w:rsidR="001D2A20">
        <w:rPr>
          <w:noProof/>
        </w:rPr>
      </w:r>
      <w:r w:rsidR="001D2A20">
        <w:rPr>
          <w:noProof/>
        </w:rPr>
        <w:fldChar w:fldCharType="separate"/>
      </w:r>
      <w:r w:rsidR="00B55438">
        <w:rPr>
          <w:noProof/>
        </w:rPr>
        <w:t>67</w:t>
      </w:r>
      <w:r w:rsidR="001D2A20">
        <w:rPr>
          <w:noProof/>
        </w:rPr>
        <w:fldChar w:fldCharType="end"/>
      </w:r>
    </w:p>
    <w:p w14:paraId="30E7A052" w14:textId="77777777" w:rsidR="001D2A20" w:rsidRDefault="00623079" w:rsidP="00623079">
      <w:pPr>
        <w:pStyle w:val="TM2"/>
        <w:rPr>
          <w:rFonts w:asciiTheme="minorHAnsi" w:eastAsiaTheme="minorEastAsia" w:hAnsiTheme="minorHAnsi"/>
          <w:noProof/>
          <w:sz w:val="22"/>
          <w:lang w:eastAsia="fr-FR"/>
        </w:rPr>
      </w:pPr>
      <w:r>
        <w:rPr>
          <w:noProof/>
        </w:rPr>
        <w:t>5</w:t>
      </w:r>
      <w:r w:rsidR="001D2A20">
        <w:rPr>
          <w:noProof/>
        </w:rPr>
        <w:t>.2</w:t>
      </w:r>
      <w:r w:rsidR="001D2A20">
        <w:rPr>
          <w:rFonts w:asciiTheme="minorHAnsi" w:eastAsiaTheme="minorEastAsia" w:hAnsiTheme="minorHAnsi"/>
          <w:noProof/>
          <w:sz w:val="22"/>
          <w:lang w:eastAsia="fr-FR"/>
        </w:rPr>
        <w:tab/>
      </w:r>
      <w:r w:rsidR="001D2A20">
        <w:rPr>
          <w:noProof/>
        </w:rPr>
        <w:t>Présence sur les réseaux sociaux</w:t>
      </w:r>
      <w:r w:rsidR="001D2A20">
        <w:rPr>
          <w:noProof/>
        </w:rPr>
        <w:tab/>
      </w:r>
      <w:r w:rsidR="001D2A20">
        <w:rPr>
          <w:noProof/>
        </w:rPr>
        <w:fldChar w:fldCharType="begin"/>
      </w:r>
      <w:r w:rsidR="001D2A20">
        <w:rPr>
          <w:noProof/>
        </w:rPr>
        <w:instrText xml:space="preserve"> PAGEREF _Toc200825455 \h </w:instrText>
      </w:r>
      <w:r w:rsidR="001D2A20">
        <w:rPr>
          <w:noProof/>
        </w:rPr>
      </w:r>
      <w:r w:rsidR="001D2A20">
        <w:rPr>
          <w:noProof/>
        </w:rPr>
        <w:fldChar w:fldCharType="separate"/>
      </w:r>
      <w:r w:rsidR="00B55438">
        <w:rPr>
          <w:noProof/>
        </w:rPr>
        <w:t>67</w:t>
      </w:r>
      <w:r w:rsidR="001D2A20">
        <w:rPr>
          <w:noProof/>
        </w:rPr>
        <w:fldChar w:fldCharType="end"/>
      </w:r>
    </w:p>
    <w:p w14:paraId="40FE30DC" w14:textId="77777777" w:rsidR="001D2A20" w:rsidRDefault="00623079" w:rsidP="00623079">
      <w:pPr>
        <w:pStyle w:val="TM2"/>
        <w:rPr>
          <w:rFonts w:asciiTheme="minorHAnsi" w:eastAsiaTheme="minorEastAsia" w:hAnsiTheme="minorHAnsi"/>
          <w:noProof/>
          <w:sz w:val="22"/>
          <w:lang w:eastAsia="fr-FR"/>
        </w:rPr>
      </w:pPr>
      <w:r>
        <w:rPr>
          <w:noProof/>
        </w:rPr>
        <w:t>5</w:t>
      </w:r>
      <w:r w:rsidR="001D2A20">
        <w:rPr>
          <w:noProof/>
        </w:rPr>
        <w:t>.3</w:t>
      </w:r>
      <w:r w:rsidR="001D2A20">
        <w:rPr>
          <w:rFonts w:asciiTheme="minorHAnsi" w:eastAsiaTheme="minorEastAsia" w:hAnsiTheme="minorHAnsi"/>
          <w:noProof/>
          <w:sz w:val="22"/>
          <w:lang w:eastAsia="fr-FR"/>
        </w:rPr>
        <w:tab/>
      </w:r>
      <w:r w:rsidR="001D2A20">
        <w:rPr>
          <w:noProof/>
        </w:rPr>
        <w:t>Relations avec les parties prenantes locales</w:t>
      </w:r>
      <w:r w:rsidR="001D2A20">
        <w:rPr>
          <w:noProof/>
        </w:rPr>
        <w:tab/>
      </w:r>
      <w:r w:rsidR="001D2A20">
        <w:rPr>
          <w:noProof/>
        </w:rPr>
        <w:fldChar w:fldCharType="begin"/>
      </w:r>
      <w:r w:rsidR="001D2A20">
        <w:rPr>
          <w:noProof/>
        </w:rPr>
        <w:instrText xml:space="preserve"> PAGEREF _Toc200825456 \h </w:instrText>
      </w:r>
      <w:r w:rsidR="001D2A20">
        <w:rPr>
          <w:noProof/>
        </w:rPr>
      </w:r>
      <w:r w:rsidR="001D2A20">
        <w:rPr>
          <w:noProof/>
        </w:rPr>
        <w:fldChar w:fldCharType="separate"/>
      </w:r>
      <w:r w:rsidR="00B55438">
        <w:rPr>
          <w:noProof/>
        </w:rPr>
        <w:t>68</w:t>
      </w:r>
      <w:r w:rsidR="001D2A20">
        <w:rPr>
          <w:noProof/>
        </w:rPr>
        <w:fldChar w:fldCharType="end"/>
      </w:r>
    </w:p>
    <w:p w14:paraId="72A5398E" w14:textId="77777777" w:rsidR="001D2A20" w:rsidRDefault="001D2A20" w:rsidP="00350FA5">
      <w:pPr>
        <w:pStyle w:val="TM1"/>
        <w:rPr>
          <w:rFonts w:asciiTheme="minorHAnsi" w:eastAsiaTheme="minorEastAsia" w:hAnsiTheme="minorHAnsi"/>
          <w:noProof/>
          <w:sz w:val="22"/>
          <w:lang w:eastAsia="fr-FR"/>
        </w:rPr>
      </w:pPr>
      <w:r>
        <w:rPr>
          <w:noProof/>
          <w:lang w:eastAsia="fr-FR"/>
        </w:rPr>
        <w:t>Section 03: Présentation générale de l'établissement d'études</w:t>
      </w:r>
      <w:r>
        <w:rPr>
          <w:noProof/>
        </w:rPr>
        <w:tab/>
      </w:r>
      <w:r>
        <w:rPr>
          <w:noProof/>
        </w:rPr>
        <w:fldChar w:fldCharType="begin"/>
      </w:r>
      <w:r>
        <w:rPr>
          <w:noProof/>
        </w:rPr>
        <w:instrText xml:space="preserve"> PAGEREF _Toc200825457 \h </w:instrText>
      </w:r>
      <w:r>
        <w:rPr>
          <w:noProof/>
        </w:rPr>
      </w:r>
      <w:r>
        <w:rPr>
          <w:noProof/>
        </w:rPr>
        <w:fldChar w:fldCharType="separate"/>
      </w:r>
      <w:r w:rsidR="00B55438">
        <w:rPr>
          <w:noProof/>
        </w:rPr>
        <w:t>70</w:t>
      </w:r>
      <w:r>
        <w:rPr>
          <w:noProof/>
        </w:rPr>
        <w:fldChar w:fldCharType="end"/>
      </w:r>
    </w:p>
    <w:p w14:paraId="479DE5A3" w14:textId="77777777" w:rsidR="001D2A20" w:rsidRDefault="001D2A20" w:rsidP="00350FA5">
      <w:pPr>
        <w:pStyle w:val="TM1"/>
        <w:rPr>
          <w:rFonts w:asciiTheme="minorHAnsi" w:eastAsiaTheme="minorEastAsia" w:hAnsiTheme="minorHAnsi"/>
          <w:noProof/>
          <w:sz w:val="22"/>
          <w:lang w:eastAsia="fr-FR"/>
        </w:rPr>
      </w:pPr>
      <w:r w:rsidRPr="00F054BC">
        <w:rPr>
          <w:noProof/>
          <w:lang w:eastAsia="fr-FR"/>
        </w:rPr>
        <w:t>1</w:t>
      </w:r>
      <w:r>
        <w:rPr>
          <w:rFonts w:asciiTheme="minorHAnsi" w:eastAsiaTheme="minorEastAsia" w:hAnsiTheme="minorHAnsi"/>
          <w:noProof/>
          <w:sz w:val="22"/>
          <w:lang w:eastAsia="fr-FR"/>
        </w:rPr>
        <w:tab/>
      </w:r>
      <w:r w:rsidRPr="00F054BC">
        <w:rPr>
          <w:noProof/>
          <w:lang w:eastAsia="fr-FR"/>
        </w:rPr>
        <w:t>Méthodologie de l'étude sur le terrain</w:t>
      </w:r>
      <w:r>
        <w:rPr>
          <w:noProof/>
        </w:rPr>
        <w:tab/>
      </w:r>
      <w:r>
        <w:rPr>
          <w:noProof/>
        </w:rPr>
        <w:fldChar w:fldCharType="begin"/>
      </w:r>
      <w:r>
        <w:rPr>
          <w:noProof/>
        </w:rPr>
        <w:instrText xml:space="preserve"> PAGEREF _Toc200825458 \h </w:instrText>
      </w:r>
      <w:r>
        <w:rPr>
          <w:noProof/>
        </w:rPr>
      </w:r>
      <w:r>
        <w:rPr>
          <w:noProof/>
        </w:rPr>
        <w:fldChar w:fldCharType="separate"/>
      </w:r>
      <w:r w:rsidR="00B55438">
        <w:rPr>
          <w:noProof/>
        </w:rPr>
        <w:t>70</w:t>
      </w:r>
      <w:r>
        <w:rPr>
          <w:noProof/>
        </w:rPr>
        <w:fldChar w:fldCharType="end"/>
      </w:r>
    </w:p>
    <w:p w14:paraId="0F7F6B2B" w14:textId="77777777" w:rsidR="001D2A20" w:rsidRDefault="001D2A20" w:rsidP="00350FA5">
      <w:pPr>
        <w:pStyle w:val="TM1"/>
        <w:rPr>
          <w:rFonts w:asciiTheme="minorHAnsi" w:eastAsiaTheme="minorEastAsia" w:hAnsiTheme="minorHAnsi"/>
          <w:noProof/>
          <w:sz w:val="22"/>
          <w:lang w:eastAsia="fr-FR"/>
        </w:rPr>
      </w:pPr>
      <w:r w:rsidRPr="009E7A70">
        <w:rPr>
          <w:noProof/>
        </w:rPr>
        <w:t xml:space="preserve">Chapitre </w:t>
      </w:r>
      <w:r w:rsidR="009E7A70">
        <w:rPr>
          <w:noProof/>
        </w:rPr>
        <w:t>04</w:t>
      </w:r>
      <w:r w:rsidRPr="009E7A70">
        <w:rPr>
          <w:noProof/>
        </w:rPr>
        <w:t> : Méthodes et outils d’analyse statistique</w:t>
      </w:r>
      <w:r>
        <w:rPr>
          <w:noProof/>
        </w:rPr>
        <w:tab/>
      </w:r>
      <w:r>
        <w:rPr>
          <w:noProof/>
        </w:rPr>
        <w:fldChar w:fldCharType="begin"/>
      </w:r>
      <w:r>
        <w:rPr>
          <w:noProof/>
        </w:rPr>
        <w:instrText xml:space="preserve"> PAGEREF _Toc200825459 \h </w:instrText>
      </w:r>
      <w:r>
        <w:rPr>
          <w:noProof/>
        </w:rPr>
      </w:r>
      <w:r>
        <w:rPr>
          <w:noProof/>
        </w:rPr>
        <w:fldChar w:fldCharType="separate"/>
      </w:r>
      <w:r w:rsidR="00B55438">
        <w:rPr>
          <w:noProof/>
        </w:rPr>
        <w:t>74</w:t>
      </w:r>
      <w:r>
        <w:rPr>
          <w:noProof/>
        </w:rPr>
        <w:fldChar w:fldCharType="end"/>
      </w:r>
    </w:p>
    <w:p w14:paraId="263F1901" w14:textId="77777777" w:rsidR="001D2A20" w:rsidRDefault="001D2A20" w:rsidP="00350FA5">
      <w:pPr>
        <w:pStyle w:val="TM1"/>
        <w:rPr>
          <w:rFonts w:asciiTheme="minorHAnsi" w:eastAsiaTheme="minorEastAsia" w:hAnsiTheme="minorHAnsi"/>
          <w:noProof/>
          <w:sz w:val="22"/>
          <w:lang w:eastAsia="fr-FR"/>
        </w:rPr>
      </w:pPr>
      <w:r>
        <w:rPr>
          <w:noProof/>
          <w:lang w:eastAsia="fr-FR"/>
        </w:rPr>
        <w:t>Section 01 : Variables de l’étude</w:t>
      </w:r>
      <w:r>
        <w:rPr>
          <w:noProof/>
        </w:rPr>
        <w:tab/>
      </w:r>
      <w:r>
        <w:rPr>
          <w:noProof/>
        </w:rPr>
        <w:fldChar w:fldCharType="begin"/>
      </w:r>
      <w:r>
        <w:rPr>
          <w:noProof/>
        </w:rPr>
        <w:instrText xml:space="preserve"> PAGEREF _Toc200825460 \h </w:instrText>
      </w:r>
      <w:r>
        <w:rPr>
          <w:noProof/>
        </w:rPr>
      </w:r>
      <w:r>
        <w:rPr>
          <w:noProof/>
        </w:rPr>
        <w:fldChar w:fldCharType="separate"/>
      </w:r>
      <w:r w:rsidR="00B55438">
        <w:rPr>
          <w:noProof/>
        </w:rPr>
        <w:t>74</w:t>
      </w:r>
      <w:r>
        <w:rPr>
          <w:noProof/>
        </w:rPr>
        <w:fldChar w:fldCharType="end"/>
      </w:r>
    </w:p>
    <w:p w14:paraId="5DAF00AC" w14:textId="77777777" w:rsidR="001D2A20" w:rsidRDefault="001D2A20" w:rsidP="00350FA5">
      <w:pPr>
        <w:pStyle w:val="TM1"/>
        <w:rPr>
          <w:rFonts w:asciiTheme="minorHAnsi" w:eastAsiaTheme="minorEastAsia" w:hAnsiTheme="minorHAnsi"/>
          <w:noProof/>
          <w:sz w:val="22"/>
          <w:lang w:eastAsia="fr-FR"/>
        </w:rPr>
      </w:pPr>
      <w:r>
        <w:rPr>
          <w:noProof/>
        </w:rPr>
        <w:t>Section 02 : Méthodes d'analyse statistique</w:t>
      </w:r>
      <w:r>
        <w:rPr>
          <w:noProof/>
        </w:rPr>
        <w:tab/>
      </w:r>
      <w:r>
        <w:rPr>
          <w:noProof/>
        </w:rPr>
        <w:fldChar w:fldCharType="begin"/>
      </w:r>
      <w:r>
        <w:rPr>
          <w:noProof/>
        </w:rPr>
        <w:instrText xml:space="preserve"> PAGEREF _Toc200825461 \h </w:instrText>
      </w:r>
      <w:r>
        <w:rPr>
          <w:noProof/>
        </w:rPr>
      </w:r>
      <w:r>
        <w:rPr>
          <w:noProof/>
        </w:rPr>
        <w:fldChar w:fldCharType="separate"/>
      </w:r>
      <w:r w:rsidR="00B55438">
        <w:rPr>
          <w:noProof/>
        </w:rPr>
        <w:t>76</w:t>
      </w:r>
      <w:r>
        <w:rPr>
          <w:noProof/>
        </w:rPr>
        <w:fldChar w:fldCharType="end"/>
      </w:r>
    </w:p>
    <w:p w14:paraId="1DB9A100" w14:textId="77777777" w:rsidR="001D2A20" w:rsidRDefault="001D2A20" w:rsidP="00350FA5">
      <w:pPr>
        <w:pStyle w:val="TM1"/>
        <w:rPr>
          <w:rFonts w:asciiTheme="minorHAnsi" w:eastAsiaTheme="minorEastAsia" w:hAnsiTheme="minorHAnsi"/>
          <w:noProof/>
          <w:sz w:val="22"/>
          <w:lang w:eastAsia="fr-FR"/>
        </w:rPr>
      </w:pPr>
      <w:r>
        <w:rPr>
          <w:noProof/>
        </w:rPr>
        <w:t>Section 03 : Analyse des données de l’étude</w:t>
      </w:r>
      <w:r>
        <w:rPr>
          <w:noProof/>
        </w:rPr>
        <w:tab/>
      </w:r>
      <w:r>
        <w:rPr>
          <w:noProof/>
        </w:rPr>
        <w:fldChar w:fldCharType="begin"/>
      </w:r>
      <w:r>
        <w:rPr>
          <w:noProof/>
        </w:rPr>
        <w:instrText xml:space="preserve"> PAGEREF _Toc200825462 \h </w:instrText>
      </w:r>
      <w:r>
        <w:rPr>
          <w:noProof/>
        </w:rPr>
      </w:r>
      <w:r>
        <w:rPr>
          <w:noProof/>
        </w:rPr>
        <w:fldChar w:fldCharType="separate"/>
      </w:r>
      <w:r w:rsidR="00B55438">
        <w:rPr>
          <w:noProof/>
        </w:rPr>
        <w:t>81</w:t>
      </w:r>
      <w:r>
        <w:rPr>
          <w:noProof/>
        </w:rPr>
        <w:fldChar w:fldCharType="end"/>
      </w:r>
    </w:p>
    <w:p w14:paraId="756240A8" w14:textId="77777777" w:rsidR="001D2A20" w:rsidRDefault="001D2A20" w:rsidP="00350FA5">
      <w:pPr>
        <w:pStyle w:val="TM1"/>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Les données générales des individus :</w:t>
      </w:r>
      <w:r>
        <w:rPr>
          <w:noProof/>
        </w:rPr>
        <w:tab/>
      </w:r>
      <w:r>
        <w:rPr>
          <w:noProof/>
        </w:rPr>
        <w:fldChar w:fldCharType="begin"/>
      </w:r>
      <w:r>
        <w:rPr>
          <w:noProof/>
        </w:rPr>
        <w:instrText xml:space="preserve"> PAGEREF _Toc200825463 \h </w:instrText>
      </w:r>
      <w:r>
        <w:rPr>
          <w:noProof/>
        </w:rPr>
      </w:r>
      <w:r>
        <w:rPr>
          <w:noProof/>
        </w:rPr>
        <w:fldChar w:fldCharType="separate"/>
      </w:r>
      <w:r w:rsidR="00B55438">
        <w:rPr>
          <w:noProof/>
        </w:rPr>
        <w:t>81</w:t>
      </w:r>
      <w:r>
        <w:rPr>
          <w:noProof/>
        </w:rPr>
        <w:fldChar w:fldCharType="end"/>
      </w:r>
    </w:p>
    <w:p w14:paraId="55576E0F" w14:textId="77777777" w:rsidR="001D2A20" w:rsidRDefault="001D2A20" w:rsidP="00623079">
      <w:pPr>
        <w:pStyle w:val="TM2"/>
        <w:rPr>
          <w:rFonts w:asciiTheme="minorHAnsi" w:eastAsiaTheme="minorEastAsia" w:hAnsiTheme="minorHAnsi"/>
          <w:noProof/>
          <w:sz w:val="22"/>
          <w:lang w:eastAsia="fr-FR"/>
        </w:rPr>
      </w:pPr>
      <w:r>
        <w:rPr>
          <w:noProof/>
        </w:rPr>
        <w:t>1.1</w:t>
      </w:r>
      <w:r>
        <w:rPr>
          <w:rFonts w:asciiTheme="minorHAnsi" w:eastAsiaTheme="minorEastAsia" w:hAnsiTheme="minorHAnsi"/>
          <w:noProof/>
          <w:sz w:val="22"/>
          <w:lang w:eastAsia="fr-FR"/>
        </w:rPr>
        <w:tab/>
      </w:r>
      <w:r>
        <w:rPr>
          <w:noProof/>
        </w:rPr>
        <w:t>Répartition de l’échantillon de recherche selon l’âge :</w:t>
      </w:r>
      <w:r>
        <w:rPr>
          <w:noProof/>
        </w:rPr>
        <w:tab/>
      </w:r>
      <w:r>
        <w:rPr>
          <w:noProof/>
        </w:rPr>
        <w:fldChar w:fldCharType="begin"/>
      </w:r>
      <w:r>
        <w:rPr>
          <w:noProof/>
        </w:rPr>
        <w:instrText xml:space="preserve"> PAGEREF _Toc200825464 \h </w:instrText>
      </w:r>
      <w:r>
        <w:rPr>
          <w:noProof/>
        </w:rPr>
      </w:r>
      <w:r>
        <w:rPr>
          <w:noProof/>
        </w:rPr>
        <w:fldChar w:fldCharType="separate"/>
      </w:r>
      <w:r w:rsidR="00B55438">
        <w:rPr>
          <w:noProof/>
        </w:rPr>
        <w:t>81</w:t>
      </w:r>
      <w:r>
        <w:rPr>
          <w:noProof/>
        </w:rPr>
        <w:fldChar w:fldCharType="end"/>
      </w:r>
    </w:p>
    <w:p w14:paraId="16260733" w14:textId="77777777" w:rsidR="001D2A20" w:rsidRDefault="001D2A20" w:rsidP="00623079">
      <w:pPr>
        <w:pStyle w:val="TM2"/>
        <w:rPr>
          <w:rFonts w:asciiTheme="minorHAnsi" w:eastAsiaTheme="minorEastAsia" w:hAnsiTheme="minorHAnsi"/>
          <w:noProof/>
          <w:sz w:val="22"/>
          <w:lang w:eastAsia="fr-FR"/>
        </w:rPr>
      </w:pPr>
      <w:r>
        <w:rPr>
          <w:noProof/>
        </w:rPr>
        <w:t>1.2</w:t>
      </w:r>
      <w:r>
        <w:rPr>
          <w:rFonts w:asciiTheme="minorHAnsi" w:eastAsiaTheme="minorEastAsia" w:hAnsiTheme="minorHAnsi"/>
          <w:noProof/>
          <w:sz w:val="22"/>
          <w:lang w:eastAsia="fr-FR"/>
        </w:rPr>
        <w:tab/>
      </w:r>
      <w:r>
        <w:rPr>
          <w:noProof/>
        </w:rPr>
        <w:t>Répartition de l’échantillon selon le genre :</w:t>
      </w:r>
      <w:r>
        <w:rPr>
          <w:noProof/>
        </w:rPr>
        <w:tab/>
      </w:r>
      <w:r>
        <w:rPr>
          <w:noProof/>
        </w:rPr>
        <w:fldChar w:fldCharType="begin"/>
      </w:r>
      <w:r>
        <w:rPr>
          <w:noProof/>
        </w:rPr>
        <w:instrText xml:space="preserve"> PAGEREF _Toc200825465 \h </w:instrText>
      </w:r>
      <w:r>
        <w:rPr>
          <w:noProof/>
        </w:rPr>
      </w:r>
      <w:r>
        <w:rPr>
          <w:noProof/>
        </w:rPr>
        <w:fldChar w:fldCharType="separate"/>
      </w:r>
      <w:r w:rsidR="00B55438">
        <w:rPr>
          <w:noProof/>
        </w:rPr>
        <w:t>82</w:t>
      </w:r>
      <w:r>
        <w:rPr>
          <w:noProof/>
        </w:rPr>
        <w:fldChar w:fldCharType="end"/>
      </w:r>
    </w:p>
    <w:p w14:paraId="4BEEE985" w14:textId="77777777" w:rsidR="001D2A20" w:rsidRDefault="001D2A20" w:rsidP="00623079">
      <w:pPr>
        <w:pStyle w:val="TM2"/>
        <w:rPr>
          <w:rFonts w:asciiTheme="minorHAnsi" w:eastAsiaTheme="minorEastAsia" w:hAnsiTheme="minorHAnsi"/>
          <w:noProof/>
          <w:sz w:val="22"/>
          <w:lang w:eastAsia="fr-FR"/>
        </w:rPr>
      </w:pPr>
      <w:r>
        <w:rPr>
          <w:noProof/>
        </w:rPr>
        <w:t>1.3</w:t>
      </w:r>
      <w:r>
        <w:rPr>
          <w:rFonts w:asciiTheme="minorHAnsi" w:eastAsiaTheme="minorEastAsia" w:hAnsiTheme="minorHAnsi"/>
          <w:noProof/>
          <w:sz w:val="22"/>
          <w:lang w:eastAsia="fr-FR"/>
        </w:rPr>
        <w:tab/>
      </w:r>
      <w:r>
        <w:rPr>
          <w:noProof/>
        </w:rPr>
        <w:t>Répartition de l’échantillon selon le niveau d’étude</w:t>
      </w:r>
      <w:r>
        <w:rPr>
          <w:noProof/>
        </w:rPr>
        <w:tab/>
      </w:r>
      <w:r>
        <w:rPr>
          <w:noProof/>
        </w:rPr>
        <w:fldChar w:fldCharType="begin"/>
      </w:r>
      <w:r>
        <w:rPr>
          <w:noProof/>
        </w:rPr>
        <w:instrText xml:space="preserve"> PAGEREF _Toc200825466 \h </w:instrText>
      </w:r>
      <w:r>
        <w:rPr>
          <w:noProof/>
        </w:rPr>
      </w:r>
      <w:r>
        <w:rPr>
          <w:noProof/>
        </w:rPr>
        <w:fldChar w:fldCharType="separate"/>
      </w:r>
      <w:r w:rsidR="00B55438">
        <w:rPr>
          <w:noProof/>
        </w:rPr>
        <w:t>84</w:t>
      </w:r>
      <w:r>
        <w:rPr>
          <w:noProof/>
        </w:rPr>
        <w:fldChar w:fldCharType="end"/>
      </w:r>
    </w:p>
    <w:p w14:paraId="278183C9" w14:textId="77777777" w:rsidR="001D2A20" w:rsidRDefault="001D2A20" w:rsidP="00623079">
      <w:pPr>
        <w:pStyle w:val="TM2"/>
        <w:rPr>
          <w:rFonts w:asciiTheme="minorHAnsi" w:eastAsiaTheme="minorEastAsia" w:hAnsiTheme="minorHAnsi"/>
          <w:noProof/>
          <w:sz w:val="22"/>
          <w:lang w:eastAsia="fr-FR"/>
        </w:rPr>
      </w:pPr>
      <w:r>
        <w:rPr>
          <w:noProof/>
        </w:rPr>
        <w:t>1.4</w:t>
      </w:r>
      <w:r>
        <w:rPr>
          <w:rFonts w:asciiTheme="minorHAnsi" w:eastAsiaTheme="minorEastAsia" w:hAnsiTheme="minorHAnsi"/>
          <w:noProof/>
          <w:sz w:val="22"/>
          <w:lang w:eastAsia="fr-FR"/>
        </w:rPr>
        <w:tab/>
      </w:r>
      <w:r>
        <w:rPr>
          <w:noProof/>
        </w:rPr>
        <w:t>Répartition de l’échantillon selon le profil des répondants : Client(e) ou Voisin(e) de GICA</w:t>
      </w:r>
      <w:r>
        <w:rPr>
          <w:noProof/>
        </w:rPr>
        <w:tab/>
      </w:r>
      <w:r>
        <w:rPr>
          <w:noProof/>
        </w:rPr>
        <w:fldChar w:fldCharType="begin"/>
      </w:r>
      <w:r>
        <w:rPr>
          <w:noProof/>
        </w:rPr>
        <w:instrText xml:space="preserve"> PAGEREF _Toc200825467 \h </w:instrText>
      </w:r>
      <w:r>
        <w:rPr>
          <w:noProof/>
        </w:rPr>
      </w:r>
      <w:r>
        <w:rPr>
          <w:noProof/>
        </w:rPr>
        <w:fldChar w:fldCharType="separate"/>
      </w:r>
      <w:r w:rsidR="00B55438">
        <w:rPr>
          <w:noProof/>
        </w:rPr>
        <w:t>85</w:t>
      </w:r>
      <w:r>
        <w:rPr>
          <w:noProof/>
        </w:rPr>
        <w:fldChar w:fldCharType="end"/>
      </w:r>
    </w:p>
    <w:p w14:paraId="2EA98226" w14:textId="77777777" w:rsidR="001D2A20" w:rsidRDefault="001D2A20" w:rsidP="00623079">
      <w:pPr>
        <w:pStyle w:val="TM2"/>
        <w:rPr>
          <w:rFonts w:asciiTheme="minorHAnsi" w:eastAsiaTheme="minorEastAsia" w:hAnsiTheme="minorHAnsi"/>
          <w:noProof/>
          <w:sz w:val="22"/>
          <w:lang w:eastAsia="fr-FR"/>
        </w:rPr>
      </w:pPr>
      <w:r w:rsidRPr="00F054BC">
        <w:rPr>
          <w:noProof/>
        </w:rPr>
        <w:t>1.5</w:t>
      </w:r>
      <w:r>
        <w:rPr>
          <w:rFonts w:asciiTheme="minorHAnsi" w:eastAsiaTheme="minorEastAsia" w:hAnsiTheme="minorHAnsi"/>
          <w:noProof/>
          <w:sz w:val="22"/>
          <w:lang w:eastAsia="fr-FR"/>
        </w:rPr>
        <w:tab/>
      </w:r>
      <w:r>
        <w:rPr>
          <w:noProof/>
        </w:rPr>
        <w:t>Répartition de l’échantillon selon la durée depuis laquelle les répondants connaissent GICA :</w:t>
      </w:r>
      <w:r>
        <w:rPr>
          <w:noProof/>
        </w:rPr>
        <w:tab/>
      </w:r>
      <w:r>
        <w:rPr>
          <w:noProof/>
        </w:rPr>
        <w:fldChar w:fldCharType="begin"/>
      </w:r>
      <w:r>
        <w:rPr>
          <w:noProof/>
        </w:rPr>
        <w:instrText xml:space="preserve"> PAGEREF _Toc200825468 \h </w:instrText>
      </w:r>
      <w:r>
        <w:rPr>
          <w:noProof/>
        </w:rPr>
      </w:r>
      <w:r>
        <w:rPr>
          <w:noProof/>
        </w:rPr>
        <w:fldChar w:fldCharType="separate"/>
      </w:r>
      <w:r w:rsidR="00B55438">
        <w:rPr>
          <w:noProof/>
        </w:rPr>
        <w:t>86</w:t>
      </w:r>
      <w:r>
        <w:rPr>
          <w:noProof/>
        </w:rPr>
        <w:fldChar w:fldCharType="end"/>
      </w:r>
    </w:p>
    <w:p w14:paraId="37F2B443" w14:textId="77777777" w:rsidR="001D2A20" w:rsidRDefault="001D2A20" w:rsidP="00350FA5">
      <w:pPr>
        <w:pStyle w:val="TM1"/>
        <w:rPr>
          <w:rFonts w:asciiTheme="minorHAnsi" w:eastAsiaTheme="minorEastAsia" w:hAnsiTheme="minorHAnsi"/>
          <w:noProof/>
          <w:sz w:val="22"/>
          <w:lang w:eastAsia="fr-FR"/>
        </w:rPr>
      </w:pPr>
      <w:r>
        <w:rPr>
          <w:noProof/>
        </w:rPr>
        <w:lastRenderedPageBreak/>
        <w:t>2</w:t>
      </w:r>
      <w:r>
        <w:rPr>
          <w:rFonts w:asciiTheme="minorHAnsi" w:eastAsiaTheme="minorEastAsia" w:hAnsiTheme="minorHAnsi"/>
          <w:noProof/>
          <w:sz w:val="22"/>
          <w:lang w:eastAsia="fr-FR"/>
        </w:rPr>
        <w:tab/>
      </w:r>
      <w:r>
        <w:rPr>
          <w:noProof/>
        </w:rPr>
        <w:t>Analyse des données concernant la partie Greenwashing :</w:t>
      </w:r>
      <w:r>
        <w:rPr>
          <w:noProof/>
        </w:rPr>
        <w:tab/>
      </w:r>
      <w:r>
        <w:rPr>
          <w:noProof/>
        </w:rPr>
        <w:fldChar w:fldCharType="begin"/>
      </w:r>
      <w:r>
        <w:rPr>
          <w:noProof/>
        </w:rPr>
        <w:instrText xml:space="preserve"> PAGEREF _Toc200825469 \h </w:instrText>
      </w:r>
      <w:r>
        <w:rPr>
          <w:noProof/>
        </w:rPr>
      </w:r>
      <w:r>
        <w:rPr>
          <w:noProof/>
        </w:rPr>
        <w:fldChar w:fldCharType="separate"/>
      </w:r>
      <w:r w:rsidR="00B55438">
        <w:rPr>
          <w:noProof/>
        </w:rPr>
        <w:t>87</w:t>
      </w:r>
      <w:r>
        <w:rPr>
          <w:noProof/>
        </w:rPr>
        <w:fldChar w:fldCharType="end"/>
      </w:r>
    </w:p>
    <w:p w14:paraId="74FA3A9D" w14:textId="77777777" w:rsidR="001D2A20" w:rsidRDefault="001D2A20" w:rsidP="00623079">
      <w:pPr>
        <w:pStyle w:val="TM2"/>
        <w:rPr>
          <w:rFonts w:asciiTheme="minorHAnsi" w:eastAsiaTheme="minorEastAsia" w:hAnsiTheme="minorHAnsi"/>
          <w:noProof/>
          <w:sz w:val="22"/>
          <w:lang w:eastAsia="fr-FR"/>
        </w:rPr>
      </w:pPr>
      <w:r>
        <w:rPr>
          <w:noProof/>
        </w:rPr>
        <w:t>2.1</w:t>
      </w:r>
      <w:r>
        <w:rPr>
          <w:rFonts w:asciiTheme="minorHAnsi" w:eastAsiaTheme="minorEastAsia" w:hAnsiTheme="minorHAnsi"/>
          <w:noProof/>
          <w:sz w:val="22"/>
          <w:lang w:eastAsia="fr-FR"/>
        </w:rPr>
        <w:tab/>
      </w:r>
      <w:r>
        <w:rPr>
          <w:noProof/>
        </w:rPr>
        <w:t>La fiabilité de l’axe :</w:t>
      </w:r>
      <w:r>
        <w:rPr>
          <w:noProof/>
        </w:rPr>
        <w:tab/>
      </w:r>
      <w:r>
        <w:rPr>
          <w:noProof/>
        </w:rPr>
        <w:fldChar w:fldCharType="begin"/>
      </w:r>
      <w:r>
        <w:rPr>
          <w:noProof/>
        </w:rPr>
        <w:instrText xml:space="preserve"> PAGEREF _Toc200825470 \h </w:instrText>
      </w:r>
      <w:r>
        <w:rPr>
          <w:noProof/>
        </w:rPr>
      </w:r>
      <w:r>
        <w:rPr>
          <w:noProof/>
        </w:rPr>
        <w:fldChar w:fldCharType="separate"/>
      </w:r>
      <w:r w:rsidR="00B55438">
        <w:rPr>
          <w:noProof/>
        </w:rPr>
        <w:t>87</w:t>
      </w:r>
      <w:r>
        <w:rPr>
          <w:noProof/>
        </w:rPr>
        <w:fldChar w:fldCharType="end"/>
      </w:r>
    </w:p>
    <w:p w14:paraId="3EA795CB" w14:textId="77777777" w:rsidR="001D2A20" w:rsidRDefault="001D2A20" w:rsidP="00623079">
      <w:pPr>
        <w:pStyle w:val="TM2"/>
        <w:rPr>
          <w:rFonts w:asciiTheme="minorHAnsi" w:eastAsiaTheme="minorEastAsia" w:hAnsiTheme="minorHAnsi"/>
          <w:noProof/>
          <w:sz w:val="22"/>
          <w:lang w:eastAsia="fr-FR"/>
        </w:rPr>
      </w:pPr>
      <w:r>
        <w:rPr>
          <w:noProof/>
        </w:rPr>
        <w:t>2.2</w:t>
      </w:r>
      <w:r>
        <w:rPr>
          <w:rFonts w:asciiTheme="minorHAnsi" w:eastAsiaTheme="minorEastAsia" w:hAnsiTheme="minorHAnsi"/>
          <w:noProof/>
          <w:sz w:val="22"/>
          <w:lang w:eastAsia="fr-FR"/>
        </w:rPr>
        <w:tab/>
      </w:r>
      <w:r>
        <w:rPr>
          <w:noProof/>
        </w:rPr>
        <w:t>Analyse de distribution des résultats de premier axe</w:t>
      </w:r>
      <w:r>
        <w:rPr>
          <w:noProof/>
        </w:rPr>
        <w:tab/>
      </w:r>
      <w:r>
        <w:rPr>
          <w:noProof/>
        </w:rPr>
        <w:fldChar w:fldCharType="begin"/>
      </w:r>
      <w:r>
        <w:rPr>
          <w:noProof/>
        </w:rPr>
        <w:instrText xml:space="preserve"> PAGEREF _Toc200825471 \h </w:instrText>
      </w:r>
      <w:r>
        <w:rPr>
          <w:noProof/>
        </w:rPr>
      </w:r>
      <w:r>
        <w:rPr>
          <w:noProof/>
        </w:rPr>
        <w:fldChar w:fldCharType="separate"/>
      </w:r>
      <w:r w:rsidR="00B55438">
        <w:rPr>
          <w:noProof/>
        </w:rPr>
        <w:t>88</w:t>
      </w:r>
      <w:r>
        <w:rPr>
          <w:noProof/>
        </w:rPr>
        <w:fldChar w:fldCharType="end"/>
      </w:r>
    </w:p>
    <w:p w14:paraId="3E2A50DB"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2.2.1</w:t>
      </w:r>
      <w:r>
        <w:rPr>
          <w:rFonts w:asciiTheme="minorHAnsi" w:eastAsiaTheme="minorEastAsia" w:hAnsiTheme="minorHAnsi"/>
          <w:noProof/>
          <w:sz w:val="22"/>
          <w:lang w:eastAsia="fr-FR"/>
        </w:rPr>
        <w:tab/>
      </w:r>
      <w:r>
        <w:rPr>
          <w:noProof/>
        </w:rPr>
        <w:t>Analyse de la première dimension</w:t>
      </w:r>
      <w:r>
        <w:rPr>
          <w:noProof/>
        </w:rPr>
        <w:tab/>
      </w:r>
      <w:r>
        <w:rPr>
          <w:noProof/>
        </w:rPr>
        <w:fldChar w:fldCharType="begin"/>
      </w:r>
      <w:r>
        <w:rPr>
          <w:noProof/>
        </w:rPr>
        <w:instrText xml:space="preserve"> PAGEREF _Toc200825472 \h </w:instrText>
      </w:r>
      <w:r>
        <w:rPr>
          <w:noProof/>
        </w:rPr>
      </w:r>
      <w:r>
        <w:rPr>
          <w:noProof/>
        </w:rPr>
        <w:fldChar w:fldCharType="separate"/>
      </w:r>
      <w:r w:rsidR="00B55438">
        <w:rPr>
          <w:noProof/>
        </w:rPr>
        <w:t>88</w:t>
      </w:r>
      <w:r>
        <w:rPr>
          <w:noProof/>
        </w:rPr>
        <w:fldChar w:fldCharType="end"/>
      </w:r>
    </w:p>
    <w:p w14:paraId="786CBFA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2.2.2</w:t>
      </w:r>
      <w:r>
        <w:rPr>
          <w:rFonts w:asciiTheme="minorHAnsi" w:eastAsiaTheme="minorEastAsia" w:hAnsiTheme="minorHAnsi"/>
          <w:noProof/>
          <w:sz w:val="22"/>
          <w:lang w:eastAsia="fr-FR"/>
        </w:rPr>
        <w:tab/>
      </w:r>
      <w:r>
        <w:rPr>
          <w:noProof/>
        </w:rPr>
        <w:t>Analyse de la deuxième dimension :</w:t>
      </w:r>
      <w:r>
        <w:rPr>
          <w:noProof/>
        </w:rPr>
        <w:tab/>
      </w:r>
      <w:r>
        <w:rPr>
          <w:noProof/>
        </w:rPr>
        <w:fldChar w:fldCharType="begin"/>
      </w:r>
      <w:r>
        <w:rPr>
          <w:noProof/>
        </w:rPr>
        <w:instrText xml:space="preserve"> PAGEREF _Toc200825473 \h </w:instrText>
      </w:r>
      <w:r>
        <w:rPr>
          <w:noProof/>
        </w:rPr>
      </w:r>
      <w:r>
        <w:rPr>
          <w:noProof/>
        </w:rPr>
        <w:fldChar w:fldCharType="separate"/>
      </w:r>
      <w:r w:rsidR="00B55438">
        <w:rPr>
          <w:noProof/>
        </w:rPr>
        <w:t>90</w:t>
      </w:r>
      <w:r>
        <w:rPr>
          <w:noProof/>
        </w:rPr>
        <w:fldChar w:fldCharType="end"/>
      </w:r>
    </w:p>
    <w:p w14:paraId="7F01E25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2.2.3</w:t>
      </w:r>
      <w:r>
        <w:rPr>
          <w:rFonts w:asciiTheme="minorHAnsi" w:eastAsiaTheme="minorEastAsia" w:hAnsiTheme="minorHAnsi"/>
          <w:noProof/>
          <w:sz w:val="22"/>
          <w:lang w:eastAsia="fr-FR"/>
        </w:rPr>
        <w:tab/>
      </w:r>
      <w:r>
        <w:rPr>
          <w:noProof/>
        </w:rPr>
        <w:t>Analyse de la troisième dimension :</w:t>
      </w:r>
      <w:r>
        <w:rPr>
          <w:noProof/>
        </w:rPr>
        <w:tab/>
      </w:r>
      <w:r>
        <w:rPr>
          <w:noProof/>
        </w:rPr>
        <w:fldChar w:fldCharType="begin"/>
      </w:r>
      <w:r>
        <w:rPr>
          <w:noProof/>
        </w:rPr>
        <w:instrText xml:space="preserve"> PAGEREF _Toc200825474 \h </w:instrText>
      </w:r>
      <w:r>
        <w:rPr>
          <w:noProof/>
        </w:rPr>
      </w:r>
      <w:r>
        <w:rPr>
          <w:noProof/>
        </w:rPr>
        <w:fldChar w:fldCharType="separate"/>
      </w:r>
      <w:r w:rsidR="00B55438">
        <w:rPr>
          <w:noProof/>
        </w:rPr>
        <w:t>93</w:t>
      </w:r>
      <w:r>
        <w:rPr>
          <w:noProof/>
        </w:rPr>
        <w:fldChar w:fldCharType="end"/>
      </w:r>
    </w:p>
    <w:p w14:paraId="065591CE"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2.2.4</w:t>
      </w:r>
      <w:r>
        <w:rPr>
          <w:rFonts w:asciiTheme="minorHAnsi" w:eastAsiaTheme="minorEastAsia" w:hAnsiTheme="minorHAnsi"/>
          <w:noProof/>
          <w:sz w:val="22"/>
          <w:lang w:eastAsia="fr-FR"/>
        </w:rPr>
        <w:tab/>
      </w:r>
      <w:r>
        <w:rPr>
          <w:noProof/>
        </w:rPr>
        <w:t>Analyse de l’axe :</w:t>
      </w:r>
      <w:r>
        <w:rPr>
          <w:noProof/>
        </w:rPr>
        <w:tab/>
      </w:r>
      <w:r>
        <w:rPr>
          <w:noProof/>
        </w:rPr>
        <w:fldChar w:fldCharType="begin"/>
      </w:r>
      <w:r>
        <w:rPr>
          <w:noProof/>
        </w:rPr>
        <w:instrText xml:space="preserve"> PAGEREF _Toc200825475 \h </w:instrText>
      </w:r>
      <w:r>
        <w:rPr>
          <w:noProof/>
        </w:rPr>
      </w:r>
      <w:r>
        <w:rPr>
          <w:noProof/>
        </w:rPr>
        <w:fldChar w:fldCharType="separate"/>
      </w:r>
      <w:r w:rsidR="00B55438">
        <w:rPr>
          <w:noProof/>
        </w:rPr>
        <w:t>94</w:t>
      </w:r>
      <w:r>
        <w:rPr>
          <w:noProof/>
        </w:rPr>
        <w:fldChar w:fldCharType="end"/>
      </w:r>
    </w:p>
    <w:p w14:paraId="1BC75019" w14:textId="77777777" w:rsidR="001D2A20" w:rsidRDefault="001D2A20" w:rsidP="00350FA5">
      <w:pPr>
        <w:pStyle w:val="TM1"/>
        <w:rPr>
          <w:rFonts w:asciiTheme="minorHAnsi" w:eastAsiaTheme="minorEastAsia" w:hAnsiTheme="minorHAnsi"/>
          <w:noProof/>
          <w:sz w:val="22"/>
          <w:lang w:eastAsia="fr-FR"/>
        </w:rPr>
      </w:pPr>
      <w:r>
        <w:rPr>
          <w:noProof/>
        </w:rPr>
        <w:t>3</w:t>
      </w:r>
      <w:r>
        <w:rPr>
          <w:rFonts w:asciiTheme="minorHAnsi" w:eastAsiaTheme="minorEastAsia" w:hAnsiTheme="minorHAnsi"/>
          <w:noProof/>
          <w:sz w:val="22"/>
          <w:lang w:eastAsia="fr-FR"/>
        </w:rPr>
        <w:tab/>
      </w:r>
      <w:r>
        <w:rPr>
          <w:noProof/>
        </w:rPr>
        <w:t>Analyse des données concernant la partie Image de marque :</w:t>
      </w:r>
      <w:r>
        <w:rPr>
          <w:noProof/>
        </w:rPr>
        <w:tab/>
      </w:r>
      <w:r>
        <w:rPr>
          <w:noProof/>
        </w:rPr>
        <w:fldChar w:fldCharType="begin"/>
      </w:r>
      <w:r>
        <w:rPr>
          <w:noProof/>
        </w:rPr>
        <w:instrText xml:space="preserve"> PAGEREF _Toc200825476 \h </w:instrText>
      </w:r>
      <w:r>
        <w:rPr>
          <w:noProof/>
        </w:rPr>
      </w:r>
      <w:r>
        <w:rPr>
          <w:noProof/>
        </w:rPr>
        <w:fldChar w:fldCharType="separate"/>
      </w:r>
      <w:r w:rsidR="00B55438">
        <w:rPr>
          <w:noProof/>
        </w:rPr>
        <w:t>95</w:t>
      </w:r>
      <w:r>
        <w:rPr>
          <w:noProof/>
        </w:rPr>
        <w:fldChar w:fldCharType="end"/>
      </w:r>
    </w:p>
    <w:p w14:paraId="485894C4" w14:textId="77777777" w:rsidR="001D2A20" w:rsidRDefault="001D2A20" w:rsidP="00623079">
      <w:pPr>
        <w:pStyle w:val="TM2"/>
        <w:rPr>
          <w:rFonts w:asciiTheme="minorHAnsi" w:eastAsiaTheme="minorEastAsia" w:hAnsiTheme="minorHAnsi"/>
          <w:noProof/>
          <w:sz w:val="22"/>
          <w:lang w:eastAsia="fr-FR"/>
        </w:rPr>
      </w:pPr>
      <w:r>
        <w:rPr>
          <w:noProof/>
        </w:rPr>
        <w:t>3.1</w:t>
      </w:r>
      <w:r>
        <w:rPr>
          <w:rFonts w:asciiTheme="minorHAnsi" w:eastAsiaTheme="minorEastAsia" w:hAnsiTheme="minorHAnsi"/>
          <w:noProof/>
          <w:sz w:val="22"/>
          <w:lang w:eastAsia="fr-FR"/>
        </w:rPr>
        <w:tab/>
      </w:r>
      <w:r>
        <w:rPr>
          <w:noProof/>
        </w:rPr>
        <w:t>La fiabilité de l’axe :</w:t>
      </w:r>
      <w:r>
        <w:rPr>
          <w:noProof/>
        </w:rPr>
        <w:tab/>
      </w:r>
      <w:r>
        <w:rPr>
          <w:noProof/>
        </w:rPr>
        <w:fldChar w:fldCharType="begin"/>
      </w:r>
      <w:r>
        <w:rPr>
          <w:noProof/>
        </w:rPr>
        <w:instrText xml:space="preserve"> PAGEREF _Toc200825477 \h </w:instrText>
      </w:r>
      <w:r>
        <w:rPr>
          <w:noProof/>
        </w:rPr>
      </w:r>
      <w:r>
        <w:rPr>
          <w:noProof/>
        </w:rPr>
        <w:fldChar w:fldCharType="separate"/>
      </w:r>
      <w:r w:rsidR="00B55438">
        <w:rPr>
          <w:noProof/>
        </w:rPr>
        <w:t>95</w:t>
      </w:r>
      <w:r>
        <w:rPr>
          <w:noProof/>
        </w:rPr>
        <w:fldChar w:fldCharType="end"/>
      </w:r>
    </w:p>
    <w:p w14:paraId="094FFA33" w14:textId="77777777" w:rsidR="001D2A20" w:rsidRDefault="001D2A20" w:rsidP="00623079">
      <w:pPr>
        <w:pStyle w:val="TM2"/>
        <w:rPr>
          <w:rFonts w:asciiTheme="minorHAnsi" w:eastAsiaTheme="minorEastAsia" w:hAnsiTheme="minorHAnsi"/>
          <w:noProof/>
          <w:sz w:val="22"/>
          <w:lang w:eastAsia="fr-FR"/>
        </w:rPr>
      </w:pPr>
      <w:r>
        <w:rPr>
          <w:noProof/>
        </w:rPr>
        <w:t>3.1</w:t>
      </w:r>
      <w:r>
        <w:rPr>
          <w:rFonts w:asciiTheme="minorHAnsi" w:eastAsiaTheme="minorEastAsia" w:hAnsiTheme="minorHAnsi"/>
          <w:noProof/>
          <w:sz w:val="22"/>
          <w:lang w:eastAsia="fr-FR"/>
        </w:rPr>
        <w:tab/>
      </w:r>
      <w:r>
        <w:rPr>
          <w:noProof/>
        </w:rPr>
        <w:t>Analyse de distribution des résultats de deuxième axe</w:t>
      </w:r>
      <w:r>
        <w:rPr>
          <w:noProof/>
        </w:rPr>
        <w:tab/>
      </w:r>
      <w:r>
        <w:rPr>
          <w:noProof/>
        </w:rPr>
        <w:fldChar w:fldCharType="begin"/>
      </w:r>
      <w:r>
        <w:rPr>
          <w:noProof/>
        </w:rPr>
        <w:instrText xml:space="preserve"> PAGEREF _Toc200825478 \h </w:instrText>
      </w:r>
      <w:r>
        <w:rPr>
          <w:noProof/>
        </w:rPr>
      </w:r>
      <w:r>
        <w:rPr>
          <w:noProof/>
        </w:rPr>
        <w:fldChar w:fldCharType="separate"/>
      </w:r>
      <w:r w:rsidR="00B55438">
        <w:rPr>
          <w:noProof/>
        </w:rPr>
        <w:t>95</w:t>
      </w:r>
      <w:r>
        <w:rPr>
          <w:noProof/>
        </w:rPr>
        <w:fldChar w:fldCharType="end"/>
      </w:r>
    </w:p>
    <w:p w14:paraId="5C3E2595" w14:textId="77777777" w:rsidR="001D2A20" w:rsidRDefault="001D2A20" w:rsidP="00623079">
      <w:pPr>
        <w:pStyle w:val="TM2"/>
        <w:rPr>
          <w:rFonts w:asciiTheme="minorHAnsi" w:eastAsiaTheme="minorEastAsia" w:hAnsiTheme="minorHAnsi"/>
          <w:noProof/>
          <w:sz w:val="22"/>
          <w:lang w:eastAsia="fr-FR"/>
        </w:rPr>
      </w:pPr>
      <w:r>
        <w:rPr>
          <w:noProof/>
        </w:rPr>
        <w:t>3.1</w:t>
      </w:r>
      <w:r>
        <w:rPr>
          <w:rFonts w:asciiTheme="minorHAnsi" w:eastAsiaTheme="minorEastAsia" w:hAnsiTheme="minorHAnsi"/>
          <w:noProof/>
          <w:sz w:val="22"/>
          <w:lang w:eastAsia="fr-FR"/>
        </w:rPr>
        <w:tab/>
      </w:r>
      <w:r>
        <w:rPr>
          <w:noProof/>
        </w:rPr>
        <w:t>Tester les hypothèses et discuter les résultats de l’étude</w:t>
      </w:r>
      <w:r>
        <w:rPr>
          <w:noProof/>
        </w:rPr>
        <w:tab/>
      </w:r>
      <w:r>
        <w:rPr>
          <w:noProof/>
        </w:rPr>
        <w:fldChar w:fldCharType="begin"/>
      </w:r>
      <w:r>
        <w:rPr>
          <w:noProof/>
        </w:rPr>
        <w:instrText xml:space="preserve"> PAGEREF _Toc200825479 \h </w:instrText>
      </w:r>
      <w:r>
        <w:rPr>
          <w:noProof/>
        </w:rPr>
      </w:r>
      <w:r>
        <w:rPr>
          <w:noProof/>
        </w:rPr>
        <w:fldChar w:fldCharType="separate"/>
      </w:r>
      <w:r w:rsidR="00B55438">
        <w:rPr>
          <w:noProof/>
        </w:rPr>
        <w:t>98</w:t>
      </w:r>
      <w:r>
        <w:rPr>
          <w:noProof/>
        </w:rPr>
        <w:fldChar w:fldCharType="end"/>
      </w:r>
    </w:p>
    <w:p w14:paraId="5734A1A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3.1.1</w:t>
      </w:r>
      <w:r>
        <w:rPr>
          <w:rFonts w:asciiTheme="minorHAnsi" w:eastAsiaTheme="minorEastAsia" w:hAnsiTheme="minorHAnsi"/>
          <w:noProof/>
          <w:sz w:val="22"/>
          <w:lang w:eastAsia="fr-FR"/>
        </w:rPr>
        <w:tab/>
      </w:r>
      <w:r>
        <w:rPr>
          <w:noProof/>
        </w:rPr>
        <w:t>La fiabilité de questionnaire :</w:t>
      </w:r>
      <w:r>
        <w:rPr>
          <w:noProof/>
        </w:rPr>
        <w:tab/>
      </w:r>
      <w:r>
        <w:rPr>
          <w:noProof/>
        </w:rPr>
        <w:fldChar w:fldCharType="begin"/>
      </w:r>
      <w:r>
        <w:rPr>
          <w:noProof/>
        </w:rPr>
        <w:instrText xml:space="preserve"> PAGEREF _Toc200825480 \h </w:instrText>
      </w:r>
      <w:r>
        <w:rPr>
          <w:noProof/>
        </w:rPr>
      </w:r>
      <w:r>
        <w:rPr>
          <w:noProof/>
        </w:rPr>
        <w:fldChar w:fldCharType="separate"/>
      </w:r>
      <w:r w:rsidR="00B55438">
        <w:rPr>
          <w:noProof/>
        </w:rPr>
        <w:t>98</w:t>
      </w:r>
      <w:r>
        <w:rPr>
          <w:noProof/>
        </w:rPr>
        <w:fldChar w:fldCharType="end"/>
      </w:r>
    </w:p>
    <w:p w14:paraId="192ADD1D" w14:textId="77777777" w:rsidR="001D2A20" w:rsidRDefault="001D2A20" w:rsidP="00623079">
      <w:pPr>
        <w:pStyle w:val="TM2"/>
        <w:rPr>
          <w:rFonts w:asciiTheme="minorHAnsi" w:eastAsiaTheme="minorEastAsia" w:hAnsiTheme="minorHAnsi"/>
          <w:noProof/>
          <w:sz w:val="22"/>
          <w:lang w:eastAsia="fr-FR"/>
        </w:rPr>
      </w:pPr>
      <w:r>
        <w:rPr>
          <w:noProof/>
        </w:rPr>
        <w:t>3.2</w:t>
      </w:r>
      <w:r>
        <w:rPr>
          <w:rFonts w:asciiTheme="minorHAnsi" w:eastAsiaTheme="minorEastAsia" w:hAnsiTheme="minorHAnsi"/>
          <w:noProof/>
          <w:sz w:val="22"/>
          <w:lang w:eastAsia="fr-FR"/>
        </w:rPr>
        <w:tab/>
      </w:r>
      <w:r>
        <w:rPr>
          <w:noProof/>
        </w:rPr>
        <w:t>Tester les hypothèses :</w:t>
      </w:r>
      <w:r>
        <w:rPr>
          <w:noProof/>
        </w:rPr>
        <w:tab/>
      </w:r>
      <w:r>
        <w:rPr>
          <w:noProof/>
        </w:rPr>
        <w:fldChar w:fldCharType="begin"/>
      </w:r>
      <w:r>
        <w:rPr>
          <w:noProof/>
        </w:rPr>
        <w:instrText xml:space="preserve"> PAGEREF _Toc200825481 \h </w:instrText>
      </w:r>
      <w:r>
        <w:rPr>
          <w:noProof/>
        </w:rPr>
      </w:r>
      <w:r>
        <w:rPr>
          <w:noProof/>
        </w:rPr>
        <w:fldChar w:fldCharType="separate"/>
      </w:r>
      <w:r w:rsidR="00B55438">
        <w:rPr>
          <w:noProof/>
        </w:rPr>
        <w:t>98</w:t>
      </w:r>
      <w:r>
        <w:rPr>
          <w:noProof/>
        </w:rPr>
        <w:fldChar w:fldCharType="end"/>
      </w:r>
    </w:p>
    <w:p w14:paraId="1C7159A9"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3.2.1</w:t>
      </w:r>
      <w:r>
        <w:rPr>
          <w:rFonts w:asciiTheme="minorHAnsi" w:eastAsiaTheme="minorEastAsia" w:hAnsiTheme="minorHAnsi"/>
          <w:noProof/>
          <w:sz w:val="22"/>
          <w:lang w:eastAsia="fr-FR"/>
        </w:rPr>
        <w:tab/>
      </w:r>
      <w:r>
        <w:rPr>
          <w:noProof/>
        </w:rPr>
        <w:t>L’hypothèse principale</w:t>
      </w:r>
      <w:r>
        <w:rPr>
          <w:noProof/>
        </w:rPr>
        <w:tab/>
      </w:r>
      <w:r>
        <w:rPr>
          <w:noProof/>
        </w:rPr>
        <w:fldChar w:fldCharType="begin"/>
      </w:r>
      <w:r>
        <w:rPr>
          <w:noProof/>
        </w:rPr>
        <w:instrText xml:space="preserve"> PAGEREF _Toc200825482 \h </w:instrText>
      </w:r>
      <w:r>
        <w:rPr>
          <w:noProof/>
        </w:rPr>
      </w:r>
      <w:r>
        <w:rPr>
          <w:noProof/>
        </w:rPr>
        <w:fldChar w:fldCharType="separate"/>
      </w:r>
      <w:r w:rsidR="00B55438">
        <w:rPr>
          <w:noProof/>
        </w:rPr>
        <w:t>99</w:t>
      </w:r>
      <w:r>
        <w:rPr>
          <w:noProof/>
        </w:rPr>
        <w:fldChar w:fldCharType="end"/>
      </w:r>
    </w:p>
    <w:p w14:paraId="43895DBE"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3.2.2</w:t>
      </w:r>
      <w:r>
        <w:rPr>
          <w:rFonts w:asciiTheme="minorHAnsi" w:eastAsiaTheme="minorEastAsia" w:hAnsiTheme="minorHAnsi"/>
          <w:noProof/>
          <w:sz w:val="22"/>
          <w:lang w:eastAsia="fr-FR"/>
        </w:rPr>
        <w:tab/>
      </w:r>
      <w:r>
        <w:rPr>
          <w:noProof/>
        </w:rPr>
        <w:t>Première sous hypothèse :</w:t>
      </w:r>
      <w:r>
        <w:rPr>
          <w:noProof/>
        </w:rPr>
        <w:tab/>
      </w:r>
      <w:r>
        <w:rPr>
          <w:noProof/>
        </w:rPr>
        <w:fldChar w:fldCharType="begin"/>
      </w:r>
      <w:r>
        <w:rPr>
          <w:noProof/>
        </w:rPr>
        <w:instrText xml:space="preserve"> PAGEREF _Toc200825483 \h </w:instrText>
      </w:r>
      <w:r>
        <w:rPr>
          <w:noProof/>
        </w:rPr>
      </w:r>
      <w:r>
        <w:rPr>
          <w:noProof/>
        </w:rPr>
        <w:fldChar w:fldCharType="separate"/>
      </w:r>
      <w:r w:rsidR="00B55438">
        <w:rPr>
          <w:noProof/>
        </w:rPr>
        <w:t>100</w:t>
      </w:r>
      <w:r>
        <w:rPr>
          <w:noProof/>
        </w:rPr>
        <w:fldChar w:fldCharType="end"/>
      </w:r>
    </w:p>
    <w:p w14:paraId="07DE2874"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3.2.3</w:t>
      </w:r>
      <w:r>
        <w:rPr>
          <w:rFonts w:asciiTheme="minorHAnsi" w:eastAsiaTheme="minorEastAsia" w:hAnsiTheme="minorHAnsi"/>
          <w:noProof/>
          <w:sz w:val="22"/>
          <w:lang w:eastAsia="fr-FR"/>
        </w:rPr>
        <w:tab/>
      </w:r>
      <w:r>
        <w:rPr>
          <w:noProof/>
        </w:rPr>
        <w:t>Deuxième sous hypothèse</w:t>
      </w:r>
      <w:r>
        <w:rPr>
          <w:noProof/>
        </w:rPr>
        <w:tab/>
      </w:r>
      <w:r>
        <w:rPr>
          <w:noProof/>
        </w:rPr>
        <w:fldChar w:fldCharType="begin"/>
      </w:r>
      <w:r>
        <w:rPr>
          <w:noProof/>
        </w:rPr>
        <w:instrText xml:space="preserve"> PAGEREF _Toc200825484 \h </w:instrText>
      </w:r>
      <w:r>
        <w:rPr>
          <w:noProof/>
        </w:rPr>
      </w:r>
      <w:r>
        <w:rPr>
          <w:noProof/>
        </w:rPr>
        <w:fldChar w:fldCharType="separate"/>
      </w:r>
      <w:r w:rsidR="00B55438">
        <w:rPr>
          <w:noProof/>
        </w:rPr>
        <w:t>102</w:t>
      </w:r>
      <w:r>
        <w:rPr>
          <w:noProof/>
        </w:rPr>
        <w:fldChar w:fldCharType="end"/>
      </w:r>
    </w:p>
    <w:p w14:paraId="70C2A93A" w14:textId="77777777" w:rsidR="001D2A20" w:rsidRDefault="001D2A20">
      <w:pPr>
        <w:pStyle w:val="TM3"/>
        <w:tabs>
          <w:tab w:val="left" w:pos="1760"/>
          <w:tab w:val="right" w:leader="dot" w:pos="9062"/>
        </w:tabs>
        <w:rPr>
          <w:rFonts w:asciiTheme="minorHAnsi" w:eastAsiaTheme="minorEastAsia" w:hAnsiTheme="minorHAnsi"/>
          <w:noProof/>
          <w:sz w:val="22"/>
          <w:lang w:eastAsia="fr-FR"/>
        </w:rPr>
      </w:pPr>
      <w:r>
        <w:rPr>
          <w:noProof/>
        </w:rPr>
        <w:t>3.2.4</w:t>
      </w:r>
      <w:r>
        <w:rPr>
          <w:rFonts w:asciiTheme="minorHAnsi" w:eastAsiaTheme="minorEastAsia" w:hAnsiTheme="minorHAnsi"/>
          <w:noProof/>
          <w:sz w:val="22"/>
          <w:lang w:eastAsia="fr-FR"/>
        </w:rPr>
        <w:tab/>
      </w:r>
      <w:r>
        <w:rPr>
          <w:noProof/>
        </w:rPr>
        <w:t>Troisième sous hypothèse</w:t>
      </w:r>
      <w:r>
        <w:rPr>
          <w:noProof/>
        </w:rPr>
        <w:tab/>
      </w:r>
      <w:r>
        <w:rPr>
          <w:noProof/>
        </w:rPr>
        <w:fldChar w:fldCharType="begin"/>
      </w:r>
      <w:r>
        <w:rPr>
          <w:noProof/>
        </w:rPr>
        <w:instrText xml:space="preserve"> PAGEREF _Toc200825485 \h </w:instrText>
      </w:r>
      <w:r>
        <w:rPr>
          <w:noProof/>
        </w:rPr>
      </w:r>
      <w:r>
        <w:rPr>
          <w:noProof/>
        </w:rPr>
        <w:fldChar w:fldCharType="separate"/>
      </w:r>
      <w:r w:rsidR="00B55438">
        <w:rPr>
          <w:noProof/>
        </w:rPr>
        <w:t>104</w:t>
      </w:r>
      <w:r>
        <w:rPr>
          <w:noProof/>
        </w:rPr>
        <w:fldChar w:fldCharType="end"/>
      </w:r>
    </w:p>
    <w:p w14:paraId="76E31406" w14:textId="77777777" w:rsidR="001D2A20" w:rsidRDefault="001D2A20" w:rsidP="00350FA5">
      <w:pPr>
        <w:pStyle w:val="TM1"/>
        <w:rPr>
          <w:rFonts w:asciiTheme="minorHAnsi" w:eastAsiaTheme="minorEastAsia" w:hAnsiTheme="minorHAnsi"/>
          <w:noProof/>
          <w:sz w:val="22"/>
          <w:lang w:eastAsia="fr-FR"/>
        </w:rPr>
      </w:pPr>
      <w:r w:rsidRPr="00F054BC">
        <w:rPr>
          <w:noProof/>
          <w:shd w:val="clear" w:color="auto" w:fill="FFFFFF"/>
          <w:lang w:eastAsia="fr-FR"/>
        </w:rPr>
        <w:t>Conclusion général</w:t>
      </w:r>
      <w:r>
        <w:rPr>
          <w:noProof/>
        </w:rPr>
        <w:tab/>
      </w:r>
      <w:r>
        <w:rPr>
          <w:noProof/>
        </w:rPr>
        <w:fldChar w:fldCharType="begin"/>
      </w:r>
      <w:r>
        <w:rPr>
          <w:noProof/>
        </w:rPr>
        <w:instrText xml:space="preserve"> PAGEREF _Toc200825486 \h </w:instrText>
      </w:r>
      <w:r>
        <w:rPr>
          <w:noProof/>
        </w:rPr>
      </w:r>
      <w:r>
        <w:rPr>
          <w:noProof/>
        </w:rPr>
        <w:fldChar w:fldCharType="separate"/>
      </w:r>
      <w:r w:rsidR="00B55438">
        <w:rPr>
          <w:noProof/>
        </w:rPr>
        <w:t>107</w:t>
      </w:r>
      <w:r>
        <w:rPr>
          <w:noProof/>
        </w:rPr>
        <w:fldChar w:fldCharType="end"/>
      </w:r>
    </w:p>
    <w:p w14:paraId="0084110F" w14:textId="77777777" w:rsidR="001D2A20" w:rsidRDefault="001D2A20" w:rsidP="00350FA5">
      <w:pPr>
        <w:pStyle w:val="TM1"/>
        <w:rPr>
          <w:rFonts w:asciiTheme="minorHAnsi" w:eastAsiaTheme="minorEastAsia" w:hAnsiTheme="minorHAnsi"/>
          <w:noProof/>
          <w:sz w:val="22"/>
          <w:lang w:eastAsia="fr-FR"/>
        </w:rPr>
      </w:pPr>
      <w:r>
        <w:rPr>
          <w:noProof/>
        </w:rPr>
        <w:t>Bibliographie</w:t>
      </w:r>
      <w:r>
        <w:rPr>
          <w:noProof/>
        </w:rPr>
        <w:tab/>
      </w:r>
      <w:r>
        <w:rPr>
          <w:noProof/>
        </w:rPr>
        <w:fldChar w:fldCharType="begin"/>
      </w:r>
      <w:r>
        <w:rPr>
          <w:noProof/>
        </w:rPr>
        <w:instrText xml:space="preserve"> PAGEREF _Toc200825487 \h </w:instrText>
      </w:r>
      <w:r>
        <w:rPr>
          <w:noProof/>
        </w:rPr>
      </w:r>
      <w:r>
        <w:rPr>
          <w:noProof/>
        </w:rPr>
        <w:fldChar w:fldCharType="separate"/>
      </w:r>
      <w:r w:rsidR="00B55438">
        <w:rPr>
          <w:noProof/>
        </w:rPr>
        <w:t>108</w:t>
      </w:r>
      <w:r>
        <w:rPr>
          <w:noProof/>
        </w:rPr>
        <w:fldChar w:fldCharType="end"/>
      </w:r>
    </w:p>
    <w:p w14:paraId="658F2F0F" w14:textId="77777777" w:rsidR="001D2A20" w:rsidRDefault="001D2A20" w:rsidP="00350FA5">
      <w:pPr>
        <w:pStyle w:val="TM1"/>
        <w:rPr>
          <w:rFonts w:asciiTheme="minorHAnsi" w:eastAsiaTheme="minorEastAsia" w:hAnsiTheme="minorHAnsi"/>
          <w:noProof/>
          <w:sz w:val="22"/>
          <w:lang w:eastAsia="fr-FR"/>
        </w:rPr>
      </w:pPr>
      <w:r>
        <w:rPr>
          <w:noProof/>
        </w:rPr>
        <w:t>Annexe</w:t>
      </w:r>
      <w:r>
        <w:rPr>
          <w:noProof/>
        </w:rPr>
        <w:tab/>
      </w:r>
      <w:r>
        <w:rPr>
          <w:noProof/>
        </w:rPr>
        <w:fldChar w:fldCharType="begin"/>
      </w:r>
      <w:r>
        <w:rPr>
          <w:noProof/>
        </w:rPr>
        <w:instrText xml:space="preserve"> PAGEREF _Toc200825488 \h </w:instrText>
      </w:r>
      <w:r>
        <w:rPr>
          <w:noProof/>
        </w:rPr>
      </w:r>
      <w:r>
        <w:rPr>
          <w:noProof/>
        </w:rPr>
        <w:fldChar w:fldCharType="separate"/>
      </w:r>
      <w:r w:rsidR="00B55438">
        <w:rPr>
          <w:noProof/>
        </w:rPr>
        <w:t>112</w:t>
      </w:r>
      <w:r>
        <w:rPr>
          <w:noProof/>
        </w:rPr>
        <w:fldChar w:fldCharType="end"/>
      </w:r>
    </w:p>
    <w:p w14:paraId="410D3EA6" w14:textId="77777777" w:rsidR="00F81427" w:rsidRDefault="00242BC2" w:rsidP="00154503">
      <w:pPr>
        <w:rPr>
          <w:szCs w:val="24"/>
          <w:lang w:eastAsia="fr-FR"/>
        </w:rPr>
      </w:pPr>
      <w:r>
        <w:fldChar w:fldCharType="end"/>
      </w:r>
    </w:p>
    <w:p w14:paraId="34293056" w14:textId="77777777" w:rsidR="00B15608" w:rsidRDefault="00B15608" w:rsidP="00B15608">
      <w:pPr>
        <w:tabs>
          <w:tab w:val="left" w:pos="3996"/>
        </w:tabs>
        <w:ind w:firstLine="0"/>
        <w:rPr>
          <w:szCs w:val="24"/>
          <w:lang w:eastAsia="fr-FR"/>
        </w:rPr>
      </w:pPr>
    </w:p>
    <w:p w14:paraId="2B301867" w14:textId="77777777" w:rsidR="00B15608" w:rsidRDefault="00B15608" w:rsidP="00B15608">
      <w:pPr>
        <w:tabs>
          <w:tab w:val="left" w:pos="3996"/>
        </w:tabs>
        <w:ind w:firstLine="0"/>
        <w:rPr>
          <w:szCs w:val="24"/>
          <w:lang w:eastAsia="fr-FR"/>
        </w:rPr>
      </w:pPr>
    </w:p>
    <w:p w14:paraId="6F24F3FE" w14:textId="77777777" w:rsidR="001E728D" w:rsidRDefault="001E728D" w:rsidP="00154503">
      <w:pPr>
        <w:pStyle w:val="Citation"/>
        <w:ind w:left="0" w:firstLine="0"/>
        <w:jc w:val="both"/>
        <w:rPr>
          <w:sz w:val="72"/>
          <w:szCs w:val="52"/>
        </w:rPr>
      </w:pPr>
    </w:p>
    <w:p w14:paraId="77B14989" w14:textId="77777777" w:rsidR="001E728D" w:rsidRDefault="001E728D" w:rsidP="00B15608">
      <w:pPr>
        <w:pStyle w:val="Citation"/>
        <w:rPr>
          <w:sz w:val="72"/>
          <w:szCs w:val="52"/>
        </w:rPr>
      </w:pPr>
    </w:p>
    <w:p w14:paraId="675F0D1F" w14:textId="77777777" w:rsidR="00B15608" w:rsidRDefault="00B15608" w:rsidP="00B15608">
      <w:pPr>
        <w:pStyle w:val="Citation"/>
        <w:rPr>
          <w:sz w:val="72"/>
          <w:szCs w:val="52"/>
        </w:rPr>
      </w:pPr>
      <w:bookmarkStart w:id="15" w:name="_Toc200731456"/>
      <w:bookmarkStart w:id="16" w:name="_Toc200825373"/>
      <w:r w:rsidRPr="00314C89">
        <w:rPr>
          <w:sz w:val="72"/>
          <w:szCs w:val="52"/>
        </w:rPr>
        <w:t>Introduction générale</w:t>
      </w:r>
      <w:bookmarkEnd w:id="15"/>
      <w:bookmarkEnd w:id="16"/>
    </w:p>
    <w:p w14:paraId="44873DF2" w14:textId="77777777" w:rsidR="00154503" w:rsidRDefault="00154503" w:rsidP="00154503">
      <w:pPr>
        <w:sectPr w:rsidR="00154503" w:rsidSect="00ED7F32">
          <w:type w:val="continuous"/>
          <w:pgSz w:w="11906" w:h="16838"/>
          <w:pgMar w:top="1417" w:right="1417" w:bottom="1417" w:left="1417" w:header="708" w:footer="708" w:gutter="0"/>
          <w:cols w:space="708"/>
          <w:docGrid w:linePitch="360"/>
        </w:sectPr>
      </w:pPr>
    </w:p>
    <w:p w14:paraId="13604508" w14:textId="77777777" w:rsidR="00F81427" w:rsidRPr="00465696" w:rsidRDefault="00F81427" w:rsidP="00B15608">
      <w:pPr>
        <w:pStyle w:val="Citation"/>
        <w:rPr>
          <w:lang w:eastAsia="fr-FR"/>
        </w:rPr>
      </w:pPr>
      <w:bookmarkStart w:id="17" w:name="_Toc200825374"/>
      <w:r w:rsidRPr="008B3801">
        <w:rPr>
          <w:lang w:eastAsia="fr-FR"/>
        </w:rPr>
        <w:lastRenderedPageBreak/>
        <w:t>Introduction générale</w:t>
      </w:r>
      <w:bookmarkEnd w:id="17"/>
    </w:p>
    <w:p w14:paraId="6F450EC2" w14:textId="77777777" w:rsidR="00CD3D49" w:rsidRDefault="00CD3D49" w:rsidP="00B15608">
      <w:pPr>
        <w:rPr>
          <w:color w:val="222222"/>
          <w:szCs w:val="24"/>
          <w:lang w:eastAsia="fr-FR"/>
        </w:rPr>
      </w:pPr>
      <w:r w:rsidRPr="00CD3D49">
        <w:rPr>
          <w:color w:val="222222"/>
          <w:szCs w:val="24"/>
          <w:lang w:eastAsia="fr-FR"/>
        </w:rPr>
        <w:t xml:space="preserve">Dans un environnement économique en pleine transformation, les entreprises s'efforcent de se positionner comme des acteurs responsables face aux enjeux environnementaux croissants. Cette pression, tant réglementaire que sociétale, pousse de nombreuses organisations à intégrer des éléments de durabilité dans leurs stratégies de communication et d'image. Cependant, certaines d'entre elles recourent à des pratiques de Greenwashing, c'est-à-dire une communication écologique trompeuse, visant à améliorer leur image publique sans engagement véritable. Le Greenwashing, ou </w:t>
      </w:r>
      <w:r w:rsidR="003D09A2" w:rsidRPr="00CD3D49">
        <w:rPr>
          <w:color w:val="222222"/>
          <w:szCs w:val="24"/>
          <w:lang w:eastAsia="fr-FR"/>
        </w:rPr>
        <w:t>éco</w:t>
      </w:r>
      <w:r w:rsidR="003D09A2">
        <w:rPr>
          <w:color w:val="222222"/>
          <w:szCs w:val="24"/>
          <w:lang w:eastAsia="fr-FR"/>
        </w:rPr>
        <w:t>-</w:t>
      </w:r>
      <w:r w:rsidR="003D09A2" w:rsidRPr="00CD3D49">
        <w:rPr>
          <w:color w:val="222222"/>
          <w:szCs w:val="24"/>
          <w:lang w:eastAsia="fr-FR"/>
        </w:rPr>
        <w:t>blanchiment</w:t>
      </w:r>
      <w:r w:rsidRPr="00CD3D49">
        <w:rPr>
          <w:color w:val="222222"/>
          <w:szCs w:val="24"/>
          <w:lang w:eastAsia="fr-FR"/>
        </w:rPr>
        <w:t>, se définit comme une tentative de mettre en avant des engagements environnementaux souvent inexistants ou exagérés. Cette pratique soulève de nombreuses questions, notamment sur son impact sur l'image des entreprises et la confiance qu'elles suscitent auprès de leurs parties prenantes. Elle devient ainsi une problématique centrale dans l'analyse de la gestion de l'image de marque à l'ère du développement durable. Dans le contexte algérien, et plus particulièrement au sein du Groupe Industriel des Ciments d'Algérie (GICA), des efforts de communication environnementale sont visibles. Toutefois, leur réception et leur crédibilité soulèvent des interrogations, surtout dans un secteur industriel comme celui du ciment, qui est fortement exposé aux préoccupations écologiques. Ce mémoire vise à analyser l'impact du Greenwashing sur l'image de marque de GICA, en tenant compte de trois déterminants clés : la crédibilité perçue, la confiance verte et la perception du risque environnemental.</w:t>
      </w:r>
    </w:p>
    <w:p w14:paraId="475413EC" w14:textId="77777777" w:rsidR="00CD3D49" w:rsidRPr="00CD3D49" w:rsidRDefault="00CD3D49" w:rsidP="00B15608">
      <w:pPr>
        <w:rPr>
          <w:b/>
          <w:bCs/>
          <w:color w:val="222222"/>
          <w:szCs w:val="24"/>
          <w:lang w:eastAsia="fr-FR"/>
        </w:rPr>
      </w:pPr>
      <w:r w:rsidRPr="00CD3D49">
        <w:rPr>
          <w:b/>
          <w:bCs/>
          <w:color w:val="222222"/>
          <w:szCs w:val="24"/>
          <w:lang w:eastAsia="fr-FR"/>
        </w:rPr>
        <w:t xml:space="preserve"> L'importance du sujet</w:t>
      </w:r>
    </w:p>
    <w:p w14:paraId="7F8D30DA" w14:textId="77777777" w:rsidR="00CD3D49" w:rsidRDefault="00CD3D49" w:rsidP="00B15608">
      <w:pPr>
        <w:rPr>
          <w:color w:val="222222"/>
          <w:szCs w:val="24"/>
          <w:lang w:eastAsia="fr-FR"/>
        </w:rPr>
      </w:pPr>
      <w:r w:rsidRPr="00CD3D49">
        <w:rPr>
          <w:color w:val="222222"/>
          <w:szCs w:val="24"/>
          <w:lang w:eastAsia="fr-FR"/>
        </w:rPr>
        <w:t xml:space="preserve">Le choix de ce sujet s'inscrit dans un contexte où les enjeux environnementaux prennent une place de plus en plus centrale dans la stratégie des entreprises et dans les attentes sociétales. Le Greenwashing, en tant que pratique trompeuse de communication écologique, soulève de nombreuses interrogations quant à ses effets sur l'image, la réputation et la légitimité des entreprises. L'étude de ce phénomène est d'autant plus cruciale qu'elle concerne non seulement les actions réelles des organisations, mais aussi la manière dont ces actions sont perçues, comprises et jugées par leurs différentes parties prenantes. Pour le groupe GICA, acteur industriel majeur dans le domaine des matériaux de construction en Algérie, la prise en compte des enjeux de communication environnementale est stratégique pour renforcer son positionnement et préserver son capital image. Ce travail de recherche a pour objectif d'évaluer l'impact des pratiques de Greenwashing sur la perception de la marque GICA, à travers trois dimensions essentielles : la confiance verte, la perception du risque environnemental et la </w:t>
      </w:r>
      <w:r w:rsidRPr="00CD3D49">
        <w:rPr>
          <w:color w:val="222222"/>
          <w:szCs w:val="24"/>
          <w:lang w:eastAsia="fr-FR"/>
        </w:rPr>
        <w:lastRenderedPageBreak/>
        <w:t xml:space="preserve">crédibilité perçue. En analysant ces déterminants, cette étude permet de mieux comprendre les mécanismes qui influencent l'image de marque dans un contexte où la sincérité des engagements environnementaux est souvent remise en question. En somme, l'importance de ce sujet réside dans sa capacité à éclairer les pratiques de communication des entreprises sous l'angle de la responsabilité et de la cohérence, tout en apportant une contribution concrète aux réflexions stratégiques autour de la gestion d'image et de la réputation dans un environnement industriel en pleine mutation. </w:t>
      </w:r>
    </w:p>
    <w:p w14:paraId="66981F84" w14:textId="77777777" w:rsidR="00CD3D49" w:rsidRPr="00CD3D49" w:rsidRDefault="00CD3D49" w:rsidP="00B15608">
      <w:pPr>
        <w:rPr>
          <w:b/>
          <w:bCs/>
          <w:color w:val="222222"/>
          <w:szCs w:val="24"/>
          <w:lang w:eastAsia="fr-FR"/>
        </w:rPr>
      </w:pPr>
      <w:r w:rsidRPr="00CD3D49">
        <w:rPr>
          <w:b/>
          <w:bCs/>
          <w:color w:val="222222"/>
          <w:szCs w:val="24"/>
          <w:lang w:eastAsia="fr-FR"/>
        </w:rPr>
        <w:t xml:space="preserve">Problématique de recherche </w:t>
      </w:r>
    </w:p>
    <w:p w14:paraId="74FE02C3" w14:textId="77777777" w:rsidR="00CD3D49" w:rsidRDefault="00CD3D49" w:rsidP="00B15608">
      <w:pPr>
        <w:rPr>
          <w:color w:val="222222"/>
          <w:szCs w:val="24"/>
          <w:lang w:eastAsia="fr-FR"/>
        </w:rPr>
      </w:pPr>
      <w:r w:rsidRPr="00CD3D49">
        <w:rPr>
          <w:color w:val="222222"/>
          <w:szCs w:val="24"/>
          <w:lang w:eastAsia="fr-FR"/>
        </w:rPr>
        <w:t xml:space="preserve"> Comment les déterminants du Greenwashing influencent-ils l'image de marque de l'entreprise GICA ? </w:t>
      </w:r>
    </w:p>
    <w:p w14:paraId="4FBCDDB0" w14:textId="77777777" w:rsidR="00CD3D49" w:rsidRPr="00CD3D49" w:rsidRDefault="00CD3D49" w:rsidP="00B15608">
      <w:pPr>
        <w:rPr>
          <w:b/>
          <w:bCs/>
          <w:color w:val="222222"/>
          <w:szCs w:val="24"/>
          <w:lang w:eastAsia="fr-FR"/>
        </w:rPr>
      </w:pPr>
      <w:r w:rsidRPr="00CD3D49">
        <w:rPr>
          <w:b/>
          <w:bCs/>
          <w:color w:val="222222"/>
          <w:szCs w:val="24"/>
          <w:lang w:eastAsia="fr-FR"/>
        </w:rPr>
        <w:t>Hypothèses</w:t>
      </w:r>
    </w:p>
    <w:p w14:paraId="1B9183AE" w14:textId="77777777" w:rsidR="00CD3D49" w:rsidRDefault="00CD3D49" w:rsidP="00B15608">
      <w:pPr>
        <w:rPr>
          <w:color w:val="222222"/>
          <w:szCs w:val="24"/>
          <w:lang w:eastAsia="fr-FR"/>
        </w:rPr>
      </w:pPr>
      <w:r w:rsidRPr="00CD3D49">
        <w:rPr>
          <w:color w:val="222222"/>
          <w:szCs w:val="24"/>
          <w:lang w:eastAsia="fr-FR"/>
        </w:rPr>
        <w:t xml:space="preserve"> Pour répondre à cette problématique, les hypothèses suivantes ont été formulées :</w:t>
      </w:r>
    </w:p>
    <w:p w14:paraId="38755C6A" w14:textId="77777777" w:rsidR="00CD3D49" w:rsidRDefault="00CD3D49" w:rsidP="00B15608">
      <w:pPr>
        <w:rPr>
          <w:color w:val="222222"/>
          <w:szCs w:val="24"/>
          <w:lang w:eastAsia="fr-FR"/>
        </w:rPr>
      </w:pPr>
      <w:r w:rsidRPr="00CD3D49">
        <w:rPr>
          <w:color w:val="222222"/>
          <w:szCs w:val="24"/>
          <w:lang w:eastAsia="fr-FR"/>
        </w:rPr>
        <w:t xml:space="preserve"> - H1 : Le Greenwashing a un impact positif significatif sur l'image de marque de l'entreprise GICA au seuil alpha de 5 %.</w:t>
      </w:r>
    </w:p>
    <w:p w14:paraId="09671CD0" w14:textId="77777777" w:rsidR="00CD3D49" w:rsidRDefault="00CD3D49" w:rsidP="00B15608">
      <w:pPr>
        <w:rPr>
          <w:color w:val="222222"/>
          <w:szCs w:val="24"/>
          <w:lang w:eastAsia="fr-FR"/>
        </w:rPr>
      </w:pPr>
      <w:r w:rsidRPr="00CD3D49">
        <w:rPr>
          <w:color w:val="222222"/>
          <w:szCs w:val="24"/>
          <w:lang w:eastAsia="fr-FR"/>
        </w:rPr>
        <w:t xml:space="preserve"> - H1.1 : La confiance verte a un impact positif significatif sur l'image de marque de l'entreprise GICA.</w:t>
      </w:r>
    </w:p>
    <w:p w14:paraId="53C903EB" w14:textId="77777777" w:rsidR="00CD3D49" w:rsidRDefault="00CD3D49" w:rsidP="00B15608">
      <w:pPr>
        <w:rPr>
          <w:color w:val="222222"/>
          <w:szCs w:val="24"/>
          <w:lang w:eastAsia="fr-FR"/>
        </w:rPr>
      </w:pPr>
      <w:r w:rsidRPr="00CD3D49">
        <w:rPr>
          <w:color w:val="222222"/>
          <w:szCs w:val="24"/>
          <w:lang w:eastAsia="fr-FR"/>
        </w:rPr>
        <w:t xml:space="preserve"> - H1.2 : La perception du risque environnemental a un impact positif significatif sur l'image de marque de l'entreprise GICA.</w:t>
      </w:r>
    </w:p>
    <w:p w14:paraId="61A83C97" w14:textId="77777777" w:rsidR="00CD3D49" w:rsidRDefault="00CD3D49" w:rsidP="00B15608">
      <w:pPr>
        <w:rPr>
          <w:color w:val="222222"/>
          <w:szCs w:val="24"/>
          <w:lang w:eastAsia="fr-FR"/>
        </w:rPr>
      </w:pPr>
      <w:r w:rsidRPr="00CD3D49">
        <w:rPr>
          <w:color w:val="222222"/>
          <w:szCs w:val="24"/>
          <w:lang w:eastAsia="fr-FR"/>
        </w:rPr>
        <w:t xml:space="preserve"> - H1.3 : La crédibilité perçue a un impact positif significatif sur l'image de marque de l'entreprise GICA.</w:t>
      </w:r>
    </w:p>
    <w:p w14:paraId="0E294E1E" w14:textId="77777777" w:rsidR="00CD3D49" w:rsidRPr="00CD3D49" w:rsidRDefault="00CD3D49" w:rsidP="00B15608">
      <w:pPr>
        <w:rPr>
          <w:b/>
          <w:bCs/>
          <w:color w:val="222222"/>
          <w:szCs w:val="24"/>
          <w:lang w:eastAsia="fr-FR"/>
        </w:rPr>
      </w:pPr>
      <w:r w:rsidRPr="00CD3D49">
        <w:rPr>
          <w:b/>
          <w:bCs/>
          <w:color w:val="222222"/>
          <w:szCs w:val="24"/>
          <w:lang w:eastAsia="fr-FR"/>
        </w:rPr>
        <w:t xml:space="preserve"> Objectif de la recherche</w:t>
      </w:r>
    </w:p>
    <w:p w14:paraId="61A67F88" w14:textId="77777777" w:rsidR="00BB1F80" w:rsidRDefault="00CD3D49" w:rsidP="00B15608">
      <w:pPr>
        <w:rPr>
          <w:color w:val="222222"/>
          <w:szCs w:val="24"/>
          <w:lang w:eastAsia="fr-FR"/>
        </w:rPr>
      </w:pPr>
      <w:r w:rsidRPr="00CD3D49">
        <w:rPr>
          <w:color w:val="222222"/>
          <w:szCs w:val="24"/>
          <w:lang w:eastAsia="fr-FR"/>
        </w:rPr>
        <w:t xml:space="preserve"> L'objectif de cette recherche est d'évaluer dans quelle mesure les différentes dimensions du Greenwashing influencent l'image de marque de GICA, une entreprise publique stratégique dans le domaine des matériaux de construction. Il s'agira de vérifier empiriquement si ces dimensions (confiance verte, risque perçu, crédibilité) ont un effet significatif sur les perceptions des parties prenantes vis-à-vis de la marque. </w:t>
      </w:r>
    </w:p>
    <w:p w14:paraId="4B776BCF" w14:textId="77777777" w:rsidR="00BB1F80" w:rsidRDefault="00BB1F80" w:rsidP="00BB1F80">
      <w:pPr>
        <w:rPr>
          <w:color w:val="222222"/>
          <w:szCs w:val="24"/>
          <w:lang w:eastAsia="fr-FR"/>
        </w:rPr>
      </w:pPr>
    </w:p>
    <w:p w14:paraId="3F6FB127" w14:textId="77777777" w:rsidR="00CD3D49" w:rsidRPr="00BB1F80" w:rsidRDefault="00CD3D49" w:rsidP="00BB1F80">
      <w:pPr>
        <w:rPr>
          <w:b/>
          <w:bCs/>
          <w:color w:val="222222"/>
          <w:szCs w:val="24"/>
          <w:lang w:eastAsia="fr-FR"/>
        </w:rPr>
      </w:pPr>
      <w:r w:rsidRPr="00BB1F80">
        <w:rPr>
          <w:b/>
          <w:bCs/>
          <w:color w:val="222222"/>
          <w:szCs w:val="24"/>
          <w:lang w:eastAsia="fr-FR"/>
        </w:rPr>
        <w:lastRenderedPageBreak/>
        <w:t>Plan du mémoire</w:t>
      </w:r>
    </w:p>
    <w:p w14:paraId="3AEBED8D" w14:textId="77777777" w:rsidR="00CD3D49" w:rsidRDefault="00CD3D49" w:rsidP="00B15608">
      <w:pPr>
        <w:rPr>
          <w:color w:val="222222"/>
          <w:szCs w:val="24"/>
          <w:lang w:eastAsia="fr-FR"/>
        </w:rPr>
      </w:pPr>
      <w:r w:rsidRPr="00CD3D49">
        <w:rPr>
          <w:color w:val="222222"/>
          <w:szCs w:val="24"/>
          <w:lang w:eastAsia="fr-FR"/>
        </w:rPr>
        <w:t xml:space="preserve"> Notre travail est structuré en trois chapitres : </w:t>
      </w:r>
    </w:p>
    <w:p w14:paraId="0804FF89" w14:textId="77777777" w:rsidR="00CD3D49" w:rsidRDefault="00CD3D49" w:rsidP="00B15608">
      <w:pPr>
        <w:rPr>
          <w:color w:val="222222"/>
          <w:szCs w:val="24"/>
          <w:lang w:eastAsia="fr-FR"/>
        </w:rPr>
      </w:pPr>
      <w:r w:rsidRPr="00CD3D49">
        <w:rPr>
          <w:color w:val="222222"/>
          <w:szCs w:val="24"/>
          <w:lang w:eastAsia="fr-FR"/>
        </w:rPr>
        <w:t>1. Le premier chapitre présente les fondements conceptuels du Greenwashing, ses formes, ses techniques, ses enjeux et ses conséquences pour l'entreprise.</w:t>
      </w:r>
    </w:p>
    <w:p w14:paraId="42CBDEEB" w14:textId="77777777" w:rsidR="00CD3D49" w:rsidRDefault="00CD3D49" w:rsidP="00B15608">
      <w:pPr>
        <w:rPr>
          <w:color w:val="222222"/>
          <w:szCs w:val="24"/>
          <w:lang w:eastAsia="fr-FR"/>
        </w:rPr>
      </w:pPr>
      <w:r w:rsidRPr="00CD3D49">
        <w:rPr>
          <w:color w:val="222222"/>
          <w:szCs w:val="24"/>
          <w:lang w:eastAsia="fr-FR"/>
        </w:rPr>
        <w:t xml:space="preserve"> 2. Le deuxième chapitre aborde les théories liées à l'image de marque et à sa perception, en intégrant les déterminants spécifiques de la confiance, du risque environnemental et de la crédibilité.</w:t>
      </w:r>
    </w:p>
    <w:p w14:paraId="2233C766" w14:textId="77777777" w:rsidR="00CD3D49" w:rsidRDefault="00CD3D49" w:rsidP="00CD3D49">
      <w:pPr>
        <w:rPr>
          <w:color w:val="222222"/>
          <w:szCs w:val="24"/>
          <w:lang w:eastAsia="fr-FR"/>
        </w:rPr>
      </w:pPr>
      <w:r w:rsidRPr="00CD3D49">
        <w:rPr>
          <w:color w:val="222222"/>
          <w:szCs w:val="24"/>
          <w:lang w:eastAsia="fr-FR"/>
        </w:rPr>
        <w:t xml:space="preserve"> 3. Le troisième chapitre est consacré à l'étude de cas de l'entreprise GICA, détaillant le cadre méthodologique, les outils de collecte de données et l'analyse des résultats obtenus. </w:t>
      </w:r>
    </w:p>
    <w:p w14:paraId="3775485B" w14:textId="77777777" w:rsidR="00CD3D49" w:rsidRPr="00CD3D49" w:rsidRDefault="00CD3D49" w:rsidP="00B15608">
      <w:pPr>
        <w:rPr>
          <w:b/>
          <w:bCs/>
          <w:color w:val="222222"/>
          <w:szCs w:val="24"/>
          <w:lang w:eastAsia="fr-FR"/>
        </w:rPr>
      </w:pPr>
      <w:r w:rsidRPr="00CD3D49">
        <w:rPr>
          <w:b/>
          <w:bCs/>
          <w:color w:val="222222"/>
          <w:szCs w:val="24"/>
          <w:lang w:eastAsia="fr-FR"/>
        </w:rPr>
        <w:t>Justification du choix du thème</w:t>
      </w:r>
    </w:p>
    <w:p w14:paraId="29659CA8" w14:textId="77777777" w:rsidR="00CD3D49" w:rsidRDefault="00CD3D49" w:rsidP="00B15608">
      <w:pPr>
        <w:rPr>
          <w:color w:val="222222"/>
          <w:szCs w:val="24"/>
          <w:lang w:eastAsia="fr-FR"/>
        </w:rPr>
      </w:pPr>
      <w:r>
        <w:rPr>
          <w:color w:val="222222"/>
          <w:szCs w:val="24"/>
          <w:lang w:eastAsia="fr-FR"/>
        </w:rPr>
        <w:t xml:space="preserve"> </w:t>
      </w:r>
      <w:r w:rsidRPr="00CD3D49">
        <w:rPr>
          <w:color w:val="222222"/>
          <w:szCs w:val="24"/>
          <w:lang w:eastAsia="fr-FR"/>
        </w:rPr>
        <w:t xml:space="preserve">Ce sujet s'inscrit pleinement dans notre spécialisation en marketing stratégique et communication institutionnelle. Il traite d'un enjeu contemporain lié à la responsabilité sociale et environnementale des entreprises. Il nous permet d'articuler des notions théoriques de marketing avec des pratiques réelles d'image et de réputation. Enfin, notre intérêt personnel pour les problématiques de développement durable et d'éthique managériale a motivé le choix de cette thématique. </w:t>
      </w:r>
    </w:p>
    <w:p w14:paraId="3A37AB74" w14:textId="77777777" w:rsidR="00CD3D49" w:rsidRPr="00CD3D49" w:rsidRDefault="00CD3D49" w:rsidP="00B15608">
      <w:pPr>
        <w:rPr>
          <w:b/>
          <w:bCs/>
          <w:color w:val="222222"/>
          <w:szCs w:val="24"/>
          <w:lang w:eastAsia="fr-FR"/>
        </w:rPr>
      </w:pPr>
      <w:r w:rsidRPr="00CD3D49">
        <w:rPr>
          <w:b/>
          <w:bCs/>
          <w:color w:val="222222"/>
          <w:szCs w:val="24"/>
          <w:lang w:eastAsia="fr-FR"/>
        </w:rPr>
        <w:t>Les études précédentes</w:t>
      </w:r>
    </w:p>
    <w:p w14:paraId="04B9537E" w14:textId="77777777" w:rsidR="00CD3D49" w:rsidRDefault="00CD3D49" w:rsidP="00B15608">
      <w:pPr>
        <w:rPr>
          <w:color w:val="222222"/>
          <w:szCs w:val="24"/>
          <w:lang w:eastAsia="fr-FR"/>
        </w:rPr>
      </w:pPr>
      <w:r w:rsidRPr="00CD3D49">
        <w:rPr>
          <w:color w:val="222222"/>
          <w:szCs w:val="24"/>
          <w:lang w:eastAsia="fr-FR"/>
        </w:rPr>
        <w:t xml:space="preserve"> Le phénomène du Greenwashing a suscité l'intérêt de plusieurs chercheurs dans les domaines du marketing, de la communication responsable et de la gestion de l'image de marque. Leurs travaux ont permis d'identifier les conséquences de cette pratique sur la crédibilité, la confiance et la réputation des entreprises. Dans le cadre de ce mémoire, certaines études clés méritent d'être présentées, car elles constituent des bases théoriques solides pour notre réflexion.</w:t>
      </w:r>
    </w:p>
    <w:p w14:paraId="54C4ADC9" w14:textId="77777777" w:rsidR="00CD3D49" w:rsidRDefault="00CD3D49" w:rsidP="00B15608">
      <w:pPr>
        <w:rPr>
          <w:color w:val="222222"/>
          <w:szCs w:val="24"/>
          <w:lang w:eastAsia="fr-FR"/>
        </w:rPr>
      </w:pPr>
      <w:r w:rsidRPr="00CD3D49">
        <w:rPr>
          <w:color w:val="222222"/>
          <w:szCs w:val="24"/>
          <w:lang w:eastAsia="fr-FR"/>
        </w:rPr>
        <w:t xml:space="preserve"> 1. Chen et Chang (2012) : Leur étude montre que le greenwashing perçu affecte négativement la confiance verte des clients, avec un effet médiateur de la confusion écologique et du risque environnemental perçu.</w:t>
      </w:r>
    </w:p>
    <w:p w14:paraId="184BEDE2" w14:textId="77777777" w:rsidR="00CD3D49" w:rsidRDefault="00CD3D49" w:rsidP="00B15608">
      <w:pPr>
        <w:rPr>
          <w:color w:val="222222"/>
          <w:szCs w:val="24"/>
          <w:lang w:eastAsia="fr-FR"/>
        </w:rPr>
      </w:pPr>
      <w:r w:rsidRPr="00CD3D49">
        <w:rPr>
          <w:color w:val="222222"/>
          <w:szCs w:val="24"/>
          <w:lang w:eastAsia="fr-FR"/>
        </w:rPr>
        <w:lastRenderedPageBreak/>
        <w:t xml:space="preserve"> 2. Delmas et Burbano (2011) : Ils identifient trois types de facteurs incitant les entreprises à adopter le greenwashing, soulignant que cette stratégie peut nuire à l'image de marque, surtout dans un contexte de transparence accrue. </w:t>
      </w:r>
    </w:p>
    <w:p w14:paraId="33F1C63A" w14:textId="77777777" w:rsidR="00CD3D49" w:rsidRDefault="00CD3D49" w:rsidP="00B15608">
      <w:pPr>
        <w:rPr>
          <w:color w:val="222222"/>
          <w:szCs w:val="24"/>
          <w:lang w:eastAsia="fr-FR"/>
        </w:rPr>
      </w:pPr>
      <w:r w:rsidRPr="00CD3D49">
        <w:rPr>
          <w:color w:val="222222"/>
          <w:szCs w:val="24"/>
          <w:lang w:eastAsia="fr-FR"/>
        </w:rPr>
        <w:t>3. Parguel, Benoît-Moreau et Larceneux (2011) : Leur recherche indique que les labels de durabilité peuvent servir de barrière contre le greenwashing, car les entreprises perçues comme manipulatrices perdent en crédibilité et en capital de marque.</w:t>
      </w:r>
    </w:p>
    <w:p w14:paraId="5D4E71B7" w14:textId="77777777" w:rsidR="00CD3D49" w:rsidRDefault="00CD3D49" w:rsidP="00B15608">
      <w:pPr>
        <w:rPr>
          <w:color w:val="222222"/>
          <w:szCs w:val="24"/>
          <w:lang w:eastAsia="fr-FR"/>
        </w:rPr>
      </w:pPr>
      <w:r w:rsidRPr="00CD3D49">
        <w:rPr>
          <w:color w:val="222222"/>
          <w:szCs w:val="24"/>
          <w:lang w:eastAsia="fr-FR"/>
        </w:rPr>
        <w:t xml:space="preserve"> 4. Akturan (2018) : Cette étude conclut que le greenwashing perçu réduit l'intention de recommander ou d'acheter les produits d'une entreprise, en raison d'une rupture de confiance. </w:t>
      </w:r>
    </w:p>
    <w:p w14:paraId="256D60BC" w14:textId="77777777" w:rsidR="00CD3D49" w:rsidRDefault="00CD3D49" w:rsidP="00B15608">
      <w:pPr>
        <w:rPr>
          <w:color w:val="222222"/>
          <w:szCs w:val="24"/>
          <w:lang w:eastAsia="fr-FR"/>
        </w:rPr>
      </w:pPr>
      <w:r w:rsidRPr="00CD3D49">
        <w:rPr>
          <w:color w:val="222222"/>
          <w:szCs w:val="24"/>
          <w:lang w:eastAsia="fr-FR"/>
        </w:rPr>
        <w:t>5. Szabo et Webster (2020) : Ils analysent l'effet du greenwashing sur la perception des produits et de la marque, prouvant que des messages écologiques flous peuvent entraîner une dissonance cognitive.</w:t>
      </w:r>
    </w:p>
    <w:p w14:paraId="7024CB4F" w14:textId="77777777" w:rsidR="00CD3D49" w:rsidRDefault="00CD3D49" w:rsidP="00B15608">
      <w:pPr>
        <w:rPr>
          <w:color w:val="222222"/>
          <w:szCs w:val="24"/>
          <w:lang w:eastAsia="fr-FR"/>
        </w:rPr>
      </w:pPr>
      <w:r w:rsidRPr="00CD3D49">
        <w:rPr>
          <w:color w:val="222222"/>
          <w:szCs w:val="24"/>
          <w:lang w:eastAsia="fr-FR"/>
        </w:rPr>
        <w:t xml:space="preserve"> 6. Thèse de doctorat – OUYAHIA Zoubida (2014) : Bien qu'elle ne traite pas directement du greenwashing, cette thèse explore le lien entre la cohérence des actions internes et la perception externe. </w:t>
      </w:r>
    </w:p>
    <w:p w14:paraId="4E988CAF" w14:textId="77777777" w:rsidR="00CD3D49" w:rsidRDefault="00CD3D49" w:rsidP="00B15608">
      <w:pPr>
        <w:rPr>
          <w:color w:val="222222"/>
          <w:szCs w:val="24"/>
          <w:lang w:eastAsia="fr-FR"/>
        </w:rPr>
      </w:pPr>
      <w:r w:rsidRPr="00CD3D49">
        <w:rPr>
          <w:color w:val="222222"/>
          <w:szCs w:val="24"/>
          <w:lang w:eastAsia="fr-FR"/>
        </w:rPr>
        <w:t>7. Mémoire de Master – ADJOUTAH Thafath (2017) : Ce travail identifie les origines du sentiment de fidélité et montre que la perception de l'intégrité de l'entreprise influence l'attachement à celle-ci.</w:t>
      </w:r>
    </w:p>
    <w:p w14:paraId="4D5A007F" w14:textId="77777777" w:rsidR="00F81427" w:rsidRDefault="00CD3D49" w:rsidP="00B15608">
      <w:pPr>
        <w:rPr>
          <w:lang w:eastAsia="fr-FR"/>
        </w:rPr>
      </w:pPr>
      <w:r w:rsidRPr="00CD3D49">
        <w:rPr>
          <w:color w:val="222222"/>
          <w:szCs w:val="24"/>
          <w:lang w:eastAsia="fr-FR"/>
        </w:rPr>
        <w:t xml:space="preserve"> 8. Mémoire de Master – IDIR Kenza (2013) : Cette recherche met en évidence le rôle de la transparence dans la construction d'un climat de confiance durable, essentiel pour une image de marque valorisée. </w:t>
      </w:r>
    </w:p>
    <w:p w14:paraId="10D1E9B2" w14:textId="77777777" w:rsidR="00F81427" w:rsidRPr="00042A82" w:rsidRDefault="00F81427" w:rsidP="00F81427">
      <w:pPr>
        <w:rPr>
          <w:rFonts w:ascii="Arial" w:hAnsi="Arial" w:cs="Arial"/>
          <w:color w:val="222222"/>
          <w:szCs w:val="24"/>
          <w:highlight w:val="green"/>
          <w:lang w:eastAsia="fr-FR"/>
        </w:rPr>
      </w:pPr>
    </w:p>
    <w:p w14:paraId="5FFF182C" w14:textId="77777777" w:rsidR="00F81427" w:rsidRPr="00042A82" w:rsidRDefault="00F81427" w:rsidP="00F81427">
      <w:pPr>
        <w:rPr>
          <w:rFonts w:ascii="Arial" w:hAnsi="Arial" w:cs="Arial"/>
          <w:color w:val="222222"/>
          <w:szCs w:val="24"/>
          <w:highlight w:val="green"/>
          <w:lang w:eastAsia="fr-FR"/>
        </w:rPr>
      </w:pPr>
    </w:p>
    <w:p w14:paraId="584F26E6" w14:textId="77777777" w:rsidR="0013470E" w:rsidRDefault="0013470E" w:rsidP="00F81427">
      <w:pPr>
        <w:rPr>
          <w:rFonts w:ascii="Arial" w:hAnsi="Arial" w:cs="Arial"/>
          <w:color w:val="222222"/>
          <w:szCs w:val="24"/>
          <w:highlight w:val="green"/>
          <w:lang w:eastAsia="fr-FR"/>
        </w:rPr>
        <w:sectPr w:rsidR="0013470E" w:rsidSect="0013470E">
          <w:footerReference w:type="default" r:id="rId13"/>
          <w:pgSz w:w="11906" w:h="16838"/>
          <w:pgMar w:top="1417" w:right="1417" w:bottom="1417" w:left="1417" w:header="708" w:footer="708" w:gutter="0"/>
          <w:pgNumType w:start="1"/>
          <w:cols w:space="708"/>
          <w:docGrid w:linePitch="360"/>
        </w:sectPr>
      </w:pPr>
    </w:p>
    <w:p w14:paraId="6F943A5E" w14:textId="77777777" w:rsidR="00F6608B" w:rsidRDefault="00F6608B" w:rsidP="00F6608B">
      <w:pPr>
        <w:ind w:firstLine="0"/>
        <w:rPr>
          <w:rFonts w:cstheme="majorBidi"/>
          <w:b/>
          <w:bCs/>
          <w:sz w:val="144"/>
          <w:szCs w:val="144"/>
        </w:rPr>
      </w:pPr>
    </w:p>
    <w:p w14:paraId="249008CF" w14:textId="77777777" w:rsidR="001A1F05" w:rsidRDefault="001A1F05" w:rsidP="009146B9">
      <w:pPr>
        <w:ind w:firstLine="0"/>
        <w:jc w:val="center"/>
        <w:rPr>
          <w:rFonts w:cstheme="majorBidi"/>
          <w:b/>
          <w:bCs/>
          <w:sz w:val="144"/>
          <w:szCs w:val="144"/>
        </w:rPr>
      </w:pPr>
      <w:r>
        <w:rPr>
          <w:rFonts w:cstheme="majorBidi"/>
          <w:b/>
          <w:bCs/>
          <w:sz w:val="144"/>
          <w:szCs w:val="144"/>
        </w:rPr>
        <w:t>Partie théorique</w:t>
      </w:r>
    </w:p>
    <w:p w14:paraId="44AEACF7" w14:textId="77777777" w:rsidR="00952E14" w:rsidRDefault="00952E14" w:rsidP="001A1F05">
      <w:pPr>
        <w:jc w:val="center"/>
        <w:rPr>
          <w:rFonts w:cstheme="majorBidi"/>
          <w:b/>
          <w:bCs/>
          <w:sz w:val="144"/>
          <w:szCs w:val="144"/>
        </w:rPr>
      </w:pPr>
    </w:p>
    <w:p w14:paraId="7C2E494F" w14:textId="77777777" w:rsidR="00952E14" w:rsidRDefault="00952E14" w:rsidP="001A1F05">
      <w:pPr>
        <w:jc w:val="center"/>
        <w:rPr>
          <w:rFonts w:cstheme="majorBidi"/>
          <w:b/>
          <w:bCs/>
          <w:sz w:val="96"/>
          <w:szCs w:val="96"/>
        </w:rPr>
      </w:pPr>
    </w:p>
    <w:p w14:paraId="16BF43C7" w14:textId="77777777" w:rsidR="00B15608" w:rsidRDefault="00B15608" w:rsidP="001A1F05">
      <w:pPr>
        <w:jc w:val="center"/>
        <w:rPr>
          <w:rFonts w:cstheme="majorBidi"/>
          <w:b/>
          <w:bCs/>
          <w:sz w:val="96"/>
          <w:szCs w:val="96"/>
        </w:rPr>
      </w:pPr>
    </w:p>
    <w:p w14:paraId="4297E84F" w14:textId="77777777" w:rsidR="00B15608" w:rsidRDefault="00B15608" w:rsidP="001A1F05">
      <w:pPr>
        <w:jc w:val="center"/>
        <w:rPr>
          <w:rFonts w:cstheme="majorBidi"/>
          <w:b/>
          <w:bCs/>
          <w:sz w:val="96"/>
          <w:szCs w:val="96"/>
        </w:rPr>
      </w:pPr>
    </w:p>
    <w:p w14:paraId="58B7EF52" w14:textId="77777777" w:rsidR="00B15608" w:rsidRDefault="00B15608" w:rsidP="001A1F05">
      <w:pPr>
        <w:jc w:val="center"/>
        <w:rPr>
          <w:rFonts w:cstheme="majorBidi"/>
          <w:b/>
          <w:bCs/>
          <w:sz w:val="96"/>
          <w:szCs w:val="96"/>
        </w:rPr>
      </w:pPr>
    </w:p>
    <w:p w14:paraId="236507B7" w14:textId="77777777" w:rsidR="001A1F05" w:rsidRPr="00B01D68" w:rsidRDefault="001A1F05" w:rsidP="001A1F05">
      <w:pPr>
        <w:jc w:val="center"/>
        <w:rPr>
          <w:rFonts w:cstheme="majorBidi"/>
          <w:b/>
          <w:bCs/>
          <w:sz w:val="96"/>
          <w:szCs w:val="96"/>
        </w:rPr>
      </w:pPr>
      <w:r>
        <w:rPr>
          <w:rFonts w:cstheme="majorBidi"/>
          <w:b/>
          <w:bCs/>
          <w:sz w:val="96"/>
          <w:szCs w:val="96"/>
        </w:rPr>
        <w:t>Chapitre 01</w:t>
      </w:r>
    </w:p>
    <w:p w14:paraId="75E5B2AC" w14:textId="77777777" w:rsidR="001A1F05" w:rsidRPr="00B01D68" w:rsidRDefault="001A1F05" w:rsidP="001A1F05">
      <w:pPr>
        <w:jc w:val="center"/>
        <w:rPr>
          <w:rFonts w:cstheme="majorBidi"/>
          <w:b/>
          <w:bCs/>
          <w:sz w:val="96"/>
          <w:szCs w:val="96"/>
        </w:rPr>
      </w:pPr>
      <w:r w:rsidRPr="00B01D68">
        <w:rPr>
          <w:rFonts w:cstheme="majorBidi"/>
          <w:b/>
          <w:bCs/>
          <w:sz w:val="96"/>
          <w:szCs w:val="96"/>
        </w:rPr>
        <w:t xml:space="preserve"> Le greenwashing</w:t>
      </w:r>
    </w:p>
    <w:p w14:paraId="08045D5C" w14:textId="77777777" w:rsidR="001A1F05" w:rsidRDefault="001A1F05" w:rsidP="001A1F05">
      <w:pPr>
        <w:jc w:val="center"/>
        <w:rPr>
          <w:rFonts w:cstheme="majorBidi"/>
          <w:b/>
          <w:bCs/>
          <w:sz w:val="96"/>
          <w:szCs w:val="96"/>
        </w:rPr>
      </w:pPr>
      <w:r w:rsidRPr="00B01D68">
        <w:rPr>
          <w:rFonts w:cstheme="majorBidi"/>
          <w:b/>
          <w:bCs/>
          <w:sz w:val="96"/>
          <w:szCs w:val="96"/>
        </w:rPr>
        <w:t>Concepts</w:t>
      </w:r>
      <w:r>
        <w:rPr>
          <w:rFonts w:cstheme="majorBidi"/>
          <w:b/>
          <w:bCs/>
          <w:sz w:val="96"/>
          <w:szCs w:val="96"/>
        </w:rPr>
        <w:t xml:space="preserve"> et enjeux</w:t>
      </w:r>
    </w:p>
    <w:p w14:paraId="2A7E430D" w14:textId="77777777" w:rsidR="001A1F05" w:rsidRDefault="001A1F05" w:rsidP="001A1F05">
      <w:pPr>
        <w:jc w:val="center"/>
        <w:rPr>
          <w:rFonts w:cstheme="majorBidi"/>
          <w:b/>
          <w:bCs/>
          <w:sz w:val="96"/>
          <w:szCs w:val="96"/>
        </w:rPr>
      </w:pPr>
    </w:p>
    <w:p w14:paraId="48DF1F24" w14:textId="77777777" w:rsidR="00952E14" w:rsidRDefault="00952E14" w:rsidP="001A1F05">
      <w:pPr>
        <w:jc w:val="center"/>
        <w:rPr>
          <w:rFonts w:cstheme="majorBidi"/>
          <w:b/>
          <w:bCs/>
          <w:sz w:val="96"/>
          <w:szCs w:val="96"/>
        </w:rPr>
      </w:pPr>
    </w:p>
    <w:p w14:paraId="32BA849E" w14:textId="77777777" w:rsidR="00952E14" w:rsidRPr="00242BC2" w:rsidRDefault="00952E14" w:rsidP="00B15608">
      <w:pPr>
        <w:pStyle w:val="Corpsdetexte"/>
        <w:rPr>
          <w:lang w:val="fr-FR"/>
        </w:rPr>
      </w:pPr>
    </w:p>
    <w:p w14:paraId="387E6163" w14:textId="77777777" w:rsidR="00B15608" w:rsidRPr="00242BC2" w:rsidRDefault="00B15608" w:rsidP="00B15608">
      <w:pPr>
        <w:pStyle w:val="Corpsdetexte"/>
        <w:rPr>
          <w:lang w:val="fr-FR"/>
        </w:rPr>
        <w:sectPr w:rsidR="00B15608" w:rsidRPr="00242BC2" w:rsidSect="0013470E">
          <w:footerReference w:type="default" r:id="rId14"/>
          <w:pgSz w:w="11906" w:h="16838"/>
          <w:pgMar w:top="1417" w:right="1417" w:bottom="1417" w:left="1417" w:header="708" w:footer="708" w:gutter="0"/>
          <w:pgNumType w:start="1"/>
          <w:cols w:space="708"/>
          <w:docGrid w:linePitch="360"/>
        </w:sectPr>
      </w:pPr>
    </w:p>
    <w:p w14:paraId="636AF173" w14:textId="77777777" w:rsidR="001A1F05" w:rsidRDefault="001A1F05" w:rsidP="001E728D">
      <w:pPr>
        <w:pStyle w:val="Citation"/>
      </w:pPr>
      <w:bookmarkStart w:id="18" w:name="_Toc200731458"/>
      <w:bookmarkStart w:id="19" w:name="_Toc200825375"/>
      <w:r w:rsidRPr="003440B4">
        <w:lastRenderedPageBreak/>
        <w:t>Chapitre 01: Le greenwashing: concepts et enjeux.</w:t>
      </w:r>
      <w:bookmarkEnd w:id="18"/>
      <w:bookmarkEnd w:id="19"/>
    </w:p>
    <w:p w14:paraId="18BDA47E" w14:textId="77777777" w:rsidR="001E728D" w:rsidRDefault="001E728D" w:rsidP="001E728D">
      <w:pPr>
        <w:pStyle w:val="Citationintense"/>
        <w:framePr w:wrap="auto" w:vAnchor="margin" w:yAlign="inline"/>
        <w:ind w:left="0" w:firstLine="0"/>
      </w:pPr>
      <w:bookmarkStart w:id="20" w:name="_Toc200825376"/>
      <w:r>
        <w:t>Introduction</w:t>
      </w:r>
      <w:bookmarkEnd w:id="20"/>
      <w:r>
        <w:t xml:space="preserve"> </w:t>
      </w:r>
    </w:p>
    <w:p w14:paraId="3E5C35D6" w14:textId="77777777" w:rsidR="001E728D" w:rsidRPr="001E728D" w:rsidRDefault="001E728D" w:rsidP="001E728D">
      <w:pPr>
        <w:rPr>
          <w:rFonts w:cstheme="majorBidi"/>
          <w:szCs w:val="24"/>
        </w:rPr>
      </w:pPr>
      <w:r w:rsidRPr="001E728D">
        <w:rPr>
          <w:rFonts w:cstheme="majorBidi"/>
          <w:szCs w:val="24"/>
        </w:rPr>
        <w:t>L’évolution des préoccupations environnementales a amené les entreprises à adapter leur communication pour répondre aux attentes de plus en plus marquées autour du développement durable. Dans cette dynamique, de nombreuses organisations cherchent à mettre en valeur leurs engagements écologiques afin d’améliorer leur image institutionnelle. Toutefois, cette orientation a aussi donné lieu à des dérives, dont la plus problématique est le recours au Greenwashing.</w:t>
      </w:r>
    </w:p>
    <w:p w14:paraId="728A3831" w14:textId="77777777" w:rsidR="001E728D" w:rsidRPr="001E728D" w:rsidRDefault="001E728D" w:rsidP="001E728D">
      <w:pPr>
        <w:rPr>
          <w:rFonts w:cstheme="majorBidi"/>
          <w:szCs w:val="24"/>
        </w:rPr>
      </w:pPr>
      <w:r w:rsidRPr="001E728D">
        <w:rPr>
          <w:rFonts w:cstheme="majorBidi"/>
          <w:szCs w:val="24"/>
        </w:rPr>
        <w:t>Le Greenwashing, également appelé « écoblanchiment », désigne l’utilisation abusive ou trompeuse d’arguments environnementaux dans une logique de marketing ou de communication, sans fondement réel dans les pratiques internes de l’entreprise. Il s’agit donc d’un décalage entre le discours vert affiché et les actions concrètes sur le terrain.</w:t>
      </w:r>
    </w:p>
    <w:p w14:paraId="3B9AADC1" w14:textId="77777777" w:rsidR="001E728D" w:rsidRPr="001E728D" w:rsidRDefault="001E728D" w:rsidP="001E728D">
      <w:pPr>
        <w:rPr>
          <w:rFonts w:cstheme="majorBidi"/>
          <w:szCs w:val="24"/>
        </w:rPr>
      </w:pPr>
      <w:r w:rsidRPr="001E728D">
        <w:rPr>
          <w:rFonts w:cstheme="majorBidi"/>
          <w:szCs w:val="24"/>
        </w:rPr>
        <w:t>Ce phénomène, devenu central dans le débat sur la sincérité des engagements RSE des entreprises, suscite de nombreuses interrogations : pourquoi les entreprises recourent-elles au Greenwashing ? Quelles en sont les formes ? Quels sont ses effets sur la perception de la marque, la confiance et la réputation ?</w:t>
      </w:r>
    </w:p>
    <w:p w14:paraId="3808ABFE" w14:textId="77777777" w:rsidR="001E728D" w:rsidRPr="001E728D" w:rsidRDefault="001E728D" w:rsidP="001E728D">
      <w:pPr>
        <w:rPr>
          <w:rFonts w:cstheme="majorBidi"/>
          <w:szCs w:val="24"/>
        </w:rPr>
      </w:pPr>
      <w:r w:rsidRPr="001E728D">
        <w:rPr>
          <w:rFonts w:cstheme="majorBidi"/>
          <w:szCs w:val="24"/>
        </w:rPr>
        <w:t>Ce chapitre se propose de répondre à ces questions en posant les bases conceptuelles du Greenwashing, en étudiant ses différentes manifestations, ses déterminants ainsi que les enjeux qui en découlent, notamment en termes de crédibilité et d’image d’entreprise.</w:t>
      </w:r>
    </w:p>
    <w:p w14:paraId="3FBAF1CF" w14:textId="77777777" w:rsidR="001A1F05" w:rsidRDefault="001A1F05" w:rsidP="001A1F05">
      <w:pPr>
        <w:pStyle w:val="Titre1"/>
      </w:pPr>
      <w:bookmarkStart w:id="21" w:name="_Toc200825377"/>
      <w:r w:rsidRPr="00D40666">
        <w:t>Définition et historique.</w:t>
      </w:r>
      <w:bookmarkEnd w:id="21"/>
    </w:p>
    <w:p w14:paraId="01DB776E" w14:textId="77777777" w:rsidR="00975FE2" w:rsidRPr="00975FE2" w:rsidRDefault="00975FE2" w:rsidP="00975FE2">
      <w:pPr>
        <w:pStyle w:val="Titre2"/>
      </w:pPr>
      <w:bookmarkStart w:id="22" w:name="_Toc200825378"/>
      <w:r>
        <w:t>Historique de greenwashing</w:t>
      </w:r>
      <w:bookmarkEnd w:id="22"/>
    </w:p>
    <w:p w14:paraId="5B8179A5" w14:textId="77777777" w:rsidR="00CA088A" w:rsidRPr="00FC735B" w:rsidRDefault="00CA088A" w:rsidP="00975FE2">
      <w:pPr>
        <w:rPr>
          <w:rFonts w:ascii="Times New Roman" w:hAnsi="Times New Roman" w:cs="Times New Roman"/>
          <w:szCs w:val="24"/>
        </w:rPr>
      </w:pPr>
      <w:r w:rsidRPr="00975FE2">
        <w:rPr>
          <w:rStyle w:val="lev"/>
        </w:rPr>
        <w:t>1</w:t>
      </w:r>
      <w:r w:rsidRPr="00FC735B">
        <w:rPr>
          <w:rStyle w:val="lev"/>
          <w:rFonts w:ascii="Times New Roman" w:hAnsi="Times New Roman" w:cs="Times New Roman"/>
          <w:szCs w:val="24"/>
        </w:rPr>
        <w:t>. Origine du Terme</w:t>
      </w:r>
    </w:p>
    <w:p w14:paraId="1124A21D" w14:textId="77777777" w:rsidR="001A4866" w:rsidRDefault="001A4866" w:rsidP="001A4866">
      <w:pPr>
        <w:rPr>
          <w:rFonts w:ascii="Times New Roman" w:hAnsi="Times New Roman" w:cs="Times New Roman"/>
          <w:szCs w:val="24"/>
        </w:rPr>
      </w:pPr>
      <w:r w:rsidRPr="001A4866">
        <w:rPr>
          <w:rFonts w:ascii="Times New Roman" w:hAnsi="Times New Roman" w:cs="Times New Roman"/>
          <w:szCs w:val="24"/>
        </w:rPr>
        <w:t xml:space="preserve">Si l'idée de l'écoblanchiment prend ses racines dans les préoccupations et la rhétorique écologiste des années 1960, l'invention du terme est généralement attribuée à </w:t>
      </w:r>
      <w:r w:rsidRPr="001A4866">
        <w:rPr>
          <w:rFonts w:ascii="Times New Roman" w:hAnsi="Times New Roman" w:cs="Times New Roman"/>
          <w:b/>
          <w:bCs/>
          <w:szCs w:val="24"/>
        </w:rPr>
        <w:t xml:space="preserve">Jay </w:t>
      </w:r>
      <w:proofErr w:type="spellStart"/>
      <w:r w:rsidRPr="001A4866">
        <w:rPr>
          <w:rFonts w:ascii="Times New Roman" w:hAnsi="Times New Roman" w:cs="Times New Roman"/>
          <w:b/>
          <w:bCs/>
          <w:szCs w:val="24"/>
        </w:rPr>
        <w:t>Westerveld</w:t>
      </w:r>
      <w:proofErr w:type="spellEnd"/>
      <w:r w:rsidRPr="001A4866">
        <w:rPr>
          <w:rFonts w:ascii="Times New Roman" w:hAnsi="Times New Roman" w:cs="Times New Roman"/>
          <w:szCs w:val="24"/>
        </w:rPr>
        <w:t xml:space="preserve">, chercheur et environnementaliste américain. Dans un essai publié en 1986, il critique la pratique </w:t>
      </w:r>
      <w:r w:rsidRPr="001A4866">
        <w:rPr>
          <w:rFonts w:ascii="Times New Roman" w:hAnsi="Times New Roman" w:cs="Times New Roman"/>
          <w:szCs w:val="24"/>
        </w:rPr>
        <w:lastRenderedPageBreak/>
        <w:t xml:space="preserve">d'hôtels qui incitent leurs clients à ne pas faire laver leurs serviettes tous les jours pour préserver les ressources naturelles. </w:t>
      </w:r>
    </w:p>
    <w:p w14:paraId="456BDD9E" w14:textId="77777777" w:rsidR="001A4866" w:rsidRDefault="00FB0F4A" w:rsidP="00FB0F4A">
      <w:pPr>
        <w:rPr>
          <w:rFonts w:ascii="Times New Roman" w:hAnsi="Times New Roman" w:cs="Times New Roman"/>
          <w:szCs w:val="24"/>
        </w:rPr>
      </w:pPr>
      <w:r w:rsidRPr="00FB0F4A">
        <w:rPr>
          <w:rFonts w:ascii="Times New Roman" w:hAnsi="Times New Roman" w:cs="Times New Roman"/>
          <w:szCs w:val="24"/>
        </w:rPr>
        <w:t xml:space="preserve">Bien que l'idée puisse sembler attrayante au premier abord, il pense en réalité qu'il s'agit surtout d'un moyen d'optimiser la rentabilité du service.  Il fait le lien entre l'usage croissant du terme « green », en particulier suite aux succès du parti vert allemand, et l'expression anglaise « </w:t>
      </w:r>
      <w:proofErr w:type="spellStart"/>
      <w:r w:rsidRPr="00FB0F4A">
        <w:rPr>
          <w:rFonts w:ascii="Times New Roman" w:hAnsi="Times New Roman" w:cs="Times New Roman"/>
          <w:szCs w:val="24"/>
        </w:rPr>
        <w:t>whitewash</w:t>
      </w:r>
      <w:proofErr w:type="spellEnd"/>
      <w:r w:rsidRPr="00FB0F4A">
        <w:rPr>
          <w:rFonts w:ascii="Times New Roman" w:hAnsi="Times New Roman" w:cs="Times New Roman"/>
          <w:szCs w:val="24"/>
        </w:rPr>
        <w:t xml:space="preserve"> ».</w:t>
      </w:r>
      <w:r w:rsidR="001A4866" w:rsidRPr="001A4866">
        <w:rPr>
          <w:rFonts w:ascii="Times New Roman" w:hAnsi="Times New Roman" w:cs="Times New Roman"/>
          <w:szCs w:val="24"/>
        </w:rPr>
        <w:t xml:space="preserve"> </w:t>
      </w:r>
      <w:r w:rsidR="001A4866" w:rsidRPr="001A4866">
        <w:rPr>
          <w:rStyle w:val="Appelnotedebasdep"/>
          <w:rFonts w:ascii="Times New Roman" w:hAnsi="Times New Roman" w:cs="Times New Roman"/>
          <w:szCs w:val="24"/>
        </w:rPr>
        <w:footnoteReference w:id="1"/>
      </w:r>
      <w:r w:rsidR="001A4866" w:rsidRPr="001A4866">
        <w:rPr>
          <w:rFonts w:ascii="Times New Roman" w:hAnsi="Times New Roman" w:cs="Times New Roman"/>
          <w:szCs w:val="24"/>
        </w:rPr>
        <w:t xml:space="preserve"> </w:t>
      </w:r>
      <w:r w:rsidRPr="00FB0F4A">
        <w:rPr>
          <w:rFonts w:ascii="Times New Roman" w:hAnsi="Times New Roman" w:cs="Times New Roman"/>
          <w:szCs w:val="24"/>
        </w:rPr>
        <w:t>qui se rapportait à la pratique de rafraîchir des clôtures ou des murs en les recouvrant de blanc.</w:t>
      </w:r>
      <w:r w:rsidRPr="00FB0F4A">
        <w:rPr>
          <w:rStyle w:val="Appelnotedebasdep"/>
          <w:rFonts w:ascii="Times New Roman" w:hAnsi="Times New Roman" w:cs="Times New Roman"/>
          <w:szCs w:val="24"/>
          <w:vertAlign w:val="baseline"/>
        </w:rPr>
        <w:t xml:space="preserve"> </w:t>
      </w:r>
      <w:r w:rsidR="001A4866" w:rsidRPr="001A4866">
        <w:rPr>
          <w:rStyle w:val="Appelnotedebasdep"/>
          <w:rFonts w:ascii="Times New Roman" w:hAnsi="Times New Roman" w:cs="Times New Roman"/>
          <w:szCs w:val="24"/>
        </w:rPr>
        <w:footnoteReference w:id="2"/>
      </w:r>
      <w:r w:rsidR="001A4866" w:rsidRPr="001A4866">
        <w:rPr>
          <w:rFonts w:ascii="Times New Roman" w:hAnsi="Times New Roman" w:cs="Times New Roman"/>
          <w:szCs w:val="24"/>
        </w:rPr>
        <w:t xml:space="preserve">. </w:t>
      </w:r>
      <w:r w:rsidRPr="00FB0F4A">
        <w:rPr>
          <w:rFonts w:ascii="Times New Roman" w:hAnsi="Times New Roman" w:cs="Times New Roman"/>
          <w:szCs w:val="24"/>
        </w:rPr>
        <w:t>L'association de ces deux termes dans l'expression greenwashing se réfère donc à une démarche écologique ou justification environnementale superficielle, utilisée comme outil de manipulation communicationnelle visant à créer une impression trompeuse de responsabilité environnementale.</w:t>
      </w:r>
    </w:p>
    <w:p w14:paraId="5621E13F" w14:textId="77777777" w:rsidR="00CA088A" w:rsidRPr="00FC735B" w:rsidRDefault="00CA088A" w:rsidP="00CA088A">
      <w:pPr>
        <w:rPr>
          <w:rFonts w:ascii="Times New Roman" w:hAnsi="Times New Roman" w:cs="Times New Roman"/>
          <w:szCs w:val="24"/>
        </w:rPr>
      </w:pPr>
      <w:r w:rsidRPr="00FC735B">
        <w:rPr>
          <w:rStyle w:val="lev"/>
          <w:rFonts w:ascii="Times New Roman" w:hAnsi="Times New Roman" w:cs="Times New Roman"/>
          <w:szCs w:val="24"/>
        </w:rPr>
        <w:t>2. Premières Manifestations du Greenwashing (Années 1960-1980)</w:t>
      </w:r>
    </w:p>
    <w:p w14:paraId="6CCB0879" w14:textId="77777777" w:rsidR="00FB0F4A" w:rsidRPr="00FB0F4A" w:rsidRDefault="00FB0F4A" w:rsidP="00FB0F4A">
      <w:pPr>
        <w:rPr>
          <w:rFonts w:ascii="Times New Roman" w:hAnsi="Times New Roman" w:cs="Times New Roman"/>
          <w:szCs w:val="24"/>
        </w:rPr>
      </w:pPr>
      <w:r w:rsidRPr="00FB0F4A">
        <w:rPr>
          <w:rFonts w:ascii="Times New Roman" w:hAnsi="Times New Roman" w:cs="Times New Roman"/>
          <w:szCs w:val="24"/>
        </w:rPr>
        <w:t>Le phénomène du greenwashing trouve véritablement ses origines dans les années 60 et 70, durant une période de sensibilisation écologique globale.  Durant cette période, des sociétés telles que Chevron, DuPont et Mobil démarrent leurs premières initiatives publicitaires centrées sur la protection de l'environnement, tout en continuant à mener des opérations polluantes.</w:t>
      </w:r>
    </w:p>
    <w:p w14:paraId="4410FAF3" w14:textId="77777777" w:rsidR="00CA088A" w:rsidRPr="00FC735B" w:rsidRDefault="00FB0F4A" w:rsidP="00FB0F4A">
      <w:pPr>
        <w:rPr>
          <w:rFonts w:ascii="Times New Roman" w:hAnsi="Times New Roman" w:cs="Times New Roman"/>
          <w:szCs w:val="24"/>
        </w:rPr>
      </w:pPr>
      <w:r w:rsidRPr="00FB0F4A">
        <w:rPr>
          <w:rFonts w:ascii="Times New Roman" w:hAnsi="Times New Roman" w:cs="Times New Roman"/>
          <w:szCs w:val="24"/>
        </w:rPr>
        <w:t xml:space="preserve"> Un cas particulièrement marquant est « The People Do » de Chevron (1985), qui mettait en scène des employés défendant les animaux, alors même que la société poursuivait son exploitation à grande échelle des énergies fossiles.</w:t>
      </w:r>
      <w:r w:rsidR="00CA088A" w:rsidRPr="00FC735B">
        <w:rPr>
          <w:rFonts w:ascii="Times New Roman" w:hAnsi="Times New Roman" w:cs="Times New Roman"/>
          <w:szCs w:val="24"/>
        </w:rPr>
        <w:t xml:space="preserve"> </w:t>
      </w:r>
      <w:r w:rsidR="00975FE2" w:rsidRPr="00FC735B">
        <w:rPr>
          <w:rStyle w:val="Appelnotedebasdep"/>
          <w:rFonts w:ascii="Times New Roman" w:hAnsi="Times New Roman" w:cs="Times New Roman"/>
          <w:szCs w:val="24"/>
        </w:rPr>
        <w:footnoteReference w:id="3"/>
      </w:r>
      <w:r w:rsidR="00CA088A" w:rsidRPr="00FC735B">
        <w:rPr>
          <w:rFonts w:ascii="Times New Roman" w:hAnsi="Times New Roman" w:cs="Times New Roman"/>
          <w:szCs w:val="24"/>
        </w:rPr>
        <w:t>.</w:t>
      </w:r>
    </w:p>
    <w:p w14:paraId="5A7812D1" w14:textId="77777777" w:rsidR="00FB0F4A" w:rsidRDefault="00FB0F4A" w:rsidP="00CA088A">
      <w:pPr>
        <w:rPr>
          <w:rStyle w:val="lev"/>
          <w:rFonts w:ascii="Times New Roman" w:hAnsi="Times New Roman" w:cs="Times New Roman"/>
          <w:szCs w:val="24"/>
        </w:rPr>
      </w:pPr>
      <w:r w:rsidRPr="00FB0F4A">
        <w:rPr>
          <w:rFonts w:ascii="Times New Roman" w:hAnsi="Times New Roman" w:cs="Times New Roman"/>
          <w:szCs w:val="24"/>
        </w:rPr>
        <w:t>Cette époque se caractérise par le décalage entre la communication écologique des entreprises et leurs pratiques effectives.</w:t>
      </w:r>
    </w:p>
    <w:p w14:paraId="4B76D443" w14:textId="77777777" w:rsidR="00CA088A" w:rsidRPr="00FC735B" w:rsidRDefault="00CA088A" w:rsidP="00CA088A">
      <w:pPr>
        <w:rPr>
          <w:rFonts w:ascii="Times New Roman" w:hAnsi="Times New Roman" w:cs="Times New Roman"/>
          <w:szCs w:val="24"/>
        </w:rPr>
      </w:pPr>
      <w:r w:rsidRPr="00FC735B">
        <w:rPr>
          <w:rStyle w:val="lev"/>
          <w:rFonts w:ascii="Times New Roman" w:hAnsi="Times New Roman" w:cs="Times New Roman"/>
          <w:szCs w:val="24"/>
        </w:rPr>
        <w:t>3. L’Ère du Greenwashing Structuré (Années 1990-2000)</w:t>
      </w:r>
    </w:p>
    <w:p w14:paraId="28B9DD3E"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 xml:space="preserve">Dans les </w:t>
      </w:r>
      <w:r w:rsidRPr="00FC735B">
        <w:rPr>
          <w:rStyle w:val="lev"/>
          <w:rFonts w:ascii="Times New Roman" w:hAnsi="Times New Roman" w:cs="Times New Roman"/>
          <w:szCs w:val="24"/>
        </w:rPr>
        <w:t>années 1990</w:t>
      </w:r>
      <w:r w:rsidRPr="00FC735B">
        <w:rPr>
          <w:rFonts w:ascii="Times New Roman" w:hAnsi="Times New Roman" w:cs="Times New Roman"/>
          <w:szCs w:val="24"/>
        </w:rPr>
        <w:t xml:space="preserve">, face à une prise de conscience croissante des consommateurs, les entreprises intensifient leur stratégie de </w:t>
      </w:r>
      <w:r w:rsidRPr="00E019CD">
        <w:rPr>
          <w:rStyle w:val="Accentuation"/>
          <w:rFonts w:ascii="Times New Roman" w:hAnsi="Times New Roman" w:cs="Times New Roman"/>
          <w:i w:val="0"/>
          <w:iCs w:val="0"/>
          <w:szCs w:val="24"/>
        </w:rPr>
        <w:t>greenwashing</w:t>
      </w:r>
      <w:r w:rsidRPr="00FC735B">
        <w:rPr>
          <w:rFonts w:ascii="Times New Roman" w:hAnsi="Times New Roman" w:cs="Times New Roman"/>
          <w:szCs w:val="24"/>
        </w:rPr>
        <w:t>.</w:t>
      </w:r>
    </w:p>
    <w:p w14:paraId="7D695143"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lastRenderedPageBreak/>
        <w:t xml:space="preserve">En </w:t>
      </w:r>
      <w:r w:rsidRPr="00FC735B">
        <w:rPr>
          <w:rStyle w:val="lev"/>
          <w:rFonts w:ascii="Times New Roman" w:hAnsi="Times New Roman" w:cs="Times New Roman"/>
          <w:szCs w:val="24"/>
        </w:rPr>
        <w:t>1992</w:t>
      </w:r>
      <w:r w:rsidRPr="00FC735B">
        <w:rPr>
          <w:rFonts w:ascii="Times New Roman" w:hAnsi="Times New Roman" w:cs="Times New Roman"/>
          <w:szCs w:val="24"/>
        </w:rPr>
        <w:t xml:space="preserve">, les Nations Unies organisent le </w:t>
      </w:r>
      <w:r w:rsidRPr="00FC735B">
        <w:rPr>
          <w:rStyle w:val="lev"/>
          <w:rFonts w:ascii="Times New Roman" w:hAnsi="Times New Roman" w:cs="Times New Roman"/>
          <w:szCs w:val="24"/>
        </w:rPr>
        <w:t>Sommet de la Terre à Rio</w:t>
      </w:r>
      <w:r w:rsidRPr="00FC735B">
        <w:rPr>
          <w:rFonts w:ascii="Times New Roman" w:hAnsi="Times New Roman" w:cs="Times New Roman"/>
          <w:szCs w:val="24"/>
        </w:rPr>
        <w:t>, qui marque un tournant dans la mise en avant des enjeux écologiques à l’échelle mondiale. Cependant, de nombreuses entreprises s’approprient cette dynamique pour renforcer leur image verte sans engagement réel.</w:t>
      </w:r>
    </w:p>
    <w:p w14:paraId="4C5F6AF4"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 xml:space="preserve">Greenpeace publie en </w:t>
      </w:r>
      <w:r w:rsidRPr="00FC735B">
        <w:rPr>
          <w:rStyle w:val="lev"/>
          <w:rFonts w:ascii="Times New Roman" w:hAnsi="Times New Roman" w:cs="Times New Roman"/>
          <w:szCs w:val="24"/>
        </w:rPr>
        <w:t>1999</w:t>
      </w:r>
      <w:r w:rsidRPr="00FC735B">
        <w:rPr>
          <w:rFonts w:ascii="Times New Roman" w:hAnsi="Times New Roman" w:cs="Times New Roman"/>
          <w:szCs w:val="24"/>
        </w:rPr>
        <w:t xml:space="preserve"> un rapport dénonçant le </w:t>
      </w:r>
      <w:r w:rsidRPr="00FC735B">
        <w:rPr>
          <w:rStyle w:val="Accentuation"/>
          <w:rFonts w:ascii="Times New Roman" w:hAnsi="Times New Roman" w:cs="Times New Roman"/>
          <w:szCs w:val="24"/>
        </w:rPr>
        <w:t>greenwashing</w:t>
      </w:r>
      <w:r w:rsidRPr="00FC735B">
        <w:rPr>
          <w:rFonts w:ascii="Times New Roman" w:hAnsi="Times New Roman" w:cs="Times New Roman"/>
          <w:szCs w:val="24"/>
        </w:rPr>
        <w:t xml:space="preserve"> des grandes compagnies pétrolières, notamment </w:t>
      </w:r>
      <w:r w:rsidRPr="00FC735B">
        <w:rPr>
          <w:rStyle w:val="lev"/>
          <w:rFonts w:ascii="Times New Roman" w:hAnsi="Times New Roman" w:cs="Times New Roman"/>
          <w:szCs w:val="24"/>
        </w:rPr>
        <w:t xml:space="preserve">BP et </w:t>
      </w:r>
      <w:r w:rsidR="00E019CD" w:rsidRPr="00FC735B">
        <w:rPr>
          <w:rStyle w:val="lev"/>
          <w:rFonts w:ascii="Times New Roman" w:hAnsi="Times New Roman" w:cs="Times New Roman"/>
          <w:szCs w:val="24"/>
        </w:rPr>
        <w:t>Exxon Mobil</w:t>
      </w:r>
      <w:r w:rsidRPr="00FC735B">
        <w:rPr>
          <w:rFonts w:ascii="Times New Roman" w:hAnsi="Times New Roman" w:cs="Times New Roman"/>
          <w:szCs w:val="24"/>
        </w:rPr>
        <w:t>, qui investissaient massivement dans des campagnes publicitaires sur l’énergie renouvelable, alors que la majeure partie de leurs revenus provenait des hydrocarbures (Greenpeace, 1999).</w:t>
      </w:r>
    </w:p>
    <w:p w14:paraId="0396F6F9" w14:textId="77777777" w:rsidR="00CA088A" w:rsidRPr="00FC735B" w:rsidRDefault="00CA088A" w:rsidP="00CA088A">
      <w:pPr>
        <w:rPr>
          <w:rFonts w:ascii="Times New Roman" w:hAnsi="Times New Roman" w:cs="Times New Roman"/>
          <w:szCs w:val="24"/>
        </w:rPr>
      </w:pPr>
      <w:r w:rsidRPr="00FC735B">
        <w:rPr>
          <w:rStyle w:val="lev"/>
          <w:rFonts w:ascii="Times New Roman" w:hAnsi="Times New Roman" w:cs="Times New Roman"/>
          <w:szCs w:val="24"/>
        </w:rPr>
        <w:t>4. La Décennie du Greenwashing de Masse (2000-2010)</w:t>
      </w:r>
    </w:p>
    <w:p w14:paraId="518D6A40"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 xml:space="preserve">Avec la montée du </w:t>
      </w:r>
      <w:r w:rsidRPr="00FC735B">
        <w:rPr>
          <w:rStyle w:val="lev"/>
          <w:rFonts w:ascii="Times New Roman" w:hAnsi="Times New Roman" w:cs="Times New Roman"/>
          <w:szCs w:val="24"/>
        </w:rPr>
        <w:t>développement durable</w:t>
      </w:r>
      <w:r w:rsidRPr="00FC735B">
        <w:rPr>
          <w:rFonts w:ascii="Times New Roman" w:hAnsi="Times New Roman" w:cs="Times New Roman"/>
          <w:szCs w:val="24"/>
        </w:rPr>
        <w:t xml:space="preserve"> et des exigences réglementaires, le greenwashing se complexifie.</w:t>
      </w:r>
    </w:p>
    <w:p w14:paraId="3931F124"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 xml:space="preserve">En </w:t>
      </w:r>
      <w:r w:rsidRPr="00FC735B">
        <w:rPr>
          <w:rStyle w:val="lev"/>
          <w:rFonts w:ascii="Times New Roman" w:hAnsi="Times New Roman" w:cs="Times New Roman"/>
          <w:szCs w:val="24"/>
        </w:rPr>
        <w:t>2002</w:t>
      </w:r>
      <w:r w:rsidRPr="00FC735B">
        <w:rPr>
          <w:rFonts w:ascii="Times New Roman" w:hAnsi="Times New Roman" w:cs="Times New Roman"/>
          <w:szCs w:val="24"/>
        </w:rPr>
        <w:t xml:space="preserve">, la société </w:t>
      </w:r>
      <w:r w:rsidRPr="00FC735B">
        <w:rPr>
          <w:rStyle w:val="lev"/>
          <w:rFonts w:ascii="Times New Roman" w:hAnsi="Times New Roman" w:cs="Times New Roman"/>
          <w:szCs w:val="24"/>
        </w:rPr>
        <w:t>BP</w:t>
      </w:r>
      <w:r w:rsidRPr="00FC735B">
        <w:rPr>
          <w:rFonts w:ascii="Times New Roman" w:hAnsi="Times New Roman" w:cs="Times New Roman"/>
          <w:szCs w:val="24"/>
        </w:rPr>
        <w:t xml:space="preserve"> change son logo pour un design vert avec un </w:t>
      </w:r>
      <w:r w:rsidRPr="00E43F1C">
        <w:rPr>
          <w:rStyle w:val="Accentuation"/>
          <w:rFonts w:ascii="Times New Roman" w:hAnsi="Times New Roman" w:cs="Times New Roman"/>
          <w:i w:val="0"/>
          <w:iCs w:val="0"/>
          <w:szCs w:val="24"/>
        </w:rPr>
        <w:t>hélios</w:t>
      </w:r>
      <w:r w:rsidRPr="00FC735B">
        <w:rPr>
          <w:rFonts w:ascii="Times New Roman" w:hAnsi="Times New Roman" w:cs="Times New Roman"/>
          <w:szCs w:val="24"/>
        </w:rPr>
        <w:t xml:space="preserve"> symbolisant l’énergie solaire, bien que l’entreprise reste un des plus grands producteurs mondiau</w:t>
      </w:r>
      <w:r w:rsidR="002C290E">
        <w:rPr>
          <w:rFonts w:ascii="Times New Roman" w:hAnsi="Times New Roman" w:cs="Times New Roman"/>
          <w:szCs w:val="24"/>
        </w:rPr>
        <w:t>x de pétrole</w:t>
      </w:r>
      <w:r w:rsidR="0029757C" w:rsidRPr="00FC735B">
        <w:rPr>
          <w:rStyle w:val="Appelnotedebasdep"/>
          <w:rFonts w:ascii="Times New Roman" w:hAnsi="Times New Roman" w:cs="Times New Roman"/>
          <w:szCs w:val="24"/>
        </w:rPr>
        <w:footnoteReference w:id="4"/>
      </w:r>
      <w:r w:rsidRPr="00FC735B">
        <w:rPr>
          <w:rFonts w:ascii="Times New Roman" w:hAnsi="Times New Roman" w:cs="Times New Roman"/>
          <w:szCs w:val="24"/>
        </w:rPr>
        <w:t>.</w:t>
      </w:r>
    </w:p>
    <w:p w14:paraId="4BFCCE64" w14:textId="77777777" w:rsidR="00CA088A" w:rsidRPr="00FC735B" w:rsidRDefault="00CA088A" w:rsidP="00CA088A">
      <w:pPr>
        <w:rPr>
          <w:rFonts w:ascii="Times New Roman" w:hAnsi="Times New Roman" w:cs="Times New Roman"/>
          <w:szCs w:val="24"/>
        </w:rPr>
      </w:pPr>
      <w:r w:rsidRPr="00FC735B">
        <w:rPr>
          <w:rStyle w:val="lev"/>
          <w:rFonts w:ascii="Times New Roman" w:hAnsi="Times New Roman" w:cs="Times New Roman"/>
          <w:szCs w:val="24"/>
        </w:rPr>
        <w:t>Volkswagen (2008-2015)</w:t>
      </w:r>
      <w:r w:rsidRPr="00FC735B">
        <w:rPr>
          <w:rFonts w:ascii="Times New Roman" w:hAnsi="Times New Roman" w:cs="Times New Roman"/>
          <w:szCs w:val="24"/>
        </w:rPr>
        <w:t xml:space="preserve"> : L’un des plus grands scandales de </w:t>
      </w:r>
      <w:r w:rsidRPr="00E43F1C">
        <w:rPr>
          <w:rStyle w:val="Accentuation"/>
          <w:rFonts w:ascii="Times New Roman" w:hAnsi="Times New Roman" w:cs="Times New Roman"/>
          <w:i w:val="0"/>
          <w:iCs w:val="0"/>
          <w:szCs w:val="24"/>
        </w:rPr>
        <w:t>greenwashing</w:t>
      </w:r>
      <w:r w:rsidRPr="00FC735B">
        <w:rPr>
          <w:rFonts w:ascii="Times New Roman" w:hAnsi="Times New Roman" w:cs="Times New Roman"/>
          <w:szCs w:val="24"/>
        </w:rPr>
        <w:t xml:space="preserve"> est le </w:t>
      </w:r>
      <w:proofErr w:type="spellStart"/>
      <w:r w:rsidRPr="00FC735B">
        <w:rPr>
          <w:rStyle w:val="lev"/>
          <w:rFonts w:ascii="Times New Roman" w:hAnsi="Times New Roman" w:cs="Times New Roman"/>
          <w:szCs w:val="24"/>
        </w:rPr>
        <w:t>Dieselgate</w:t>
      </w:r>
      <w:proofErr w:type="spellEnd"/>
      <w:r w:rsidRPr="00FC735B">
        <w:rPr>
          <w:rFonts w:ascii="Times New Roman" w:hAnsi="Times New Roman" w:cs="Times New Roman"/>
          <w:szCs w:val="24"/>
        </w:rPr>
        <w:t xml:space="preserve">, où Volkswagen a installé des logiciels truqueurs dans ses véhicules diesel pour réduire artificiellement leurs émissions lors des tests </w:t>
      </w:r>
      <w:r w:rsidR="00975FE2" w:rsidRPr="00FC735B">
        <w:rPr>
          <w:rStyle w:val="Appelnotedebasdep"/>
          <w:rFonts w:ascii="Times New Roman" w:hAnsi="Times New Roman" w:cs="Times New Roman"/>
          <w:szCs w:val="24"/>
        </w:rPr>
        <w:footnoteReference w:id="5"/>
      </w:r>
      <w:r w:rsidRPr="00FC735B">
        <w:rPr>
          <w:rFonts w:ascii="Times New Roman" w:hAnsi="Times New Roman" w:cs="Times New Roman"/>
          <w:szCs w:val="24"/>
        </w:rPr>
        <w:t>.</w:t>
      </w:r>
    </w:p>
    <w:p w14:paraId="3C86A3C7"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 xml:space="preserve">En </w:t>
      </w:r>
      <w:r w:rsidRPr="00FC735B">
        <w:rPr>
          <w:rStyle w:val="lev"/>
          <w:rFonts w:ascii="Times New Roman" w:hAnsi="Times New Roman" w:cs="Times New Roman"/>
          <w:szCs w:val="24"/>
        </w:rPr>
        <w:t>2009</w:t>
      </w:r>
      <w:r w:rsidRPr="00FC735B">
        <w:rPr>
          <w:rFonts w:ascii="Times New Roman" w:hAnsi="Times New Roman" w:cs="Times New Roman"/>
          <w:szCs w:val="24"/>
        </w:rPr>
        <w:t xml:space="preserve">, le groupe de communication </w:t>
      </w:r>
      <w:proofErr w:type="spellStart"/>
      <w:r w:rsidRPr="00FC735B">
        <w:rPr>
          <w:rStyle w:val="lev"/>
          <w:rFonts w:ascii="Times New Roman" w:hAnsi="Times New Roman" w:cs="Times New Roman"/>
          <w:szCs w:val="24"/>
        </w:rPr>
        <w:t>TerraChoice</w:t>
      </w:r>
      <w:proofErr w:type="spellEnd"/>
      <w:r w:rsidRPr="00FC735B">
        <w:rPr>
          <w:rFonts w:ascii="Times New Roman" w:hAnsi="Times New Roman" w:cs="Times New Roman"/>
          <w:szCs w:val="24"/>
        </w:rPr>
        <w:t xml:space="preserve"> publie un rapport démontrant que </w:t>
      </w:r>
      <w:r w:rsidRPr="00FC735B">
        <w:rPr>
          <w:rStyle w:val="lev"/>
          <w:rFonts w:ascii="Times New Roman" w:hAnsi="Times New Roman" w:cs="Times New Roman"/>
          <w:szCs w:val="24"/>
        </w:rPr>
        <w:t>98 % des produits “verts” sur le marché présentaient au moins un des “Sept Péchés du Greenwashing”</w:t>
      </w:r>
      <w:r w:rsidRPr="00FC735B">
        <w:rPr>
          <w:rFonts w:ascii="Times New Roman" w:hAnsi="Times New Roman" w:cs="Times New Roman"/>
          <w:szCs w:val="24"/>
        </w:rPr>
        <w:t>, allant de la fausse certification aux affirma</w:t>
      </w:r>
      <w:r w:rsidR="0029757C" w:rsidRPr="00FC735B">
        <w:rPr>
          <w:rFonts w:ascii="Times New Roman" w:hAnsi="Times New Roman" w:cs="Times New Roman"/>
          <w:szCs w:val="24"/>
        </w:rPr>
        <w:t xml:space="preserve">tions vagues </w:t>
      </w:r>
      <w:r w:rsidR="0029757C" w:rsidRPr="00FC735B">
        <w:rPr>
          <w:rStyle w:val="Appelnotedebasdep"/>
          <w:rFonts w:ascii="Times New Roman" w:hAnsi="Times New Roman" w:cs="Times New Roman"/>
          <w:szCs w:val="24"/>
        </w:rPr>
        <w:footnoteReference w:id="6"/>
      </w:r>
      <w:r w:rsidRPr="00FC735B">
        <w:rPr>
          <w:rFonts w:ascii="Times New Roman" w:hAnsi="Times New Roman" w:cs="Times New Roman"/>
          <w:szCs w:val="24"/>
        </w:rPr>
        <w:t>.</w:t>
      </w:r>
    </w:p>
    <w:p w14:paraId="1445CDC8" w14:textId="77777777" w:rsidR="00CA088A" w:rsidRPr="00FC735B" w:rsidRDefault="00CA088A" w:rsidP="00CA088A">
      <w:pPr>
        <w:rPr>
          <w:rFonts w:ascii="Times New Roman" w:hAnsi="Times New Roman" w:cs="Times New Roman"/>
          <w:szCs w:val="24"/>
        </w:rPr>
      </w:pPr>
      <w:r w:rsidRPr="00FC735B">
        <w:rPr>
          <w:rStyle w:val="lev"/>
          <w:rFonts w:ascii="Times New Roman" w:hAnsi="Times New Roman" w:cs="Times New Roman"/>
          <w:szCs w:val="24"/>
        </w:rPr>
        <w:t>5. Période Récente (2010 - Aujourd’hui) : Réactions et Réglementations</w:t>
      </w:r>
    </w:p>
    <w:p w14:paraId="54F425E1"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Face à la généralisation du greenwashing, les régulateurs et les associations commencent à prendre des mesures plus strictes :</w:t>
      </w:r>
    </w:p>
    <w:p w14:paraId="355E19BB" w14:textId="77777777" w:rsidR="00FB0F4A" w:rsidRPr="00FB0F4A" w:rsidRDefault="00FB0F4A" w:rsidP="00FB0F4A">
      <w:pPr>
        <w:rPr>
          <w:rFonts w:ascii="Times New Roman" w:hAnsi="Times New Roman" w:cs="Times New Roman"/>
          <w:szCs w:val="24"/>
        </w:rPr>
      </w:pPr>
      <w:r w:rsidRPr="00FB0F4A">
        <w:rPr>
          <w:rFonts w:ascii="Times New Roman" w:hAnsi="Times New Roman" w:cs="Times New Roman"/>
          <w:szCs w:val="24"/>
        </w:rPr>
        <w:lastRenderedPageBreak/>
        <w:t>En 2014, la Commission fédérale du commerce (FTC) des États-Unis a durci les règles concernant l'emploi de termes tels que écologique et biodégradable.</w:t>
      </w:r>
    </w:p>
    <w:p w14:paraId="760DF179" w14:textId="77777777" w:rsidR="00CA088A" w:rsidRPr="00FC735B" w:rsidRDefault="00FB0F4A" w:rsidP="00FB0F4A">
      <w:pPr>
        <w:rPr>
          <w:rFonts w:ascii="Times New Roman" w:hAnsi="Times New Roman" w:cs="Times New Roman"/>
          <w:szCs w:val="24"/>
        </w:rPr>
      </w:pPr>
      <w:r w:rsidRPr="00FB0F4A">
        <w:rPr>
          <w:rFonts w:ascii="Times New Roman" w:hAnsi="Times New Roman" w:cs="Times New Roman"/>
          <w:szCs w:val="24"/>
        </w:rPr>
        <w:t xml:space="preserve"> En 2023, l'Union Européenne met en œuvre une directive destinée à prohiber les allusions environnementales non vérifiées ainsi que les labels non certifiés.</w:t>
      </w:r>
      <w:r w:rsidRPr="00FB0F4A">
        <w:rPr>
          <w:rStyle w:val="Appelnotedebasdep"/>
          <w:rFonts w:ascii="Times New Roman" w:hAnsi="Times New Roman" w:cs="Times New Roman"/>
          <w:szCs w:val="24"/>
        </w:rPr>
        <w:t xml:space="preserve"> </w:t>
      </w:r>
      <w:r>
        <w:rPr>
          <w:rFonts w:ascii="Times New Roman" w:hAnsi="Times New Roman" w:cs="Times New Roman"/>
          <w:szCs w:val="24"/>
        </w:rPr>
        <w:t xml:space="preserve"> </w:t>
      </w:r>
      <w:r w:rsidR="0029757C" w:rsidRPr="00FC735B">
        <w:rPr>
          <w:rStyle w:val="Appelnotedebasdep"/>
          <w:rFonts w:ascii="Times New Roman" w:hAnsi="Times New Roman" w:cs="Times New Roman"/>
          <w:szCs w:val="24"/>
        </w:rPr>
        <w:footnoteReference w:id="7"/>
      </w:r>
      <w:r w:rsidR="0029757C" w:rsidRPr="00FC735B">
        <w:rPr>
          <w:rFonts w:ascii="Times New Roman" w:hAnsi="Times New Roman" w:cs="Times New Roman"/>
          <w:szCs w:val="24"/>
        </w:rPr>
        <w:t xml:space="preserve"> </w:t>
      </w:r>
      <w:r w:rsidR="00CA088A" w:rsidRPr="00FC735B">
        <w:rPr>
          <w:rFonts w:ascii="Times New Roman" w:hAnsi="Times New Roman" w:cs="Times New Roman"/>
          <w:szCs w:val="24"/>
        </w:rPr>
        <w:t>.</w:t>
      </w:r>
    </w:p>
    <w:p w14:paraId="0FF5A74C" w14:textId="77777777" w:rsidR="00CA088A" w:rsidRPr="00FC735B" w:rsidRDefault="00CA088A" w:rsidP="00CA088A">
      <w:pPr>
        <w:rPr>
          <w:rFonts w:ascii="Times New Roman" w:hAnsi="Times New Roman" w:cs="Times New Roman"/>
          <w:szCs w:val="24"/>
        </w:rPr>
      </w:pPr>
      <w:r w:rsidRPr="00FC735B">
        <w:rPr>
          <w:rFonts w:ascii="Times New Roman" w:hAnsi="Times New Roman" w:cs="Times New Roman"/>
          <w:szCs w:val="24"/>
        </w:rPr>
        <w:t xml:space="preserve">Des entreprises continuent néanmoins à être dénoncées pour </w:t>
      </w:r>
      <w:r w:rsidRPr="00FC735B">
        <w:rPr>
          <w:rStyle w:val="Accentuation"/>
          <w:rFonts w:ascii="Times New Roman" w:hAnsi="Times New Roman" w:cs="Times New Roman"/>
          <w:szCs w:val="24"/>
        </w:rPr>
        <w:t>greenwashing</w:t>
      </w:r>
      <w:r w:rsidRPr="00FC735B">
        <w:rPr>
          <w:rFonts w:ascii="Times New Roman" w:hAnsi="Times New Roman" w:cs="Times New Roman"/>
          <w:szCs w:val="24"/>
        </w:rPr>
        <w:t xml:space="preserve"> :</w:t>
      </w:r>
    </w:p>
    <w:p w14:paraId="5E1FB74B" w14:textId="77777777" w:rsidR="00CA088A" w:rsidRPr="00FC735B" w:rsidRDefault="00FB0F4A" w:rsidP="00FB0F4A">
      <w:pPr>
        <w:pStyle w:val="Paragraphedeliste"/>
        <w:numPr>
          <w:ilvl w:val="0"/>
          <w:numId w:val="4"/>
        </w:numPr>
        <w:rPr>
          <w:rFonts w:ascii="Times New Roman" w:hAnsi="Times New Roman" w:cs="Times New Roman"/>
          <w:szCs w:val="24"/>
        </w:rPr>
      </w:pPr>
      <w:r w:rsidRPr="00FB0F4A">
        <w:rPr>
          <w:rStyle w:val="lev"/>
          <w:rFonts w:ascii="Times New Roman" w:hAnsi="Times New Roman" w:cs="Times New Roman"/>
          <w:szCs w:val="24"/>
        </w:rPr>
        <w:t xml:space="preserve">• H&amp;M (2022) : </w:t>
      </w:r>
      <w:r w:rsidRPr="00FB0F4A">
        <w:rPr>
          <w:rStyle w:val="lev"/>
          <w:rFonts w:ascii="Times New Roman" w:hAnsi="Times New Roman" w:cs="Times New Roman"/>
          <w:b w:val="0"/>
          <w:bCs w:val="0"/>
          <w:szCs w:val="24"/>
        </w:rPr>
        <w:t xml:space="preserve">La société a été critiquée pour avoir trompé les consommateurs avec sa </w:t>
      </w:r>
      <w:proofErr w:type="spellStart"/>
      <w:r w:rsidRPr="00FB0F4A">
        <w:rPr>
          <w:rStyle w:val="lev"/>
          <w:rFonts w:ascii="Times New Roman" w:hAnsi="Times New Roman" w:cs="Times New Roman"/>
          <w:b w:val="0"/>
          <w:bCs w:val="0"/>
          <w:szCs w:val="24"/>
        </w:rPr>
        <w:t>Conscious</w:t>
      </w:r>
      <w:proofErr w:type="spellEnd"/>
      <w:r w:rsidRPr="00FB0F4A">
        <w:rPr>
          <w:rStyle w:val="lev"/>
          <w:rFonts w:ascii="Times New Roman" w:hAnsi="Times New Roman" w:cs="Times New Roman"/>
          <w:b w:val="0"/>
          <w:bCs w:val="0"/>
          <w:szCs w:val="24"/>
        </w:rPr>
        <w:t xml:space="preserve"> Collection, qui présentait des indices environnementaux amplifiés. </w:t>
      </w:r>
      <w:r w:rsidR="0029757C" w:rsidRPr="00FC735B">
        <w:rPr>
          <w:rStyle w:val="Appelnotedebasdep"/>
          <w:rFonts w:ascii="Times New Roman" w:hAnsi="Times New Roman" w:cs="Times New Roman"/>
          <w:szCs w:val="24"/>
        </w:rPr>
        <w:footnoteReference w:id="8"/>
      </w:r>
      <w:r w:rsidR="00CA088A" w:rsidRPr="00FC735B">
        <w:rPr>
          <w:rFonts w:ascii="Times New Roman" w:hAnsi="Times New Roman" w:cs="Times New Roman"/>
          <w:szCs w:val="24"/>
        </w:rPr>
        <w:t>(Quartz, 2022).</w:t>
      </w:r>
    </w:p>
    <w:p w14:paraId="01C7AA4B" w14:textId="77777777" w:rsidR="006F4246" w:rsidRPr="00A346C6" w:rsidRDefault="00CA088A" w:rsidP="00FB0F4A">
      <w:pPr>
        <w:pStyle w:val="Paragraphedeliste"/>
        <w:numPr>
          <w:ilvl w:val="0"/>
          <w:numId w:val="4"/>
        </w:numPr>
        <w:rPr>
          <w:rFonts w:ascii="Times New Roman" w:hAnsi="Times New Roman" w:cs="Times New Roman"/>
          <w:szCs w:val="24"/>
        </w:rPr>
      </w:pPr>
      <w:proofErr w:type="spellStart"/>
      <w:r w:rsidRPr="00FC735B">
        <w:rPr>
          <w:rStyle w:val="lev"/>
          <w:rFonts w:ascii="Times New Roman" w:hAnsi="Times New Roman" w:cs="Times New Roman"/>
          <w:szCs w:val="24"/>
        </w:rPr>
        <w:t>TotalEnergies</w:t>
      </w:r>
      <w:proofErr w:type="spellEnd"/>
      <w:r w:rsidRPr="00FC735B">
        <w:rPr>
          <w:rStyle w:val="lev"/>
          <w:rFonts w:ascii="Times New Roman" w:hAnsi="Times New Roman" w:cs="Times New Roman"/>
          <w:szCs w:val="24"/>
        </w:rPr>
        <w:t xml:space="preserve"> (2024)</w:t>
      </w:r>
      <w:r w:rsidRPr="00FC735B">
        <w:rPr>
          <w:rFonts w:ascii="Times New Roman" w:hAnsi="Times New Roman" w:cs="Times New Roman"/>
          <w:szCs w:val="24"/>
        </w:rPr>
        <w:t xml:space="preserve"> : </w:t>
      </w:r>
      <w:r w:rsidR="00FB0F4A" w:rsidRPr="00FB0F4A">
        <w:rPr>
          <w:rFonts w:ascii="Times New Roman" w:hAnsi="Times New Roman" w:cs="Times New Roman"/>
          <w:szCs w:val="24"/>
        </w:rPr>
        <w:t>Une annonce publicitaire de l'entreprise française a été qualifiée de mensongère, puisqu'elle vantait les énergies renouvelables alors que 90 % de ses opérations étaient toujours associées aux hydrocarbures.</w:t>
      </w:r>
      <w:r w:rsidR="00FB0F4A" w:rsidRPr="00FB0F4A">
        <w:rPr>
          <w:rStyle w:val="Appelnotedebasdep"/>
          <w:rFonts w:ascii="Times New Roman" w:hAnsi="Times New Roman" w:cs="Times New Roman"/>
          <w:szCs w:val="24"/>
          <w:vertAlign w:val="baseline"/>
        </w:rPr>
        <w:t xml:space="preserve"> </w:t>
      </w:r>
      <w:r w:rsidR="0029757C" w:rsidRPr="00FC735B">
        <w:rPr>
          <w:rStyle w:val="Appelnotedebasdep"/>
          <w:rFonts w:ascii="Times New Roman" w:hAnsi="Times New Roman" w:cs="Times New Roman"/>
          <w:szCs w:val="24"/>
        </w:rPr>
        <w:footnoteReference w:id="9"/>
      </w:r>
      <w:r w:rsidR="00A346C6">
        <w:rPr>
          <w:rFonts w:ascii="Times New Roman" w:hAnsi="Times New Roman" w:cs="Times New Roman"/>
          <w:szCs w:val="24"/>
        </w:rPr>
        <w:t xml:space="preserve"> </w:t>
      </w:r>
      <w:r w:rsidRPr="00FC735B">
        <w:rPr>
          <w:rFonts w:ascii="Times New Roman" w:hAnsi="Times New Roman" w:cs="Times New Roman"/>
          <w:szCs w:val="24"/>
        </w:rPr>
        <w:t>(Reuters, 2024).</w:t>
      </w:r>
    </w:p>
    <w:p w14:paraId="63DC9DE4" w14:textId="77777777" w:rsidR="001A1F05" w:rsidRPr="00B65044" w:rsidRDefault="001A1F05" w:rsidP="001A1F05">
      <w:pPr>
        <w:pStyle w:val="Titre2"/>
      </w:pPr>
      <w:bookmarkStart w:id="23" w:name="_Toc200825379"/>
      <w:r w:rsidRPr="00B65044">
        <w:t>Définition du greenwashing</w:t>
      </w:r>
      <w:bookmarkEnd w:id="23"/>
    </w:p>
    <w:p w14:paraId="21A218D6" w14:textId="77777777" w:rsidR="001A1F05" w:rsidRPr="001A1F05" w:rsidRDefault="00FB0F4A" w:rsidP="001A1F05">
      <w:pPr>
        <w:rPr>
          <w:rFonts w:cstheme="majorBidi"/>
          <w:szCs w:val="24"/>
        </w:rPr>
      </w:pPr>
      <w:r w:rsidRPr="00FB0F4A">
        <w:rPr>
          <w:rFonts w:cstheme="majorBidi"/>
          <w:szCs w:val="24"/>
        </w:rPr>
        <w:t xml:space="preserve">Le Greenwashing est un anglicisme qui désigne une tactique commerciale visant à promouvoir des produits qui ne sont pas vraiment écologiques en usant d'arguments environnementaux.  L'idée puise ses racines dans les concepts de « </w:t>
      </w:r>
      <w:proofErr w:type="spellStart"/>
      <w:r w:rsidRPr="00FB0F4A">
        <w:rPr>
          <w:rFonts w:cstheme="majorBidi"/>
          <w:szCs w:val="24"/>
        </w:rPr>
        <w:t>Whitewashing</w:t>
      </w:r>
      <w:proofErr w:type="spellEnd"/>
      <w:r w:rsidRPr="00FB0F4A">
        <w:rPr>
          <w:rFonts w:cstheme="majorBidi"/>
          <w:szCs w:val="24"/>
        </w:rPr>
        <w:t xml:space="preserve"> » et de « </w:t>
      </w:r>
      <w:proofErr w:type="spellStart"/>
      <w:r w:rsidRPr="00FB0F4A">
        <w:rPr>
          <w:rFonts w:cstheme="majorBidi"/>
          <w:szCs w:val="24"/>
        </w:rPr>
        <w:t>brainwashing</w:t>
      </w:r>
      <w:proofErr w:type="spellEnd"/>
      <w:r w:rsidRPr="00FB0F4A">
        <w:rPr>
          <w:rFonts w:cstheme="majorBidi"/>
          <w:szCs w:val="24"/>
        </w:rPr>
        <w:t xml:space="preserve"> » (en français, lavage de cerveau).  Le </w:t>
      </w:r>
      <w:proofErr w:type="spellStart"/>
      <w:r w:rsidRPr="00FB0F4A">
        <w:rPr>
          <w:rFonts w:cstheme="majorBidi"/>
          <w:szCs w:val="24"/>
        </w:rPr>
        <w:t>Whitewashing</w:t>
      </w:r>
      <w:proofErr w:type="spellEnd"/>
      <w:r w:rsidRPr="00FB0F4A">
        <w:rPr>
          <w:rFonts w:cstheme="majorBidi"/>
          <w:szCs w:val="24"/>
        </w:rPr>
        <w:t xml:space="preserve"> désigne une stratégie concertée visant à dissimuler des éléments déplaisants, principalement dans un cadre politique.  Le Greenwashing représente une tentative similaire, mais dans une perspective écologique.</w:t>
      </w:r>
      <w:r w:rsidR="004416E6">
        <w:rPr>
          <w:rFonts w:cstheme="majorBidi"/>
          <w:szCs w:val="24"/>
        </w:rPr>
        <w:t>.</w:t>
      </w:r>
      <w:r w:rsidR="001A1F05" w:rsidRPr="001A1F05">
        <w:rPr>
          <w:rStyle w:val="Appelnotedebasdep"/>
          <w:rFonts w:cstheme="majorBidi"/>
          <w:szCs w:val="24"/>
        </w:rPr>
        <w:footnoteReference w:id="10"/>
      </w:r>
    </w:p>
    <w:p w14:paraId="629F8E86" w14:textId="77777777" w:rsidR="001A1F05" w:rsidRPr="001A1F05" w:rsidRDefault="001A1F05" w:rsidP="001A1F05">
      <w:pPr>
        <w:pStyle w:val="Paragraphedeliste"/>
        <w:numPr>
          <w:ilvl w:val="0"/>
          <w:numId w:val="2"/>
        </w:numPr>
        <w:rPr>
          <w:rFonts w:cstheme="majorBidi"/>
          <w:b/>
          <w:bCs/>
          <w:szCs w:val="24"/>
        </w:rPr>
      </w:pPr>
      <w:r w:rsidRPr="001A1F05">
        <w:rPr>
          <w:rFonts w:cstheme="majorBidi"/>
          <w:b/>
          <w:bCs/>
          <w:szCs w:val="24"/>
        </w:rPr>
        <w:t xml:space="preserve">La définition du dictionnaire d'Oxford: </w:t>
      </w:r>
      <w:proofErr w:type="spellStart"/>
      <w:r w:rsidRPr="001A1F05">
        <w:rPr>
          <w:rFonts w:cstheme="majorBidi"/>
          <w:b/>
          <w:bCs/>
          <w:szCs w:val="24"/>
        </w:rPr>
        <w:t>Greenwash</w:t>
      </w:r>
      <w:proofErr w:type="spellEnd"/>
      <w:r w:rsidRPr="001A1F05">
        <w:rPr>
          <w:rFonts w:cstheme="majorBidi"/>
          <w:b/>
          <w:bCs/>
          <w:szCs w:val="24"/>
        </w:rPr>
        <w:t xml:space="preserve"> (</w:t>
      </w:r>
      <w:proofErr w:type="spellStart"/>
      <w:r w:rsidRPr="001A1F05">
        <w:rPr>
          <w:rFonts w:cstheme="majorBidi"/>
          <w:b/>
          <w:bCs/>
          <w:szCs w:val="24"/>
        </w:rPr>
        <w:t>noun</w:t>
      </w:r>
      <w:proofErr w:type="spellEnd"/>
      <w:r w:rsidRPr="001A1F05">
        <w:rPr>
          <w:rFonts w:cstheme="majorBidi"/>
          <w:b/>
          <w:bCs/>
          <w:szCs w:val="24"/>
        </w:rPr>
        <w:t xml:space="preserve"> -</w:t>
      </w:r>
      <w:proofErr w:type="spellStart"/>
      <w:r w:rsidRPr="001A1F05">
        <w:rPr>
          <w:rFonts w:cstheme="majorBidi"/>
          <w:b/>
          <w:bCs/>
          <w:szCs w:val="24"/>
        </w:rPr>
        <w:t>fr.</w:t>
      </w:r>
      <w:proofErr w:type="spellEnd"/>
      <w:r w:rsidRPr="001A1F05">
        <w:rPr>
          <w:rFonts w:cstheme="majorBidi"/>
          <w:b/>
          <w:bCs/>
          <w:szCs w:val="24"/>
        </w:rPr>
        <w:t xml:space="preserve"> nom)</w:t>
      </w:r>
    </w:p>
    <w:p w14:paraId="1E2BA125" w14:textId="77777777" w:rsidR="00FB0F4A" w:rsidRDefault="00FB0F4A" w:rsidP="001A1F05">
      <w:pPr>
        <w:rPr>
          <w:rFonts w:cstheme="majorBidi"/>
          <w:szCs w:val="24"/>
        </w:rPr>
      </w:pPr>
      <w:r w:rsidRPr="00FB0F4A">
        <w:rPr>
          <w:rFonts w:cstheme="majorBidi"/>
          <w:szCs w:val="24"/>
        </w:rPr>
        <w:t>Désinformation propagée par une organisation afin de véhiculer une image publique respectueuse de l'environnement.  (</w:t>
      </w:r>
      <w:proofErr w:type="spellStart"/>
      <w:r w:rsidRPr="00FB0F4A">
        <w:rPr>
          <w:rFonts w:cstheme="majorBidi"/>
          <w:szCs w:val="24"/>
        </w:rPr>
        <w:t>fr</w:t>
      </w:r>
      <w:proofErr w:type="spellEnd"/>
      <w:r w:rsidRPr="00FB0F4A">
        <w:rPr>
          <w:rFonts w:cstheme="majorBidi"/>
          <w:szCs w:val="24"/>
        </w:rPr>
        <w:t>- Une désinformation diffusée par une entité dans le but de projeter une image publique soucieuse de l'environnement)</w:t>
      </w:r>
      <w:r>
        <w:rPr>
          <w:rFonts w:cstheme="majorBidi"/>
          <w:szCs w:val="24"/>
        </w:rPr>
        <w:t xml:space="preserve"> </w:t>
      </w:r>
    </w:p>
    <w:p w14:paraId="0AD1C297" w14:textId="77777777" w:rsidR="00FB0F4A" w:rsidRPr="00FB0F4A" w:rsidRDefault="00FB0F4A" w:rsidP="00FB0F4A">
      <w:pPr>
        <w:rPr>
          <w:rFonts w:cstheme="majorBidi"/>
          <w:b/>
          <w:bCs/>
          <w:szCs w:val="24"/>
        </w:rPr>
      </w:pPr>
      <w:r w:rsidRPr="00FB0F4A">
        <w:rPr>
          <w:rFonts w:cstheme="majorBidi"/>
          <w:szCs w:val="24"/>
        </w:rPr>
        <w:lastRenderedPageBreak/>
        <w:t>Dans une phrase : 'Bien qu'ils puissent être utiles, ces types de normes sont parfois utilisés de manière très cynique - comme un verdissement d'entreprise' (</w:t>
      </w:r>
      <w:proofErr w:type="spellStart"/>
      <w:r w:rsidRPr="00FB0F4A">
        <w:rPr>
          <w:rFonts w:cstheme="majorBidi"/>
          <w:szCs w:val="24"/>
        </w:rPr>
        <w:t>fr</w:t>
      </w:r>
      <w:proofErr w:type="spellEnd"/>
      <w:r w:rsidRPr="00FB0F4A">
        <w:rPr>
          <w:rFonts w:cstheme="majorBidi"/>
          <w:szCs w:val="24"/>
        </w:rPr>
        <w:t>-  « Bien qu'ils puissent être bénéfiques, ces normes sont parfois exploitées de façon très cynique - comme dans le cas du greenwashing d'entreprise. »</w:t>
      </w:r>
    </w:p>
    <w:p w14:paraId="2C22CC89" w14:textId="77777777" w:rsidR="001A1F05" w:rsidRPr="00FB0F4A" w:rsidRDefault="001A1F05" w:rsidP="00FB0F4A">
      <w:pPr>
        <w:pStyle w:val="Paragraphedeliste"/>
        <w:numPr>
          <w:ilvl w:val="0"/>
          <w:numId w:val="2"/>
        </w:numPr>
        <w:rPr>
          <w:rFonts w:cstheme="majorBidi"/>
          <w:b/>
          <w:bCs/>
          <w:szCs w:val="24"/>
        </w:rPr>
      </w:pPr>
      <w:r w:rsidRPr="00FB0F4A">
        <w:rPr>
          <w:rFonts w:cstheme="majorBidi"/>
          <w:b/>
          <w:bCs/>
          <w:szCs w:val="24"/>
        </w:rPr>
        <w:t>Origin</w:t>
      </w:r>
    </w:p>
    <w:p w14:paraId="4E0D67A7" w14:textId="77777777" w:rsidR="00FB0F4A" w:rsidRPr="00FB0F4A" w:rsidRDefault="00FB0F4A" w:rsidP="00FB0F4A">
      <w:pPr>
        <w:rPr>
          <w:lang w:eastAsia="fr-FR"/>
        </w:rPr>
      </w:pPr>
      <w:r w:rsidRPr="00FB0F4A">
        <w:rPr>
          <w:b/>
          <w:bCs/>
          <w:lang w:val="en-US" w:eastAsia="fr-FR"/>
        </w:rPr>
        <w:t>1980s</w:t>
      </w:r>
      <w:r w:rsidRPr="00FB0F4A">
        <w:rPr>
          <w:lang w:val="en-US" w:eastAsia="fr-FR"/>
        </w:rPr>
        <w:t xml:space="preserve">: from green, on the pattern of whitewash. </w:t>
      </w:r>
      <w:r w:rsidRPr="00FB0F4A">
        <w:rPr>
          <w:lang w:eastAsia="fr-FR"/>
        </w:rPr>
        <w:t>(</w:t>
      </w:r>
      <w:proofErr w:type="spellStart"/>
      <w:r w:rsidRPr="00FB0F4A">
        <w:rPr>
          <w:lang w:eastAsia="fr-FR"/>
        </w:rPr>
        <w:t>fr</w:t>
      </w:r>
      <w:proofErr w:type="spellEnd"/>
      <w:r w:rsidRPr="00FB0F4A">
        <w:rPr>
          <w:lang w:eastAsia="fr-FR"/>
        </w:rPr>
        <w:t>- années 1980 : évite de verdir, sur le modèle de blanchir) indispensable de le reconnaître, de l'éviter... Et même de le condamner!</w:t>
      </w:r>
    </w:p>
    <w:p w14:paraId="734E613C" w14:textId="77777777" w:rsidR="001A1F05" w:rsidRPr="001A1F05" w:rsidRDefault="001A1F05" w:rsidP="001A1F05">
      <w:pPr>
        <w:pStyle w:val="Paragraphedeliste"/>
        <w:numPr>
          <w:ilvl w:val="0"/>
          <w:numId w:val="2"/>
        </w:numPr>
        <w:rPr>
          <w:rFonts w:cstheme="majorBidi"/>
          <w:b/>
          <w:bCs/>
          <w:szCs w:val="24"/>
        </w:rPr>
      </w:pPr>
      <w:r w:rsidRPr="001A1F05">
        <w:rPr>
          <w:rFonts w:cstheme="majorBidi"/>
          <w:b/>
          <w:bCs/>
          <w:szCs w:val="24"/>
        </w:rPr>
        <w:t>L'appar</w:t>
      </w:r>
      <w:r w:rsidR="00E019CD">
        <w:rPr>
          <w:rFonts w:cstheme="majorBidi"/>
          <w:b/>
          <w:bCs/>
          <w:szCs w:val="24"/>
        </w:rPr>
        <w:t>ence du terme «  Greenwashing »</w:t>
      </w:r>
    </w:p>
    <w:p w14:paraId="20F52665" w14:textId="77777777" w:rsidR="001A1F05" w:rsidRPr="001A1F05" w:rsidRDefault="00FB0F4A" w:rsidP="00FB0F4A">
      <w:pPr>
        <w:rPr>
          <w:rFonts w:cstheme="majorBidi"/>
          <w:szCs w:val="24"/>
        </w:rPr>
      </w:pPr>
      <w:r w:rsidRPr="00FB0F4A">
        <w:rPr>
          <w:rFonts w:cstheme="majorBidi"/>
          <w:szCs w:val="24"/>
        </w:rPr>
        <w:t>Ce terme a été officiellement intégré au vocabulaire anglais en 1999 lors de son inscription dans le dictionnaire d'Oxford.</w:t>
      </w:r>
      <w:r w:rsidRPr="00FB0F4A">
        <w:rPr>
          <w:rStyle w:val="Appelnotedebasdep"/>
          <w:rFonts w:cstheme="majorBidi"/>
          <w:szCs w:val="24"/>
          <w:vertAlign w:val="baseline"/>
        </w:rPr>
        <w:t xml:space="preserve"> </w:t>
      </w:r>
      <w:r w:rsidR="001A1F05" w:rsidRPr="001A1F05">
        <w:rPr>
          <w:rStyle w:val="Appelnotedebasdep"/>
          <w:rFonts w:cstheme="majorBidi"/>
          <w:szCs w:val="24"/>
        </w:rPr>
        <w:footnoteReference w:id="11"/>
      </w:r>
      <w:r w:rsidR="001A1F05" w:rsidRPr="001A1F05">
        <w:rPr>
          <w:rFonts w:cstheme="majorBidi"/>
          <w:szCs w:val="24"/>
        </w:rPr>
        <w:t>.</w:t>
      </w:r>
      <w:r w:rsidRPr="00FB0F4A">
        <w:t xml:space="preserve"> </w:t>
      </w:r>
      <w:r w:rsidRPr="00FB0F4A">
        <w:rPr>
          <w:rFonts w:cstheme="majorBidi"/>
          <w:szCs w:val="24"/>
        </w:rPr>
        <w:t xml:space="preserve">Son parcours débute en 1987 lorsqu'il décroche son premier travail auprès de David Bellamy, botaniste et personnalité télévisée anglaise, pour la revue </w:t>
      </w:r>
      <w:proofErr w:type="spellStart"/>
      <w:r w:rsidRPr="00FB0F4A">
        <w:rPr>
          <w:rFonts w:cstheme="majorBidi"/>
          <w:szCs w:val="24"/>
        </w:rPr>
        <w:t>Sanity</w:t>
      </w:r>
      <w:proofErr w:type="spellEnd"/>
      <w:r w:rsidRPr="00FB0F4A">
        <w:rPr>
          <w:rFonts w:cstheme="majorBidi"/>
          <w:szCs w:val="24"/>
        </w:rPr>
        <w:t xml:space="preserve">, numéro de septembre n°9. Il y a contribué avec l'article « </w:t>
      </w:r>
      <w:proofErr w:type="spellStart"/>
      <w:r w:rsidRPr="00FB0F4A">
        <w:rPr>
          <w:rFonts w:cstheme="majorBidi"/>
          <w:szCs w:val="24"/>
        </w:rPr>
        <w:t>Turning</w:t>
      </w:r>
      <w:proofErr w:type="spellEnd"/>
      <w:r w:rsidRPr="00FB0F4A">
        <w:rPr>
          <w:rFonts w:cstheme="majorBidi"/>
          <w:szCs w:val="24"/>
        </w:rPr>
        <w:t xml:space="preserve"> the </w:t>
      </w:r>
      <w:proofErr w:type="spellStart"/>
      <w:r w:rsidRPr="00FB0F4A">
        <w:rPr>
          <w:rFonts w:cstheme="majorBidi"/>
          <w:szCs w:val="24"/>
        </w:rPr>
        <w:t>tide</w:t>
      </w:r>
      <w:proofErr w:type="spellEnd"/>
      <w:r w:rsidRPr="00FB0F4A">
        <w:rPr>
          <w:rFonts w:cstheme="majorBidi"/>
          <w:szCs w:val="24"/>
        </w:rPr>
        <w:t xml:space="preserve"> the world </w:t>
      </w:r>
      <w:proofErr w:type="spellStart"/>
      <w:r w:rsidRPr="00FB0F4A">
        <w:rPr>
          <w:rFonts w:cstheme="majorBidi"/>
          <w:szCs w:val="24"/>
        </w:rPr>
        <w:t>according</w:t>
      </w:r>
      <w:proofErr w:type="spellEnd"/>
      <w:r w:rsidRPr="00FB0F4A">
        <w:rPr>
          <w:rFonts w:cstheme="majorBidi"/>
          <w:szCs w:val="24"/>
        </w:rPr>
        <w:t xml:space="preserve"> to David Bellamy » (en français : « Renverser la tendance: le monde, selon David Bellamy »), publié par l'organisation britannique Campaign for </w:t>
      </w:r>
      <w:proofErr w:type="spellStart"/>
      <w:r w:rsidRPr="00FB0F4A">
        <w:rPr>
          <w:rFonts w:cstheme="majorBidi"/>
          <w:szCs w:val="24"/>
        </w:rPr>
        <w:t>Nuclear</w:t>
      </w:r>
      <w:proofErr w:type="spellEnd"/>
      <w:r w:rsidRPr="00FB0F4A">
        <w:rPr>
          <w:rFonts w:cstheme="majorBidi"/>
          <w:szCs w:val="24"/>
        </w:rPr>
        <w:t xml:space="preserve"> </w:t>
      </w:r>
      <w:proofErr w:type="spellStart"/>
      <w:r w:rsidRPr="00FB0F4A">
        <w:rPr>
          <w:rFonts w:cstheme="majorBidi"/>
          <w:szCs w:val="24"/>
        </w:rPr>
        <w:t>Disarmament</w:t>
      </w:r>
      <w:proofErr w:type="spellEnd"/>
      <w:r w:rsidRPr="00FB0F4A">
        <w:rPr>
          <w:rFonts w:cstheme="majorBidi"/>
          <w:szCs w:val="24"/>
        </w:rPr>
        <w:t>.</w:t>
      </w:r>
      <w:r w:rsidRPr="00FB0F4A">
        <w:rPr>
          <w:rStyle w:val="Appelnotedebasdep"/>
          <w:rFonts w:cstheme="majorBidi"/>
          <w:szCs w:val="24"/>
          <w:vertAlign w:val="baseline"/>
        </w:rPr>
        <w:t xml:space="preserve"> </w:t>
      </w:r>
      <w:r w:rsidR="001A1F05" w:rsidRPr="001A1F05">
        <w:rPr>
          <w:rStyle w:val="Appelnotedebasdep"/>
          <w:rFonts w:cstheme="majorBidi"/>
          <w:szCs w:val="24"/>
        </w:rPr>
        <w:footnoteReference w:id="12"/>
      </w:r>
      <w:r w:rsidR="001A1F05" w:rsidRPr="001A1F05">
        <w:rPr>
          <w:rFonts w:cstheme="majorBidi"/>
          <w:szCs w:val="24"/>
        </w:rPr>
        <w:t>.</w:t>
      </w:r>
    </w:p>
    <w:p w14:paraId="77CEC43C" w14:textId="77777777" w:rsidR="001A1F05" w:rsidRPr="001A1F05" w:rsidRDefault="001A1F05" w:rsidP="001A1F05">
      <w:pPr>
        <w:pStyle w:val="Paragraphedeliste"/>
        <w:numPr>
          <w:ilvl w:val="0"/>
          <w:numId w:val="2"/>
        </w:numPr>
        <w:rPr>
          <w:rFonts w:cstheme="majorBidi"/>
          <w:b/>
          <w:bCs/>
          <w:szCs w:val="24"/>
        </w:rPr>
      </w:pPr>
      <w:r w:rsidRPr="001A1F05">
        <w:rPr>
          <w:rFonts w:cstheme="majorBidi"/>
          <w:b/>
          <w:bCs/>
          <w:szCs w:val="24"/>
        </w:rPr>
        <w:t>La diffusi</w:t>
      </w:r>
      <w:r w:rsidR="00E019CD">
        <w:rPr>
          <w:rFonts w:cstheme="majorBidi"/>
          <w:b/>
          <w:bCs/>
          <w:szCs w:val="24"/>
        </w:rPr>
        <w:t>on du terme de « Greenwashing »</w:t>
      </w:r>
    </w:p>
    <w:p w14:paraId="524B1FF1" w14:textId="77777777" w:rsidR="001A1F05" w:rsidRPr="001A1F05" w:rsidRDefault="004864CD" w:rsidP="004864CD">
      <w:pPr>
        <w:rPr>
          <w:rFonts w:cstheme="majorBidi"/>
          <w:szCs w:val="24"/>
        </w:rPr>
      </w:pPr>
      <w:r w:rsidRPr="004864CD">
        <w:rPr>
          <w:rFonts w:cstheme="majorBidi"/>
          <w:szCs w:val="24"/>
        </w:rPr>
        <w:t xml:space="preserve">L'utilisation réelle du terme a été popularisée par l'article de David Beers et Catherine </w:t>
      </w:r>
      <w:proofErr w:type="spellStart"/>
      <w:r w:rsidRPr="004864CD">
        <w:rPr>
          <w:rFonts w:cstheme="majorBidi"/>
          <w:szCs w:val="24"/>
        </w:rPr>
        <w:t>Capellaro</w:t>
      </w:r>
      <w:proofErr w:type="spellEnd"/>
      <w:r w:rsidRPr="004864CD">
        <w:rPr>
          <w:rFonts w:cstheme="majorBidi"/>
          <w:szCs w:val="24"/>
        </w:rPr>
        <w:t xml:space="preserve"> p</w:t>
      </w:r>
      <w:r>
        <w:rPr>
          <w:rFonts w:cstheme="majorBidi"/>
          <w:szCs w:val="24"/>
        </w:rPr>
        <w:t xml:space="preserve">ublié dans Mother Jones en 1991 </w:t>
      </w:r>
      <w:r w:rsidR="001A1F05" w:rsidRPr="001A1F05">
        <w:rPr>
          <w:rStyle w:val="Appelnotedebasdep"/>
          <w:rFonts w:cstheme="majorBidi"/>
          <w:szCs w:val="24"/>
        </w:rPr>
        <w:footnoteReference w:id="13"/>
      </w:r>
      <w:r w:rsidR="001A1F05" w:rsidRPr="001A1F05">
        <w:rPr>
          <w:rFonts w:cstheme="majorBidi"/>
          <w:szCs w:val="24"/>
        </w:rPr>
        <w:t xml:space="preserve">. </w:t>
      </w:r>
      <w:r w:rsidRPr="004864CD">
        <w:rPr>
          <w:rFonts w:cstheme="majorBidi"/>
          <w:szCs w:val="24"/>
        </w:rPr>
        <w:t>Cet article critique aussi des sociétés de production d'énergie atomique et des géants du pétrole qui recourent à ce genre de fausse écologie autour du « Jour de la Terre » (</w:t>
      </w:r>
      <w:proofErr w:type="spellStart"/>
      <w:r w:rsidRPr="004864CD">
        <w:rPr>
          <w:rFonts w:cstheme="majorBidi"/>
          <w:szCs w:val="24"/>
        </w:rPr>
        <w:t>Earth</w:t>
      </w:r>
      <w:proofErr w:type="spellEnd"/>
      <w:r w:rsidRPr="004864CD">
        <w:rPr>
          <w:rFonts w:cstheme="majorBidi"/>
          <w:szCs w:val="24"/>
        </w:rPr>
        <w:t xml:space="preserve"> Day).</w:t>
      </w:r>
    </w:p>
    <w:p w14:paraId="27153AFE" w14:textId="77777777" w:rsidR="004864CD" w:rsidRDefault="004864CD" w:rsidP="004864CD">
      <w:pPr>
        <w:pStyle w:val="Paragraphedeliste"/>
        <w:numPr>
          <w:ilvl w:val="0"/>
          <w:numId w:val="2"/>
        </w:numPr>
        <w:rPr>
          <w:rFonts w:cstheme="majorBidi"/>
          <w:b/>
          <w:bCs/>
          <w:szCs w:val="24"/>
        </w:rPr>
      </w:pPr>
      <w:r w:rsidRPr="004864CD">
        <w:rPr>
          <w:rFonts w:cstheme="majorBidi"/>
          <w:szCs w:val="24"/>
        </w:rPr>
        <w:t xml:space="preserve">Si l'on examine le cadre dans lequel ce terme émerge dès ses débuts, on constate qu'il commence par critiquer les compagnies productrices d'énergie et l'extraction pétrolière, passant ensuite à l'industrie automobile, et finalement aux biens de consommation en masse. Tout au long de cette progression, il vise également les </w:t>
      </w:r>
      <w:r w:rsidRPr="004864CD">
        <w:rPr>
          <w:rFonts w:cstheme="majorBidi"/>
          <w:szCs w:val="24"/>
        </w:rPr>
        <w:lastRenderedPageBreak/>
        <w:t>politiques et les lobbyistes.  On commence à entendre ce terme dans les discussions architecturales relativement récemment.</w:t>
      </w:r>
      <w:r>
        <w:rPr>
          <w:rFonts w:cstheme="majorBidi"/>
          <w:b/>
          <w:bCs/>
          <w:szCs w:val="24"/>
        </w:rPr>
        <w:t xml:space="preserve"> </w:t>
      </w:r>
    </w:p>
    <w:p w14:paraId="7484DEF6" w14:textId="77777777" w:rsidR="001A1F05" w:rsidRPr="001A1F05" w:rsidRDefault="00E019CD" w:rsidP="004864CD">
      <w:pPr>
        <w:pStyle w:val="Paragraphedeliste"/>
        <w:numPr>
          <w:ilvl w:val="0"/>
          <w:numId w:val="2"/>
        </w:numPr>
        <w:rPr>
          <w:rFonts w:cstheme="majorBidi"/>
          <w:b/>
          <w:bCs/>
          <w:szCs w:val="24"/>
        </w:rPr>
      </w:pPr>
      <w:r w:rsidRPr="001A1F05">
        <w:rPr>
          <w:rFonts w:cstheme="majorBidi"/>
          <w:b/>
          <w:bCs/>
          <w:szCs w:val="24"/>
        </w:rPr>
        <w:t>Écoblanchiment en</w:t>
      </w:r>
      <w:r w:rsidR="001A1F05" w:rsidRPr="001A1F05">
        <w:rPr>
          <w:rFonts w:cstheme="majorBidi"/>
          <w:b/>
          <w:bCs/>
          <w:szCs w:val="24"/>
        </w:rPr>
        <w:t xml:space="preserve"> français</w:t>
      </w:r>
    </w:p>
    <w:p w14:paraId="286A8884" w14:textId="77777777" w:rsidR="001A1F05" w:rsidRPr="001A1F05" w:rsidRDefault="001A1F05" w:rsidP="001A1F05">
      <w:pPr>
        <w:rPr>
          <w:rFonts w:cstheme="majorBidi"/>
          <w:szCs w:val="24"/>
        </w:rPr>
      </w:pPr>
      <w:r w:rsidRPr="001A1F05">
        <w:rPr>
          <w:rFonts w:cstheme="majorBidi"/>
          <w:szCs w:val="24"/>
        </w:rPr>
        <w:t>En français, il y a plusieurs termes q</w:t>
      </w:r>
      <w:r w:rsidR="004416E6">
        <w:rPr>
          <w:rFonts w:cstheme="majorBidi"/>
          <w:szCs w:val="24"/>
        </w:rPr>
        <w:t>ui définissent ce phénomène : »</w:t>
      </w:r>
      <w:r w:rsidRPr="001A1F05">
        <w:rPr>
          <w:rFonts w:cstheme="majorBidi"/>
          <w:szCs w:val="24"/>
        </w:rPr>
        <w:t xml:space="preserve"> mascarade éc</w:t>
      </w:r>
      <w:r w:rsidR="004416E6">
        <w:rPr>
          <w:rFonts w:cstheme="majorBidi"/>
          <w:szCs w:val="24"/>
        </w:rPr>
        <w:t>ologique »,</w:t>
      </w:r>
      <w:r w:rsidR="00E019CD">
        <w:rPr>
          <w:rFonts w:cstheme="majorBidi"/>
          <w:szCs w:val="24"/>
        </w:rPr>
        <w:t> « blanchiment</w:t>
      </w:r>
      <w:r w:rsidR="004416E6">
        <w:rPr>
          <w:rFonts w:cstheme="majorBidi"/>
          <w:szCs w:val="24"/>
        </w:rPr>
        <w:t xml:space="preserve"> </w:t>
      </w:r>
      <w:r w:rsidR="00E019CD">
        <w:rPr>
          <w:rFonts w:cstheme="majorBidi"/>
          <w:szCs w:val="24"/>
        </w:rPr>
        <w:t>vert »</w:t>
      </w:r>
      <w:r w:rsidR="004416E6">
        <w:rPr>
          <w:rFonts w:cstheme="majorBidi"/>
          <w:szCs w:val="24"/>
        </w:rPr>
        <w:t>, et</w:t>
      </w:r>
      <w:r w:rsidR="00E019CD">
        <w:rPr>
          <w:rFonts w:cstheme="majorBidi"/>
          <w:szCs w:val="24"/>
        </w:rPr>
        <w:t xml:space="preserve"> « verdissement</w:t>
      </w:r>
      <w:r w:rsidR="004416E6">
        <w:rPr>
          <w:rFonts w:cstheme="majorBidi"/>
          <w:szCs w:val="24"/>
        </w:rPr>
        <w:t xml:space="preserve"> d'image »</w:t>
      </w:r>
      <w:r w:rsidRPr="001A1F05">
        <w:rPr>
          <w:rFonts w:cstheme="majorBidi"/>
          <w:szCs w:val="24"/>
        </w:rPr>
        <w:t>. Mais, plus souvent nous pouvons rencontre</w:t>
      </w:r>
      <w:r w:rsidR="004416E6">
        <w:rPr>
          <w:rFonts w:cstheme="majorBidi"/>
          <w:szCs w:val="24"/>
        </w:rPr>
        <w:t>r le terme « éco blanchiment » (qui englobe « </w:t>
      </w:r>
      <w:r w:rsidR="004416E6" w:rsidRPr="001A1F05">
        <w:rPr>
          <w:rFonts w:cstheme="majorBidi"/>
          <w:szCs w:val="24"/>
        </w:rPr>
        <w:t>blanchiment</w:t>
      </w:r>
      <w:r w:rsidRPr="001A1F05">
        <w:rPr>
          <w:rFonts w:cstheme="majorBidi"/>
          <w:szCs w:val="24"/>
        </w:rPr>
        <w:t xml:space="preserve"> » -blanchi</w:t>
      </w:r>
      <w:r w:rsidR="004416E6">
        <w:rPr>
          <w:rFonts w:cstheme="majorBidi"/>
          <w:szCs w:val="24"/>
        </w:rPr>
        <w:t>r à chaux). Le terme anglais « greenwashing »</w:t>
      </w:r>
      <w:r w:rsidRPr="001A1F05">
        <w:rPr>
          <w:rStyle w:val="Appelnotedebasdep"/>
          <w:rFonts w:cstheme="majorBidi"/>
          <w:szCs w:val="24"/>
        </w:rPr>
        <w:footnoteReference w:id="14"/>
      </w:r>
      <w:r w:rsidRPr="001A1F05">
        <w:rPr>
          <w:rFonts w:cstheme="majorBidi"/>
          <w:szCs w:val="24"/>
        </w:rPr>
        <w:t xml:space="preserve"> est constaté comme une préférence d'usage dans l'analyse des revues de presse</w:t>
      </w:r>
      <w:r w:rsidR="004864CD">
        <w:rPr>
          <w:rFonts w:cstheme="majorBidi"/>
          <w:szCs w:val="24"/>
        </w:rPr>
        <w:t xml:space="preserve"> </w:t>
      </w:r>
      <w:r w:rsidRPr="001A1F05">
        <w:rPr>
          <w:rStyle w:val="Appelnotedebasdep"/>
          <w:rFonts w:cstheme="majorBidi"/>
          <w:szCs w:val="24"/>
        </w:rPr>
        <w:footnoteReference w:id="15"/>
      </w:r>
    </w:p>
    <w:p w14:paraId="1A040141" w14:textId="77777777" w:rsidR="001A1F05" w:rsidRPr="00E05076" w:rsidRDefault="001A1F05" w:rsidP="001A1F05">
      <w:pPr>
        <w:rPr>
          <w:rFonts w:cstheme="majorBidi"/>
          <w:szCs w:val="24"/>
        </w:rPr>
      </w:pPr>
      <w:r w:rsidRPr="001A1F05">
        <w:rPr>
          <w:rFonts w:cstheme="majorBidi"/>
          <w:szCs w:val="24"/>
        </w:rPr>
        <w:t>Ceci peut être expliqué aussi par une chronologie décrite dans l</w:t>
      </w:r>
      <w:r w:rsidR="004416E6">
        <w:rPr>
          <w:rFonts w:cstheme="majorBidi"/>
          <w:szCs w:val="24"/>
        </w:rPr>
        <w:t xml:space="preserve">'article de Thierry </w:t>
      </w:r>
      <w:proofErr w:type="spellStart"/>
      <w:r w:rsidR="004416E6">
        <w:rPr>
          <w:rFonts w:cstheme="majorBidi"/>
          <w:szCs w:val="24"/>
        </w:rPr>
        <w:t>Libaert</w:t>
      </w:r>
      <w:proofErr w:type="spellEnd"/>
      <w:r w:rsidR="004416E6">
        <w:rPr>
          <w:rFonts w:cstheme="majorBidi"/>
          <w:szCs w:val="24"/>
        </w:rPr>
        <w:t>, « </w:t>
      </w:r>
      <w:r w:rsidRPr="001A1F05">
        <w:rPr>
          <w:rFonts w:cstheme="majorBidi"/>
          <w:szCs w:val="24"/>
        </w:rPr>
        <w:t xml:space="preserve">De la critique du greenwashing à l'accroissement de la régulation publicitaire </w:t>
      </w:r>
      <w:r w:rsidRPr="001A1F05">
        <w:rPr>
          <w:rStyle w:val="Appelnotedebasdep"/>
          <w:rFonts w:cstheme="majorBidi"/>
          <w:szCs w:val="24"/>
        </w:rPr>
        <w:footnoteReference w:id="16"/>
      </w:r>
      <w:r w:rsidRPr="001A1F05">
        <w:rPr>
          <w:rFonts w:cstheme="majorBidi"/>
          <w:szCs w:val="24"/>
        </w:rPr>
        <w:t xml:space="preserve">. </w:t>
      </w:r>
      <w:proofErr w:type="spellStart"/>
      <w:r w:rsidRPr="001A1F05">
        <w:rPr>
          <w:rFonts w:cstheme="majorBidi"/>
          <w:szCs w:val="24"/>
        </w:rPr>
        <w:t>Liboert</w:t>
      </w:r>
      <w:proofErr w:type="spellEnd"/>
      <w:r w:rsidRPr="001A1F05">
        <w:rPr>
          <w:rFonts w:cstheme="majorBidi"/>
          <w:szCs w:val="24"/>
        </w:rPr>
        <w:t xml:space="preserve"> offre une perspective intéressante sur le déroulement et les thèmes traités dans les réunions de la commission gouvernan</w:t>
      </w:r>
      <w:r w:rsidR="004416E6">
        <w:rPr>
          <w:rFonts w:cstheme="majorBidi"/>
          <w:szCs w:val="24"/>
        </w:rPr>
        <w:t>ce du Grenelle qui cherche à «</w:t>
      </w:r>
      <w:r w:rsidRPr="001A1F05">
        <w:rPr>
          <w:rFonts w:cstheme="majorBidi"/>
          <w:szCs w:val="24"/>
        </w:rPr>
        <w:t xml:space="preserve">Réglementer la publicité et l'information sur les produits dans une démarche éco-socialement responsable » </w:t>
      </w:r>
      <w:r w:rsidRPr="001A1F05">
        <w:rPr>
          <w:rStyle w:val="Appelnotedebasdep"/>
          <w:rFonts w:cstheme="majorBidi"/>
          <w:szCs w:val="24"/>
        </w:rPr>
        <w:footnoteReference w:id="17"/>
      </w:r>
      <w:r w:rsidRPr="001A1F05">
        <w:rPr>
          <w:rFonts w:cstheme="majorBidi"/>
          <w:szCs w:val="24"/>
        </w:rPr>
        <w:t>. Parmi les sujets traités, nous retrouvons une préoccupation des ONG environnementales (en particulier Les Amis de la Terre, WWF et Greenpeace) avec le sujet du greenwashing en insistant pour reformer l'autorité de régulation de la publicité. La nouvelle autorité (ARPP et OIP), ouvre des chantiers avec le titre Greenwashing ». Depuis 2008, IADEME et</w:t>
      </w:r>
      <w:r w:rsidR="004416E6">
        <w:rPr>
          <w:rFonts w:cstheme="majorBidi"/>
          <w:szCs w:val="24"/>
        </w:rPr>
        <w:t xml:space="preserve"> l'ARPP élaborent un rapport « </w:t>
      </w:r>
      <w:r w:rsidRPr="001A1F05">
        <w:rPr>
          <w:rFonts w:cstheme="majorBidi"/>
          <w:szCs w:val="24"/>
        </w:rPr>
        <w:t>Publicité et</w:t>
      </w:r>
    </w:p>
    <w:p w14:paraId="26B0D12A" w14:textId="77777777" w:rsidR="001A1F05" w:rsidRDefault="009146B9" w:rsidP="009146B9">
      <w:pPr>
        <w:pStyle w:val="Paragraphedeliste"/>
        <w:numPr>
          <w:ilvl w:val="0"/>
          <w:numId w:val="2"/>
        </w:numPr>
        <w:rPr>
          <w:rFonts w:cstheme="majorBidi"/>
          <w:b/>
          <w:bCs/>
          <w:sz w:val="28"/>
          <w:szCs w:val="28"/>
        </w:rPr>
      </w:pPr>
      <w:r w:rsidRPr="009146B9">
        <w:rPr>
          <w:rFonts w:cstheme="majorBidi"/>
          <w:b/>
          <w:bCs/>
          <w:szCs w:val="24"/>
        </w:rPr>
        <w:t>Une définition multi-facette</w:t>
      </w:r>
      <w:r>
        <w:rPr>
          <w:rFonts w:cstheme="majorBidi"/>
          <w:b/>
          <w:bCs/>
          <w:sz w:val="28"/>
          <w:szCs w:val="28"/>
        </w:rPr>
        <w:t> </w:t>
      </w:r>
      <w:r>
        <w:rPr>
          <w:rFonts w:cstheme="majorBidi"/>
          <w:b/>
          <w:bCs/>
          <w:sz w:val="28"/>
          <w:szCs w:val="28"/>
          <w:lang w:bidi="ar-DZ"/>
        </w:rPr>
        <w:t>:</w:t>
      </w:r>
    </w:p>
    <w:p w14:paraId="6854F4B9" w14:textId="77777777" w:rsidR="009146B9" w:rsidRDefault="009146B9" w:rsidP="004864CD">
      <w:pPr>
        <w:rPr>
          <w:b/>
          <w:bCs/>
          <w:sz w:val="32"/>
          <w:szCs w:val="32"/>
        </w:rPr>
      </w:pPr>
      <w:r w:rsidRPr="009146B9">
        <w:t>On l’aura compris, le greenwashing, c’est abuser du « vert » et des codes de communication en lien avec l’environnement, pour en tirer un bénéfice d’ordre économiq</w:t>
      </w:r>
      <w:r w:rsidR="006B6638">
        <w:t>ue ou une position dominante.</w:t>
      </w:r>
      <w:r w:rsidR="006B6638">
        <w:rPr>
          <w:rStyle w:val="Appelnotedebasdep"/>
        </w:rPr>
        <w:footnoteReference w:id="18"/>
      </w:r>
      <w:r>
        <w:t xml:space="preserve"> </w:t>
      </w:r>
      <w:r w:rsidR="006B6638">
        <w:t xml:space="preserve">, </w:t>
      </w:r>
      <w:r w:rsidR="006B6638">
        <w:rPr>
          <w:rStyle w:val="Appelnotedebasdep"/>
        </w:rPr>
        <w:footnoteReference w:id="19"/>
      </w:r>
      <w:r w:rsidRPr="009146B9">
        <w:t xml:space="preserve"> On pourrait ainsi définir le greenwashing comme un « comportement qui implique une mauvaise communication délibérée sur les actions ou les </w:t>
      </w:r>
      <w:r w:rsidRPr="009146B9">
        <w:lastRenderedPageBreak/>
        <w:t>réal</w:t>
      </w:r>
      <w:r w:rsidR="006B6638">
        <w:t xml:space="preserve">isations environnementales » </w:t>
      </w:r>
      <w:r w:rsidR="006B6638">
        <w:rPr>
          <w:rStyle w:val="Appelnotedebasdep"/>
        </w:rPr>
        <w:footnoteReference w:id="20"/>
      </w:r>
      <w:r w:rsidRPr="009146B9">
        <w:t xml:space="preserve"> </w:t>
      </w:r>
      <w:r w:rsidR="004864CD" w:rsidRPr="004864CD">
        <w:t>ou « une sorte de communication exagérée d'une marque, entreprise privée, organisation publique ou individu, faisant l'éloge - pas nécessairement de manière totalement objective - des avantages de son comportement durable, de ses actions écologiques responsables et/ou des diverses initiatives entreprises dans un esprit de préservation de l'environnement ».   On pourrait également classer les méthodes de greenwashing en différentes catégories selon qu'elles sont liées spécifiquement à une entreprise (organisation) ou à un produit (service/procédé) (Figure 01).  Le greenwashing peut prendre différentes formes, que nous allons détailler en présentant leur subtilité et sophistication à travers divers exemples ci-dessous.</w:t>
      </w:r>
    </w:p>
    <w:p w14:paraId="1E3D4D74" w14:textId="77777777" w:rsidR="009146B9" w:rsidRDefault="009146B9" w:rsidP="009146B9">
      <w:pPr>
        <w:rPr>
          <w:b/>
          <w:bCs/>
          <w:sz w:val="32"/>
          <w:szCs w:val="32"/>
        </w:rPr>
      </w:pPr>
      <w:r w:rsidRPr="009146B9">
        <w:rPr>
          <w:b/>
          <w:bCs/>
          <w:noProof/>
          <w:sz w:val="32"/>
          <w:szCs w:val="32"/>
          <w:lang w:eastAsia="fr-FR"/>
        </w:rPr>
        <w:drawing>
          <wp:inline distT="0" distB="0" distL="0" distR="0" wp14:anchorId="436E20BC" wp14:editId="72EAAED3">
            <wp:extent cx="5638800" cy="1937385"/>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2116"/>
                    <a:stretch/>
                  </pic:blipFill>
                  <pic:spPr bwMode="auto">
                    <a:xfrm>
                      <a:off x="0" y="0"/>
                      <a:ext cx="5638800" cy="1937385"/>
                    </a:xfrm>
                    <a:prstGeom prst="rect">
                      <a:avLst/>
                    </a:prstGeom>
                    <a:ln>
                      <a:noFill/>
                    </a:ln>
                    <a:extLst>
                      <a:ext uri="{53640926-AAD7-44D8-BBD7-CCE9431645EC}">
                        <a14:shadowObscured xmlns:a14="http://schemas.microsoft.com/office/drawing/2010/main"/>
                      </a:ext>
                    </a:extLst>
                  </pic:spPr>
                </pic:pic>
              </a:graphicData>
            </a:graphic>
          </wp:inline>
        </w:drawing>
      </w:r>
    </w:p>
    <w:p w14:paraId="30D1125D" w14:textId="77777777" w:rsidR="009146B9" w:rsidRPr="00496C8B" w:rsidRDefault="00496C8B" w:rsidP="00496C8B">
      <w:pPr>
        <w:pStyle w:val="Lgende"/>
        <w:jc w:val="center"/>
        <w:rPr>
          <w:rFonts w:cstheme="majorBidi"/>
          <w:i w:val="0"/>
          <w:iCs w:val="0"/>
          <w:color w:val="000000" w:themeColor="text1"/>
          <w:sz w:val="44"/>
          <w:szCs w:val="44"/>
        </w:rPr>
      </w:pPr>
      <w:bookmarkStart w:id="24" w:name="_Toc200731380"/>
      <w:r w:rsidRPr="00496C8B">
        <w:rPr>
          <w:rFonts w:cstheme="majorBidi"/>
          <w:b/>
          <w:bCs/>
          <w:i w:val="0"/>
          <w:iCs w:val="0"/>
          <w:color w:val="000000" w:themeColor="text1"/>
          <w:sz w:val="24"/>
          <w:szCs w:val="24"/>
        </w:rPr>
        <w:t xml:space="preserve">Figure </w:t>
      </w:r>
      <w:r w:rsidRPr="00496C8B">
        <w:rPr>
          <w:rFonts w:cstheme="majorBidi"/>
          <w:b/>
          <w:bCs/>
          <w:i w:val="0"/>
          <w:iCs w:val="0"/>
          <w:color w:val="000000" w:themeColor="text1"/>
          <w:sz w:val="24"/>
          <w:szCs w:val="24"/>
        </w:rPr>
        <w:fldChar w:fldCharType="begin"/>
      </w:r>
      <w:r w:rsidRPr="00496C8B">
        <w:rPr>
          <w:rFonts w:cstheme="majorBidi"/>
          <w:b/>
          <w:bCs/>
          <w:i w:val="0"/>
          <w:iCs w:val="0"/>
          <w:color w:val="000000" w:themeColor="text1"/>
          <w:sz w:val="24"/>
          <w:szCs w:val="24"/>
        </w:rPr>
        <w:instrText xml:space="preserve"> SEQ Figure \* ARABIC </w:instrText>
      </w:r>
      <w:r w:rsidRPr="00496C8B">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w:t>
      </w:r>
      <w:r w:rsidRPr="00496C8B">
        <w:rPr>
          <w:rFonts w:cstheme="majorBidi"/>
          <w:b/>
          <w:bCs/>
          <w:i w:val="0"/>
          <w:iCs w:val="0"/>
          <w:color w:val="000000" w:themeColor="text1"/>
          <w:sz w:val="24"/>
          <w:szCs w:val="24"/>
        </w:rPr>
        <w:fldChar w:fldCharType="end"/>
      </w:r>
      <w:r w:rsidRPr="00496C8B">
        <w:rPr>
          <w:rFonts w:cstheme="majorBidi"/>
          <w:b/>
          <w:bCs/>
          <w:i w:val="0"/>
          <w:iCs w:val="0"/>
          <w:color w:val="000000" w:themeColor="text1"/>
          <w:sz w:val="24"/>
          <w:szCs w:val="24"/>
        </w:rPr>
        <w:t xml:space="preserve"> </w:t>
      </w:r>
      <w:r w:rsidR="009146B9" w:rsidRPr="00496C8B">
        <w:rPr>
          <w:rFonts w:cstheme="majorBidi"/>
          <w:i w:val="0"/>
          <w:iCs w:val="0"/>
          <w:color w:val="000000" w:themeColor="text1"/>
          <w:sz w:val="24"/>
          <w:szCs w:val="24"/>
        </w:rPr>
        <w:t>: Classification des différents comportements de greenwashing</w:t>
      </w:r>
      <w:bookmarkEnd w:id="24"/>
    </w:p>
    <w:p w14:paraId="5FBA4E9A" w14:textId="77777777" w:rsidR="009146B9" w:rsidRPr="009146B9" w:rsidRDefault="009146B9" w:rsidP="008F6D71">
      <w:pPr>
        <w:pStyle w:val="Paragraphedeliste"/>
        <w:numPr>
          <w:ilvl w:val="0"/>
          <w:numId w:val="5"/>
        </w:numPr>
        <w:rPr>
          <w:b/>
          <w:bCs/>
        </w:rPr>
      </w:pPr>
      <w:r w:rsidRPr="009146B9">
        <w:rPr>
          <w:b/>
          <w:bCs/>
          <w:u w:val="single"/>
        </w:rPr>
        <w:t>Facette 1</w:t>
      </w:r>
      <w:r w:rsidRPr="009146B9">
        <w:rPr>
          <w:b/>
          <w:bCs/>
        </w:rPr>
        <w:t xml:space="preserve"> : le détournement d’attention</w:t>
      </w:r>
    </w:p>
    <w:p w14:paraId="09665B77" w14:textId="77777777" w:rsidR="002252E0" w:rsidRPr="006B6638" w:rsidRDefault="004864CD" w:rsidP="004864CD">
      <w:r w:rsidRPr="004864CD">
        <w:t>C'est sans doute le comportement le plus facile à saisir.  Cette stratégie marketing vise à masquer les défauts d'une entreprise en les dissimulant sous des normes écologiques.</w:t>
      </w:r>
      <w:r>
        <w:t xml:space="preserve"> </w:t>
      </w:r>
      <w:r w:rsidRPr="004864CD">
        <w:t xml:space="preserve">Ceci pourrait s'appliquer à une société engagée dans l'exploitation des énergies fossiles, responsable directement ou indirectement de grandes quantités d'émissions de dioxyde de carbone, tout en cultivant une image fortement liée à la nature (Figure).  Il est également possible qu'une entreprise de prêt-à-porter valorise ses vêtements en « coton bio » ou « en fibres 100% recyclées » afin de projeter une image plus « éco-responsable », tout en esquivant l'attention portée sur ses pratiques discutables (délocalisation de ses opérations, exploitation des enfants, pollution de l'air et de l'eau, etc.).  Certaines entreprises, coopératives ou bureaux se présentent comme « durables », alors qu'ils ne le sont pas vraiment (continuant à dépendre des énergies fossiles, par </w:t>
      </w:r>
      <w:r w:rsidRPr="004864CD">
        <w:lastRenderedPageBreak/>
        <w:t>exemple). que du fioul de chauffage, ou utilisation de véhicules d'entreprise à moteur à combustion, etc.  Il en va de même pour certaines campagnes qui font la promotion du « renouvelable », dont l'utilisation est constamment incorrecte.</w:t>
      </w:r>
    </w:p>
    <w:p w14:paraId="36CF9ED3" w14:textId="77777777" w:rsidR="002252E0" w:rsidRDefault="00F73EF6" w:rsidP="009146B9">
      <w:r>
        <w:rPr>
          <w:b/>
          <w:bCs/>
        </w:rPr>
        <w:t xml:space="preserve">Figure </w:t>
      </w:r>
      <w:r w:rsidR="009146B9">
        <w:t xml:space="preserve">. Exemple de marketing effectué par une compagnie pétrolière colombienne et vantant le respect de la vie et de l’environnement. </w:t>
      </w:r>
    </w:p>
    <w:p w14:paraId="560CE024" w14:textId="77777777" w:rsidR="002252E0" w:rsidRPr="002252E0" w:rsidRDefault="009146B9" w:rsidP="008F6D71">
      <w:pPr>
        <w:pStyle w:val="Paragraphedeliste"/>
        <w:numPr>
          <w:ilvl w:val="0"/>
          <w:numId w:val="5"/>
        </w:numPr>
        <w:rPr>
          <w:b/>
          <w:bCs/>
        </w:rPr>
      </w:pPr>
      <w:r w:rsidRPr="002252E0">
        <w:rPr>
          <w:b/>
          <w:bCs/>
          <w:u w:val="single"/>
        </w:rPr>
        <w:t>Facette 2</w:t>
      </w:r>
      <w:r w:rsidRPr="002252E0">
        <w:rPr>
          <w:b/>
          <w:bCs/>
        </w:rPr>
        <w:t xml:space="preserve"> : le manque de transparence </w:t>
      </w:r>
    </w:p>
    <w:p w14:paraId="46FF969A" w14:textId="77777777" w:rsidR="002252E0" w:rsidRDefault="009146B9" w:rsidP="009146B9">
      <w:r>
        <w:t>Le manque de transparence est la seconde facette du greenwashing d’entreprise. Il est, par contre, plus délicat à repérer. Il consiste à faire croire au grand public, aux actionnaires ou aux décideurs qu’une action ou une méthode de production est menée dans le souci de la protection de l’environnement, alors qu’elle est imposée par la réglementation ou par une directive. Pour illustrer, nous pourrions prendre le cas d’une chaine de fast-food qui a mis en place une campagne de communication autour de la suppression des pailles, alors que cette mesure a été rendue obligatoire sur base d’une régleme</w:t>
      </w:r>
      <w:r w:rsidR="002252E0">
        <w:t xml:space="preserve">ntation </w:t>
      </w:r>
      <w:r w:rsidR="006B6638">
        <w:t xml:space="preserve">européenne </w:t>
      </w:r>
      <w:r w:rsidR="006B6638">
        <w:rPr>
          <w:rStyle w:val="Appelnotedebasdep"/>
        </w:rPr>
        <w:footnoteReference w:id="21"/>
      </w:r>
      <w:r w:rsidR="002252E0">
        <w:t>(Figure 2</w:t>
      </w:r>
      <w:r>
        <w:t>, haut). Le manque de transparence se manifeste aussi quand un acteur crée</w:t>
      </w:r>
      <w:r w:rsidR="002252E0">
        <w:rPr>
          <w:b/>
          <w:bCs/>
          <w:sz w:val="32"/>
          <w:szCs w:val="32"/>
        </w:rPr>
        <w:t xml:space="preserve"> </w:t>
      </w:r>
      <w:r w:rsidR="002252E0">
        <w:t>l’ambiguïté en gonflant exagérément une de ses actions en lien avec la préservation de l’environnement. Nous pourrions ainsi prendre l’exemple d’une entreprise active dans les énergies fossiles qui se positionne comme un « leader dans les énergies renouvelables », alors que ses investissements dans cette branche restent marginaux (Figure 2, bas).</w:t>
      </w:r>
    </w:p>
    <w:p w14:paraId="56415D66" w14:textId="77777777" w:rsidR="002252E0" w:rsidRDefault="002252E0" w:rsidP="002252E0">
      <w:pPr>
        <w:jc w:val="center"/>
        <w:rPr>
          <w:b/>
          <w:bCs/>
        </w:rPr>
      </w:pPr>
      <w:r w:rsidRPr="002252E0">
        <w:rPr>
          <w:b/>
          <w:bCs/>
          <w:noProof/>
          <w:lang w:eastAsia="fr-FR"/>
        </w:rPr>
        <w:lastRenderedPageBreak/>
        <w:drawing>
          <wp:inline distT="0" distB="0" distL="0" distR="0" wp14:anchorId="3041CF63" wp14:editId="67BDD0D2">
            <wp:extent cx="2781300" cy="31432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81300" cy="3143250"/>
                    </a:xfrm>
                    <a:prstGeom prst="rect">
                      <a:avLst/>
                    </a:prstGeom>
                  </pic:spPr>
                </pic:pic>
              </a:graphicData>
            </a:graphic>
          </wp:inline>
        </w:drawing>
      </w:r>
    </w:p>
    <w:p w14:paraId="24A8E886" w14:textId="77777777" w:rsidR="002252E0" w:rsidRPr="00496C8B" w:rsidRDefault="00496C8B" w:rsidP="00496C8B">
      <w:pPr>
        <w:pStyle w:val="Lgende"/>
        <w:jc w:val="center"/>
        <w:rPr>
          <w:b/>
          <w:bCs/>
          <w:i w:val="0"/>
          <w:iCs w:val="0"/>
          <w:sz w:val="24"/>
          <w:szCs w:val="24"/>
        </w:rPr>
      </w:pPr>
      <w:bookmarkStart w:id="25" w:name="_Toc200731381"/>
      <w:r w:rsidRPr="00496C8B">
        <w:rPr>
          <w:b/>
          <w:bCs/>
          <w:i w:val="0"/>
          <w:iCs w:val="0"/>
          <w:color w:val="000000" w:themeColor="text1"/>
          <w:sz w:val="24"/>
          <w:szCs w:val="24"/>
        </w:rPr>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2</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 </w:t>
      </w:r>
      <w:r w:rsidR="002252E0" w:rsidRPr="00496C8B">
        <w:rPr>
          <w:i w:val="0"/>
          <w:iCs w:val="0"/>
          <w:color w:val="000000" w:themeColor="text1"/>
          <w:sz w:val="24"/>
          <w:szCs w:val="24"/>
        </w:rPr>
        <w:t>Illustration du greenwashing par manque de transparence par obligation réglementaire (haut) ou par création d’ambiguïté (bas).</w:t>
      </w:r>
      <w:bookmarkEnd w:id="25"/>
    </w:p>
    <w:p w14:paraId="7EED27AE" w14:textId="77777777" w:rsidR="002252E0" w:rsidRDefault="002252E0" w:rsidP="009146B9">
      <w:r>
        <w:t xml:space="preserve">(Source : (haut) https://urbania.fr/article/greenwashing-comment-sassurer-quune-marq </w:t>
      </w:r>
      <w:proofErr w:type="spellStart"/>
      <w:r>
        <w:t>ue</w:t>
      </w:r>
      <w:proofErr w:type="spellEnd"/>
      <w:r>
        <w:t xml:space="preserve">-est-vraiment-durable – (bas) </w:t>
      </w:r>
      <w:hyperlink r:id="rId17" w:history="1">
        <w:r w:rsidRPr="00287A2D">
          <w:rPr>
            <w:rStyle w:val="Lienhypertexte"/>
          </w:rPr>
          <w:t>https://www.clientearth.org/latest/latest-updates/news/bp-greenwash ing-complaint-sets-precedent-for-action-on-misleading-adcampaigns/</w:t>
        </w:r>
      </w:hyperlink>
      <w:r>
        <w:t>)</w:t>
      </w:r>
    </w:p>
    <w:p w14:paraId="6B183798" w14:textId="77777777" w:rsidR="002252E0" w:rsidRPr="002252E0" w:rsidRDefault="002252E0" w:rsidP="008F6D71">
      <w:pPr>
        <w:pStyle w:val="Paragraphedeliste"/>
        <w:numPr>
          <w:ilvl w:val="0"/>
          <w:numId w:val="5"/>
        </w:numPr>
        <w:rPr>
          <w:b/>
          <w:bCs/>
        </w:rPr>
      </w:pPr>
      <w:r w:rsidRPr="002252E0">
        <w:rPr>
          <w:b/>
          <w:bCs/>
          <w:u w:val="single"/>
        </w:rPr>
        <w:t>Facette 3</w:t>
      </w:r>
      <w:r w:rsidRPr="002252E0">
        <w:rPr>
          <w:b/>
          <w:bCs/>
        </w:rPr>
        <w:t xml:space="preserve"> : le faux label </w:t>
      </w:r>
    </w:p>
    <w:p w14:paraId="1B19A5F3" w14:textId="77777777" w:rsidR="002252E0" w:rsidRDefault="002252E0" w:rsidP="009146B9">
      <w:r>
        <w:t>La pratique du « faux label » est plutôt destinée aux produits. Elle consiste à apposer sur un produit ou un emballage un label qui n’est pas délivré par un organisme certificateur. Il s’agit donc d’une sorte d’auto-déclaration où certaines marques utilisent des logos ou des visuels qui ressemblent à des labels certifiés. C’est le cas des produits estampillés « sans résidu de pesticides »,</w:t>
      </w:r>
      <w:r>
        <w:rPr>
          <w:b/>
          <w:bCs/>
          <w:sz w:val="32"/>
          <w:szCs w:val="32"/>
        </w:rPr>
        <w:t xml:space="preserve"> </w:t>
      </w:r>
      <w:r>
        <w:t xml:space="preserve">« issus d’une agriculture durable », « avec réduction de l’empreinte carbone », « bons pour tous », « bons pour la nature », ou « équitables » (Figure 3). </w:t>
      </w:r>
    </w:p>
    <w:p w14:paraId="42002C20" w14:textId="77777777" w:rsidR="00BF73A2" w:rsidRDefault="00BF73A2" w:rsidP="00BF73A2">
      <w:pPr>
        <w:jc w:val="center"/>
        <w:rPr>
          <w:b/>
          <w:bCs/>
        </w:rPr>
      </w:pPr>
      <w:r w:rsidRPr="00BF73A2">
        <w:rPr>
          <w:b/>
          <w:bCs/>
          <w:noProof/>
          <w:lang w:eastAsia="fr-FR"/>
        </w:rPr>
        <w:drawing>
          <wp:inline distT="0" distB="0" distL="0" distR="0" wp14:anchorId="7800E98B" wp14:editId="560C70DB">
            <wp:extent cx="5191125" cy="125730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8333"/>
                    <a:stretch/>
                  </pic:blipFill>
                  <pic:spPr bwMode="auto">
                    <a:xfrm>
                      <a:off x="0" y="0"/>
                      <a:ext cx="5191125" cy="1257300"/>
                    </a:xfrm>
                    <a:prstGeom prst="rect">
                      <a:avLst/>
                    </a:prstGeom>
                    <a:ln>
                      <a:noFill/>
                    </a:ln>
                    <a:extLst>
                      <a:ext uri="{53640926-AAD7-44D8-BBD7-CCE9431645EC}">
                        <a14:shadowObscured xmlns:a14="http://schemas.microsoft.com/office/drawing/2010/main"/>
                      </a:ext>
                    </a:extLst>
                  </pic:spPr>
                </pic:pic>
              </a:graphicData>
            </a:graphic>
          </wp:inline>
        </w:drawing>
      </w:r>
    </w:p>
    <w:p w14:paraId="1BA9A118" w14:textId="77777777" w:rsidR="002252E0" w:rsidRPr="00496C8B" w:rsidRDefault="00496C8B" w:rsidP="00496C8B">
      <w:pPr>
        <w:pStyle w:val="Lgende"/>
        <w:jc w:val="center"/>
        <w:rPr>
          <w:i w:val="0"/>
          <w:iCs w:val="0"/>
          <w:color w:val="000000" w:themeColor="text1"/>
          <w:sz w:val="24"/>
          <w:szCs w:val="24"/>
        </w:rPr>
      </w:pPr>
      <w:bookmarkStart w:id="26" w:name="_Toc200731382"/>
      <w:r w:rsidRPr="00496C8B">
        <w:rPr>
          <w:b/>
          <w:bCs/>
          <w:i w:val="0"/>
          <w:iCs w:val="0"/>
          <w:color w:val="000000" w:themeColor="text1"/>
          <w:sz w:val="24"/>
          <w:szCs w:val="24"/>
        </w:rPr>
        <w:lastRenderedPageBreak/>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3</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w:t>
      </w:r>
      <w:r>
        <w:rPr>
          <w:i w:val="0"/>
          <w:iCs w:val="0"/>
          <w:color w:val="000000" w:themeColor="text1"/>
          <w:sz w:val="24"/>
          <w:szCs w:val="24"/>
        </w:rPr>
        <w:t xml:space="preserve"> </w:t>
      </w:r>
      <w:r w:rsidR="002252E0" w:rsidRPr="00496C8B">
        <w:rPr>
          <w:i w:val="0"/>
          <w:iCs w:val="0"/>
          <w:color w:val="000000" w:themeColor="text1"/>
          <w:sz w:val="24"/>
          <w:szCs w:val="24"/>
        </w:rPr>
        <w:t>Quelques exemples de faux labels (Source : Ecoconso.be)</w:t>
      </w:r>
      <w:bookmarkEnd w:id="26"/>
    </w:p>
    <w:p w14:paraId="5595C48C" w14:textId="77777777" w:rsidR="002252E0" w:rsidRDefault="002252E0" w:rsidP="008F6D71">
      <w:pPr>
        <w:pStyle w:val="Paragraphedeliste"/>
        <w:numPr>
          <w:ilvl w:val="0"/>
          <w:numId w:val="5"/>
        </w:numPr>
      </w:pPr>
      <w:r w:rsidRPr="002252E0">
        <w:rPr>
          <w:b/>
          <w:bCs/>
          <w:u w:val="single"/>
        </w:rPr>
        <w:t>Facette 4</w:t>
      </w:r>
      <w:r>
        <w:t xml:space="preserve"> : le mensonge frontal ou par omission</w:t>
      </w:r>
    </w:p>
    <w:p w14:paraId="6DA21CDA" w14:textId="77777777" w:rsidR="002252E0" w:rsidRDefault="002252E0" w:rsidP="009146B9">
      <w:r>
        <w:t xml:space="preserve"> Cette pratique consiste, on l’aura vite compris, à mentir sur le produit ou sur l’emballage ou à oublier de mentionner certains détails cruciaux. Le cas le plus évident à comprendre est celui des bouteilles en matières plastiques « d’origine végétale » ou en bioplastiques, intégrés uniquement partiellement dans certains emballages. Comme nous l’avons déjà évoqué précédemment ici, ces pratiques induisent le consommateur en erreur et sous-tendent des erreurs d’appréciation, notamment sur la fin de vie de ces matériaux plastiques. C’est le cas aussi des produits (ou emballages) qui se déclarent « faits en plastiques recyclés » alors que ces derniers ne sont présents qu’en quantités assez modérées ou bien de certains produits ou emballages dont l’origine est volontairement </w:t>
      </w:r>
      <w:r w:rsidR="00BF73A2">
        <w:t>dissimulée ou inventée (Figure 4</w:t>
      </w:r>
      <w:r>
        <w:t xml:space="preserve">). </w:t>
      </w:r>
    </w:p>
    <w:p w14:paraId="7F39C9E8" w14:textId="77777777" w:rsidR="00BF73A2" w:rsidRDefault="00BF73A2" w:rsidP="00BF73A2">
      <w:pPr>
        <w:jc w:val="center"/>
        <w:rPr>
          <w:b/>
          <w:bCs/>
        </w:rPr>
      </w:pPr>
      <w:r w:rsidRPr="00BF73A2">
        <w:rPr>
          <w:b/>
          <w:bCs/>
          <w:noProof/>
          <w:lang w:eastAsia="fr-FR"/>
        </w:rPr>
        <w:drawing>
          <wp:inline distT="0" distB="0" distL="0" distR="0" wp14:anchorId="36526909" wp14:editId="12945231">
            <wp:extent cx="3505200" cy="189547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05200" cy="1895475"/>
                    </a:xfrm>
                    <a:prstGeom prst="rect">
                      <a:avLst/>
                    </a:prstGeom>
                  </pic:spPr>
                </pic:pic>
              </a:graphicData>
            </a:graphic>
          </wp:inline>
        </w:drawing>
      </w:r>
    </w:p>
    <w:p w14:paraId="6703CD14" w14:textId="77777777" w:rsidR="002252E0" w:rsidRPr="00496C8B" w:rsidRDefault="00496C8B" w:rsidP="00496C8B">
      <w:pPr>
        <w:pStyle w:val="Lgende"/>
        <w:jc w:val="center"/>
        <w:rPr>
          <w:b/>
          <w:bCs/>
          <w:i w:val="0"/>
          <w:iCs w:val="0"/>
          <w:color w:val="000000" w:themeColor="text1"/>
          <w:sz w:val="24"/>
          <w:szCs w:val="24"/>
        </w:rPr>
      </w:pPr>
      <w:bookmarkStart w:id="27" w:name="_Toc200731383"/>
      <w:r w:rsidRPr="00496C8B">
        <w:rPr>
          <w:b/>
          <w:bCs/>
          <w:i w:val="0"/>
          <w:iCs w:val="0"/>
          <w:color w:val="000000" w:themeColor="text1"/>
          <w:sz w:val="24"/>
          <w:szCs w:val="24"/>
        </w:rPr>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4</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 </w:t>
      </w:r>
      <w:r w:rsidR="002252E0" w:rsidRPr="00496C8B">
        <w:rPr>
          <w:i w:val="0"/>
          <w:iCs w:val="0"/>
          <w:color w:val="000000" w:themeColor="text1"/>
          <w:sz w:val="24"/>
          <w:szCs w:val="24"/>
        </w:rPr>
        <w:t>Greenwashing par mensonge frontal ou par omission. Dans</w:t>
      </w:r>
      <w:r w:rsidR="002252E0" w:rsidRPr="00496C8B">
        <w:rPr>
          <w:i w:val="0"/>
          <w:iCs w:val="0"/>
          <w:color w:val="000000" w:themeColor="text1"/>
          <w:sz w:val="44"/>
          <w:szCs w:val="44"/>
        </w:rPr>
        <w:t xml:space="preserve"> </w:t>
      </w:r>
      <w:r w:rsidR="002252E0" w:rsidRPr="00496C8B">
        <w:rPr>
          <w:i w:val="0"/>
          <w:iCs w:val="0"/>
          <w:color w:val="000000" w:themeColor="text1"/>
          <w:sz w:val="24"/>
          <w:szCs w:val="24"/>
        </w:rPr>
        <w:t>ce cas, l’emballage ne provient pas du tout de plastiques issus des océans (Source: https://moxiefuture.com/2020/12/8-brands-called-out -for-greenwashing-in-2020/)</w:t>
      </w:r>
      <w:bookmarkEnd w:id="27"/>
    </w:p>
    <w:p w14:paraId="17DF6597" w14:textId="77777777" w:rsidR="002252E0" w:rsidRPr="002252E0" w:rsidRDefault="002252E0" w:rsidP="008F6D71">
      <w:pPr>
        <w:pStyle w:val="Paragraphedeliste"/>
        <w:numPr>
          <w:ilvl w:val="0"/>
          <w:numId w:val="5"/>
        </w:numPr>
        <w:rPr>
          <w:b/>
          <w:bCs/>
        </w:rPr>
      </w:pPr>
      <w:r w:rsidRPr="002252E0">
        <w:rPr>
          <w:b/>
          <w:bCs/>
          <w:u w:val="single"/>
        </w:rPr>
        <w:t>Facette 5 :</w:t>
      </w:r>
      <w:r w:rsidRPr="002252E0">
        <w:rPr>
          <w:b/>
          <w:bCs/>
        </w:rPr>
        <w:t xml:space="preserve"> le packaging trompeur</w:t>
      </w:r>
    </w:p>
    <w:p w14:paraId="704905DA" w14:textId="77777777" w:rsidR="002252E0" w:rsidRDefault="002252E0" w:rsidP="009146B9">
      <w:r>
        <w:t xml:space="preserve"> La dernière pratique de greenwashing est en lien avec l’emballage uniquement. Elle consiste à utiliser des formes, des couleurs, ou des codes lexicaux visuels sur-exprimés. Utiliser la couleur verte pour rappeler de manière subliminale l’environnement est une pratique de greenwashing, utiliser des visuels avec des plantes ou des arbres est aussi un comportement trompeur. Il en va de même pour l’usage de certains termes comme « fraicheur naturelle » ou certai</w:t>
      </w:r>
      <w:r w:rsidR="00BF73A2">
        <w:t>nes formes d’emballage (Figure 5</w:t>
      </w:r>
      <w:r>
        <w:t xml:space="preserve">). </w:t>
      </w:r>
    </w:p>
    <w:p w14:paraId="3C727EA5" w14:textId="77777777" w:rsidR="00BF73A2" w:rsidRDefault="00BF73A2" w:rsidP="00BF73A2">
      <w:pPr>
        <w:jc w:val="center"/>
        <w:rPr>
          <w:b/>
          <w:bCs/>
        </w:rPr>
      </w:pPr>
      <w:r w:rsidRPr="00BF73A2">
        <w:rPr>
          <w:b/>
          <w:bCs/>
          <w:noProof/>
          <w:lang w:eastAsia="fr-FR"/>
        </w:rPr>
        <w:lastRenderedPageBreak/>
        <w:drawing>
          <wp:inline distT="0" distB="0" distL="0" distR="0" wp14:anchorId="5F21E60F" wp14:editId="3283B97F">
            <wp:extent cx="4370887" cy="20955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78013" cy="2098917"/>
                    </a:xfrm>
                    <a:prstGeom prst="rect">
                      <a:avLst/>
                    </a:prstGeom>
                  </pic:spPr>
                </pic:pic>
              </a:graphicData>
            </a:graphic>
          </wp:inline>
        </w:drawing>
      </w:r>
    </w:p>
    <w:p w14:paraId="0F7162ED" w14:textId="77777777" w:rsidR="002252E0" w:rsidRPr="00496C8B" w:rsidRDefault="00496C8B" w:rsidP="00496C8B">
      <w:pPr>
        <w:pStyle w:val="Lgende"/>
        <w:jc w:val="center"/>
        <w:rPr>
          <w:b/>
          <w:bCs/>
          <w:i w:val="0"/>
          <w:iCs w:val="0"/>
          <w:color w:val="000000" w:themeColor="text1"/>
          <w:sz w:val="44"/>
          <w:szCs w:val="44"/>
        </w:rPr>
      </w:pPr>
      <w:bookmarkStart w:id="28" w:name="_Toc200731384"/>
      <w:r w:rsidRPr="00496C8B">
        <w:rPr>
          <w:b/>
          <w:bCs/>
          <w:i w:val="0"/>
          <w:iCs w:val="0"/>
          <w:color w:val="000000" w:themeColor="text1"/>
          <w:sz w:val="24"/>
          <w:szCs w:val="24"/>
        </w:rPr>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5</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 </w:t>
      </w:r>
      <w:r w:rsidR="002252E0" w:rsidRPr="00496C8B">
        <w:rPr>
          <w:i w:val="0"/>
          <w:iCs w:val="0"/>
          <w:color w:val="000000" w:themeColor="text1"/>
          <w:sz w:val="24"/>
          <w:szCs w:val="24"/>
        </w:rPr>
        <w:t>Exemples d’emballages trompeurs</w:t>
      </w:r>
      <w:bookmarkEnd w:id="28"/>
    </w:p>
    <w:p w14:paraId="0BECCF8E" w14:textId="77777777" w:rsidR="009146B9" w:rsidRPr="002252E0" w:rsidRDefault="002252E0" w:rsidP="002252E0">
      <w:pPr>
        <w:rPr>
          <w:b/>
          <w:bCs/>
          <w:sz w:val="32"/>
          <w:szCs w:val="32"/>
        </w:rPr>
      </w:pPr>
      <w:r>
        <w:t>(Source:</w:t>
      </w:r>
      <w:hyperlink r:id="rId21" w:history="1">
        <w:r w:rsidRPr="00287A2D">
          <w:rPr>
            <w:rStyle w:val="Lienhypertexte"/>
          </w:rPr>
          <w:t>https://thesustainableagency.com/blog/greenwashing-example</w:t>
        </w:r>
      </w:hyperlink>
      <w:r>
        <w:t xml:space="preserve"> www.packhelp.com)</w:t>
      </w:r>
    </w:p>
    <w:p w14:paraId="16E32992" w14:textId="77777777" w:rsidR="001A1F05" w:rsidRDefault="001A1F05" w:rsidP="001A1F05">
      <w:pPr>
        <w:pStyle w:val="Titre1"/>
      </w:pPr>
      <w:bookmarkStart w:id="29" w:name="_Toc200825380"/>
      <w:r w:rsidRPr="00D40666">
        <w:t>Typologie et techniques de g</w:t>
      </w:r>
      <w:r>
        <w:t>reenwashing</w:t>
      </w:r>
      <w:bookmarkEnd w:id="29"/>
    </w:p>
    <w:p w14:paraId="23BE753F" w14:textId="77777777" w:rsidR="001A1F05" w:rsidRPr="00A814BB" w:rsidRDefault="001A1F05" w:rsidP="001A1F05">
      <w:pPr>
        <w:pStyle w:val="Titre2"/>
      </w:pPr>
      <w:bookmarkStart w:id="30" w:name="_Toc200825381"/>
      <w:r>
        <w:t xml:space="preserve">Typologie </w:t>
      </w:r>
      <w:r w:rsidRPr="00A814BB">
        <w:t>de greenwashing</w:t>
      </w:r>
      <w:bookmarkEnd w:id="30"/>
    </w:p>
    <w:p w14:paraId="5CA4B5FF" w14:textId="77777777" w:rsidR="001A1F05" w:rsidRDefault="001A1F05" w:rsidP="009146B9">
      <w:r w:rsidRPr="00A814BB">
        <w:t>Deux typologies émergent dans la littérature sur le greenwashing: les sept péchés du g</w:t>
      </w:r>
      <w:r>
        <w:t>reenwashing de l'agence de mar</w:t>
      </w:r>
      <w:r w:rsidR="00D56B58">
        <w:t xml:space="preserve">keting canadienne </w:t>
      </w:r>
      <w:proofErr w:type="spellStart"/>
      <w:r w:rsidR="00D56B58">
        <w:t>TerraChoice</w:t>
      </w:r>
      <w:proofErr w:type="spellEnd"/>
      <w:r w:rsidR="00D56B58">
        <w:t xml:space="preserve"> </w:t>
      </w:r>
      <w:r w:rsidR="00D56B58">
        <w:rPr>
          <w:rStyle w:val="Appelnotedebasdep"/>
          <w:rFonts w:ascii="Times New Roman" w:hAnsi="Times New Roman" w:cs="Times New Roman"/>
          <w:szCs w:val="24"/>
        </w:rPr>
        <w:footnoteReference w:id="22"/>
      </w:r>
      <w:r w:rsidRPr="00A814BB">
        <w:t>, et les dix signes du greenwashing dans le guide du même nom d</w:t>
      </w:r>
      <w:r w:rsidR="00D56B58">
        <w:t xml:space="preserve">e l'agence britannique </w:t>
      </w:r>
      <w:proofErr w:type="spellStart"/>
      <w:r w:rsidR="00D56B58">
        <w:t>Futerra</w:t>
      </w:r>
      <w:proofErr w:type="spellEnd"/>
      <w:r w:rsidR="00D56B58">
        <w:t xml:space="preserve"> </w:t>
      </w:r>
      <w:r w:rsidR="00D56B58">
        <w:rPr>
          <w:rStyle w:val="Appelnotedebasdep"/>
          <w:rFonts w:ascii="Times New Roman" w:hAnsi="Times New Roman" w:cs="Times New Roman"/>
          <w:szCs w:val="24"/>
        </w:rPr>
        <w:footnoteReference w:id="23"/>
      </w:r>
      <w:r w:rsidRPr="00A814BB">
        <w:t xml:space="preserve"> (avec une traduction des publicitaires éco-socio-innovants). Aucune des deux n'est parfaite. Je ne souhaite pas me rattacher à </w:t>
      </w:r>
      <w:proofErr w:type="spellStart"/>
      <w:r w:rsidRPr="00A814BB">
        <w:t>TerraChoice</w:t>
      </w:r>
      <w:proofErr w:type="spellEnd"/>
      <w:r w:rsidRPr="00A814BB">
        <w:t xml:space="preserve">, dont je ne souscris absolument pas à la dénomination culpabilisante de péchés - le greenwashing n'est pas une faute religieuse, c'est une faute professionnelle. De plus, sa typologie manque de précision, un reproche que l'on peut également faire à </w:t>
      </w:r>
      <w:proofErr w:type="spellStart"/>
      <w:r w:rsidRPr="00A814BB">
        <w:t>Futerra</w:t>
      </w:r>
      <w:proofErr w:type="spellEnd"/>
      <w:r w:rsidRPr="00A814BB">
        <w:t>, avec des catégories parfois redondantes et peu pertinentes. Je propose donc une nouvelle typologie du greenwashing, adaptée de ce qui me semble pertinent dans les deux existantes. Chaque catégorie est agrémentée d'au moins un exemple représentatif.</w:t>
      </w:r>
    </w:p>
    <w:p w14:paraId="35E6D5BF" w14:textId="77777777" w:rsidR="001A1F05" w:rsidRPr="0066502E" w:rsidRDefault="001A1F05" w:rsidP="001A1F05">
      <w:pPr>
        <w:rPr>
          <w:rFonts w:ascii="Times New Roman" w:hAnsi="Times New Roman" w:cs="Times New Roman"/>
          <w:b/>
          <w:bCs/>
          <w:szCs w:val="24"/>
        </w:rPr>
      </w:pPr>
      <w:r w:rsidRPr="0066502E">
        <w:rPr>
          <w:rFonts w:ascii="Times New Roman" w:hAnsi="Times New Roman" w:cs="Times New Roman"/>
          <w:b/>
          <w:bCs/>
          <w:szCs w:val="24"/>
        </w:rPr>
        <w:t xml:space="preserve"> 1. Le « prouve-le-moi »</w:t>
      </w:r>
    </w:p>
    <w:p w14:paraId="73A2DF9E" w14:textId="77777777" w:rsidR="001A1F05" w:rsidRPr="00FA7859" w:rsidRDefault="001A1F05" w:rsidP="00FA7859">
      <w:pPr>
        <w:rPr>
          <w:rFonts w:ascii="Times New Roman" w:hAnsi="Times New Roman" w:cs="Times New Roman"/>
          <w:szCs w:val="24"/>
        </w:rPr>
      </w:pPr>
      <w:r w:rsidRPr="00A814BB">
        <w:rPr>
          <w:rFonts w:ascii="Times New Roman" w:hAnsi="Times New Roman" w:cs="Times New Roman"/>
          <w:szCs w:val="24"/>
        </w:rPr>
        <w:t>Erreur classique, propre à la majorité des cas de greenwashing, le &lt;prouve-le-moi &gt; consiste en une absence de preuve ou un flou</w:t>
      </w:r>
    </w:p>
    <w:p w14:paraId="4A69AB6E" w14:textId="77777777" w:rsidR="001A1F05" w:rsidRDefault="001A1F05" w:rsidP="001A1F05">
      <w:pPr>
        <w:pStyle w:val="Sansinterligne"/>
        <w:ind w:firstLine="0"/>
      </w:pPr>
    </w:p>
    <w:p w14:paraId="52E27EB1" w14:textId="77777777" w:rsidR="001A1F05" w:rsidRPr="00A6653E" w:rsidRDefault="001A1F05" w:rsidP="001A1F05">
      <w:pPr>
        <w:pStyle w:val="Titre2"/>
      </w:pPr>
      <w:bookmarkStart w:id="31" w:name="_Toc200825382"/>
      <w:r w:rsidRPr="00A814BB">
        <w:t>Techniques de greenwashing</w:t>
      </w:r>
      <w:bookmarkEnd w:id="31"/>
    </w:p>
    <w:p w14:paraId="56231D13" w14:textId="77777777" w:rsidR="001A1F05" w:rsidRPr="00592DDF" w:rsidRDefault="001A1F05" w:rsidP="001A1F05">
      <w:pPr>
        <w:rPr>
          <w:rFonts w:ascii="Times New Roman" w:hAnsi="Times New Roman" w:cs="Times New Roman"/>
          <w:szCs w:val="24"/>
        </w:rPr>
      </w:pPr>
      <w:r w:rsidRPr="00592DDF">
        <w:rPr>
          <w:rFonts w:ascii="Times New Roman" w:hAnsi="Times New Roman" w:cs="Times New Roman"/>
          <w:szCs w:val="24"/>
        </w:rPr>
        <w:t xml:space="preserve">Les différentes formes de greenwashing, si elles sont reconnues, n'ont cependant pas le même effet sur le comportement du </w:t>
      </w:r>
      <w:r w:rsidR="00E019CD">
        <w:rPr>
          <w:rFonts w:ascii="Times New Roman" w:hAnsi="Times New Roman" w:cs="Times New Roman"/>
          <w:szCs w:val="24"/>
        </w:rPr>
        <w:t>consommateur. Une allégation « vague »</w:t>
      </w:r>
      <w:r w:rsidRPr="00592DDF">
        <w:rPr>
          <w:rFonts w:ascii="Times New Roman" w:hAnsi="Times New Roman" w:cs="Times New Roman"/>
          <w:szCs w:val="24"/>
        </w:rPr>
        <w:t xml:space="preserve"> n'est ainsi pas toujours perçue comme du greenwashing par les consommateurs</w:t>
      </w:r>
      <w:r w:rsidR="00E019CD">
        <w:rPr>
          <w:rFonts w:ascii="Times New Roman" w:hAnsi="Times New Roman" w:cs="Times New Roman"/>
          <w:szCs w:val="24"/>
        </w:rPr>
        <w:t xml:space="preserve">. À l'inverse, une allégation </w:t>
      </w:r>
      <w:r w:rsidR="00FA7859">
        <w:rPr>
          <w:rFonts w:ascii="Times New Roman" w:hAnsi="Times New Roman" w:cs="Times New Roman"/>
          <w:szCs w:val="24"/>
        </w:rPr>
        <w:t>« fausse</w:t>
      </w:r>
      <w:r w:rsidR="00E019CD">
        <w:rPr>
          <w:rFonts w:ascii="Times New Roman" w:hAnsi="Times New Roman" w:cs="Times New Roman"/>
          <w:szCs w:val="24"/>
        </w:rPr>
        <w:t xml:space="preserve"> » </w:t>
      </w:r>
      <w:r w:rsidRPr="00592DDF">
        <w:rPr>
          <w:rFonts w:ascii="Times New Roman" w:hAnsi="Times New Roman" w:cs="Times New Roman"/>
          <w:szCs w:val="24"/>
        </w:rPr>
        <w:t>est bel et bien perçue comme du greenwashing e</w:t>
      </w:r>
      <w:r w:rsidR="00E019CD">
        <w:rPr>
          <w:rFonts w:ascii="Times New Roman" w:hAnsi="Times New Roman" w:cs="Times New Roman"/>
          <w:szCs w:val="24"/>
        </w:rPr>
        <w:t xml:space="preserve">t peut </w:t>
      </w:r>
      <w:r w:rsidR="00FA7859">
        <w:rPr>
          <w:rFonts w:ascii="Times New Roman" w:hAnsi="Times New Roman" w:cs="Times New Roman"/>
          <w:szCs w:val="24"/>
        </w:rPr>
        <w:t>« nuire</w:t>
      </w:r>
      <w:r w:rsidR="00E019CD">
        <w:rPr>
          <w:rFonts w:ascii="Times New Roman" w:hAnsi="Times New Roman" w:cs="Times New Roman"/>
          <w:szCs w:val="24"/>
        </w:rPr>
        <w:t xml:space="preserve"> aux attitudes </w:t>
      </w:r>
      <w:r w:rsidR="00FA7859">
        <w:rPr>
          <w:rFonts w:ascii="Times New Roman" w:hAnsi="Times New Roman" w:cs="Times New Roman"/>
          <w:szCs w:val="24"/>
        </w:rPr>
        <w:t>» </w:t>
      </w:r>
      <w:r w:rsidR="00FA7859" w:rsidRPr="00592DDF">
        <w:rPr>
          <w:rFonts w:ascii="Times New Roman" w:hAnsi="Times New Roman" w:cs="Times New Roman"/>
          <w:szCs w:val="24"/>
        </w:rPr>
        <w:t>des</w:t>
      </w:r>
      <w:r w:rsidRPr="00592DDF">
        <w:rPr>
          <w:rFonts w:ascii="Times New Roman" w:hAnsi="Times New Roman" w:cs="Times New Roman"/>
          <w:szCs w:val="24"/>
        </w:rPr>
        <w:t xml:space="preserve"> consommateurs envers les publicités et les marques concernées</w:t>
      </w:r>
      <w:r w:rsidR="00FA7859">
        <w:rPr>
          <w:rFonts w:ascii="Times New Roman" w:hAnsi="Times New Roman" w:cs="Times New Roman"/>
          <w:szCs w:val="24"/>
        </w:rPr>
        <w:t xml:space="preserve"> </w:t>
      </w:r>
      <w:r w:rsidR="00FA7859">
        <w:rPr>
          <w:rStyle w:val="Appelnotedebasdep"/>
          <w:rFonts w:ascii="Times New Roman" w:hAnsi="Times New Roman" w:cs="Times New Roman"/>
          <w:szCs w:val="24"/>
        </w:rPr>
        <w:footnoteReference w:id="24"/>
      </w:r>
      <w:r w:rsidRPr="00592DDF">
        <w:rPr>
          <w:rFonts w:ascii="Times New Roman" w:hAnsi="Times New Roman" w:cs="Times New Roman"/>
          <w:szCs w:val="24"/>
        </w:rPr>
        <w:t>. Les consommateurs ont commencé à exprimer leur mécontentement face</w:t>
      </w:r>
      <w:r w:rsidR="00E019CD">
        <w:rPr>
          <w:rFonts w:ascii="Times New Roman" w:hAnsi="Times New Roman" w:cs="Times New Roman"/>
          <w:szCs w:val="24"/>
        </w:rPr>
        <w:t xml:space="preserve"> à ce genre de pratiques et à «</w:t>
      </w:r>
      <w:r w:rsidRPr="00592DDF">
        <w:rPr>
          <w:rFonts w:ascii="Times New Roman" w:hAnsi="Times New Roman" w:cs="Times New Roman"/>
          <w:szCs w:val="24"/>
        </w:rPr>
        <w:t xml:space="preserve"> utiliser les m</w:t>
      </w:r>
      <w:r w:rsidR="00E019CD">
        <w:rPr>
          <w:rFonts w:ascii="Times New Roman" w:hAnsi="Times New Roman" w:cs="Times New Roman"/>
          <w:szCs w:val="24"/>
        </w:rPr>
        <w:t>édias sociaux »</w:t>
      </w:r>
      <w:r w:rsidRPr="00592DDF">
        <w:rPr>
          <w:rFonts w:ascii="Times New Roman" w:hAnsi="Times New Roman" w:cs="Times New Roman"/>
          <w:szCs w:val="24"/>
        </w:rPr>
        <w:t xml:space="preserve"> pour lutter contre le greenwashing</w:t>
      </w:r>
      <w:r w:rsidR="00FA7859">
        <w:rPr>
          <w:rFonts w:ascii="Times New Roman" w:hAnsi="Times New Roman" w:cs="Times New Roman"/>
          <w:szCs w:val="24"/>
        </w:rPr>
        <w:t xml:space="preserve"> </w:t>
      </w:r>
      <w:r w:rsidR="00FA7859">
        <w:rPr>
          <w:rStyle w:val="Appelnotedebasdep"/>
          <w:rFonts w:ascii="Times New Roman" w:hAnsi="Times New Roman" w:cs="Times New Roman"/>
          <w:szCs w:val="24"/>
        </w:rPr>
        <w:footnoteReference w:id="25"/>
      </w:r>
      <w:r w:rsidR="00FA7859">
        <w:rPr>
          <w:rFonts w:ascii="Times New Roman" w:hAnsi="Times New Roman" w:cs="Times New Roman"/>
          <w:szCs w:val="24"/>
        </w:rPr>
        <w:t xml:space="preserve"> </w:t>
      </w:r>
      <w:r w:rsidRPr="00592DDF">
        <w:rPr>
          <w:rFonts w:ascii="Times New Roman" w:hAnsi="Times New Roman" w:cs="Times New Roman"/>
          <w:szCs w:val="24"/>
        </w:rPr>
        <w:t>. Plusieurs organisations vont alors chercher à repérer les formes de greenwashing afin de pouvoir expliquer aux consommateurs les risques liés à ce genre de pratiques.</w:t>
      </w:r>
    </w:p>
    <w:p w14:paraId="1C1F3467" w14:textId="77777777" w:rsidR="001A1F05" w:rsidRPr="00592DDF" w:rsidRDefault="001A1F05" w:rsidP="00417A34">
      <w:pPr>
        <w:rPr>
          <w:rFonts w:ascii="Times New Roman" w:hAnsi="Times New Roman" w:cs="Times New Roman"/>
          <w:szCs w:val="24"/>
        </w:rPr>
      </w:pPr>
      <w:proofErr w:type="spellStart"/>
      <w:r w:rsidRPr="00592DDF">
        <w:rPr>
          <w:rFonts w:ascii="Times New Roman" w:hAnsi="Times New Roman" w:cs="Times New Roman"/>
          <w:szCs w:val="24"/>
        </w:rPr>
        <w:t>Horiuchi</w:t>
      </w:r>
      <w:proofErr w:type="spellEnd"/>
      <w:r w:rsidRPr="00592DDF">
        <w:rPr>
          <w:rFonts w:ascii="Times New Roman" w:hAnsi="Times New Roman" w:cs="Times New Roman"/>
          <w:szCs w:val="24"/>
        </w:rPr>
        <w:t xml:space="preserve">, </w:t>
      </w:r>
      <w:proofErr w:type="spellStart"/>
      <w:r w:rsidRPr="00592DDF">
        <w:rPr>
          <w:rFonts w:ascii="Times New Roman" w:hAnsi="Times New Roman" w:cs="Times New Roman"/>
          <w:szCs w:val="24"/>
        </w:rPr>
        <w:t>Schuchard</w:t>
      </w:r>
      <w:proofErr w:type="spellEnd"/>
      <w:r w:rsidRPr="00592DDF">
        <w:rPr>
          <w:rFonts w:ascii="Times New Roman" w:hAnsi="Times New Roman" w:cs="Times New Roman"/>
          <w:szCs w:val="24"/>
        </w:rPr>
        <w:t xml:space="preserve">, </w:t>
      </w:r>
      <w:proofErr w:type="spellStart"/>
      <w:r w:rsidRPr="00592DDF">
        <w:rPr>
          <w:rFonts w:ascii="Times New Roman" w:hAnsi="Times New Roman" w:cs="Times New Roman"/>
          <w:szCs w:val="24"/>
        </w:rPr>
        <w:t>Shea</w:t>
      </w:r>
      <w:proofErr w:type="spellEnd"/>
      <w:r w:rsidRPr="00592DDF">
        <w:rPr>
          <w:rFonts w:ascii="Times New Roman" w:hAnsi="Times New Roman" w:cs="Times New Roman"/>
          <w:szCs w:val="24"/>
        </w:rPr>
        <w:t xml:space="preserve"> et Townsend vont proposer une approche pour classer les types de greenwashing. Dans le cadre d'une étude menée collaborativement par BSR, une organisation à but non-lucratif spécialisée dans le développement durable, et </w:t>
      </w:r>
      <w:proofErr w:type="spellStart"/>
      <w:r w:rsidRPr="00592DDF">
        <w:rPr>
          <w:rFonts w:ascii="Times New Roman" w:hAnsi="Times New Roman" w:cs="Times New Roman"/>
          <w:szCs w:val="24"/>
        </w:rPr>
        <w:t>Futerra</w:t>
      </w:r>
      <w:proofErr w:type="spellEnd"/>
      <w:r w:rsidRPr="00592DDF">
        <w:rPr>
          <w:rFonts w:ascii="Times New Roman" w:hAnsi="Times New Roman" w:cs="Times New Roman"/>
          <w:szCs w:val="24"/>
        </w:rPr>
        <w:t xml:space="preserve">, une agence indépendante également spécialisée dans le domaine </w:t>
      </w:r>
      <w:r w:rsidR="00E019CD" w:rsidRPr="00592DDF">
        <w:rPr>
          <w:rFonts w:ascii="Times New Roman" w:hAnsi="Times New Roman" w:cs="Times New Roman"/>
          <w:szCs w:val="24"/>
        </w:rPr>
        <w:t>du développement durable</w:t>
      </w:r>
      <w:r w:rsidRPr="00592DDF">
        <w:rPr>
          <w:rFonts w:ascii="Times New Roman" w:hAnsi="Times New Roman" w:cs="Times New Roman"/>
          <w:szCs w:val="24"/>
        </w:rPr>
        <w:t>, ils ont créé un graphique à deu</w:t>
      </w:r>
      <w:r w:rsidR="00417A34">
        <w:rPr>
          <w:rFonts w:ascii="Times New Roman" w:hAnsi="Times New Roman" w:cs="Times New Roman"/>
          <w:szCs w:val="24"/>
        </w:rPr>
        <w:t xml:space="preserve">x axes suivant deux dimensions </w:t>
      </w:r>
      <w:r w:rsidR="00417A34">
        <w:rPr>
          <w:rStyle w:val="Appelnotedebasdep"/>
          <w:rFonts w:ascii="Times New Roman" w:hAnsi="Times New Roman" w:cs="Times New Roman"/>
          <w:szCs w:val="24"/>
        </w:rPr>
        <w:footnoteReference w:id="26"/>
      </w:r>
      <w:r w:rsidR="00417A34">
        <w:rPr>
          <w:rFonts w:ascii="Times New Roman" w:hAnsi="Times New Roman" w:cs="Times New Roman"/>
          <w:szCs w:val="24"/>
        </w:rPr>
        <w:t xml:space="preserve"> </w:t>
      </w:r>
      <w:r w:rsidRPr="00592DDF">
        <w:rPr>
          <w:rFonts w:ascii="Times New Roman" w:hAnsi="Times New Roman" w:cs="Times New Roman"/>
          <w:szCs w:val="24"/>
        </w:rPr>
        <w:t>:</w:t>
      </w:r>
    </w:p>
    <w:p w14:paraId="742A065E" w14:textId="77777777" w:rsidR="001A1F05" w:rsidRPr="00592DDF" w:rsidRDefault="001A1F05" w:rsidP="001A1F05">
      <w:pPr>
        <w:rPr>
          <w:rFonts w:ascii="Times New Roman" w:hAnsi="Times New Roman" w:cs="Times New Roman"/>
          <w:szCs w:val="24"/>
        </w:rPr>
      </w:pPr>
      <w:r w:rsidRPr="00592DDF">
        <w:rPr>
          <w:rFonts w:ascii="Times New Roman" w:hAnsi="Times New Roman" w:cs="Times New Roman"/>
          <w:szCs w:val="24"/>
        </w:rPr>
        <w:t xml:space="preserve">1) L'axe des x </w:t>
      </w:r>
      <w:r w:rsidR="006D2A0B">
        <w:rPr>
          <w:rFonts w:ascii="Times New Roman" w:hAnsi="Times New Roman" w:cs="Times New Roman"/>
          <w:szCs w:val="24"/>
        </w:rPr>
        <w:t xml:space="preserve">(horizontal) représentant la « </w:t>
      </w:r>
      <w:r w:rsidRPr="00592DDF">
        <w:rPr>
          <w:rFonts w:ascii="Times New Roman" w:hAnsi="Times New Roman" w:cs="Times New Roman"/>
          <w:szCs w:val="24"/>
        </w:rPr>
        <w:t>l'</w:t>
      </w:r>
      <w:r w:rsidR="006D2A0B">
        <w:rPr>
          <w:rFonts w:ascii="Times New Roman" w:hAnsi="Times New Roman" w:cs="Times New Roman"/>
          <w:szCs w:val="24"/>
        </w:rPr>
        <w:t xml:space="preserve">efficacité des communications » </w:t>
      </w:r>
      <w:r w:rsidRPr="00592DDF">
        <w:rPr>
          <w:rFonts w:ascii="Times New Roman" w:hAnsi="Times New Roman" w:cs="Times New Roman"/>
          <w:szCs w:val="24"/>
        </w:rPr>
        <w:t xml:space="preserve">) L'axe des </w:t>
      </w:r>
      <w:r w:rsidR="006D2A0B">
        <w:rPr>
          <w:rFonts w:ascii="Times New Roman" w:hAnsi="Times New Roman" w:cs="Times New Roman"/>
          <w:szCs w:val="24"/>
        </w:rPr>
        <w:t>y (vertical) représentant la « valeur de l'environnement »</w:t>
      </w:r>
    </w:p>
    <w:p w14:paraId="0B4331C6" w14:textId="77777777" w:rsidR="001A1F05" w:rsidRPr="00592DDF" w:rsidRDefault="001A1F05" w:rsidP="001A1F05">
      <w:pPr>
        <w:rPr>
          <w:rFonts w:ascii="Times New Roman" w:hAnsi="Times New Roman" w:cs="Times New Roman"/>
          <w:szCs w:val="24"/>
        </w:rPr>
      </w:pPr>
      <w:r w:rsidRPr="00592DDF">
        <w:rPr>
          <w:rFonts w:ascii="Times New Roman" w:hAnsi="Times New Roman" w:cs="Times New Roman"/>
          <w:szCs w:val="24"/>
        </w:rPr>
        <w:t>Ces deux dimensions permettent de classer les différentes formes de greenwashing en 4 catégories distinctes :</w:t>
      </w:r>
    </w:p>
    <w:p w14:paraId="2BD92284" w14:textId="77777777" w:rsidR="001A1F05" w:rsidRPr="00F64FBA" w:rsidRDefault="001A1F05" w:rsidP="008F6D71">
      <w:pPr>
        <w:pStyle w:val="Paragraphedeliste"/>
        <w:numPr>
          <w:ilvl w:val="0"/>
          <w:numId w:val="3"/>
        </w:numPr>
        <w:rPr>
          <w:rFonts w:ascii="Times New Roman" w:hAnsi="Times New Roman" w:cs="Times New Roman"/>
          <w:b/>
          <w:bCs/>
          <w:szCs w:val="24"/>
        </w:rPr>
      </w:pPr>
      <w:r w:rsidRPr="00F64FBA">
        <w:rPr>
          <w:rFonts w:ascii="Times New Roman" w:hAnsi="Times New Roman" w:cs="Times New Roman"/>
          <w:b/>
          <w:bCs/>
          <w:szCs w:val="24"/>
        </w:rPr>
        <w:t xml:space="preserve">Le </w:t>
      </w:r>
      <w:proofErr w:type="spellStart"/>
      <w:r w:rsidRPr="00F64FBA">
        <w:rPr>
          <w:rFonts w:ascii="Times New Roman" w:hAnsi="Times New Roman" w:cs="Times New Roman"/>
          <w:b/>
          <w:bCs/>
          <w:szCs w:val="24"/>
        </w:rPr>
        <w:t>greenwash</w:t>
      </w:r>
      <w:proofErr w:type="spellEnd"/>
      <w:r w:rsidRPr="00F64FBA">
        <w:rPr>
          <w:rFonts w:ascii="Times New Roman" w:hAnsi="Times New Roman" w:cs="Times New Roman"/>
          <w:b/>
          <w:bCs/>
          <w:szCs w:val="24"/>
        </w:rPr>
        <w:t xml:space="preserve"> noise (</w:t>
      </w:r>
      <w:proofErr w:type="spellStart"/>
      <w:r>
        <w:rPr>
          <w:rFonts w:ascii="Times New Roman" w:hAnsi="Times New Roman" w:cs="Times New Roman"/>
          <w:b/>
          <w:bCs/>
          <w:szCs w:val="24"/>
        </w:rPr>
        <w:t>greenhushing</w:t>
      </w:r>
      <w:proofErr w:type="spellEnd"/>
      <w:r>
        <w:rPr>
          <w:rFonts w:ascii="Times New Roman" w:hAnsi="Times New Roman" w:cs="Times New Roman"/>
          <w:b/>
          <w:bCs/>
          <w:szCs w:val="24"/>
        </w:rPr>
        <w:t>)</w:t>
      </w:r>
    </w:p>
    <w:p w14:paraId="440DF486" w14:textId="77777777" w:rsidR="001A1F05" w:rsidRPr="007F4633" w:rsidRDefault="001A1F05" w:rsidP="006D2A0B">
      <w:pPr>
        <w:rPr>
          <w:rFonts w:ascii="Times New Roman" w:hAnsi="Times New Roman" w:cs="Times New Roman"/>
          <w:szCs w:val="24"/>
        </w:rPr>
      </w:pPr>
      <w:r w:rsidRPr="007F4633">
        <w:rPr>
          <w:rFonts w:ascii="Times New Roman" w:hAnsi="Times New Roman" w:cs="Times New Roman"/>
          <w:szCs w:val="24"/>
        </w:rPr>
        <w:t xml:space="preserve"> « Le « </w:t>
      </w:r>
      <w:proofErr w:type="spellStart"/>
      <w:r w:rsidRPr="007F4633">
        <w:rPr>
          <w:rFonts w:ascii="Times New Roman" w:hAnsi="Times New Roman" w:cs="Times New Roman"/>
          <w:b/>
          <w:bCs/>
          <w:szCs w:val="24"/>
        </w:rPr>
        <w:t>greenhushing</w:t>
      </w:r>
      <w:proofErr w:type="spellEnd"/>
      <w:r w:rsidRPr="007F4633">
        <w:rPr>
          <w:rFonts w:ascii="Times New Roman" w:hAnsi="Times New Roman" w:cs="Times New Roman"/>
          <w:szCs w:val="24"/>
        </w:rPr>
        <w:t xml:space="preserve"> » est le fait pour une entreprise de taire ou de minorer ses efforts en matière de développement durable : réduction de l’empreinte carbone, recyclage des déchets, sobriété énergétique, respect de la biodiversité… Ce terme est de plus en plus utilisé, car les critères ESG (Environnement, Social et Gouvernance) sont davantage scrutés. Or, les </w:t>
      </w:r>
      <w:r w:rsidRPr="007F4633">
        <w:rPr>
          <w:rFonts w:ascii="Times New Roman" w:hAnsi="Times New Roman" w:cs="Times New Roman"/>
          <w:szCs w:val="24"/>
        </w:rPr>
        <w:lastRenderedPageBreak/>
        <w:t>entreprises redoutent d’être accusées de « greenwashing”, c’est-à-dire de communiquer de manière exagérée ou trompeuse sur leurs actions environnementales. »</w:t>
      </w:r>
    </w:p>
    <w:p w14:paraId="666A98F6" w14:textId="77777777" w:rsidR="001A1F05" w:rsidRDefault="001A1F05" w:rsidP="001A1F05">
      <w:pPr>
        <w:rPr>
          <w:rFonts w:ascii="Times New Roman" w:hAnsi="Times New Roman" w:cs="Times New Roman"/>
          <w:szCs w:val="24"/>
        </w:rPr>
      </w:pPr>
      <w:r w:rsidRPr="007F4633">
        <w:rPr>
          <w:rFonts w:ascii="Times New Roman" w:hAnsi="Times New Roman" w:cs="Times New Roman"/>
          <w:szCs w:val="24"/>
        </w:rPr>
        <w:t>« Le manque de confiance dans leurs propres efforts, l’aversion au “</w:t>
      </w:r>
      <w:proofErr w:type="spellStart"/>
      <w:r w:rsidRPr="007F4633">
        <w:rPr>
          <w:rFonts w:ascii="Times New Roman" w:hAnsi="Times New Roman" w:cs="Times New Roman"/>
          <w:b/>
          <w:bCs/>
          <w:szCs w:val="24"/>
        </w:rPr>
        <w:t>bad</w:t>
      </w:r>
      <w:proofErr w:type="spellEnd"/>
      <w:r w:rsidRPr="007F4633">
        <w:rPr>
          <w:rFonts w:ascii="Times New Roman" w:hAnsi="Times New Roman" w:cs="Times New Roman"/>
          <w:b/>
          <w:bCs/>
          <w:szCs w:val="24"/>
        </w:rPr>
        <w:t xml:space="preserve"> buzz”</w:t>
      </w:r>
      <w:r w:rsidRPr="007F4633">
        <w:rPr>
          <w:rFonts w:ascii="Times New Roman" w:hAnsi="Times New Roman" w:cs="Times New Roman"/>
          <w:szCs w:val="24"/>
        </w:rPr>
        <w:t xml:space="preserve"> ou le choix de valoriser leur rentabilité et leur croissance sont autant de raisons qui les conduisent à opter pour le “</w:t>
      </w:r>
      <w:proofErr w:type="spellStart"/>
      <w:r w:rsidRPr="007F4633">
        <w:rPr>
          <w:rFonts w:ascii="Times New Roman" w:hAnsi="Times New Roman" w:cs="Times New Roman"/>
          <w:szCs w:val="24"/>
        </w:rPr>
        <w:t>greenhushing</w:t>
      </w:r>
      <w:proofErr w:type="spellEnd"/>
      <w:r w:rsidRPr="007F4633">
        <w:rPr>
          <w:rFonts w:ascii="Times New Roman" w:hAnsi="Times New Roman" w:cs="Times New Roman"/>
          <w:szCs w:val="24"/>
        </w:rPr>
        <w:t xml:space="preserve">”. Or, depuis le 1er janvier 2024, la directive européenne </w:t>
      </w:r>
      <w:proofErr w:type="spellStart"/>
      <w:r w:rsidRPr="007F4633">
        <w:rPr>
          <w:rFonts w:ascii="Times New Roman" w:hAnsi="Times New Roman" w:cs="Times New Roman"/>
          <w:szCs w:val="24"/>
        </w:rPr>
        <w:t>Corporate</w:t>
      </w:r>
      <w:proofErr w:type="spellEnd"/>
      <w:r w:rsidRPr="007F4633">
        <w:rPr>
          <w:rFonts w:ascii="Times New Roman" w:hAnsi="Times New Roman" w:cs="Times New Roman"/>
          <w:szCs w:val="24"/>
        </w:rPr>
        <w:t xml:space="preserve"> </w:t>
      </w:r>
      <w:proofErr w:type="spellStart"/>
      <w:r w:rsidRPr="007F4633">
        <w:rPr>
          <w:rFonts w:ascii="Times New Roman" w:hAnsi="Times New Roman" w:cs="Times New Roman"/>
          <w:szCs w:val="24"/>
        </w:rPr>
        <w:t>Sustainability</w:t>
      </w:r>
      <w:proofErr w:type="spellEnd"/>
      <w:r w:rsidRPr="007F4633">
        <w:rPr>
          <w:rFonts w:ascii="Times New Roman" w:hAnsi="Times New Roman" w:cs="Times New Roman"/>
          <w:szCs w:val="24"/>
        </w:rPr>
        <w:t xml:space="preserve"> </w:t>
      </w:r>
      <w:proofErr w:type="spellStart"/>
      <w:r w:rsidRPr="007F4633">
        <w:rPr>
          <w:rFonts w:ascii="Times New Roman" w:hAnsi="Times New Roman" w:cs="Times New Roman"/>
          <w:szCs w:val="24"/>
        </w:rPr>
        <w:t>Reporting</w:t>
      </w:r>
      <w:proofErr w:type="spellEnd"/>
      <w:r w:rsidRPr="007F4633">
        <w:rPr>
          <w:rFonts w:ascii="Times New Roman" w:hAnsi="Times New Roman" w:cs="Times New Roman"/>
          <w:szCs w:val="24"/>
        </w:rPr>
        <w:t xml:space="preserve"> Directive (CSRD) fixe de “nouvelles normes et obligations de </w:t>
      </w:r>
      <w:proofErr w:type="spellStart"/>
      <w:r w:rsidRPr="007F4633">
        <w:rPr>
          <w:rFonts w:ascii="Times New Roman" w:hAnsi="Times New Roman" w:cs="Times New Roman"/>
          <w:szCs w:val="24"/>
        </w:rPr>
        <w:t>reporting</w:t>
      </w:r>
      <w:proofErr w:type="spellEnd"/>
      <w:r w:rsidRPr="007F4633">
        <w:rPr>
          <w:rFonts w:ascii="Times New Roman" w:hAnsi="Times New Roman" w:cs="Times New Roman"/>
          <w:szCs w:val="24"/>
        </w:rPr>
        <w:t xml:space="preserve"> extra-financier pour les grandes entreprises et les PME cotées en bourse”, notamment sur les critères d’adaptation au changement climatique, biodiversité, utilisation des ressources… Dans les années à venir, un nombre croissant d’entreprises vont donc être contraintes de communiquer sur leurs actions pour le climat. »</w:t>
      </w:r>
    </w:p>
    <w:p w14:paraId="227AFEDE" w14:textId="77777777" w:rsidR="001A1F05" w:rsidRDefault="001A1F05" w:rsidP="001A1F05">
      <w:pPr>
        <w:rPr>
          <w:rFonts w:ascii="Times New Roman" w:hAnsi="Times New Roman" w:cs="Times New Roman"/>
          <w:szCs w:val="24"/>
        </w:rPr>
      </w:pPr>
      <w:r w:rsidRPr="00F64FBA">
        <w:rPr>
          <w:rFonts w:ascii="Times New Roman" w:hAnsi="Times New Roman" w:cs="Times New Roman"/>
          <w:szCs w:val="24"/>
        </w:rPr>
        <w:t>Cette catégorie comprend les entreprises qui se disent vertes mais qui n'ont pas grand-chose pour soutenir cette allégation. Leurs messages publicitaires ne sont pas convaincants pour les consommateurs.</w:t>
      </w:r>
    </w:p>
    <w:p w14:paraId="63905AE5" w14:textId="77777777" w:rsidR="001A1F05" w:rsidRPr="00F64FBA" w:rsidRDefault="001A1F05" w:rsidP="008F6D71">
      <w:pPr>
        <w:pStyle w:val="Paragraphedeliste"/>
        <w:numPr>
          <w:ilvl w:val="0"/>
          <w:numId w:val="3"/>
        </w:numPr>
        <w:rPr>
          <w:rFonts w:ascii="Times New Roman" w:hAnsi="Times New Roman" w:cs="Times New Roman"/>
          <w:b/>
          <w:bCs/>
          <w:szCs w:val="24"/>
        </w:rPr>
      </w:pPr>
      <w:r w:rsidRPr="00F64FBA">
        <w:rPr>
          <w:rFonts w:ascii="Times New Roman" w:hAnsi="Times New Roman" w:cs="Times New Roman"/>
          <w:b/>
          <w:bCs/>
          <w:szCs w:val="24"/>
        </w:rPr>
        <w:t xml:space="preserve">Le greenwashing sans fondement </w:t>
      </w:r>
    </w:p>
    <w:p w14:paraId="33FBF1A3" w14:textId="77777777" w:rsidR="001A1F05" w:rsidRPr="00F64FBA" w:rsidRDefault="001A1F05" w:rsidP="001A1F05">
      <w:pPr>
        <w:rPr>
          <w:rFonts w:ascii="Times New Roman" w:hAnsi="Times New Roman" w:cs="Times New Roman"/>
          <w:szCs w:val="24"/>
        </w:rPr>
      </w:pPr>
      <w:r w:rsidRPr="00F64FBA">
        <w:rPr>
          <w:rFonts w:ascii="Times New Roman" w:hAnsi="Times New Roman" w:cs="Times New Roman"/>
          <w:szCs w:val="24"/>
        </w:rPr>
        <w:t>Cette catégorie comprend</w:t>
      </w:r>
      <w:r>
        <w:rPr>
          <w:rFonts w:ascii="Times New Roman" w:hAnsi="Times New Roman" w:cs="Times New Roman"/>
          <w:szCs w:val="24"/>
        </w:rPr>
        <w:t xml:space="preserve"> les entreprises qui semblent </w:t>
      </w:r>
      <w:r w:rsidRPr="00F64FBA">
        <w:rPr>
          <w:rFonts w:ascii="Times New Roman" w:hAnsi="Times New Roman" w:cs="Times New Roman"/>
          <w:szCs w:val="24"/>
        </w:rPr>
        <w:t>faire un travail louable et fournir des données pour crédibiliser leur allégation écologique mais qui, en réalit</w:t>
      </w:r>
      <w:r>
        <w:rPr>
          <w:rFonts w:ascii="Times New Roman" w:hAnsi="Times New Roman" w:cs="Times New Roman"/>
          <w:szCs w:val="24"/>
        </w:rPr>
        <w:t>é, ne font pas assez d'efforts</w:t>
      </w:r>
      <w:r w:rsidRPr="00F64FBA">
        <w:rPr>
          <w:rFonts w:ascii="Times New Roman" w:hAnsi="Times New Roman" w:cs="Times New Roman"/>
          <w:szCs w:val="24"/>
        </w:rPr>
        <w:t>. Les conso</w:t>
      </w:r>
      <w:r>
        <w:rPr>
          <w:rFonts w:ascii="Times New Roman" w:hAnsi="Times New Roman" w:cs="Times New Roman"/>
          <w:szCs w:val="24"/>
        </w:rPr>
        <w:t>mmateurs remarqueront leurs (faux efforts) dès</w:t>
      </w:r>
      <w:r w:rsidRPr="00F64FBA">
        <w:rPr>
          <w:rFonts w:ascii="Times New Roman" w:hAnsi="Times New Roman" w:cs="Times New Roman"/>
          <w:szCs w:val="24"/>
        </w:rPr>
        <w:t xml:space="preserve"> que la </w:t>
      </w:r>
      <w:r>
        <w:rPr>
          <w:rFonts w:ascii="Times New Roman" w:hAnsi="Times New Roman" w:cs="Times New Roman"/>
          <w:szCs w:val="24"/>
        </w:rPr>
        <w:t xml:space="preserve">population </w:t>
      </w:r>
      <w:r w:rsidRPr="00F64FBA">
        <w:rPr>
          <w:rFonts w:ascii="Times New Roman" w:hAnsi="Times New Roman" w:cs="Times New Roman"/>
          <w:szCs w:val="24"/>
        </w:rPr>
        <w:t xml:space="preserve">sera mieux informée et </w:t>
      </w:r>
      <w:r>
        <w:rPr>
          <w:rFonts w:ascii="Times New Roman" w:hAnsi="Times New Roman" w:cs="Times New Roman"/>
          <w:szCs w:val="24"/>
        </w:rPr>
        <w:t>plus sensible aux greenwashing</w:t>
      </w:r>
      <w:r w:rsidRPr="00F64FBA">
        <w:rPr>
          <w:rFonts w:ascii="Times New Roman" w:hAnsi="Times New Roman" w:cs="Times New Roman"/>
          <w:szCs w:val="24"/>
        </w:rPr>
        <w:t>.</w:t>
      </w:r>
    </w:p>
    <w:p w14:paraId="6371CA03" w14:textId="77777777" w:rsidR="001A1F05" w:rsidRPr="00F64FBA" w:rsidRDefault="001A1F05" w:rsidP="008F6D71">
      <w:pPr>
        <w:pStyle w:val="Paragraphedeliste"/>
        <w:numPr>
          <w:ilvl w:val="0"/>
          <w:numId w:val="3"/>
        </w:numPr>
        <w:rPr>
          <w:rFonts w:ascii="Times New Roman" w:hAnsi="Times New Roman" w:cs="Times New Roman"/>
          <w:b/>
          <w:bCs/>
          <w:szCs w:val="24"/>
        </w:rPr>
      </w:pPr>
      <w:r w:rsidRPr="00F64FBA">
        <w:rPr>
          <w:rFonts w:ascii="Times New Roman" w:hAnsi="Times New Roman" w:cs="Times New Roman"/>
          <w:b/>
          <w:bCs/>
          <w:szCs w:val="24"/>
        </w:rPr>
        <w:t xml:space="preserve">Le greenwashing mal orienté </w:t>
      </w:r>
    </w:p>
    <w:p w14:paraId="1F5FC017" w14:textId="77777777" w:rsidR="001A1F05" w:rsidRPr="00F64FBA" w:rsidRDefault="001A1F05" w:rsidP="001A1F05">
      <w:pPr>
        <w:rPr>
          <w:rFonts w:ascii="Times New Roman" w:hAnsi="Times New Roman" w:cs="Times New Roman"/>
          <w:szCs w:val="24"/>
        </w:rPr>
      </w:pPr>
      <w:r w:rsidRPr="00F64FBA">
        <w:rPr>
          <w:rFonts w:ascii="Times New Roman" w:hAnsi="Times New Roman" w:cs="Times New Roman"/>
          <w:szCs w:val="24"/>
        </w:rPr>
        <w:t xml:space="preserve">Cette catégorie </w:t>
      </w:r>
      <w:r w:rsidR="006D2A0B">
        <w:rPr>
          <w:rFonts w:ascii="Times New Roman" w:hAnsi="Times New Roman" w:cs="Times New Roman"/>
          <w:szCs w:val="24"/>
        </w:rPr>
        <w:t>comprend les entreprises qui « </w:t>
      </w:r>
      <w:r w:rsidRPr="00F64FBA">
        <w:rPr>
          <w:rFonts w:ascii="Times New Roman" w:hAnsi="Times New Roman" w:cs="Times New Roman"/>
          <w:szCs w:val="24"/>
        </w:rPr>
        <w:t>ont déployé des efforts considérables pour améliorer la performance environnementale de leurs produits et de leurs procédés mais ne sont pas en mesure de les communiquer efficacement ». L'utilisation d'un langa</w:t>
      </w:r>
      <w:r w:rsidR="006D2A0B">
        <w:rPr>
          <w:rFonts w:ascii="Times New Roman" w:hAnsi="Times New Roman" w:cs="Times New Roman"/>
          <w:szCs w:val="24"/>
        </w:rPr>
        <w:t xml:space="preserve">ge </w:t>
      </w:r>
      <w:proofErr w:type="spellStart"/>
      <w:r w:rsidR="006D2A0B">
        <w:rPr>
          <w:rFonts w:ascii="Times New Roman" w:hAnsi="Times New Roman" w:cs="Times New Roman"/>
          <w:szCs w:val="24"/>
        </w:rPr>
        <w:t>inadequat</w:t>
      </w:r>
      <w:proofErr w:type="spellEnd"/>
      <w:r w:rsidR="006D2A0B">
        <w:rPr>
          <w:rFonts w:ascii="Times New Roman" w:hAnsi="Times New Roman" w:cs="Times New Roman"/>
          <w:szCs w:val="24"/>
        </w:rPr>
        <w:t xml:space="preserve"> peut </w:t>
      </w:r>
      <w:r w:rsidRPr="00F64FBA">
        <w:rPr>
          <w:rFonts w:ascii="Times New Roman" w:hAnsi="Times New Roman" w:cs="Times New Roman"/>
          <w:szCs w:val="24"/>
        </w:rPr>
        <w:t>r</w:t>
      </w:r>
      <w:r>
        <w:rPr>
          <w:rFonts w:ascii="Times New Roman" w:hAnsi="Times New Roman" w:cs="Times New Roman"/>
          <w:szCs w:val="24"/>
        </w:rPr>
        <w:t>ebuter des clients potentiels.</w:t>
      </w:r>
    </w:p>
    <w:p w14:paraId="3758F485" w14:textId="77777777" w:rsidR="001A1F05" w:rsidRPr="00F64FBA" w:rsidRDefault="001A1F05" w:rsidP="008F6D71">
      <w:pPr>
        <w:pStyle w:val="Paragraphedeliste"/>
        <w:numPr>
          <w:ilvl w:val="0"/>
          <w:numId w:val="3"/>
        </w:numPr>
        <w:rPr>
          <w:rFonts w:ascii="Times New Roman" w:hAnsi="Times New Roman" w:cs="Times New Roman"/>
          <w:b/>
          <w:bCs/>
          <w:szCs w:val="24"/>
        </w:rPr>
      </w:pPr>
      <w:r w:rsidRPr="00F64FBA">
        <w:rPr>
          <w:rFonts w:ascii="Times New Roman" w:hAnsi="Times New Roman" w:cs="Times New Roman"/>
          <w:b/>
          <w:bCs/>
          <w:szCs w:val="24"/>
        </w:rPr>
        <w:t xml:space="preserve">Les communications environnementales efficaces </w:t>
      </w:r>
    </w:p>
    <w:p w14:paraId="6AA954B3" w14:textId="77777777" w:rsidR="001A1F05" w:rsidRPr="00F64FBA" w:rsidRDefault="001A1F05" w:rsidP="001A1F05">
      <w:pPr>
        <w:rPr>
          <w:rFonts w:ascii="Times New Roman" w:hAnsi="Times New Roman" w:cs="Times New Roman"/>
          <w:szCs w:val="24"/>
        </w:rPr>
      </w:pPr>
      <w:r w:rsidRPr="00F64FBA">
        <w:rPr>
          <w:rFonts w:ascii="Times New Roman" w:hAnsi="Times New Roman" w:cs="Times New Roman"/>
          <w:szCs w:val="24"/>
        </w:rPr>
        <w:t>Cette catégorie est l’objectif</w:t>
      </w:r>
      <w:r>
        <w:rPr>
          <w:rFonts w:ascii="Times New Roman" w:hAnsi="Times New Roman" w:cs="Times New Roman"/>
          <w:szCs w:val="24"/>
        </w:rPr>
        <w:t xml:space="preserve"> pour toutes les entreprises.</w:t>
      </w:r>
      <w:r w:rsidRPr="00F64FBA">
        <w:rPr>
          <w:rFonts w:ascii="Times New Roman" w:hAnsi="Times New Roman" w:cs="Times New Roman"/>
          <w:szCs w:val="24"/>
        </w:rPr>
        <w:t xml:space="preserve"> </w:t>
      </w:r>
      <w:r>
        <w:rPr>
          <w:rFonts w:ascii="Times New Roman" w:hAnsi="Times New Roman" w:cs="Times New Roman"/>
          <w:szCs w:val="24"/>
        </w:rPr>
        <w:t xml:space="preserve">Ces entreprises communiquent </w:t>
      </w:r>
      <w:r w:rsidRPr="00F64FBA">
        <w:rPr>
          <w:rFonts w:ascii="Times New Roman" w:hAnsi="Times New Roman" w:cs="Times New Roman"/>
          <w:szCs w:val="24"/>
        </w:rPr>
        <w:t>leurs efforts afin que les consommateurs comp</w:t>
      </w:r>
      <w:r>
        <w:rPr>
          <w:rFonts w:ascii="Times New Roman" w:hAnsi="Times New Roman" w:cs="Times New Roman"/>
          <w:szCs w:val="24"/>
        </w:rPr>
        <w:t xml:space="preserve">rennent clairement les impacts </w:t>
      </w:r>
      <w:r w:rsidRPr="00F64FBA">
        <w:rPr>
          <w:rFonts w:ascii="Times New Roman" w:hAnsi="Times New Roman" w:cs="Times New Roman"/>
          <w:szCs w:val="24"/>
        </w:rPr>
        <w:t>d’une communication verte réussie et que les autres entreprises se tournent vers ce genre de méthode.</w:t>
      </w:r>
    </w:p>
    <w:p w14:paraId="7D2354AE" w14:textId="77777777" w:rsidR="001A1F05" w:rsidRPr="00592DDF" w:rsidRDefault="001A1F05" w:rsidP="001A1F05">
      <w:pPr>
        <w:rPr>
          <w:rFonts w:ascii="Times New Roman" w:hAnsi="Times New Roman" w:cs="Times New Roman"/>
          <w:szCs w:val="24"/>
        </w:rPr>
      </w:pPr>
      <w:r w:rsidRPr="00592DDF">
        <w:rPr>
          <w:rFonts w:ascii="Times New Roman" w:hAnsi="Times New Roman" w:cs="Times New Roman"/>
          <w:noProof/>
          <w:szCs w:val="24"/>
          <w:lang w:eastAsia="fr-FR"/>
        </w:rPr>
        <w:lastRenderedPageBreak/>
        <w:drawing>
          <wp:inline distT="0" distB="0" distL="0" distR="0" wp14:anchorId="02701422" wp14:editId="20C10B69">
            <wp:extent cx="5760720" cy="3749040"/>
            <wp:effectExtent l="0" t="0" r="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3749040"/>
                    </a:xfrm>
                    <a:prstGeom prst="rect">
                      <a:avLst/>
                    </a:prstGeom>
                  </pic:spPr>
                </pic:pic>
              </a:graphicData>
            </a:graphic>
          </wp:inline>
        </w:drawing>
      </w:r>
    </w:p>
    <w:p w14:paraId="4F748880" w14:textId="77777777" w:rsidR="001A1F05" w:rsidRPr="00496C8B" w:rsidRDefault="00496C8B" w:rsidP="00496C8B">
      <w:pPr>
        <w:pStyle w:val="Lgende"/>
        <w:jc w:val="center"/>
        <w:rPr>
          <w:rFonts w:ascii="Times New Roman" w:hAnsi="Times New Roman" w:cs="Times New Roman"/>
          <w:i w:val="0"/>
          <w:iCs w:val="0"/>
          <w:color w:val="000000" w:themeColor="text1"/>
          <w:sz w:val="24"/>
          <w:szCs w:val="36"/>
        </w:rPr>
      </w:pPr>
      <w:bookmarkStart w:id="32" w:name="_Toc200731385"/>
      <w:r w:rsidRPr="00496C8B">
        <w:rPr>
          <w:b/>
          <w:bCs/>
          <w:i w:val="0"/>
          <w:iCs w:val="0"/>
          <w:color w:val="000000" w:themeColor="text1"/>
          <w:sz w:val="24"/>
          <w:szCs w:val="24"/>
        </w:rPr>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6</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w:t>
      </w:r>
      <w:r w:rsidR="001A1F05" w:rsidRPr="00496C8B">
        <w:rPr>
          <w:rFonts w:ascii="Times New Roman" w:hAnsi="Times New Roman" w:cs="Times New Roman"/>
          <w:b/>
          <w:bCs/>
          <w:i w:val="0"/>
          <w:iCs w:val="0"/>
          <w:color w:val="000000" w:themeColor="text1"/>
          <w:sz w:val="24"/>
          <w:szCs w:val="36"/>
        </w:rPr>
        <w:t xml:space="preserve"> : </w:t>
      </w:r>
      <w:r w:rsidR="001A1F05" w:rsidRPr="00496C8B">
        <w:rPr>
          <w:rFonts w:ascii="Times New Roman" w:hAnsi="Times New Roman" w:cs="Times New Roman"/>
          <w:i w:val="0"/>
          <w:iCs w:val="0"/>
          <w:color w:val="000000" w:themeColor="text1"/>
          <w:sz w:val="24"/>
          <w:szCs w:val="36"/>
        </w:rPr>
        <w:t>Les différents types de gre</w:t>
      </w:r>
      <w:r w:rsidR="00E200A7" w:rsidRPr="00496C8B">
        <w:rPr>
          <w:rFonts w:ascii="Times New Roman" w:hAnsi="Times New Roman" w:cs="Times New Roman"/>
          <w:i w:val="0"/>
          <w:iCs w:val="0"/>
          <w:color w:val="000000" w:themeColor="text1"/>
          <w:sz w:val="24"/>
          <w:szCs w:val="36"/>
        </w:rPr>
        <w:t xml:space="preserve">enwashing selon BSR et </w:t>
      </w:r>
      <w:proofErr w:type="spellStart"/>
      <w:r w:rsidR="00E200A7" w:rsidRPr="00496C8B">
        <w:rPr>
          <w:rFonts w:ascii="Times New Roman" w:hAnsi="Times New Roman" w:cs="Times New Roman"/>
          <w:i w:val="0"/>
          <w:iCs w:val="0"/>
          <w:color w:val="000000" w:themeColor="text1"/>
          <w:sz w:val="24"/>
          <w:szCs w:val="36"/>
        </w:rPr>
        <w:t>Futerra</w:t>
      </w:r>
      <w:proofErr w:type="spellEnd"/>
      <w:r w:rsidR="00E200A7" w:rsidRPr="00496C8B">
        <w:rPr>
          <w:rFonts w:ascii="Times New Roman" w:hAnsi="Times New Roman" w:cs="Times New Roman"/>
          <w:i w:val="0"/>
          <w:iCs w:val="0"/>
          <w:color w:val="000000" w:themeColor="text1"/>
          <w:sz w:val="24"/>
          <w:szCs w:val="36"/>
        </w:rPr>
        <w:t xml:space="preserve"> </w:t>
      </w:r>
      <w:r w:rsidR="00E200A7" w:rsidRPr="00496C8B">
        <w:rPr>
          <w:rStyle w:val="Appelnotedebasdep"/>
          <w:rFonts w:ascii="Times New Roman" w:hAnsi="Times New Roman" w:cs="Times New Roman"/>
          <w:i w:val="0"/>
          <w:iCs w:val="0"/>
          <w:color w:val="000000" w:themeColor="text1"/>
          <w:sz w:val="24"/>
          <w:szCs w:val="36"/>
        </w:rPr>
        <w:footnoteReference w:id="27"/>
      </w:r>
      <w:r w:rsidR="001A1F05" w:rsidRPr="00496C8B">
        <w:rPr>
          <w:rFonts w:ascii="Times New Roman" w:hAnsi="Times New Roman" w:cs="Times New Roman"/>
          <w:i w:val="0"/>
          <w:iCs w:val="0"/>
          <w:color w:val="000000" w:themeColor="text1"/>
          <w:sz w:val="24"/>
          <w:szCs w:val="36"/>
        </w:rPr>
        <w:t>.</w:t>
      </w:r>
      <w:bookmarkEnd w:id="32"/>
    </w:p>
    <w:p w14:paraId="44A588EA" w14:textId="77777777" w:rsidR="001A1F05" w:rsidRPr="00592DDF" w:rsidRDefault="001A1F05" w:rsidP="001A1F05">
      <w:pPr>
        <w:rPr>
          <w:rFonts w:ascii="Times New Roman" w:hAnsi="Times New Roman" w:cs="Times New Roman"/>
          <w:szCs w:val="24"/>
        </w:rPr>
      </w:pPr>
      <w:proofErr w:type="spellStart"/>
      <w:r w:rsidRPr="00592DDF">
        <w:rPr>
          <w:rFonts w:ascii="Times New Roman" w:hAnsi="Times New Roman" w:cs="Times New Roman"/>
          <w:szCs w:val="24"/>
        </w:rPr>
        <w:t>TerraChoice</w:t>
      </w:r>
      <w:proofErr w:type="spellEnd"/>
      <w:r w:rsidRPr="00592DDF">
        <w:rPr>
          <w:rFonts w:ascii="Times New Roman" w:hAnsi="Times New Roman" w:cs="Times New Roman"/>
          <w:szCs w:val="24"/>
        </w:rPr>
        <w:t xml:space="preserve">, une société de conseil en </w:t>
      </w:r>
      <w:r w:rsidR="006D2A0B">
        <w:rPr>
          <w:rFonts w:ascii="Times New Roman" w:hAnsi="Times New Roman" w:cs="Times New Roman"/>
          <w:szCs w:val="24"/>
        </w:rPr>
        <w:t>publicité qui «</w:t>
      </w:r>
      <w:r w:rsidRPr="00592DDF">
        <w:rPr>
          <w:rFonts w:ascii="Times New Roman" w:hAnsi="Times New Roman" w:cs="Times New Roman"/>
          <w:szCs w:val="24"/>
        </w:rPr>
        <w:t>aide les entreprises à harmoniser</w:t>
      </w:r>
      <w:r>
        <w:rPr>
          <w:rFonts w:ascii="Times New Roman" w:hAnsi="Times New Roman" w:cs="Times New Roman"/>
          <w:szCs w:val="24"/>
        </w:rPr>
        <w:t xml:space="preserve"> </w:t>
      </w:r>
      <w:r w:rsidRPr="00592DDF">
        <w:rPr>
          <w:rFonts w:ascii="Times New Roman" w:hAnsi="Times New Roman" w:cs="Times New Roman"/>
          <w:szCs w:val="24"/>
        </w:rPr>
        <w:t>la durabilité avec leurs stratégies et facilite le suivi, la mesure et le partage des résultats de la performance et des initiatives durables</w:t>
      </w:r>
      <w:r w:rsidR="006D2A0B">
        <w:rPr>
          <w:rFonts w:ascii="Times New Roman" w:hAnsi="Times New Roman" w:cs="Times New Roman"/>
          <w:szCs w:val="24"/>
        </w:rPr>
        <w:t xml:space="preserve"> auprès des parties prenantes »</w:t>
      </w:r>
      <w:r>
        <w:rPr>
          <w:rFonts w:ascii="Times New Roman" w:hAnsi="Times New Roman" w:cs="Times New Roman"/>
          <w:szCs w:val="24"/>
        </w:rPr>
        <w:t xml:space="preserve"> </w:t>
      </w:r>
      <w:r>
        <w:rPr>
          <w:rStyle w:val="Appelnotedebasdep"/>
          <w:rFonts w:ascii="Times New Roman" w:hAnsi="Times New Roman" w:cs="Times New Roman"/>
          <w:szCs w:val="24"/>
        </w:rPr>
        <w:footnoteReference w:id="28"/>
      </w:r>
      <w:r w:rsidRPr="00592DDF">
        <w:rPr>
          <w:rFonts w:ascii="Times New Roman" w:hAnsi="Times New Roman" w:cs="Times New Roman"/>
          <w:szCs w:val="24"/>
        </w:rPr>
        <w:t>, a également publié un document pour tenter de classer les différentes formes de greenwashi</w:t>
      </w:r>
      <w:r w:rsidR="006D2A0B">
        <w:rPr>
          <w:rFonts w:ascii="Times New Roman" w:hAnsi="Times New Roman" w:cs="Times New Roman"/>
          <w:szCs w:val="24"/>
        </w:rPr>
        <w:t xml:space="preserve">ng. Une liste contenant sept « </w:t>
      </w:r>
      <w:r w:rsidRPr="00592DDF">
        <w:rPr>
          <w:rFonts w:ascii="Times New Roman" w:hAnsi="Times New Roman" w:cs="Times New Roman"/>
          <w:szCs w:val="24"/>
        </w:rPr>
        <w:t>péchés du greenwashing » a ainsi été créée (</w:t>
      </w:r>
      <w:proofErr w:type="spellStart"/>
      <w:r w:rsidRPr="006D2A0B">
        <w:rPr>
          <w:rFonts w:ascii="Times New Roman" w:hAnsi="Times New Roman" w:cs="Times New Roman"/>
          <w:b/>
          <w:bCs/>
          <w:szCs w:val="24"/>
        </w:rPr>
        <w:t>TerraChoice</w:t>
      </w:r>
      <w:proofErr w:type="spellEnd"/>
      <w:r w:rsidRPr="006D2A0B">
        <w:rPr>
          <w:rFonts w:ascii="Times New Roman" w:hAnsi="Times New Roman" w:cs="Times New Roman"/>
          <w:b/>
          <w:bCs/>
          <w:szCs w:val="24"/>
        </w:rPr>
        <w:t>, 2010</w:t>
      </w:r>
      <w:r w:rsidRPr="00592DDF">
        <w:rPr>
          <w:rFonts w:ascii="Times New Roman" w:hAnsi="Times New Roman" w:cs="Times New Roman"/>
          <w:szCs w:val="24"/>
        </w:rPr>
        <w:t>):</w:t>
      </w:r>
    </w:p>
    <w:p w14:paraId="1D8260DC" w14:textId="77777777" w:rsidR="001A1F05" w:rsidRPr="00592DDF" w:rsidRDefault="001A1F05" w:rsidP="001A1F05">
      <w:pPr>
        <w:rPr>
          <w:rFonts w:ascii="Times New Roman" w:hAnsi="Times New Roman" w:cs="Times New Roman"/>
          <w:szCs w:val="24"/>
        </w:rPr>
      </w:pPr>
      <w:r>
        <w:rPr>
          <w:rFonts w:ascii="Times New Roman" w:hAnsi="Times New Roman" w:cs="Times New Roman"/>
          <w:szCs w:val="24"/>
        </w:rPr>
        <w:t xml:space="preserve">1) </w:t>
      </w:r>
      <w:r w:rsidRPr="006D2A0B">
        <w:rPr>
          <w:rFonts w:ascii="Times New Roman" w:hAnsi="Times New Roman" w:cs="Times New Roman"/>
          <w:b/>
          <w:bCs/>
          <w:szCs w:val="24"/>
        </w:rPr>
        <w:t>Le péché du « compromis caché »</w:t>
      </w:r>
      <w:r w:rsidRPr="00592DDF">
        <w:rPr>
          <w:rFonts w:ascii="Times New Roman" w:hAnsi="Times New Roman" w:cs="Times New Roman"/>
          <w:szCs w:val="24"/>
        </w:rPr>
        <w:t>, où l'allégation environnementale catég</w:t>
      </w:r>
      <w:r>
        <w:rPr>
          <w:rFonts w:ascii="Times New Roman" w:hAnsi="Times New Roman" w:cs="Times New Roman"/>
          <w:szCs w:val="24"/>
        </w:rPr>
        <w:t>orise un produit comme vert «</w:t>
      </w:r>
      <w:r w:rsidRPr="00592DDF">
        <w:rPr>
          <w:rFonts w:ascii="Times New Roman" w:hAnsi="Times New Roman" w:cs="Times New Roman"/>
          <w:szCs w:val="24"/>
        </w:rPr>
        <w:t xml:space="preserve"> en fonction d'un ensemble d'attributs excessivement étroit et sans tenir compte d'autres enjeux environn</w:t>
      </w:r>
      <w:r>
        <w:rPr>
          <w:rFonts w:ascii="Times New Roman" w:hAnsi="Times New Roman" w:cs="Times New Roman"/>
          <w:szCs w:val="24"/>
        </w:rPr>
        <w:t xml:space="preserve">ementaux </w:t>
      </w:r>
      <w:r w:rsidR="00FA7859">
        <w:rPr>
          <w:rFonts w:ascii="Times New Roman" w:hAnsi="Times New Roman" w:cs="Times New Roman"/>
          <w:szCs w:val="24"/>
        </w:rPr>
        <w:t>».</w:t>
      </w:r>
      <w:r w:rsidRPr="00592DDF">
        <w:rPr>
          <w:rFonts w:ascii="Times New Roman" w:hAnsi="Times New Roman" w:cs="Times New Roman"/>
          <w:szCs w:val="24"/>
        </w:rPr>
        <w:t xml:space="preserve"> Par exemple, préconiser l'usage du papier provenant d'une forêt exploitée de </w:t>
      </w:r>
      <w:r w:rsidR="006D2A0B">
        <w:rPr>
          <w:rFonts w:ascii="Times New Roman" w:hAnsi="Times New Roman" w:cs="Times New Roman"/>
          <w:szCs w:val="24"/>
        </w:rPr>
        <w:t>manière durable même si cela « </w:t>
      </w:r>
      <w:r w:rsidRPr="00592DDF">
        <w:rPr>
          <w:rFonts w:ascii="Times New Roman" w:hAnsi="Times New Roman" w:cs="Times New Roman"/>
          <w:szCs w:val="24"/>
        </w:rPr>
        <w:t>n'est pas nécessairement préférabl</w:t>
      </w:r>
      <w:r w:rsidR="006D2A0B">
        <w:rPr>
          <w:rFonts w:ascii="Times New Roman" w:hAnsi="Times New Roman" w:cs="Times New Roman"/>
          <w:szCs w:val="24"/>
        </w:rPr>
        <w:t>e sur le plan environnemental »</w:t>
      </w:r>
      <w:r w:rsidRPr="00592DDF">
        <w:rPr>
          <w:rFonts w:ascii="Times New Roman" w:hAnsi="Times New Roman" w:cs="Times New Roman"/>
          <w:szCs w:val="24"/>
        </w:rPr>
        <w:t xml:space="preserve"> car d'autres questions environnementales interviennent dans le proces</w:t>
      </w:r>
      <w:r w:rsidR="006D2A0B">
        <w:rPr>
          <w:rFonts w:ascii="Times New Roman" w:hAnsi="Times New Roman" w:cs="Times New Roman"/>
          <w:szCs w:val="24"/>
        </w:rPr>
        <w:t>sus de fabrication du papier « </w:t>
      </w:r>
      <w:r w:rsidRPr="00592DDF">
        <w:rPr>
          <w:rFonts w:ascii="Times New Roman" w:hAnsi="Times New Roman" w:cs="Times New Roman"/>
          <w:szCs w:val="24"/>
        </w:rPr>
        <w:t>tel que l'énergie, les émissions de gaz à effet de serre et la p</w:t>
      </w:r>
      <w:r w:rsidR="006D2A0B">
        <w:rPr>
          <w:rFonts w:ascii="Times New Roman" w:hAnsi="Times New Roman" w:cs="Times New Roman"/>
          <w:szCs w:val="24"/>
        </w:rPr>
        <w:t>ollution de l'eau et de l'air »</w:t>
      </w:r>
      <w:r w:rsidRPr="00592DDF">
        <w:rPr>
          <w:rFonts w:ascii="Times New Roman" w:hAnsi="Times New Roman" w:cs="Times New Roman"/>
          <w:szCs w:val="24"/>
        </w:rPr>
        <w:t>.</w:t>
      </w:r>
    </w:p>
    <w:p w14:paraId="2DCAA852" w14:textId="77777777" w:rsidR="001A1F05" w:rsidRPr="00592DDF" w:rsidRDefault="001A1F05" w:rsidP="001A1F05">
      <w:pPr>
        <w:rPr>
          <w:rFonts w:ascii="Times New Roman" w:hAnsi="Times New Roman" w:cs="Times New Roman"/>
          <w:szCs w:val="24"/>
        </w:rPr>
      </w:pPr>
      <w:r>
        <w:rPr>
          <w:rFonts w:ascii="Times New Roman" w:hAnsi="Times New Roman" w:cs="Times New Roman"/>
          <w:szCs w:val="24"/>
        </w:rPr>
        <w:lastRenderedPageBreak/>
        <w:t>2</w:t>
      </w:r>
      <w:r w:rsidRPr="006D2A0B">
        <w:rPr>
          <w:rFonts w:ascii="Times New Roman" w:hAnsi="Times New Roman" w:cs="Times New Roman"/>
          <w:b/>
          <w:bCs/>
          <w:szCs w:val="24"/>
        </w:rPr>
        <w:t>) Le péché de « l’absence de preuve »</w:t>
      </w:r>
      <w:r w:rsidRPr="00592DDF">
        <w:rPr>
          <w:rFonts w:ascii="Times New Roman" w:hAnsi="Times New Roman" w:cs="Times New Roman"/>
          <w:szCs w:val="24"/>
        </w:rPr>
        <w:t>, où l</w:t>
      </w:r>
      <w:r w:rsidR="006D2A0B">
        <w:rPr>
          <w:rFonts w:ascii="Times New Roman" w:hAnsi="Times New Roman" w:cs="Times New Roman"/>
          <w:szCs w:val="24"/>
        </w:rPr>
        <w:t>'allégation environnementale « </w:t>
      </w:r>
      <w:r w:rsidRPr="00592DDF">
        <w:rPr>
          <w:rFonts w:ascii="Times New Roman" w:hAnsi="Times New Roman" w:cs="Times New Roman"/>
          <w:szCs w:val="24"/>
        </w:rPr>
        <w:t xml:space="preserve">ne peut être étayée par des informations facilement accessibles ou par une certification tierce fiable ». Par exemple, </w:t>
      </w:r>
      <w:r w:rsidR="006D2A0B">
        <w:rPr>
          <w:rFonts w:ascii="Times New Roman" w:hAnsi="Times New Roman" w:cs="Times New Roman"/>
          <w:szCs w:val="24"/>
        </w:rPr>
        <w:t>mettre en avant le recyclage « post-consommation »</w:t>
      </w:r>
      <w:r w:rsidRPr="00592DDF">
        <w:rPr>
          <w:rFonts w:ascii="Times New Roman" w:hAnsi="Times New Roman" w:cs="Times New Roman"/>
          <w:szCs w:val="24"/>
        </w:rPr>
        <w:t xml:space="preserve"> du produit sans fournir aucune preuve.</w:t>
      </w:r>
    </w:p>
    <w:p w14:paraId="52A827CE" w14:textId="77777777" w:rsidR="001A1F05" w:rsidRPr="00592DDF" w:rsidRDefault="001A1F05" w:rsidP="001A1F05">
      <w:pPr>
        <w:rPr>
          <w:rFonts w:ascii="Times New Roman" w:hAnsi="Times New Roman" w:cs="Times New Roman"/>
          <w:szCs w:val="24"/>
        </w:rPr>
      </w:pPr>
      <w:r>
        <w:rPr>
          <w:rFonts w:ascii="Times New Roman" w:hAnsi="Times New Roman" w:cs="Times New Roman"/>
          <w:szCs w:val="24"/>
        </w:rPr>
        <w:t xml:space="preserve">3) </w:t>
      </w:r>
      <w:r w:rsidRPr="006D2A0B">
        <w:rPr>
          <w:rFonts w:ascii="Times New Roman" w:hAnsi="Times New Roman" w:cs="Times New Roman"/>
          <w:b/>
          <w:bCs/>
          <w:szCs w:val="24"/>
        </w:rPr>
        <w:t>Le péché « d'imprécision »</w:t>
      </w:r>
      <w:r w:rsidRPr="00592DDF">
        <w:rPr>
          <w:rFonts w:ascii="Times New Roman" w:hAnsi="Times New Roman" w:cs="Times New Roman"/>
          <w:szCs w:val="24"/>
        </w:rPr>
        <w:t>, où l'all</w:t>
      </w:r>
      <w:r w:rsidR="006D2A0B">
        <w:rPr>
          <w:rFonts w:ascii="Times New Roman" w:hAnsi="Times New Roman" w:cs="Times New Roman"/>
          <w:szCs w:val="24"/>
        </w:rPr>
        <w:t>égation environnementale est « </w:t>
      </w:r>
      <w:r w:rsidRPr="00592DDF">
        <w:rPr>
          <w:rFonts w:ascii="Times New Roman" w:hAnsi="Times New Roman" w:cs="Times New Roman"/>
          <w:szCs w:val="24"/>
        </w:rPr>
        <w:t>tellement mal définie ou tellement large que son sens réel risque d'être ma</w:t>
      </w:r>
      <w:r w:rsidR="006D2A0B">
        <w:rPr>
          <w:rFonts w:ascii="Times New Roman" w:hAnsi="Times New Roman" w:cs="Times New Roman"/>
          <w:szCs w:val="24"/>
        </w:rPr>
        <w:t>l compris par le consommateur »</w:t>
      </w:r>
      <w:r w:rsidRPr="00592DDF">
        <w:rPr>
          <w:rFonts w:ascii="Times New Roman" w:hAnsi="Times New Roman" w:cs="Times New Roman"/>
          <w:szCs w:val="24"/>
        </w:rPr>
        <w:t>. Par exempl</w:t>
      </w:r>
      <w:r w:rsidR="006D2A0B">
        <w:rPr>
          <w:rFonts w:ascii="Times New Roman" w:hAnsi="Times New Roman" w:cs="Times New Roman"/>
          <w:szCs w:val="24"/>
        </w:rPr>
        <w:t>e, affirmer qu'un produit est « tout-naturel » alors que « </w:t>
      </w:r>
      <w:r w:rsidRPr="00592DDF">
        <w:rPr>
          <w:rFonts w:ascii="Times New Roman" w:hAnsi="Times New Roman" w:cs="Times New Roman"/>
          <w:szCs w:val="24"/>
        </w:rPr>
        <w:t xml:space="preserve">tout ce qui est naturel </w:t>
      </w:r>
      <w:r w:rsidR="006D2A0B">
        <w:rPr>
          <w:rFonts w:ascii="Times New Roman" w:hAnsi="Times New Roman" w:cs="Times New Roman"/>
          <w:szCs w:val="24"/>
        </w:rPr>
        <w:t>n'est pas nécessairement vert »</w:t>
      </w:r>
      <w:r w:rsidRPr="00592DDF">
        <w:rPr>
          <w:rFonts w:ascii="Times New Roman" w:hAnsi="Times New Roman" w:cs="Times New Roman"/>
          <w:szCs w:val="24"/>
        </w:rPr>
        <w:t>.</w:t>
      </w:r>
    </w:p>
    <w:p w14:paraId="180BF7C2" w14:textId="77777777" w:rsidR="001A1F05" w:rsidRPr="00713D50" w:rsidRDefault="001A1F05" w:rsidP="001A1F05">
      <w:pPr>
        <w:rPr>
          <w:rFonts w:ascii="Times New Roman" w:hAnsi="Times New Roman" w:cs="Times New Roman"/>
          <w:szCs w:val="24"/>
        </w:rPr>
      </w:pPr>
      <w:r>
        <w:rPr>
          <w:rFonts w:ascii="Times New Roman" w:hAnsi="Times New Roman" w:cs="Times New Roman"/>
          <w:szCs w:val="24"/>
        </w:rPr>
        <w:t xml:space="preserve">4) </w:t>
      </w:r>
      <w:r w:rsidRPr="006D2A0B">
        <w:rPr>
          <w:rFonts w:ascii="Times New Roman" w:hAnsi="Times New Roman" w:cs="Times New Roman"/>
          <w:b/>
          <w:bCs/>
          <w:szCs w:val="24"/>
        </w:rPr>
        <w:t xml:space="preserve">Le péché de </w:t>
      </w:r>
      <w:r w:rsidR="006D2A0B" w:rsidRPr="006D2A0B">
        <w:rPr>
          <w:rFonts w:ascii="Times New Roman" w:hAnsi="Times New Roman" w:cs="Times New Roman"/>
          <w:b/>
          <w:bCs/>
          <w:szCs w:val="24"/>
        </w:rPr>
        <w:t>« non</w:t>
      </w:r>
      <w:r w:rsidRPr="006D2A0B">
        <w:rPr>
          <w:rFonts w:ascii="Times New Roman" w:hAnsi="Times New Roman" w:cs="Times New Roman"/>
          <w:b/>
          <w:bCs/>
          <w:szCs w:val="24"/>
        </w:rPr>
        <w:t>-pertinence »</w:t>
      </w:r>
      <w:r w:rsidRPr="00592DDF">
        <w:rPr>
          <w:rFonts w:ascii="Times New Roman" w:hAnsi="Times New Roman" w:cs="Times New Roman"/>
          <w:szCs w:val="24"/>
        </w:rPr>
        <w:t xml:space="preserve">, où </w:t>
      </w:r>
      <w:r w:rsidR="006D2A0B">
        <w:rPr>
          <w:rFonts w:ascii="Times New Roman" w:hAnsi="Times New Roman" w:cs="Times New Roman"/>
          <w:szCs w:val="24"/>
        </w:rPr>
        <w:t>l'allégation environnementale « </w:t>
      </w:r>
      <w:r w:rsidRPr="00592DDF">
        <w:rPr>
          <w:rFonts w:ascii="Times New Roman" w:hAnsi="Times New Roman" w:cs="Times New Roman"/>
          <w:szCs w:val="24"/>
        </w:rPr>
        <w:t xml:space="preserve"> n'est pas importante ou utile pour les consommateurs à la recherche de produits à privilégier sur le plan enviro</w:t>
      </w:r>
      <w:r w:rsidR="006D2A0B">
        <w:rPr>
          <w:rFonts w:ascii="Times New Roman" w:hAnsi="Times New Roman" w:cs="Times New Roman"/>
          <w:szCs w:val="24"/>
        </w:rPr>
        <w:t>nnemental »</w:t>
      </w:r>
      <w:r w:rsidRPr="00592DDF">
        <w:rPr>
          <w:rFonts w:ascii="Times New Roman" w:hAnsi="Times New Roman" w:cs="Times New Roman"/>
          <w:szCs w:val="24"/>
        </w:rPr>
        <w:t>. Par exemple, expliquer qu'un produit ne contient pas de CFC alors qu'ils sont toxiques et interdits par la loi.</w:t>
      </w:r>
    </w:p>
    <w:p w14:paraId="1E2C92DD" w14:textId="77777777" w:rsidR="001A1F05" w:rsidRDefault="001A1F05" w:rsidP="001A1F05">
      <w:pPr>
        <w:rPr>
          <w:rFonts w:ascii="Times New Roman" w:hAnsi="Times New Roman" w:cs="Times New Roman"/>
          <w:szCs w:val="24"/>
        </w:rPr>
      </w:pPr>
      <w:r>
        <w:rPr>
          <w:rFonts w:ascii="Times New Roman" w:hAnsi="Times New Roman" w:cs="Times New Roman"/>
          <w:szCs w:val="24"/>
        </w:rPr>
        <w:t xml:space="preserve">5) </w:t>
      </w:r>
      <w:r w:rsidRPr="006D2A0B">
        <w:rPr>
          <w:rFonts w:ascii="Times New Roman" w:hAnsi="Times New Roman" w:cs="Times New Roman"/>
          <w:b/>
          <w:bCs/>
          <w:szCs w:val="24"/>
        </w:rPr>
        <w:t>Le péché du « moindre des deux maux »</w:t>
      </w:r>
      <w:r w:rsidRPr="00713D50">
        <w:rPr>
          <w:rFonts w:ascii="Times New Roman" w:hAnsi="Times New Roman" w:cs="Times New Roman"/>
          <w:szCs w:val="24"/>
        </w:rPr>
        <w:t xml:space="preserve">, où </w:t>
      </w:r>
      <w:r>
        <w:rPr>
          <w:rFonts w:ascii="Times New Roman" w:hAnsi="Times New Roman" w:cs="Times New Roman"/>
          <w:szCs w:val="24"/>
        </w:rPr>
        <w:t xml:space="preserve">l'allégation environnementale </w:t>
      </w:r>
      <w:r w:rsidR="006D2A0B">
        <w:rPr>
          <w:rFonts w:ascii="Times New Roman" w:hAnsi="Times New Roman" w:cs="Times New Roman"/>
          <w:szCs w:val="24"/>
        </w:rPr>
        <w:t>(</w:t>
      </w:r>
      <w:r w:rsidR="006D2A0B" w:rsidRPr="00713D50">
        <w:rPr>
          <w:rFonts w:ascii="Times New Roman" w:hAnsi="Times New Roman" w:cs="Times New Roman"/>
          <w:szCs w:val="24"/>
        </w:rPr>
        <w:t>peut</w:t>
      </w:r>
      <w:r w:rsidRPr="00713D50">
        <w:rPr>
          <w:rFonts w:ascii="Times New Roman" w:hAnsi="Times New Roman" w:cs="Times New Roman"/>
          <w:szCs w:val="24"/>
        </w:rPr>
        <w:t xml:space="preserve"> être vraie dans la </w:t>
      </w:r>
      <w:r>
        <w:rPr>
          <w:rFonts w:ascii="Times New Roman" w:hAnsi="Times New Roman" w:cs="Times New Roman"/>
          <w:szCs w:val="24"/>
        </w:rPr>
        <w:t xml:space="preserve">catégorie de </w:t>
      </w:r>
      <w:r w:rsidR="006D2A0B">
        <w:rPr>
          <w:rFonts w:ascii="Times New Roman" w:hAnsi="Times New Roman" w:cs="Times New Roman"/>
          <w:szCs w:val="24"/>
        </w:rPr>
        <w:t>produit)</w:t>
      </w:r>
      <w:r>
        <w:rPr>
          <w:rFonts w:ascii="Times New Roman" w:hAnsi="Times New Roman" w:cs="Times New Roman"/>
          <w:szCs w:val="24"/>
        </w:rPr>
        <w:t xml:space="preserve"> mais (</w:t>
      </w:r>
      <w:r w:rsidRPr="00713D50">
        <w:rPr>
          <w:rFonts w:ascii="Times New Roman" w:hAnsi="Times New Roman" w:cs="Times New Roman"/>
          <w:szCs w:val="24"/>
        </w:rPr>
        <w:t xml:space="preserve">risque de distraire le consommateur </w:t>
      </w:r>
      <w:r w:rsidR="006D2A0B" w:rsidRPr="00713D50">
        <w:rPr>
          <w:rFonts w:ascii="Times New Roman" w:hAnsi="Times New Roman" w:cs="Times New Roman"/>
          <w:szCs w:val="24"/>
        </w:rPr>
        <w:t>des grands impacts</w:t>
      </w:r>
      <w:r w:rsidRPr="00713D50">
        <w:rPr>
          <w:rFonts w:ascii="Times New Roman" w:hAnsi="Times New Roman" w:cs="Times New Roman"/>
          <w:szCs w:val="24"/>
        </w:rPr>
        <w:t xml:space="preserve"> environnementaux de la catégorie dans son ens</w:t>
      </w:r>
      <w:r>
        <w:rPr>
          <w:rFonts w:ascii="Times New Roman" w:hAnsi="Times New Roman" w:cs="Times New Roman"/>
          <w:szCs w:val="24"/>
        </w:rPr>
        <w:t>emble)</w:t>
      </w:r>
      <w:r w:rsidRPr="00713D50">
        <w:rPr>
          <w:rFonts w:ascii="Times New Roman" w:hAnsi="Times New Roman" w:cs="Times New Roman"/>
          <w:szCs w:val="24"/>
        </w:rPr>
        <w:t>. Par exemple</w:t>
      </w:r>
      <w:r w:rsidR="006D2A0B">
        <w:rPr>
          <w:rFonts w:ascii="Times New Roman" w:hAnsi="Times New Roman" w:cs="Times New Roman"/>
          <w:szCs w:val="24"/>
        </w:rPr>
        <w:t>, présenter un véhicule comme « écoénergétique »</w:t>
      </w:r>
      <w:r w:rsidR="006D2A0B" w:rsidRPr="00713D50">
        <w:rPr>
          <w:rFonts w:ascii="Times New Roman" w:hAnsi="Times New Roman" w:cs="Times New Roman"/>
          <w:szCs w:val="24"/>
        </w:rPr>
        <w:t xml:space="preserve"> en</w:t>
      </w:r>
      <w:r w:rsidRPr="00713D50">
        <w:rPr>
          <w:rFonts w:ascii="Times New Roman" w:hAnsi="Times New Roman" w:cs="Times New Roman"/>
          <w:szCs w:val="24"/>
        </w:rPr>
        <w:t xml:space="preserve"> occultant la pollution engendrée par le secteur automobile dans son ensemble. </w:t>
      </w:r>
    </w:p>
    <w:p w14:paraId="2F0AE368" w14:textId="77777777" w:rsidR="001A1F05" w:rsidRPr="00713D50" w:rsidRDefault="001A1F05" w:rsidP="001A1F05">
      <w:pPr>
        <w:rPr>
          <w:rFonts w:ascii="Times New Roman" w:hAnsi="Times New Roman" w:cs="Times New Roman"/>
          <w:szCs w:val="24"/>
        </w:rPr>
      </w:pPr>
      <w:r>
        <w:rPr>
          <w:rFonts w:ascii="Times New Roman" w:hAnsi="Times New Roman" w:cs="Times New Roman"/>
          <w:szCs w:val="24"/>
        </w:rPr>
        <w:t xml:space="preserve">6) </w:t>
      </w:r>
      <w:r w:rsidRPr="00FA7859">
        <w:rPr>
          <w:rFonts w:ascii="Times New Roman" w:hAnsi="Times New Roman" w:cs="Times New Roman"/>
          <w:b/>
          <w:bCs/>
          <w:szCs w:val="24"/>
        </w:rPr>
        <w:t>Le</w:t>
      </w:r>
      <w:r w:rsidR="006D2A0B" w:rsidRPr="00FA7859">
        <w:rPr>
          <w:rFonts w:ascii="Times New Roman" w:hAnsi="Times New Roman" w:cs="Times New Roman"/>
          <w:b/>
          <w:bCs/>
          <w:szCs w:val="24"/>
        </w:rPr>
        <w:t xml:space="preserve"> péché du « </w:t>
      </w:r>
      <w:r w:rsidRPr="00FA7859">
        <w:rPr>
          <w:rFonts w:ascii="Times New Roman" w:hAnsi="Times New Roman" w:cs="Times New Roman"/>
          <w:b/>
          <w:bCs/>
          <w:szCs w:val="24"/>
        </w:rPr>
        <w:t xml:space="preserve"> mensonge »</w:t>
      </w:r>
      <w:r>
        <w:rPr>
          <w:rFonts w:ascii="Times New Roman" w:hAnsi="Times New Roman" w:cs="Times New Roman"/>
          <w:szCs w:val="24"/>
        </w:rPr>
        <w:t xml:space="preserve"> </w:t>
      </w:r>
      <w:r>
        <w:rPr>
          <w:rStyle w:val="Appelnotedebasdep"/>
          <w:rFonts w:ascii="Times New Roman" w:hAnsi="Times New Roman" w:cs="Times New Roman"/>
          <w:szCs w:val="24"/>
        </w:rPr>
        <w:footnoteReference w:id="29"/>
      </w:r>
      <w:r w:rsidRPr="00713D50">
        <w:rPr>
          <w:rFonts w:ascii="Times New Roman" w:hAnsi="Times New Roman" w:cs="Times New Roman"/>
          <w:szCs w:val="24"/>
        </w:rPr>
        <w:t>, où l'allégation environnementale est tout simplement fausse. Par exemple, prétendre à tort qu'un produit est certifié ou enregistré au sein</w:t>
      </w:r>
      <w:r w:rsidR="006D2A0B">
        <w:rPr>
          <w:rFonts w:ascii="Times New Roman" w:hAnsi="Times New Roman" w:cs="Times New Roman"/>
          <w:szCs w:val="24"/>
        </w:rPr>
        <w:t xml:space="preserve"> du programme « Energy Star » </w:t>
      </w:r>
      <w:r>
        <w:rPr>
          <w:rStyle w:val="Appelnotedebasdep"/>
          <w:rFonts w:ascii="Times New Roman" w:hAnsi="Times New Roman" w:cs="Times New Roman"/>
          <w:szCs w:val="24"/>
        </w:rPr>
        <w:footnoteReference w:id="30"/>
      </w:r>
      <w:r w:rsidRPr="00713D50">
        <w:rPr>
          <w:rFonts w:ascii="Times New Roman" w:hAnsi="Times New Roman" w:cs="Times New Roman"/>
          <w:szCs w:val="24"/>
        </w:rPr>
        <w:t>.</w:t>
      </w:r>
    </w:p>
    <w:p w14:paraId="4FC2CC52" w14:textId="77777777" w:rsidR="001A1F05" w:rsidRPr="00592DDF" w:rsidRDefault="006D2A0B" w:rsidP="00A346C6">
      <w:pPr>
        <w:rPr>
          <w:rFonts w:ascii="Times New Roman" w:hAnsi="Times New Roman" w:cs="Times New Roman"/>
          <w:szCs w:val="24"/>
        </w:rPr>
      </w:pPr>
      <w:r>
        <w:rPr>
          <w:rFonts w:ascii="Times New Roman" w:hAnsi="Times New Roman" w:cs="Times New Roman"/>
          <w:szCs w:val="24"/>
        </w:rPr>
        <w:t xml:space="preserve">7) </w:t>
      </w:r>
      <w:r w:rsidRPr="00FA7859">
        <w:rPr>
          <w:rFonts w:ascii="Times New Roman" w:hAnsi="Times New Roman" w:cs="Times New Roman"/>
          <w:b/>
          <w:bCs/>
          <w:szCs w:val="24"/>
        </w:rPr>
        <w:t>Le péché de « l'adoration de faux labels »</w:t>
      </w:r>
      <w:r>
        <w:rPr>
          <w:rFonts w:ascii="Times New Roman" w:hAnsi="Times New Roman" w:cs="Times New Roman"/>
          <w:szCs w:val="24"/>
        </w:rPr>
        <w:t>, où «</w:t>
      </w:r>
      <w:r w:rsidR="001A1F05" w:rsidRPr="00713D50">
        <w:rPr>
          <w:rFonts w:ascii="Times New Roman" w:hAnsi="Times New Roman" w:cs="Times New Roman"/>
          <w:szCs w:val="24"/>
        </w:rPr>
        <w:t xml:space="preserve"> un produit, à travers des mots ou des images, donne l'impression d'une approbation par un tiers alors qu'il n'exi</w:t>
      </w:r>
      <w:r>
        <w:rPr>
          <w:rFonts w:ascii="Times New Roman" w:hAnsi="Times New Roman" w:cs="Times New Roman"/>
          <w:szCs w:val="24"/>
        </w:rPr>
        <w:t xml:space="preserve">ste pas de telle </w:t>
      </w:r>
      <w:r w:rsidR="00F30B98">
        <w:rPr>
          <w:rFonts w:ascii="Times New Roman" w:hAnsi="Times New Roman" w:cs="Times New Roman"/>
          <w:szCs w:val="24"/>
        </w:rPr>
        <w:t>approbation »</w:t>
      </w:r>
    </w:p>
    <w:p w14:paraId="7F2540D3" w14:textId="77777777" w:rsidR="001A1F05" w:rsidRPr="00E94997" w:rsidRDefault="001A1F05" w:rsidP="001A1F05">
      <w:pPr>
        <w:pStyle w:val="Titre1"/>
      </w:pPr>
      <w:r>
        <w:lastRenderedPageBreak/>
        <w:t xml:space="preserve"> </w:t>
      </w:r>
      <w:bookmarkStart w:id="33" w:name="_Toc200825383"/>
      <w:r w:rsidRPr="00E94997">
        <w:t xml:space="preserve">Les impacts de greenwashing </w:t>
      </w:r>
      <w:r w:rsidRPr="00E94997">
        <w:rPr>
          <w:sz w:val="24"/>
          <w:szCs w:val="24"/>
        </w:rPr>
        <w:t>pour le consommateur</w:t>
      </w:r>
      <w:bookmarkEnd w:id="33"/>
    </w:p>
    <w:p w14:paraId="5334D317" w14:textId="77777777" w:rsidR="001A1F05" w:rsidRPr="00F30B98" w:rsidRDefault="001A1F05" w:rsidP="00F30B98">
      <w:pPr>
        <w:pStyle w:val="Titre2"/>
      </w:pPr>
      <w:bookmarkStart w:id="34" w:name="_Toc200825384"/>
      <w:r w:rsidRPr="00E94997">
        <w:t xml:space="preserve">L'impact du Greenwashing sur les consommateurs </w:t>
      </w:r>
      <w:r w:rsidR="00F30B98">
        <w:rPr>
          <w:rStyle w:val="Appelnotedebasdep"/>
        </w:rPr>
        <w:footnoteReference w:id="31"/>
      </w:r>
      <w:bookmarkEnd w:id="34"/>
    </w:p>
    <w:p w14:paraId="2C92FDB0" w14:textId="77777777" w:rsidR="001A1F05" w:rsidRPr="00E94997" w:rsidRDefault="001A1F05" w:rsidP="001A1F05">
      <w:pPr>
        <w:rPr>
          <w:rFonts w:cstheme="majorBidi"/>
          <w:szCs w:val="24"/>
        </w:rPr>
      </w:pPr>
      <w:r w:rsidRPr="00E94997">
        <w:rPr>
          <w:rFonts w:cstheme="majorBidi"/>
          <w:szCs w:val="24"/>
        </w:rPr>
        <w:t>Le greenwashing a des conséquences directes et durables sur la confiance des consommateurs, le comportement d'achat, et la réputation des entreprises. Lorsqu'une entreprise est prise en flagrant délit de greenwashing, cela peut entraîner une série de réactions négatives et un effet domino sur le marché.</w:t>
      </w:r>
    </w:p>
    <w:p w14:paraId="1E1B04BC" w14:textId="77777777" w:rsidR="001A1F05" w:rsidRPr="00E94997" w:rsidRDefault="001A1F05" w:rsidP="001A1F05">
      <w:pPr>
        <w:pStyle w:val="Titre3"/>
      </w:pPr>
      <w:bookmarkStart w:id="35" w:name="_Toc200825385"/>
      <w:r w:rsidRPr="00E94997">
        <w:t>Perte de confiance des consommateurs</w:t>
      </w:r>
      <w:bookmarkEnd w:id="35"/>
    </w:p>
    <w:p w14:paraId="0D9151D4" w14:textId="77777777" w:rsidR="001A1F05" w:rsidRPr="00E94997" w:rsidRDefault="001A1F05" w:rsidP="001A1F05">
      <w:pPr>
        <w:rPr>
          <w:rFonts w:cstheme="majorBidi"/>
          <w:szCs w:val="24"/>
        </w:rPr>
      </w:pPr>
      <w:r w:rsidRPr="00E94997">
        <w:rPr>
          <w:rFonts w:cstheme="majorBidi"/>
          <w:szCs w:val="24"/>
        </w:rPr>
        <w:t>La conséquence la plus immédiate du greenwashing est la perte de confiance des consommateurs. Lorsqu'une entreprise est exposée pour avoir menti ou exagéré ses efforts écologiques, les consommateurs se sentent trahis. Cela peut affecter non seulement la marque en question, mais également la perception générale du secteur d’activité.</w:t>
      </w:r>
    </w:p>
    <w:p w14:paraId="1AFCE7F7" w14:textId="77777777" w:rsidR="001A1F05" w:rsidRPr="00E94997" w:rsidRDefault="001A1F05" w:rsidP="001A1F05">
      <w:pPr>
        <w:rPr>
          <w:rFonts w:cstheme="majorBidi"/>
          <w:szCs w:val="24"/>
        </w:rPr>
      </w:pPr>
      <w:r w:rsidRPr="00E94997">
        <w:rPr>
          <w:rFonts w:cstheme="majorBidi"/>
          <w:szCs w:val="24"/>
        </w:rPr>
        <w:t>Une fois que la confiance est perdue, elle est extrêmement difficile à regagner. Les consommateurs peuvent se tourner vers des concurrents, renforçant ainsi les marques qui adoptent une réelle transparence.</w:t>
      </w:r>
    </w:p>
    <w:p w14:paraId="735BC02D" w14:textId="77777777" w:rsidR="001A1F05" w:rsidRPr="00E94997" w:rsidRDefault="001A1F05" w:rsidP="001A1F05">
      <w:pPr>
        <w:pStyle w:val="Titre3"/>
      </w:pPr>
      <w:r w:rsidRPr="00E94997">
        <w:t xml:space="preserve"> </w:t>
      </w:r>
      <w:bookmarkStart w:id="36" w:name="_Toc200825386"/>
      <w:r w:rsidRPr="00E94997">
        <w:t>Impact sur le comportement d'achat</w:t>
      </w:r>
      <w:bookmarkEnd w:id="36"/>
    </w:p>
    <w:p w14:paraId="21E86933" w14:textId="77777777" w:rsidR="001A1F05" w:rsidRPr="00E94997" w:rsidRDefault="001A1F05" w:rsidP="001A1F05">
      <w:pPr>
        <w:rPr>
          <w:rFonts w:cstheme="majorBidi"/>
          <w:szCs w:val="24"/>
        </w:rPr>
      </w:pPr>
      <w:r w:rsidRPr="00E94997">
        <w:rPr>
          <w:rFonts w:cstheme="majorBidi"/>
          <w:szCs w:val="24"/>
        </w:rPr>
        <w:t>Les consommateurs d'aujourd'hui sont plus avertis que jamais et ne se contentent plus de simples affirmations écologiques. Lorsque les consommateurs se rendent compte qu'ils ont été trompés par une entreprise qui pratique le greenwashing, ils modifient souvent leur comportement d'achat.</w:t>
      </w:r>
    </w:p>
    <w:p w14:paraId="6C187DE6" w14:textId="77777777" w:rsidR="001A1F05" w:rsidRPr="00E94997" w:rsidRDefault="001A1F05" w:rsidP="001A1F05">
      <w:pPr>
        <w:rPr>
          <w:rFonts w:cstheme="majorBidi"/>
          <w:szCs w:val="24"/>
        </w:rPr>
      </w:pPr>
      <w:r w:rsidRPr="00E94997">
        <w:rPr>
          <w:rFonts w:cstheme="majorBidi"/>
          <w:szCs w:val="24"/>
        </w:rPr>
        <w:t>Une étude de Simon-</w:t>
      </w:r>
      <w:proofErr w:type="spellStart"/>
      <w:r w:rsidRPr="00E94997">
        <w:rPr>
          <w:rFonts w:cstheme="majorBidi"/>
          <w:szCs w:val="24"/>
        </w:rPr>
        <w:t>Kucher</w:t>
      </w:r>
      <w:proofErr w:type="spellEnd"/>
      <w:r w:rsidRPr="00E94997">
        <w:rPr>
          <w:rFonts w:cstheme="majorBidi"/>
          <w:szCs w:val="24"/>
        </w:rPr>
        <w:t xml:space="preserve"> &amp; </w:t>
      </w:r>
      <w:proofErr w:type="spellStart"/>
      <w:r w:rsidRPr="00E94997">
        <w:rPr>
          <w:rFonts w:cstheme="majorBidi"/>
          <w:szCs w:val="24"/>
        </w:rPr>
        <w:t>Partners</w:t>
      </w:r>
      <w:proofErr w:type="spellEnd"/>
      <w:r w:rsidRPr="00E94997">
        <w:rPr>
          <w:rFonts w:cstheme="majorBidi"/>
          <w:szCs w:val="24"/>
        </w:rPr>
        <w:t xml:space="preserve"> montre que 34% des consommateurs sont disposés à payer plus cher pour des produits authentiquement durables. En revanche, lorsqu'ils réalisent qu'une entreprise pratique le greenwashing, ils cherchent activement des alternatives plus fiables. Cela renforce la concurrence pour les entreprises qui, elles, s'efforcent véritablement de mettre en œuvre des pratiques durables et transparentes.</w:t>
      </w:r>
    </w:p>
    <w:p w14:paraId="02A2DF7D" w14:textId="77777777" w:rsidR="001A1F05" w:rsidRPr="00E94997" w:rsidRDefault="001A1F05" w:rsidP="001A1F05">
      <w:pPr>
        <w:pStyle w:val="Titre3"/>
      </w:pPr>
      <w:r w:rsidRPr="00E94997">
        <w:lastRenderedPageBreak/>
        <w:t xml:space="preserve"> </w:t>
      </w:r>
      <w:bookmarkStart w:id="37" w:name="_Toc200825387"/>
      <w:r w:rsidRPr="00E94997">
        <w:t>Boycotts et réseaux sociaux</w:t>
      </w:r>
      <w:bookmarkEnd w:id="37"/>
    </w:p>
    <w:p w14:paraId="3D64667F" w14:textId="77777777" w:rsidR="001A1F05" w:rsidRPr="00E94997" w:rsidRDefault="001A1F05" w:rsidP="001A1F05">
      <w:pPr>
        <w:rPr>
          <w:rFonts w:cstheme="majorBidi"/>
          <w:szCs w:val="24"/>
        </w:rPr>
      </w:pPr>
      <w:r w:rsidRPr="00E94997">
        <w:rPr>
          <w:rFonts w:cstheme="majorBidi"/>
          <w:szCs w:val="24"/>
        </w:rPr>
        <w:t>Les réseaux sociaux jouent un rôle clé dans la diffusion des informations sur le greenwashing. Dès qu'une entreprise est pointée du doigt pour avoir trompé ses consommateurs, cela peut conduire à des campagnes de boycott virales. Les hashtags, les critiques et les mouvements de contestation peuvent rapidement prendre de l'ampleur et nuire à la réputation de la marque.</w:t>
      </w:r>
    </w:p>
    <w:p w14:paraId="4FBCF6CC" w14:textId="77777777" w:rsidR="001A1F05" w:rsidRPr="00E94997" w:rsidRDefault="001A1F05" w:rsidP="001A1F05">
      <w:pPr>
        <w:rPr>
          <w:rFonts w:cstheme="majorBidi"/>
          <w:szCs w:val="24"/>
        </w:rPr>
      </w:pPr>
      <w:r w:rsidRPr="00E94997">
        <w:rPr>
          <w:rFonts w:cstheme="majorBidi"/>
          <w:szCs w:val="24"/>
        </w:rPr>
        <w:t>Un exemple bien connu est celui des campagnes de boycott qui ont émergé suite aux révélations de greenwashing dans l'industrie de la mode. De grandes marques ont vu leurs ventes chuter après avoir été exposées pour leur manque de transparence sur les conditions de travail et les matériaux utilisés, malgré des affirmations publiques de durabilité.</w:t>
      </w:r>
    </w:p>
    <w:p w14:paraId="1F54C6BB" w14:textId="77777777" w:rsidR="001A1F05" w:rsidRPr="00E94997" w:rsidRDefault="001A1F05" w:rsidP="001A1F05">
      <w:pPr>
        <w:pStyle w:val="Titre3"/>
      </w:pPr>
      <w:bookmarkStart w:id="38" w:name="_Toc200825388"/>
      <w:r w:rsidRPr="00E94997">
        <w:t>Augmentation de la méfiance générale</w:t>
      </w:r>
      <w:bookmarkEnd w:id="38"/>
    </w:p>
    <w:p w14:paraId="1258A683" w14:textId="77777777" w:rsidR="001A1F05" w:rsidRPr="00E94997" w:rsidRDefault="001A1F05" w:rsidP="001A1F05">
      <w:pPr>
        <w:rPr>
          <w:rFonts w:cstheme="majorBidi"/>
          <w:szCs w:val="24"/>
        </w:rPr>
      </w:pPr>
      <w:r w:rsidRPr="00E94997">
        <w:rPr>
          <w:rFonts w:cstheme="majorBidi"/>
          <w:szCs w:val="24"/>
        </w:rPr>
        <w:t>Le greenwashing ne nuit pas seulement à l'entreprise qui en est accusée, mais il contribue également à augmenter la méfiance vis-à-vis des revendications écologiques en général. Les consommateurs deviennent plus sceptiques, ce qui nuit également aux entreprises qui adoptent de véritables pratiques durables. Le doute s’installe dans l’esprit des consommateurs, ce qui rend difficile pour les entreprises authentiquement écologiques de se démarquer.</w:t>
      </w:r>
    </w:p>
    <w:p w14:paraId="6DF8BA5E" w14:textId="77777777" w:rsidR="001A1F05" w:rsidRPr="00E94997" w:rsidRDefault="001A1F05" w:rsidP="00496C8B">
      <w:pPr>
        <w:rPr>
          <w:rFonts w:cstheme="majorBidi"/>
          <w:szCs w:val="24"/>
        </w:rPr>
      </w:pPr>
      <w:r w:rsidRPr="00E94997">
        <w:rPr>
          <w:rFonts w:cstheme="majorBidi"/>
          <w:szCs w:val="24"/>
        </w:rPr>
        <w:t>La méfiance générée par le greenwashing a un impact direct sur l'ensemble du marché. Les entreprises qui investissent réellement dans des pratiques durables peuvent se retrouver pénalisées par la réticence des consommateurs à croire aux allégations écologiques.</w:t>
      </w:r>
    </w:p>
    <w:p w14:paraId="7A128CA0" w14:textId="77777777" w:rsidR="001A1F05" w:rsidRPr="00E94997" w:rsidRDefault="001A1F05" w:rsidP="001A1F05">
      <w:pPr>
        <w:pStyle w:val="Titre2"/>
        <w:rPr>
          <w:szCs w:val="24"/>
        </w:rPr>
      </w:pPr>
      <w:bookmarkStart w:id="39" w:name="_Toc200825389"/>
      <w:r w:rsidRPr="00E94997">
        <w:rPr>
          <w:szCs w:val="24"/>
        </w:rPr>
        <w:t>L'impact du Greenwashing sur les entreprises</w:t>
      </w:r>
      <w:bookmarkEnd w:id="39"/>
      <w:r w:rsidRPr="00E94997">
        <w:rPr>
          <w:szCs w:val="24"/>
        </w:rPr>
        <w:t xml:space="preserve"> </w:t>
      </w:r>
    </w:p>
    <w:p w14:paraId="34A9C64B" w14:textId="77777777" w:rsidR="001A1F05" w:rsidRPr="00E94997" w:rsidRDefault="001A1F05" w:rsidP="001A1F05">
      <w:pPr>
        <w:rPr>
          <w:rFonts w:cstheme="majorBidi"/>
          <w:szCs w:val="24"/>
        </w:rPr>
      </w:pPr>
      <w:r w:rsidRPr="00E94997">
        <w:rPr>
          <w:rFonts w:cstheme="majorBidi"/>
          <w:szCs w:val="24"/>
        </w:rPr>
        <w:t>Le greenwashing peut apporter des bénéfices à court terme, mais il représente un risque à long terme pour les entreprises. En plus d’une perte de confiance des consommateurs, il peut entraîner des sanctions financières, juridiques, et des coûts de réputation qui peuvent être très difficiles à surmonter.</w:t>
      </w:r>
    </w:p>
    <w:p w14:paraId="702901EF" w14:textId="77777777" w:rsidR="001A1F05" w:rsidRPr="00E94997" w:rsidRDefault="001A1F05" w:rsidP="001A1F05">
      <w:pPr>
        <w:pStyle w:val="Titre3"/>
      </w:pPr>
      <w:r w:rsidRPr="00E94997">
        <w:t xml:space="preserve"> </w:t>
      </w:r>
      <w:bookmarkStart w:id="40" w:name="_Toc200825390"/>
      <w:r w:rsidRPr="00E94997">
        <w:t>Sanctions légales et financières</w:t>
      </w:r>
      <w:bookmarkEnd w:id="40"/>
    </w:p>
    <w:p w14:paraId="703C3418" w14:textId="77777777" w:rsidR="007200AA" w:rsidRDefault="001A1F05" w:rsidP="007200AA">
      <w:pPr>
        <w:rPr>
          <w:rFonts w:cstheme="majorBidi"/>
          <w:szCs w:val="24"/>
        </w:rPr>
      </w:pPr>
      <w:r w:rsidRPr="00E94997">
        <w:rPr>
          <w:rFonts w:cstheme="majorBidi"/>
          <w:szCs w:val="24"/>
        </w:rPr>
        <w:t xml:space="preserve">Dans certains pays, les entreprises peuvent être poursuivies pour publicité mensongère si leurs affirmations écologiques sont jugées trompeuses. Aux États-Unis, la </w:t>
      </w:r>
      <w:proofErr w:type="spellStart"/>
      <w:r w:rsidRPr="00E94997">
        <w:rPr>
          <w:rFonts w:cstheme="majorBidi"/>
          <w:szCs w:val="24"/>
        </w:rPr>
        <w:t>Federal</w:t>
      </w:r>
      <w:proofErr w:type="spellEnd"/>
      <w:r w:rsidRPr="00E94997">
        <w:rPr>
          <w:rFonts w:cstheme="majorBidi"/>
          <w:szCs w:val="24"/>
        </w:rPr>
        <w:t xml:space="preserve"> Trade </w:t>
      </w:r>
      <w:bookmarkStart w:id="41" w:name="_Toc200825391"/>
      <w:r w:rsidR="007200AA" w:rsidRPr="007200AA">
        <w:rPr>
          <w:rFonts w:cstheme="majorBidi"/>
          <w:szCs w:val="24"/>
        </w:rPr>
        <w:t xml:space="preserve">La </w:t>
      </w:r>
      <w:r w:rsidR="007200AA" w:rsidRPr="007200AA">
        <w:rPr>
          <w:rFonts w:cstheme="majorBidi"/>
          <w:szCs w:val="24"/>
        </w:rPr>
        <w:lastRenderedPageBreak/>
        <w:t>Commission (FTC) a établi des « Green Guides » afin de réguler la publicité écologique et prévenir les abus. Des règles comparables régulent les pratiques</w:t>
      </w:r>
      <w:r w:rsidR="007200AA">
        <w:rPr>
          <w:rFonts w:cstheme="majorBidi"/>
          <w:szCs w:val="24"/>
        </w:rPr>
        <w:t xml:space="preserve"> de communication écologique en Europe. </w:t>
      </w:r>
    </w:p>
    <w:p w14:paraId="50A769BD" w14:textId="77777777" w:rsidR="007200AA" w:rsidRPr="007200AA" w:rsidRDefault="007200AA" w:rsidP="007200AA">
      <w:pPr>
        <w:rPr>
          <w:rFonts w:cstheme="majorBidi"/>
          <w:szCs w:val="24"/>
        </w:rPr>
      </w:pPr>
      <w:r w:rsidRPr="007200AA">
        <w:rPr>
          <w:rFonts w:cstheme="majorBidi"/>
          <w:szCs w:val="24"/>
        </w:rPr>
        <w:t>Les sociétés qui ne respectent pas ces normes peuvent faire face à des pénalités, des sanctions ou des restrictions publicitaires. Ces poursuites judiciaires portent atteinte à la crédibilité de la société et pourraient conduire à une baisse substantielle de ses revenus.</w:t>
      </w:r>
    </w:p>
    <w:p w14:paraId="41905C97" w14:textId="77777777" w:rsidR="001A1F05" w:rsidRPr="00E94997" w:rsidRDefault="001A1F05" w:rsidP="007200AA">
      <w:pPr>
        <w:pStyle w:val="Titre3"/>
      </w:pPr>
      <w:r w:rsidRPr="00E94997">
        <w:t>Réputation ternie</w:t>
      </w:r>
      <w:bookmarkEnd w:id="41"/>
    </w:p>
    <w:p w14:paraId="5A3CDA08" w14:textId="77777777" w:rsidR="007200AA" w:rsidRDefault="007200AA" w:rsidP="007200AA">
      <w:bookmarkStart w:id="42" w:name="_Toc200825392"/>
      <w:r w:rsidRPr="007200AA">
        <w:t>Le greenwashing peut sérieusement nuire à l'image d'une société.  Il est très ardu pour une entreprise de restaurer son image une fois que les consommateurs ont pris connaissance de ses pratiques trompeuses.  Effectivement, la réputation figure parmi les biens les plus précieux d'une entreprise, et les allégations de greenwashing peuvent la détériorer de manière irréversible.</w:t>
      </w:r>
    </w:p>
    <w:p w14:paraId="6B854231" w14:textId="77777777" w:rsidR="001A1F05" w:rsidRPr="00E94997" w:rsidRDefault="001A1F05" w:rsidP="007200AA">
      <w:pPr>
        <w:pStyle w:val="Titre3"/>
      </w:pPr>
      <w:r w:rsidRPr="00E94997">
        <w:t>Coûts de correction</w:t>
      </w:r>
      <w:bookmarkEnd w:id="42"/>
    </w:p>
    <w:p w14:paraId="7249311B" w14:textId="77777777" w:rsidR="007200AA" w:rsidRDefault="007200AA" w:rsidP="007200AA">
      <w:bookmarkStart w:id="43" w:name="_Toc200825393"/>
      <w:r w:rsidRPr="007200AA">
        <w:t>Les sociétés qui s'engagent dans le greenwashing sont généralement contraintes de débourser d'importantes sommes pour corriger leurs fautes.  Cela comprend la réévaluation des procédures internes, l'acquisition de certifications authentiques et la gestion des relations publiques afin de regagner la confiance des consommateurs.  Ces dépenses, conjuguées à l'érosion de la confiance, peuvent entraîner de graves répercussions financières.</w:t>
      </w:r>
    </w:p>
    <w:p w14:paraId="7CEDDACE" w14:textId="77777777" w:rsidR="001A1F05" w:rsidRDefault="001A1F05" w:rsidP="007200AA">
      <w:pPr>
        <w:pStyle w:val="Titre2"/>
        <w:rPr>
          <w:szCs w:val="24"/>
        </w:rPr>
      </w:pPr>
      <w:r w:rsidRPr="00E94997">
        <w:rPr>
          <w:szCs w:val="24"/>
        </w:rPr>
        <w:t>L’impact du greenwashing sur le marché concurrentiel</w:t>
      </w:r>
      <w:r w:rsidR="007200AA">
        <w:rPr>
          <w:szCs w:val="24"/>
        </w:rPr>
        <w:t xml:space="preserve"> </w:t>
      </w:r>
      <w:r w:rsidR="00E43F1C">
        <w:rPr>
          <w:rStyle w:val="Appelnotedebasdep"/>
          <w:szCs w:val="24"/>
        </w:rPr>
        <w:footnoteReference w:id="32"/>
      </w:r>
      <w:bookmarkEnd w:id="43"/>
    </w:p>
    <w:p w14:paraId="4BF016BB" w14:textId="77777777" w:rsidR="007200AA" w:rsidRPr="007200AA" w:rsidRDefault="007200AA" w:rsidP="007200AA">
      <w:bookmarkStart w:id="44" w:name="_Toc200825394"/>
      <w:r w:rsidRPr="007200AA">
        <w:t xml:space="preserve">Le greenwashing engendre une disparité entre ceux qui se disent écoresponsables sans l’être vraiment et ceux qui le sont effectivement.  Effectivement, cette approche de communication trompe la compétition en conférant un avantage aux entreprises qui s'engagent dans le greenwashing, car elles détournent les consommateurs des marques véritablement écoresponsables. </w:t>
      </w:r>
    </w:p>
    <w:p w14:paraId="54A4F48D" w14:textId="77777777" w:rsidR="007200AA" w:rsidRDefault="007200AA" w:rsidP="007200AA">
      <w:r w:rsidRPr="007200AA">
        <w:lastRenderedPageBreak/>
        <w:t xml:space="preserve"> Ainsi, c'est un inconvénient majeur pour les entreprises qui s'impliquent véritablement dans des pratiques durables, étant donné que leur mise en œuvre est généralement plus onéreuse.</w:t>
      </w:r>
    </w:p>
    <w:p w14:paraId="57469F49" w14:textId="77777777" w:rsidR="001A1F05" w:rsidRPr="00E94997" w:rsidRDefault="001A1F05" w:rsidP="007200AA">
      <w:pPr>
        <w:pStyle w:val="Titre3"/>
      </w:pPr>
      <w:r w:rsidRPr="00E94997">
        <w:t xml:space="preserve">Les </w:t>
      </w:r>
      <w:r>
        <w:t>impacts</w:t>
      </w:r>
      <w:r w:rsidRPr="00E94997">
        <w:t xml:space="preserve"> du greenwashing sur l’environnement</w:t>
      </w:r>
      <w:bookmarkEnd w:id="44"/>
    </w:p>
    <w:p w14:paraId="4B599A19" w14:textId="77777777" w:rsidR="00AA2FE0" w:rsidRDefault="00AA2FE0" w:rsidP="00AA2FE0">
      <w:bookmarkStart w:id="45" w:name="_Toc200825395"/>
      <w:r w:rsidRPr="00AA2FE0">
        <w:t>Le greenwashing a des répercussions qui dépassent largement les conséquences pour les consommateurs, l'entreprise et le marché.  Cela peut avoir une influence défavorable et contre-productive par rapport aux efforts déployés pour protéger l'environnement.</w:t>
      </w:r>
    </w:p>
    <w:p w14:paraId="47797E1C" w14:textId="77777777" w:rsidR="001A1F05" w:rsidRPr="00E94997" w:rsidRDefault="001A1F05" w:rsidP="00AA2FE0">
      <w:pPr>
        <w:pStyle w:val="Titre3"/>
      </w:pPr>
      <w:r w:rsidRPr="00E94997">
        <w:t>Diversion par rapport aux vraies avancées écologiques</w:t>
      </w:r>
      <w:bookmarkEnd w:id="45"/>
    </w:p>
    <w:p w14:paraId="1AE7C786" w14:textId="77777777" w:rsidR="00134180" w:rsidRDefault="00AC6AD1" w:rsidP="00134180">
      <w:bookmarkStart w:id="46" w:name="_Toc200825396"/>
      <w:r w:rsidRPr="00AC6AD1">
        <w:t>Le greenwashing fait diversion par rapport aux véritables stratégies et solutions respectueuses de l'environnement.  Les entreprises et les consommateurs pourraient être tentés d'investir dans des projets ou des produits qui ne sont pas véritablement durables, plutôt que de favoriser des options qui le sont réellement.  Ces efforts pourraient être mis à profit pour des progrès écologiques concrets, mais ils sont ici dilapidés dans des actions peu efficaces ou fallacieuses.</w:t>
      </w:r>
    </w:p>
    <w:p w14:paraId="48DE20DE" w14:textId="77777777" w:rsidR="001A1F05" w:rsidRPr="00E94997" w:rsidRDefault="001A1F05" w:rsidP="00AC6AD1">
      <w:pPr>
        <w:pStyle w:val="Titre3"/>
      </w:pPr>
      <w:r w:rsidRPr="00E94997">
        <w:t>Pollution de la planète</w:t>
      </w:r>
      <w:bookmarkEnd w:id="46"/>
    </w:p>
    <w:p w14:paraId="0C9FBF8A" w14:textId="77777777" w:rsidR="00134180" w:rsidRDefault="00134180" w:rsidP="001A1F05">
      <w:pPr>
        <w:rPr>
          <w:rFonts w:cstheme="majorBidi"/>
          <w:szCs w:val="24"/>
        </w:rPr>
      </w:pPr>
      <w:r w:rsidRPr="00134180">
        <w:rPr>
          <w:rFonts w:cstheme="majorBidi"/>
          <w:szCs w:val="24"/>
        </w:rPr>
        <w:t>Les produits ou méthodes encouragés par le greenwashing ne sont pas véritablement respectueux de l'environnement et peuvent, à l'inverse, provoquer des effets néfastes sur l'écosystème : forte empreinte carbone, production de déchets nuisibles, exploitation excessive de ressources naturelles, etc.  Ainsi, le greenwashing contribue à la pollution de notre planète.</w:t>
      </w:r>
    </w:p>
    <w:p w14:paraId="6783D145" w14:textId="77777777" w:rsidR="009A0135" w:rsidRDefault="009A0135" w:rsidP="00134180">
      <w:pPr>
        <w:rPr>
          <w:rFonts w:cstheme="majorBidi"/>
          <w:szCs w:val="24"/>
        </w:rPr>
        <w:sectPr w:rsidR="009A0135" w:rsidSect="0013470E">
          <w:headerReference w:type="default" r:id="rId23"/>
          <w:footerReference w:type="default" r:id="rId24"/>
          <w:type w:val="continuous"/>
          <w:pgSz w:w="11906" w:h="16838"/>
          <w:pgMar w:top="1417" w:right="1417" w:bottom="1417" w:left="1417" w:header="708" w:footer="708" w:gutter="0"/>
          <w:pgNumType w:start="9"/>
          <w:cols w:space="708"/>
          <w:docGrid w:linePitch="360"/>
        </w:sectPr>
      </w:pPr>
    </w:p>
    <w:p w14:paraId="4700307D" w14:textId="77777777" w:rsidR="009A0135" w:rsidRDefault="009A0135" w:rsidP="00F577B6">
      <w:pPr>
        <w:rPr>
          <w:rFonts w:cstheme="majorBidi"/>
          <w:b/>
          <w:bCs/>
          <w:sz w:val="32"/>
          <w:szCs w:val="32"/>
        </w:rPr>
      </w:pPr>
    </w:p>
    <w:p w14:paraId="6D50FEE1" w14:textId="77777777" w:rsidR="009A0135" w:rsidRDefault="009A0135" w:rsidP="00F577B6">
      <w:pPr>
        <w:rPr>
          <w:rFonts w:cstheme="majorBidi"/>
          <w:b/>
          <w:bCs/>
          <w:sz w:val="32"/>
          <w:szCs w:val="32"/>
        </w:rPr>
      </w:pPr>
    </w:p>
    <w:p w14:paraId="574EE4EA" w14:textId="77777777" w:rsidR="009A0135" w:rsidRDefault="009A0135" w:rsidP="00F577B6">
      <w:pPr>
        <w:rPr>
          <w:rFonts w:cstheme="majorBidi"/>
          <w:b/>
          <w:bCs/>
          <w:sz w:val="32"/>
          <w:szCs w:val="32"/>
        </w:rPr>
      </w:pPr>
    </w:p>
    <w:p w14:paraId="08B0C37F" w14:textId="77777777" w:rsidR="009A0135" w:rsidRDefault="009A0135" w:rsidP="00F577B6">
      <w:pPr>
        <w:rPr>
          <w:rFonts w:cstheme="majorBidi"/>
          <w:b/>
          <w:bCs/>
          <w:sz w:val="32"/>
          <w:szCs w:val="32"/>
        </w:rPr>
      </w:pPr>
    </w:p>
    <w:p w14:paraId="0048947D" w14:textId="77777777" w:rsidR="00496C8B" w:rsidRDefault="00496C8B" w:rsidP="00F577B6">
      <w:pPr>
        <w:rPr>
          <w:rFonts w:cstheme="majorBidi"/>
          <w:b/>
          <w:bCs/>
          <w:sz w:val="32"/>
          <w:szCs w:val="32"/>
        </w:rPr>
      </w:pPr>
    </w:p>
    <w:p w14:paraId="7B753F78" w14:textId="77777777" w:rsidR="00496C8B" w:rsidRDefault="00496C8B" w:rsidP="00F577B6">
      <w:pPr>
        <w:rPr>
          <w:rFonts w:cstheme="majorBidi"/>
          <w:b/>
          <w:bCs/>
          <w:sz w:val="32"/>
          <w:szCs w:val="32"/>
        </w:rPr>
      </w:pPr>
    </w:p>
    <w:p w14:paraId="5C10EA69" w14:textId="77777777" w:rsidR="00496C8B" w:rsidRDefault="00496C8B" w:rsidP="00F577B6">
      <w:pPr>
        <w:rPr>
          <w:rFonts w:cstheme="majorBidi"/>
          <w:b/>
          <w:bCs/>
          <w:sz w:val="32"/>
          <w:szCs w:val="32"/>
        </w:rPr>
      </w:pPr>
    </w:p>
    <w:p w14:paraId="0FFDA420" w14:textId="77777777" w:rsidR="00496C8B" w:rsidRDefault="00496C8B" w:rsidP="00F577B6">
      <w:pPr>
        <w:rPr>
          <w:rFonts w:cstheme="majorBidi"/>
          <w:b/>
          <w:bCs/>
          <w:sz w:val="32"/>
          <w:szCs w:val="32"/>
        </w:rPr>
      </w:pPr>
    </w:p>
    <w:p w14:paraId="108E1B45" w14:textId="77777777" w:rsidR="00496C8B" w:rsidRDefault="00496C8B" w:rsidP="00F577B6">
      <w:pPr>
        <w:rPr>
          <w:rFonts w:cstheme="majorBidi"/>
          <w:b/>
          <w:bCs/>
          <w:sz w:val="32"/>
          <w:szCs w:val="32"/>
        </w:rPr>
      </w:pPr>
    </w:p>
    <w:p w14:paraId="36B8F006" w14:textId="77777777" w:rsidR="00496C8B" w:rsidRDefault="00496C8B" w:rsidP="00F577B6">
      <w:pPr>
        <w:rPr>
          <w:rFonts w:cstheme="majorBidi"/>
          <w:b/>
          <w:bCs/>
          <w:sz w:val="32"/>
          <w:szCs w:val="32"/>
        </w:rPr>
      </w:pPr>
    </w:p>
    <w:p w14:paraId="6FDCD45E" w14:textId="77777777" w:rsidR="00496C8B" w:rsidRDefault="00496C8B" w:rsidP="00F577B6">
      <w:pPr>
        <w:pStyle w:val="Sansinterligne"/>
        <w:spacing w:line="360" w:lineRule="auto"/>
        <w:jc w:val="center"/>
        <w:rPr>
          <w:rFonts w:asciiTheme="majorBidi" w:hAnsiTheme="majorBidi" w:cstheme="majorBidi"/>
          <w:b/>
          <w:bCs/>
          <w:sz w:val="72"/>
          <w:szCs w:val="56"/>
        </w:rPr>
      </w:pPr>
    </w:p>
    <w:p w14:paraId="05CC1137" w14:textId="77777777" w:rsidR="009A0135" w:rsidRPr="0096386D" w:rsidRDefault="009A0135" w:rsidP="00F577B6">
      <w:pPr>
        <w:pStyle w:val="Sansinterligne"/>
        <w:spacing w:line="360" w:lineRule="auto"/>
        <w:jc w:val="center"/>
        <w:rPr>
          <w:rFonts w:asciiTheme="majorBidi" w:hAnsiTheme="majorBidi" w:cstheme="majorBidi"/>
          <w:b/>
          <w:bCs/>
          <w:sz w:val="72"/>
          <w:szCs w:val="56"/>
        </w:rPr>
      </w:pPr>
      <w:r w:rsidRPr="0096386D">
        <w:rPr>
          <w:rFonts w:asciiTheme="majorBidi" w:hAnsiTheme="majorBidi" w:cstheme="majorBidi"/>
          <w:b/>
          <w:bCs/>
          <w:sz w:val="72"/>
          <w:szCs w:val="56"/>
        </w:rPr>
        <w:t>Chapitre 02:</w:t>
      </w:r>
    </w:p>
    <w:p w14:paraId="00BD1039" w14:textId="77777777" w:rsidR="009A0135" w:rsidRPr="0096386D" w:rsidRDefault="009A0135" w:rsidP="00F577B6">
      <w:pPr>
        <w:pStyle w:val="Sansinterligne"/>
        <w:spacing w:line="360" w:lineRule="auto"/>
        <w:jc w:val="center"/>
        <w:rPr>
          <w:rFonts w:asciiTheme="majorBidi" w:hAnsiTheme="majorBidi" w:cstheme="majorBidi"/>
          <w:b/>
          <w:bCs/>
          <w:sz w:val="72"/>
          <w:szCs w:val="56"/>
        </w:rPr>
      </w:pPr>
      <w:r w:rsidRPr="0096386D">
        <w:rPr>
          <w:rFonts w:asciiTheme="majorBidi" w:hAnsiTheme="majorBidi" w:cstheme="majorBidi"/>
          <w:b/>
          <w:bCs/>
          <w:sz w:val="72"/>
          <w:szCs w:val="56"/>
        </w:rPr>
        <w:t xml:space="preserve">La perception des consommateurs </w:t>
      </w:r>
    </w:p>
    <w:p w14:paraId="702418BF" w14:textId="77777777" w:rsidR="009A0135" w:rsidRPr="00E340A8" w:rsidRDefault="009A0135" w:rsidP="00F577B6">
      <w:pPr>
        <w:pStyle w:val="Sansinterligne"/>
        <w:spacing w:line="360" w:lineRule="auto"/>
        <w:jc w:val="center"/>
        <w:rPr>
          <w:b/>
          <w:bCs/>
          <w:sz w:val="36"/>
          <w:szCs w:val="32"/>
        </w:rPr>
      </w:pPr>
      <w:r w:rsidRPr="0096386D">
        <w:rPr>
          <w:rFonts w:asciiTheme="majorBidi" w:hAnsiTheme="majorBidi" w:cstheme="majorBidi"/>
          <w:b/>
          <w:bCs/>
          <w:sz w:val="72"/>
          <w:szCs w:val="56"/>
        </w:rPr>
        <w:t xml:space="preserve">et son </w:t>
      </w:r>
      <w:proofErr w:type="spellStart"/>
      <w:r w:rsidRPr="0096386D">
        <w:rPr>
          <w:rFonts w:asciiTheme="majorBidi" w:hAnsiTheme="majorBidi" w:cstheme="majorBidi"/>
          <w:b/>
          <w:bCs/>
          <w:sz w:val="72"/>
          <w:szCs w:val="56"/>
        </w:rPr>
        <w:t>Influance</w:t>
      </w:r>
      <w:proofErr w:type="spellEnd"/>
      <w:r w:rsidRPr="0096386D">
        <w:rPr>
          <w:rFonts w:asciiTheme="majorBidi" w:hAnsiTheme="majorBidi" w:cstheme="majorBidi"/>
          <w:b/>
          <w:bCs/>
          <w:sz w:val="72"/>
          <w:szCs w:val="56"/>
        </w:rPr>
        <w:t xml:space="preserve"> Sur l'image de la marque</w:t>
      </w:r>
      <w:r w:rsidRPr="00E340A8">
        <w:rPr>
          <w:b/>
          <w:bCs/>
          <w:sz w:val="36"/>
          <w:szCs w:val="32"/>
        </w:rPr>
        <w:t>.</w:t>
      </w:r>
    </w:p>
    <w:p w14:paraId="33D64083" w14:textId="77777777" w:rsidR="009A0135" w:rsidRDefault="009A0135" w:rsidP="00F577B6">
      <w:pPr>
        <w:rPr>
          <w:rFonts w:cstheme="majorBidi"/>
          <w:b/>
          <w:bCs/>
          <w:sz w:val="32"/>
          <w:szCs w:val="32"/>
        </w:rPr>
      </w:pPr>
    </w:p>
    <w:p w14:paraId="3D75C0F9" w14:textId="77777777" w:rsidR="009A0135" w:rsidRDefault="009A0135" w:rsidP="00F577B6">
      <w:pPr>
        <w:rPr>
          <w:rFonts w:cstheme="majorBidi"/>
          <w:b/>
          <w:bCs/>
          <w:sz w:val="32"/>
          <w:szCs w:val="32"/>
        </w:rPr>
      </w:pPr>
    </w:p>
    <w:p w14:paraId="6978F30F" w14:textId="77777777" w:rsidR="009A0135" w:rsidRDefault="009A0135" w:rsidP="00F577B6">
      <w:pPr>
        <w:rPr>
          <w:rFonts w:cstheme="majorBidi"/>
          <w:b/>
          <w:bCs/>
          <w:sz w:val="32"/>
          <w:szCs w:val="32"/>
        </w:rPr>
      </w:pPr>
    </w:p>
    <w:p w14:paraId="60118826" w14:textId="77777777" w:rsidR="00496C8B" w:rsidRDefault="00496C8B" w:rsidP="00F577B6">
      <w:pPr>
        <w:ind w:firstLine="0"/>
        <w:rPr>
          <w:rFonts w:cstheme="majorBidi"/>
          <w:b/>
          <w:bCs/>
          <w:sz w:val="32"/>
          <w:szCs w:val="32"/>
        </w:rPr>
      </w:pPr>
    </w:p>
    <w:p w14:paraId="1BA103C1" w14:textId="77777777" w:rsidR="00496C8B" w:rsidRDefault="00496C8B" w:rsidP="00F577B6">
      <w:pPr>
        <w:ind w:firstLine="0"/>
        <w:rPr>
          <w:rFonts w:cstheme="majorBidi"/>
          <w:b/>
          <w:bCs/>
          <w:sz w:val="32"/>
          <w:szCs w:val="32"/>
        </w:rPr>
        <w:sectPr w:rsidR="00496C8B" w:rsidSect="00ED7F32">
          <w:headerReference w:type="default" r:id="rId25"/>
          <w:footerReference w:type="default" r:id="rId26"/>
          <w:type w:val="continuous"/>
          <w:pgSz w:w="11906" w:h="16838"/>
          <w:pgMar w:top="1417" w:right="1417" w:bottom="1417" w:left="1417" w:header="708" w:footer="708" w:gutter="0"/>
          <w:cols w:space="708"/>
          <w:docGrid w:linePitch="360"/>
        </w:sectPr>
      </w:pPr>
    </w:p>
    <w:p w14:paraId="0B19D6D0" w14:textId="77777777" w:rsidR="00B90A7C" w:rsidRDefault="00B90A7C" w:rsidP="001E728D">
      <w:pPr>
        <w:pStyle w:val="Citation"/>
      </w:pPr>
      <w:bookmarkStart w:id="47" w:name="_Toc200731480"/>
      <w:bookmarkStart w:id="48" w:name="_Toc200825397"/>
      <w:r>
        <w:lastRenderedPageBreak/>
        <w:t xml:space="preserve">Chapitre 02: </w:t>
      </w:r>
      <w:r w:rsidRPr="00B90A7C">
        <w:t xml:space="preserve">La perception des consommateurs et son </w:t>
      </w:r>
      <w:proofErr w:type="spellStart"/>
      <w:r w:rsidRPr="00B90A7C">
        <w:t>Influance</w:t>
      </w:r>
      <w:proofErr w:type="spellEnd"/>
      <w:r w:rsidRPr="00B90A7C">
        <w:t xml:space="preserve"> Sur l'image de la marque.</w:t>
      </w:r>
      <w:bookmarkEnd w:id="47"/>
      <w:bookmarkEnd w:id="48"/>
    </w:p>
    <w:p w14:paraId="795298EA" w14:textId="77777777" w:rsidR="001E728D" w:rsidRDefault="001E728D" w:rsidP="001E728D">
      <w:pPr>
        <w:pStyle w:val="Citationintense"/>
        <w:framePr w:wrap="auto" w:vAnchor="margin" w:yAlign="inline"/>
        <w:ind w:left="0" w:firstLine="0"/>
      </w:pPr>
      <w:bookmarkStart w:id="49" w:name="_Toc200825398"/>
      <w:r>
        <w:t>Introduction</w:t>
      </w:r>
      <w:bookmarkEnd w:id="49"/>
      <w:r>
        <w:t xml:space="preserve"> </w:t>
      </w:r>
    </w:p>
    <w:p w14:paraId="70C1416A" w14:textId="77777777" w:rsidR="001E728D" w:rsidRPr="001E728D" w:rsidRDefault="001E728D" w:rsidP="001E728D">
      <w:pPr>
        <w:spacing w:before="100" w:beforeAutospacing="1" w:after="100" w:afterAutospacing="1"/>
        <w:rPr>
          <w:rFonts w:eastAsia="Times New Roman" w:cstheme="majorBidi"/>
          <w:color w:val="222222"/>
          <w:lang w:eastAsia="fr-FR"/>
        </w:rPr>
      </w:pPr>
      <w:r w:rsidRPr="001E728D">
        <w:rPr>
          <w:rFonts w:eastAsia="Times New Roman" w:cstheme="majorBidi"/>
          <w:color w:val="222222"/>
          <w:lang w:eastAsia="fr-FR"/>
        </w:rPr>
        <w:t>La manière dont une marque est perçue joue un rôle déterminant dans sa valorisation, sa différenciation et sa position sur le marché. En effet, l’image de marque ne se limite pas à une identité visuelle ou à un slogan, mais repose sur un ensemble de </w:t>
      </w:r>
      <w:r w:rsidRPr="001E728D">
        <w:rPr>
          <w:rFonts w:eastAsia="Times New Roman" w:cstheme="majorBidi"/>
          <w:b/>
          <w:bCs/>
          <w:color w:val="222222"/>
          <w:lang w:eastAsia="fr-FR"/>
        </w:rPr>
        <w:t>représentations mentales, affectives et symboliques</w:t>
      </w:r>
      <w:r w:rsidRPr="001E728D">
        <w:rPr>
          <w:rFonts w:eastAsia="Times New Roman" w:cstheme="majorBidi"/>
          <w:color w:val="222222"/>
          <w:lang w:eastAsia="fr-FR"/>
        </w:rPr>
        <w:t> construites à travers les expériences, les informations reçues, et les signaux émis par l’entreprise.</w:t>
      </w:r>
    </w:p>
    <w:p w14:paraId="40F77BD0" w14:textId="77777777" w:rsidR="001E728D" w:rsidRPr="001E728D" w:rsidRDefault="001E728D" w:rsidP="001E728D">
      <w:pPr>
        <w:spacing w:before="100" w:beforeAutospacing="1" w:after="100" w:afterAutospacing="1"/>
        <w:rPr>
          <w:rFonts w:eastAsia="Times New Roman" w:cstheme="majorBidi"/>
          <w:color w:val="222222"/>
          <w:lang w:eastAsia="fr-FR"/>
        </w:rPr>
      </w:pPr>
      <w:r w:rsidRPr="001E728D">
        <w:rPr>
          <w:rFonts w:eastAsia="Times New Roman" w:cstheme="majorBidi"/>
          <w:color w:val="222222"/>
          <w:lang w:eastAsia="fr-FR"/>
        </w:rPr>
        <w:t>Dans ce contexte, la </w:t>
      </w:r>
      <w:r w:rsidRPr="001E728D">
        <w:rPr>
          <w:rFonts w:eastAsia="Times New Roman" w:cstheme="majorBidi"/>
          <w:b/>
          <w:bCs/>
          <w:color w:val="222222"/>
          <w:lang w:eastAsia="fr-FR"/>
        </w:rPr>
        <w:t>perception</w:t>
      </w:r>
      <w:r w:rsidRPr="001E728D">
        <w:rPr>
          <w:rFonts w:eastAsia="Times New Roman" w:cstheme="majorBidi"/>
          <w:color w:val="222222"/>
          <w:lang w:eastAsia="fr-FR"/>
        </w:rPr>
        <w:t> devient un axe central de l’analyse. Elle permet de comprendre comment les parties prenantes interprètent les messages diffusés par l’entreprise, notamment en matière d’engagements environnementaux. Lorsqu’une entreprise communique sur ses actions durables, la perception de la sincérité de ce message influence directement la qualité de l’image qui lui est associée.</w:t>
      </w:r>
    </w:p>
    <w:p w14:paraId="7155C196" w14:textId="77777777" w:rsidR="001E728D" w:rsidRPr="001E728D" w:rsidRDefault="001E728D" w:rsidP="001E728D">
      <w:pPr>
        <w:spacing w:before="100" w:beforeAutospacing="1" w:after="100" w:afterAutospacing="1"/>
        <w:rPr>
          <w:rFonts w:eastAsia="Times New Roman" w:cstheme="majorBidi"/>
          <w:color w:val="222222"/>
          <w:lang w:eastAsia="fr-FR"/>
        </w:rPr>
      </w:pPr>
      <w:r w:rsidRPr="001E728D">
        <w:rPr>
          <w:rFonts w:eastAsia="Times New Roman" w:cstheme="majorBidi"/>
          <w:color w:val="222222"/>
          <w:lang w:eastAsia="fr-FR"/>
        </w:rPr>
        <w:t>Ainsi, ce chapitre s’intéresse aux </w:t>
      </w:r>
      <w:r w:rsidRPr="001E728D">
        <w:rPr>
          <w:rFonts w:eastAsia="Times New Roman" w:cstheme="majorBidi"/>
          <w:b/>
          <w:bCs/>
          <w:color w:val="222222"/>
          <w:lang w:eastAsia="fr-FR"/>
        </w:rPr>
        <w:t>mécanismes de la perception</w:t>
      </w:r>
      <w:r w:rsidRPr="001E728D">
        <w:rPr>
          <w:rFonts w:eastAsia="Times New Roman" w:cstheme="majorBidi"/>
          <w:color w:val="222222"/>
          <w:lang w:eastAsia="fr-FR"/>
        </w:rPr>
        <w:t>, aux </w:t>
      </w:r>
      <w:r w:rsidRPr="001E728D">
        <w:rPr>
          <w:rFonts w:eastAsia="Times New Roman" w:cstheme="majorBidi"/>
          <w:b/>
          <w:bCs/>
          <w:color w:val="222222"/>
          <w:lang w:eastAsia="fr-FR"/>
        </w:rPr>
        <w:t>facteurs qui l’influencent</w:t>
      </w:r>
      <w:r w:rsidRPr="001E728D">
        <w:rPr>
          <w:rFonts w:eastAsia="Times New Roman" w:cstheme="majorBidi"/>
          <w:color w:val="222222"/>
          <w:lang w:eastAsia="fr-FR"/>
        </w:rPr>
        <w:t>, ainsi qu’aux </w:t>
      </w:r>
      <w:r w:rsidRPr="001E728D">
        <w:rPr>
          <w:rFonts w:eastAsia="Times New Roman" w:cstheme="majorBidi"/>
          <w:b/>
          <w:bCs/>
          <w:color w:val="222222"/>
          <w:lang w:eastAsia="fr-FR"/>
        </w:rPr>
        <w:t>éléments constitutifs de l’image de marque</w:t>
      </w:r>
      <w:r w:rsidRPr="001E728D">
        <w:rPr>
          <w:rFonts w:eastAsia="Times New Roman" w:cstheme="majorBidi"/>
          <w:color w:val="222222"/>
          <w:lang w:eastAsia="fr-FR"/>
        </w:rPr>
        <w:t>. Une attention particulière est portée à l’impact que peut avoir la perception du Greenwashing sur cette image, à travers des dimensions telles que la confiance, la crédibilité ou encore le risque environnemental perçu.</w:t>
      </w:r>
    </w:p>
    <w:p w14:paraId="01F08E55" w14:textId="77777777" w:rsidR="001E728D" w:rsidRPr="001E728D" w:rsidRDefault="001E728D" w:rsidP="001E728D">
      <w:pPr>
        <w:spacing w:before="100" w:beforeAutospacing="1" w:after="100" w:afterAutospacing="1"/>
        <w:rPr>
          <w:rFonts w:eastAsia="Times New Roman" w:cstheme="majorBidi"/>
          <w:color w:val="222222"/>
          <w:lang w:eastAsia="fr-FR"/>
        </w:rPr>
      </w:pPr>
      <w:r w:rsidRPr="001E728D">
        <w:rPr>
          <w:rFonts w:eastAsia="Times New Roman" w:cstheme="majorBidi"/>
          <w:color w:val="222222"/>
          <w:lang w:eastAsia="fr-FR"/>
        </w:rPr>
        <w:t>Ce cadre théorique est essentiel pour comprendre comment les actions — ou l’absence d’actions — en matière de durabilité influencent la construction de la réputation et de la notoriété d’une entreprise comme GICA.</w:t>
      </w:r>
    </w:p>
    <w:p w14:paraId="049109A8" w14:textId="77777777" w:rsidR="009A0135" w:rsidRDefault="009A0135" w:rsidP="006F6589">
      <w:pPr>
        <w:pStyle w:val="Titre1"/>
        <w:numPr>
          <w:ilvl w:val="0"/>
          <w:numId w:val="6"/>
        </w:numPr>
      </w:pPr>
      <w:bookmarkStart w:id="50" w:name="_Toc200825399"/>
      <w:r w:rsidRPr="00D40666">
        <w:t>Concepts de base sur la perception.</w:t>
      </w:r>
      <w:bookmarkEnd w:id="50"/>
    </w:p>
    <w:p w14:paraId="4B2C1D0B" w14:textId="77777777" w:rsidR="009A0135" w:rsidRPr="003767C5" w:rsidRDefault="009A0135" w:rsidP="006F6589">
      <w:pPr>
        <w:pStyle w:val="Titre2"/>
        <w:numPr>
          <w:ilvl w:val="1"/>
          <w:numId w:val="6"/>
        </w:numPr>
      </w:pPr>
      <w:bookmarkStart w:id="51" w:name="_Toc200825400"/>
      <w:r w:rsidRPr="00D40666">
        <w:t>La perception.</w:t>
      </w:r>
      <w:bookmarkEnd w:id="51"/>
    </w:p>
    <w:p w14:paraId="76630381" w14:textId="77777777" w:rsidR="009A0135" w:rsidRPr="00336B30" w:rsidRDefault="00455719" w:rsidP="00455719">
      <w:pPr>
        <w:rPr>
          <w:rFonts w:cstheme="majorBidi"/>
          <w:szCs w:val="24"/>
        </w:rPr>
      </w:pPr>
      <w:r w:rsidRPr="00455719">
        <w:rPr>
          <w:rFonts w:cstheme="majorBidi"/>
          <w:szCs w:val="24"/>
        </w:rPr>
        <w:t>Pour des raisons historiques et culturelles, on a généralement tendance à réduire la perception à la perception visuelle.</w:t>
      </w:r>
      <w:r w:rsidRPr="00455719">
        <w:rPr>
          <w:rStyle w:val="Appelnotedebasdep"/>
          <w:rFonts w:cstheme="majorBidi"/>
          <w:szCs w:val="24"/>
          <w:vertAlign w:val="baseline"/>
        </w:rPr>
        <w:t xml:space="preserve"> </w:t>
      </w:r>
      <w:r>
        <w:rPr>
          <w:rFonts w:cstheme="majorBidi"/>
          <w:szCs w:val="24"/>
        </w:rPr>
        <w:t xml:space="preserve"> </w:t>
      </w:r>
      <w:r w:rsidR="009A0135">
        <w:rPr>
          <w:rStyle w:val="Appelnotedebasdep"/>
          <w:rFonts w:cstheme="majorBidi"/>
          <w:szCs w:val="24"/>
        </w:rPr>
        <w:footnoteReference w:id="33"/>
      </w:r>
      <w:r w:rsidR="009A0135" w:rsidRPr="00336B30">
        <w:rPr>
          <w:rFonts w:cstheme="majorBidi"/>
          <w:szCs w:val="24"/>
        </w:rPr>
        <w:t xml:space="preserve">; </w:t>
      </w:r>
      <w:r w:rsidRPr="00455719">
        <w:rPr>
          <w:rFonts w:cstheme="majorBidi"/>
          <w:szCs w:val="24"/>
        </w:rPr>
        <w:t xml:space="preserve">également, car la perception sensorielle est un domaine large et complexe, qui dépasse largement la simple perception visuelle. Il implique l'intégration </w:t>
      </w:r>
      <w:r w:rsidRPr="00455719">
        <w:rPr>
          <w:rFonts w:cstheme="majorBidi"/>
          <w:szCs w:val="24"/>
        </w:rPr>
        <w:lastRenderedPageBreak/>
        <w:t>d'autres sens pour une compréhension plus précise d'un espace et une amélioration de la mémoire sensorielle.</w:t>
      </w:r>
      <w:r w:rsidRPr="00455719">
        <w:rPr>
          <w:rStyle w:val="Appelnotedebasdep"/>
          <w:rFonts w:cstheme="majorBidi"/>
          <w:szCs w:val="24"/>
          <w:vertAlign w:val="baseline"/>
        </w:rPr>
        <w:t xml:space="preserve"> </w:t>
      </w:r>
      <w:r w:rsidR="009A0135">
        <w:rPr>
          <w:rStyle w:val="Appelnotedebasdep"/>
          <w:rFonts w:cstheme="majorBidi"/>
          <w:szCs w:val="24"/>
        </w:rPr>
        <w:footnoteReference w:id="34"/>
      </w:r>
      <w:r w:rsidR="009A0135" w:rsidRPr="00336B30">
        <w:rPr>
          <w:rFonts w:cstheme="majorBidi"/>
          <w:szCs w:val="24"/>
        </w:rPr>
        <w:t>.</w:t>
      </w:r>
    </w:p>
    <w:p w14:paraId="4F8A5895" w14:textId="77777777" w:rsidR="009A0135" w:rsidRDefault="00900376" w:rsidP="00F577B6">
      <w:pPr>
        <w:rPr>
          <w:rFonts w:cstheme="majorBidi"/>
          <w:szCs w:val="24"/>
        </w:rPr>
      </w:pPr>
      <w:r w:rsidRPr="00900376">
        <w:rPr>
          <w:rFonts w:cstheme="majorBidi"/>
          <w:szCs w:val="24"/>
        </w:rPr>
        <w:t>La perception désigne tous les mécanismes et processus grâce auxquels un être vivant appréhende le monde qui l'entoure, s'appuyant sur les données traitée</w:t>
      </w:r>
      <w:r>
        <w:rPr>
          <w:rFonts w:cstheme="majorBidi"/>
          <w:szCs w:val="24"/>
        </w:rPr>
        <w:t>s par ses sens</w:t>
      </w:r>
      <w:r w:rsidR="009A0135" w:rsidRPr="00336B30">
        <w:rPr>
          <w:rFonts w:cstheme="majorBidi"/>
          <w:szCs w:val="24"/>
        </w:rPr>
        <w:t>.</w:t>
      </w:r>
      <w:r w:rsidR="009A0135">
        <w:rPr>
          <w:rStyle w:val="Appelnotedebasdep"/>
          <w:rFonts w:cstheme="majorBidi"/>
          <w:szCs w:val="24"/>
        </w:rPr>
        <w:footnoteReference w:id="35"/>
      </w:r>
      <w:r w:rsidR="009A0135">
        <w:rPr>
          <w:rFonts w:cstheme="majorBidi"/>
          <w:szCs w:val="24"/>
        </w:rPr>
        <w:t xml:space="preserve"> </w:t>
      </w:r>
    </w:p>
    <w:p w14:paraId="09753B8D" w14:textId="77777777" w:rsidR="00376000" w:rsidRDefault="00376000" w:rsidP="00F577B6">
      <w:pPr>
        <w:rPr>
          <w:rFonts w:cstheme="majorBidi"/>
          <w:szCs w:val="24"/>
        </w:rPr>
      </w:pPr>
      <w:r w:rsidRPr="00376000">
        <w:rPr>
          <w:rFonts w:cstheme="majorBidi"/>
          <w:szCs w:val="24"/>
        </w:rPr>
        <w:t xml:space="preserve">La perception peut également être définie comme le processus psychologique complexe par lequel l'esprit structure les informations sensorielles pour se créer une représentation des objets extérieurs et appréhender la réalité. </w:t>
      </w:r>
    </w:p>
    <w:p w14:paraId="717A4784" w14:textId="77777777" w:rsidR="009A0135" w:rsidRDefault="00376000" w:rsidP="00F577B6">
      <w:pPr>
        <w:rPr>
          <w:rFonts w:cstheme="majorBidi"/>
          <w:szCs w:val="24"/>
        </w:rPr>
      </w:pPr>
      <w:r w:rsidRPr="00376000">
        <w:rPr>
          <w:rFonts w:cstheme="majorBidi"/>
          <w:szCs w:val="24"/>
        </w:rPr>
        <w:t>Le cerveau ne peut pas constamment traiter toutes les données qui lui sont fournies dans leur intégralité, car cela serait trop chronophage, malgré la vitesse de transmission entre les neurones. C'est pourquoi on définit souvent la perception comme le mécanisme par lequel les individus organisent et interprètent leurs perceptions sensorielles pour comprendre leur environnement.</w:t>
      </w:r>
      <w:r w:rsidRPr="00376000">
        <w:rPr>
          <w:rStyle w:val="Appelnotedebasdep"/>
          <w:rFonts w:cstheme="majorBidi"/>
          <w:szCs w:val="24"/>
          <w:vertAlign w:val="baseline"/>
        </w:rPr>
        <w:t xml:space="preserve"> </w:t>
      </w:r>
      <w:r w:rsidR="009A0135">
        <w:rPr>
          <w:rStyle w:val="Appelnotedebasdep"/>
          <w:rFonts w:cstheme="majorBidi"/>
          <w:szCs w:val="24"/>
        </w:rPr>
        <w:footnoteReference w:id="36"/>
      </w:r>
      <w:r w:rsidR="009A0135" w:rsidRPr="00336B30">
        <w:rPr>
          <w:rFonts w:cstheme="majorBidi"/>
          <w:szCs w:val="24"/>
        </w:rPr>
        <w:t xml:space="preserve">. </w:t>
      </w:r>
    </w:p>
    <w:p w14:paraId="7B16951A" w14:textId="77777777" w:rsidR="00CE7C8A" w:rsidRDefault="00CE7C8A" w:rsidP="00CE7C8A">
      <w:bookmarkStart w:id="52" w:name="_Toc200825401"/>
      <w:r w:rsidRPr="00CE7C8A">
        <w:t>Ces définitions attribuent à la perception une dimension consciente, puisqu'elles engagent l'intentionnalité du sujet, mobilisant des processus d'organisation et des constructions perceptives actives.  Il ne s'agit donc pas d'une réponse uniquement dictée par la stimulation.</w:t>
      </w:r>
    </w:p>
    <w:p w14:paraId="2C62F3EB" w14:textId="77777777" w:rsidR="009A0135" w:rsidRPr="00336B30" w:rsidRDefault="009A0135" w:rsidP="00CE7C8A">
      <w:pPr>
        <w:pStyle w:val="Titre2"/>
        <w:numPr>
          <w:ilvl w:val="1"/>
          <w:numId w:val="6"/>
        </w:numPr>
      </w:pPr>
      <w:r w:rsidRPr="00336B30">
        <w:t>Classification des perceptions:</w:t>
      </w:r>
      <w:bookmarkEnd w:id="52"/>
    </w:p>
    <w:p w14:paraId="6B344061" w14:textId="77777777" w:rsidR="00455719" w:rsidRDefault="00455719" w:rsidP="00455719">
      <w:bookmarkStart w:id="53" w:name="_Toc200825402"/>
      <w:r w:rsidRPr="00455719">
        <w:t>Il est possible d'identifier deux catégories de perception :</w:t>
      </w:r>
    </w:p>
    <w:p w14:paraId="4E96CA6A" w14:textId="77777777" w:rsidR="009A0135" w:rsidRPr="00336B30" w:rsidRDefault="009A0135" w:rsidP="00455719">
      <w:pPr>
        <w:pStyle w:val="Titre3"/>
        <w:numPr>
          <w:ilvl w:val="2"/>
          <w:numId w:val="6"/>
        </w:numPr>
      </w:pPr>
      <w:r w:rsidRPr="00336B30">
        <w:t>La perception du temps:</w:t>
      </w:r>
      <w:bookmarkEnd w:id="53"/>
    </w:p>
    <w:p w14:paraId="09E0240C" w14:textId="77777777" w:rsidR="009A0135" w:rsidRPr="00336B30" w:rsidRDefault="00455719" w:rsidP="00F577B6">
      <w:pPr>
        <w:rPr>
          <w:rFonts w:cstheme="majorBidi"/>
          <w:szCs w:val="24"/>
        </w:rPr>
      </w:pPr>
      <w:r w:rsidRPr="00455719">
        <w:rPr>
          <w:rFonts w:cstheme="majorBidi"/>
          <w:szCs w:val="24"/>
        </w:rPr>
        <w:t>Il ne semble pas que cette perception découle d'un système sensoriel particulier.  Elle ne fait pas partie de notre domaine d'étude, mais il est néanmoins nécessaire de la mentionner.</w:t>
      </w:r>
      <w:r w:rsidR="009A0135" w:rsidRPr="00336B30">
        <w:rPr>
          <w:rFonts w:cstheme="majorBidi"/>
          <w:szCs w:val="24"/>
        </w:rPr>
        <w:t xml:space="preserve">. </w:t>
      </w:r>
      <w:r w:rsidR="009A0135">
        <w:rPr>
          <w:rStyle w:val="Appelnotedebasdep"/>
          <w:rFonts w:cstheme="majorBidi"/>
          <w:szCs w:val="24"/>
        </w:rPr>
        <w:footnoteReference w:id="37"/>
      </w:r>
    </w:p>
    <w:p w14:paraId="76D3842C" w14:textId="77777777" w:rsidR="009A0135" w:rsidRPr="00336B30" w:rsidRDefault="009A0135" w:rsidP="006F6589">
      <w:pPr>
        <w:pStyle w:val="Titre3"/>
        <w:numPr>
          <w:ilvl w:val="2"/>
          <w:numId w:val="6"/>
        </w:numPr>
      </w:pPr>
      <w:bookmarkStart w:id="54" w:name="_Toc200825403"/>
      <w:r w:rsidRPr="00336B30">
        <w:t>La perception de l'espace:</w:t>
      </w:r>
      <w:bookmarkEnd w:id="54"/>
    </w:p>
    <w:p w14:paraId="2B828572" w14:textId="77777777" w:rsidR="004B4BE3" w:rsidRDefault="004B4BE3" w:rsidP="004B4BE3">
      <w:bookmarkStart w:id="55" w:name="_Toc200825404"/>
      <w:r w:rsidRPr="004B4BE3">
        <w:t>Nous étudions la perception de l'espace, car elle englobe des données provenant de multiples systèmes (vision, audition, etc.).</w:t>
      </w:r>
    </w:p>
    <w:p w14:paraId="49462AD3" w14:textId="77777777" w:rsidR="009A0135" w:rsidRPr="00336B30" w:rsidRDefault="009A0135" w:rsidP="004B4BE3">
      <w:pPr>
        <w:pStyle w:val="Titre2"/>
        <w:numPr>
          <w:ilvl w:val="1"/>
          <w:numId w:val="6"/>
        </w:numPr>
      </w:pPr>
      <w:r w:rsidRPr="00336B30">
        <w:lastRenderedPageBreak/>
        <w:t>Facteurs qui influencent la perception :</w:t>
      </w:r>
      <w:bookmarkEnd w:id="55"/>
    </w:p>
    <w:p w14:paraId="23E5B446" w14:textId="77777777" w:rsidR="004B4BE3" w:rsidRDefault="004B4BE3" w:rsidP="004B4BE3">
      <w:pPr>
        <w:rPr>
          <w:rFonts w:cstheme="majorBidi"/>
          <w:szCs w:val="24"/>
        </w:rPr>
      </w:pPr>
      <w:r w:rsidRPr="004B4BE3">
        <w:rPr>
          <w:rFonts w:cstheme="majorBidi"/>
          <w:szCs w:val="24"/>
        </w:rPr>
        <w:t>La perception n'est pas objective, et l'œil n'est pas impartial ; derrière une simple observation se dissimulent des expériences</w:t>
      </w:r>
      <w:r>
        <w:rPr>
          <w:rFonts w:cstheme="majorBidi"/>
          <w:szCs w:val="24"/>
        </w:rPr>
        <w:t xml:space="preserve">, des savoirs et des espérances </w:t>
      </w:r>
      <w:r w:rsidR="009A0135">
        <w:rPr>
          <w:rStyle w:val="Appelnotedebasdep"/>
          <w:rFonts w:cstheme="majorBidi"/>
          <w:szCs w:val="24"/>
        </w:rPr>
        <w:footnoteReference w:id="38"/>
      </w:r>
      <w:r w:rsidR="009A0135" w:rsidRPr="00336B30">
        <w:rPr>
          <w:rFonts w:cstheme="majorBidi"/>
          <w:szCs w:val="24"/>
        </w:rPr>
        <w:t xml:space="preserve">. </w:t>
      </w:r>
      <w:r w:rsidRPr="004B4BE3">
        <w:rPr>
          <w:rFonts w:cstheme="majorBidi"/>
          <w:szCs w:val="24"/>
        </w:rPr>
        <w:t>On peut donc affirmer que la perception découle d'une interprétation des informations.  Elle implique la combinaison de diverses sensations sur lesquelles l'individu fa</w:t>
      </w:r>
      <w:r>
        <w:rPr>
          <w:rFonts w:cstheme="majorBidi"/>
          <w:szCs w:val="24"/>
        </w:rPr>
        <w:t>it un choix, prend une décision</w:t>
      </w:r>
      <w:r w:rsidR="009A0135">
        <w:rPr>
          <w:rStyle w:val="Appelnotedebasdep"/>
          <w:rFonts w:cstheme="majorBidi"/>
          <w:szCs w:val="24"/>
        </w:rPr>
        <w:footnoteReference w:id="39"/>
      </w:r>
      <w:r w:rsidR="009A0135">
        <w:rPr>
          <w:rFonts w:cstheme="majorBidi"/>
          <w:szCs w:val="24"/>
        </w:rPr>
        <w:t xml:space="preserve"> </w:t>
      </w:r>
      <w:r w:rsidR="009A0135" w:rsidRPr="00336B30">
        <w:rPr>
          <w:rFonts w:cstheme="majorBidi"/>
          <w:szCs w:val="24"/>
        </w:rPr>
        <w:t xml:space="preserve">, </w:t>
      </w:r>
      <w:r w:rsidRPr="004B4BE3">
        <w:rPr>
          <w:rFonts w:cstheme="majorBidi"/>
          <w:szCs w:val="24"/>
        </w:rPr>
        <w:t>et cela en tenant compte des éléments qui influencent grandement cette interprétation et cette perception.</w:t>
      </w:r>
    </w:p>
    <w:p w14:paraId="3E41B02E" w14:textId="77777777" w:rsidR="009A0135" w:rsidRPr="00BF6EE4" w:rsidRDefault="004B4BE3" w:rsidP="004B4BE3">
      <w:pPr>
        <w:rPr>
          <w:rFonts w:cstheme="majorBidi"/>
          <w:szCs w:val="24"/>
        </w:rPr>
      </w:pPr>
      <w:r w:rsidRPr="004B4BE3">
        <w:rPr>
          <w:rFonts w:cstheme="majorBidi"/>
          <w:szCs w:val="24"/>
        </w:rPr>
        <w:t xml:space="preserve">Les éléments suivants sont pris en compte : les attitudes, la personnalité, les motivations cognitives et émotionnelles, les intérêts, les expériences passées, les connaissances préexistantes, les anticipations ou attentes, ainsi que les coûts et avantages potentiels associés à </w:t>
      </w:r>
      <w:r>
        <w:rPr>
          <w:rFonts w:cstheme="majorBidi"/>
          <w:szCs w:val="24"/>
        </w:rPr>
        <w:t xml:space="preserve">sa prise de décision perceptive </w:t>
      </w:r>
      <w:r w:rsidR="009A0135">
        <w:rPr>
          <w:rStyle w:val="Appelnotedebasdep"/>
          <w:rFonts w:cstheme="majorBidi"/>
          <w:szCs w:val="24"/>
        </w:rPr>
        <w:footnoteReference w:id="40"/>
      </w:r>
      <w:r w:rsidR="009A0135" w:rsidRPr="00336B30">
        <w:rPr>
          <w:rFonts w:cstheme="majorBidi"/>
          <w:szCs w:val="24"/>
        </w:rPr>
        <w:t>.</w:t>
      </w:r>
    </w:p>
    <w:p w14:paraId="7910AAE0" w14:textId="77777777" w:rsidR="009A0135" w:rsidRPr="00BF6EE4" w:rsidRDefault="009A0135" w:rsidP="006F6589">
      <w:pPr>
        <w:pStyle w:val="Titre2"/>
        <w:numPr>
          <w:ilvl w:val="1"/>
          <w:numId w:val="6"/>
        </w:numPr>
      </w:pPr>
      <w:bookmarkStart w:id="56" w:name="_Toc200825405"/>
      <w:r w:rsidRPr="00BF6EE4">
        <w:t>Les deux modes perceptifs:</w:t>
      </w:r>
      <w:bookmarkEnd w:id="56"/>
    </w:p>
    <w:p w14:paraId="0F784F3C" w14:textId="77777777" w:rsidR="00515C9A" w:rsidRPr="00515C9A" w:rsidRDefault="0021135E" w:rsidP="00515C9A">
      <w:pPr>
        <w:rPr>
          <w:rFonts w:eastAsiaTheme="majorEastAsia"/>
          <w:b/>
          <w:color w:val="000000" w:themeColor="text1"/>
        </w:rPr>
      </w:pPr>
      <w:bookmarkStart w:id="57" w:name="_Toc200825406"/>
      <w:r w:rsidRPr="0021135E">
        <w:t>Les recherches récentes sur la perception ont mis en lumière deux modalités perceptives distinctes.  Ces deux modes ont la</w:t>
      </w:r>
      <w:r w:rsidR="00515C9A">
        <w:rPr>
          <w:rFonts w:eastAsiaTheme="majorEastAsia"/>
          <w:b/>
          <w:color w:val="000000" w:themeColor="text1"/>
        </w:rPr>
        <w:t xml:space="preserve"> </w:t>
      </w:r>
      <w:r w:rsidRPr="0021135E">
        <w:t>capacité de fonctionner de manière indépendante et simultanée</w:t>
      </w:r>
    </w:p>
    <w:p w14:paraId="15846E04" w14:textId="77777777" w:rsidR="009A0135" w:rsidRPr="00BF6EE4" w:rsidRDefault="0021135E" w:rsidP="00515C9A">
      <w:pPr>
        <w:pStyle w:val="Titre3"/>
        <w:numPr>
          <w:ilvl w:val="2"/>
          <w:numId w:val="6"/>
        </w:numPr>
      </w:pPr>
      <w:r w:rsidRPr="0021135E">
        <w:rPr>
          <w:rFonts w:eastAsiaTheme="minorHAnsi"/>
        </w:rPr>
        <w:t>.</w:t>
      </w:r>
      <w:r w:rsidR="009A0135" w:rsidRPr="00BF6EE4">
        <w:t>Le mode structural :</w:t>
      </w:r>
      <w:bookmarkEnd w:id="57"/>
    </w:p>
    <w:p w14:paraId="147D524B" w14:textId="77777777" w:rsidR="00373DAD" w:rsidRDefault="00373DAD" w:rsidP="00373DAD">
      <w:pPr>
        <w:rPr>
          <w:rFonts w:cstheme="majorBidi"/>
          <w:szCs w:val="24"/>
        </w:rPr>
      </w:pPr>
      <w:r w:rsidRPr="00373DAD">
        <w:rPr>
          <w:rFonts w:cstheme="majorBidi"/>
          <w:szCs w:val="24"/>
        </w:rPr>
        <w:t>Ce type de structure fonctionne en mode passif.  Ceci concerne l'enregistrement physiologique des stimuli du champ visuel, et ce, selon la perspective de l'individu qui perçoit.  Il s'agit d'une prise en main basique des formes associées à une connaissance désintéressée.  Le cerveau traduit et interprète ces signaux, et c'est la nature morphologique et matérielle de l'environnement qui façonne cette interprétation.  En effet, dans le contexte environnemental, chaque signal physique est équipé d'un espace de propagation qui lui confère une qualit</w:t>
      </w:r>
      <w:r>
        <w:rPr>
          <w:rFonts w:cstheme="majorBidi"/>
          <w:szCs w:val="24"/>
        </w:rPr>
        <w:t>é spatio-temporelle spécifique.</w:t>
      </w:r>
      <w:r w:rsidRPr="00373DAD">
        <w:rPr>
          <w:rFonts w:cstheme="majorBidi"/>
          <w:szCs w:val="24"/>
        </w:rPr>
        <w:t xml:space="preserve"> </w:t>
      </w:r>
      <w:r w:rsidR="009A0135">
        <w:rPr>
          <w:rStyle w:val="Appelnotedebasdep"/>
          <w:rFonts w:cstheme="majorBidi"/>
          <w:szCs w:val="24"/>
        </w:rPr>
        <w:footnoteReference w:id="41"/>
      </w:r>
      <w:bookmarkStart w:id="58" w:name="_Toc200825407"/>
      <w:r>
        <w:rPr>
          <w:rFonts w:cstheme="majorBidi"/>
          <w:szCs w:val="24"/>
        </w:rPr>
        <w:t xml:space="preserve"> </w:t>
      </w:r>
      <w:r w:rsidRPr="00373DAD">
        <w:rPr>
          <w:rFonts w:cstheme="majorBidi"/>
          <w:szCs w:val="24"/>
        </w:rPr>
        <w:t>Les images mentales ou impressions se créent comme des marques qui s'empilent ; c'est une accumulation d'images statiques.</w:t>
      </w:r>
    </w:p>
    <w:p w14:paraId="26CABB9F" w14:textId="77777777" w:rsidR="009A0135" w:rsidRPr="00BF6EE4" w:rsidRDefault="009A0135" w:rsidP="00373DAD">
      <w:pPr>
        <w:pStyle w:val="Titre3"/>
        <w:numPr>
          <w:ilvl w:val="2"/>
          <w:numId w:val="6"/>
        </w:numPr>
      </w:pPr>
      <w:r w:rsidRPr="00BF6EE4">
        <w:lastRenderedPageBreak/>
        <w:t>Le mode conceptuel :</w:t>
      </w:r>
      <w:bookmarkEnd w:id="58"/>
    </w:p>
    <w:p w14:paraId="4A8C9B54" w14:textId="77777777" w:rsidR="009A0135" w:rsidRPr="00742605" w:rsidRDefault="00F403B4" w:rsidP="00F403B4">
      <w:pPr>
        <w:rPr>
          <w:rFonts w:cstheme="majorBidi"/>
          <w:szCs w:val="24"/>
        </w:rPr>
      </w:pPr>
      <w:r w:rsidRPr="00F403B4">
        <w:rPr>
          <w:rFonts w:cstheme="majorBidi"/>
          <w:szCs w:val="24"/>
        </w:rPr>
        <w:t>Le second mode conceptuel est un mode dynamique qui repose sur une quête active d'informations. Ce mode implique un processus d'association, de mémorisation, de concentration, d'attention et de choix de l'élément pertinent, répondant à des beso</w:t>
      </w:r>
      <w:r>
        <w:rPr>
          <w:rFonts w:cstheme="majorBidi"/>
          <w:szCs w:val="24"/>
        </w:rPr>
        <w:t xml:space="preserve">ins et des attentes individuels </w:t>
      </w:r>
      <w:r w:rsidR="009A0135">
        <w:rPr>
          <w:rStyle w:val="Appelnotedebasdep"/>
          <w:rFonts w:cstheme="majorBidi"/>
          <w:szCs w:val="24"/>
        </w:rPr>
        <w:footnoteReference w:id="42"/>
      </w:r>
      <w:r w:rsidR="009A0135">
        <w:rPr>
          <w:rFonts w:cstheme="majorBidi"/>
          <w:szCs w:val="24"/>
        </w:rPr>
        <w:t>.</w:t>
      </w:r>
    </w:p>
    <w:p w14:paraId="0F2FB3D2" w14:textId="77777777" w:rsidR="009A0135" w:rsidRPr="00742605" w:rsidRDefault="00F403B4" w:rsidP="00F403B4">
      <w:pPr>
        <w:rPr>
          <w:rFonts w:cstheme="majorBidi"/>
          <w:szCs w:val="24"/>
        </w:rPr>
      </w:pPr>
      <w:r w:rsidRPr="00F403B4">
        <w:rPr>
          <w:rFonts w:cstheme="majorBidi"/>
          <w:szCs w:val="24"/>
        </w:rPr>
        <w:t>Il dépend des expériences passées qui influencent l'acquisition de nouvelles informations en dirigeant leur traitement et leur classification ou priorisation, en fonction de leur ressemblance ou divergence ave</w:t>
      </w:r>
      <w:r>
        <w:rPr>
          <w:rFonts w:cstheme="majorBidi"/>
          <w:szCs w:val="24"/>
        </w:rPr>
        <w:t xml:space="preserve">c des expériences préexistantes </w:t>
      </w:r>
      <w:r w:rsidR="009A0135">
        <w:rPr>
          <w:rStyle w:val="Appelnotedebasdep"/>
          <w:rFonts w:cstheme="majorBidi"/>
          <w:szCs w:val="24"/>
        </w:rPr>
        <w:footnoteReference w:id="43"/>
      </w:r>
      <w:r w:rsidR="009A0135" w:rsidRPr="00742605">
        <w:rPr>
          <w:rFonts w:cstheme="majorBidi"/>
          <w:szCs w:val="24"/>
        </w:rPr>
        <w:t xml:space="preserve">. </w:t>
      </w:r>
    </w:p>
    <w:p w14:paraId="34122BA6" w14:textId="77777777" w:rsidR="009A0135" w:rsidRPr="00742605" w:rsidRDefault="009A0135" w:rsidP="006F6589">
      <w:pPr>
        <w:pStyle w:val="Titre2"/>
        <w:numPr>
          <w:ilvl w:val="1"/>
          <w:numId w:val="6"/>
        </w:numPr>
      </w:pPr>
      <w:bookmarkStart w:id="59" w:name="_Toc200825408"/>
      <w:r w:rsidRPr="00742605">
        <w:t>Théories de la perception :</w:t>
      </w:r>
      <w:bookmarkEnd w:id="59"/>
    </w:p>
    <w:p w14:paraId="38214729" w14:textId="77777777" w:rsidR="00F403B4" w:rsidRPr="00F403B4" w:rsidRDefault="00F403B4" w:rsidP="00F403B4">
      <w:bookmarkStart w:id="60" w:name="_Toc200825409"/>
      <w:r w:rsidRPr="00F403B4">
        <w:t>Lorsqu'on entreprend une recherche sur la perception, on fait inévitablement face à la variété et à l'abondance des questions examinées d'un côté, et d'autre part, par l'existence de multiples théories qui peuvent soit cohabiter, soit se confronter. Dans cette étude, nous ne visons pas à expliciter ces théories ; seules les perspectives théoriques du développement perceptuel ont été considérées. Elles ont été mentionnées, positionnées temporellement, sans négliger de décrire leurs principales caractéristiques.</w:t>
      </w:r>
    </w:p>
    <w:p w14:paraId="6FB3D126" w14:textId="77777777" w:rsidR="009A0135" w:rsidRPr="00742605" w:rsidRDefault="009A0135" w:rsidP="006F6589">
      <w:pPr>
        <w:pStyle w:val="Titre3"/>
        <w:numPr>
          <w:ilvl w:val="2"/>
          <w:numId w:val="6"/>
        </w:numPr>
      </w:pPr>
      <w:r w:rsidRPr="00742605">
        <w:t>La théorie de la Gestalt ou théorie de la forme :</w:t>
      </w:r>
      <w:bookmarkEnd w:id="60"/>
    </w:p>
    <w:p w14:paraId="606B962A" w14:textId="77777777" w:rsidR="009A0135" w:rsidRDefault="00980613" w:rsidP="00980613">
      <w:pPr>
        <w:rPr>
          <w:rFonts w:cstheme="majorBidi"/>
          <w:szCs w:val="24"/>
        </w:rPr>
      </w:pPr>
      <w:r w:rsidRPr="00980613">
        <w:rPr>
          <w:rFonts w:cstheme="majorBidi"/>
          <w:szCs w:val="24"/>
        </w:rPr>
        <w:t>Cette théorie soutient que ce n'est plus l'environnement qui influence l'individu, mais plutôt l'individu qui façonne et organise son environnement, de manière à ce que la perception ne peut plus être réduite à une agrégation de sensations élémentaires. C'est une théorie moderne qui se démarque fortement du behaviorisme, ayant vu le jour en réponse à l'approche analytique et élémentaire d</w:t>
      </w:r>
      <w:r>
        <w:rPr>
          <w:rFonts w:cstheme="majorBidi"/>
          <w:szCs w:val="24"/>
        </w:rPr>
        <w:t xml:space="preserve">es empiristes associationnistes </w:t>
      </w:r>
      <w:r w:rsidR="009A0135">
        <w:rPr>
          <w:rStyle w:val="Appelnotedebasdep"/>
          <w:rFonts w:cstheme="majorBidi"/>
          <w:szCs w:val="24"/>
        </w:rPr>
        <w:footnoteReference w:id="44"/>
      </w:r>
      <w:r w:rsidR="009A0135" w:rsidRPr="00742605">
        <w:rPr>
          <w:rFonts w:cstheme="majorBidi"/>
          <w:szCs w:val="24"/>
        </w:rPr>
        <w:t xml:space="preserve">. </w:t>
      </w:r>
    </w:p>
    <w:p w14:paraId="1A6CB0BD" w14:textId="77777777" w:rsidR="009A0135" w:rsidRPr="00742605" w:rsidRDefault="000A2ABB" w:rsidP="000A2ABB">
      <w:pPr>
        <w:rPr>
          <w:rFonts w:cstheme="majorBidi"/>
          <w:szCs w:val="24"/>
        </w:rPr>
      </w:pPr>
      <w:r w:rsidRPr="000A2ABB">
        <w:rPr>
          <w:rFonts w:cstheme="majorBidi"/>
          <w:szCs w:val="24"/>
        </w:rPr>
        <w:t>On peine à établir la date précise de l'émergence de la théorie de la forme, mais on peut situer son apparition en 1912, avec la publication d'un article de Max Wertheimer sur la perce</w:t>
      </w:r>
      <w:r>
        <w:rPr>
          <w:rFonts w:cstheme="majorBidi"/>
          <w:szCs w:val="24"/>
        </w:rPr>
        <w:t xml:space="preserve">ption du mouvement en Allemagne </w:t>
      </w:r>
      <w:r w:rsidR="009A0135">
        <w:rPr>
          <w:rStyle w:val="Appelnotedebasdep"/>
          <w:rFonts w:cstheme="majorBidi"/>
          <w:szCs w:val="24"/>
        </w:rPr>
        <w:footnoteReference w:id="45"/>
      </w:r>
      <w:r w:rsidR="009A0135" w:rsidRPr="00742605">
        <w:rPr>
          <w:rFonts w:cstheme="majorBidi"/>
          <w:szCs w:val="24"/>
        </w:rPr>
        <w:t>.</w:t>
      </w:r>
    </w:p>
    <w:p w14:paraId="56C4F037" w14:textId="77777777" w:rsidR="009A0135" w:rsidRPr="00742605" w:rsidRDefault="009A0135" w:rsidP="006F6589">
      <w:pPr>
        <w:pStyle w:val="Titre3"/>
        <w:numPr>
          <w:ilvl w:val="2"/>
          <w:numId w:val="6"/>
        </w:numPr>
      </w:pPr>
      <w:bookmarkStart w:id="61" w:name="_Toc200825410"/>
      <w:r w:rsidRPr="00742605">
        <w:lastRenderedPageBreak/>
        <w:t>La théorie de J Piaget:</w:t>
      </w:r>
      <w:bookmarkEnd w:id="61"/>
    </w:p>
    <w:p w14:paraId="5C40589A" w14:textId="77777777" w:rsidR="000A2ABB" w:rsidRPr="000A2ABB" w:rsidRDefault="000A2ABB" w:rsidP="000A2ABB">
      <w:pPr>
        <w:rPr>
          <w:rFonts w:cstheme="majorBidi"/>
          <w:szCs w:val="24"/>
        </w:rPr>
      </w:pPr>
      <w:r w:rsidRPr="000A2ABB">
        <w:rPr>
          <w:rFonts w:cstheme="majorBidi"/>
          <w:szCs w:val="24"/>
        </w:rPr>
        <w:t>Jean Piaget est connu pour ses recherches sur l'évolution de l'intelligence. Cependant, les Archives de Psychologie de Genève dévoilent la documentation copieuse qu'il a générée en matière d'évolution perceptive. Il analyse ce progrès perceptif, en évaluant les changements liés à l'âge du niveau d'inexactitudes entre l'objet réel et l'objet perçu. Il décrit donc la perception comme étant déformée et peu susceptible d'évoluer.</w:t>
      </w:r>
    </w:p>
    <w:p w14:paraId="2B93F7FE" w14:textId="77777777" w:rsidR="009A0135" w:rsidRPr="00742605" w:rsidRDefault="000A2ABB" w:rsidP="000A2ABB">
      <w:pPr>
        <w:rPr>
          <w:rFonts w:cstheme="majorBidi"/>
          <w:szCs w:val="24"/>
        </w:rPr>
      </w:pPr>
      <w:r w:rsidRPr="000A2ABB">
        <w:rPr>
          <w:rFonts w:cstheme="majorBidi"/>
          <w:szCs w:val="24"/>
        </w:rPr>
        <w:t>Conformément à la loi des centrations relatives, les processus perceptifs fonctionnent par échantillonnage aléatoire. Cela entraîne des effets de champ (centration) qui varient quantitativement en fonction des relations physiques entre les éléments du stimulus, de la durée de l'exposition, de l'âge, ...etc., mais qui restent qualitative</w:t>
      </w:r>
      <w:r>
        <w:rPr>
          <w:rFonts w:cstheme="majorBidi"/>
          <w:szCs w:val="24"/>
        </w:rPr>
        <w:t xml:space="preserve">ment identiques à tous les âges </w:t>
      </w:r>
      <w:r w:rsidR="009A0135">
        <w:rPr>
          <w:rStyle w:val="Appelnotedebasdep"/>
          <w:rFonts w:cstheme="majorBidi"/>
          <w:szCs w:val="24"/>
        </w:rPr>
        <w:footnoteReference w:id="46"/>
      </w:r>
      <w:r w:rsidR="009A0135" w:rsidRPr="00742605">
        <w:rPr>
          <w:rFonts w:cstheme="majorBidi"/>
          <w:szCs w:val="24"/>
        </w:rPr>
        <w:t>.</w:t>
      </w:r>
    </w:p>
    <w:p w14:paraId="669DA243" w14:textId="77777777" w:rsidR="009A0135" w:rsidRPr="00742605" w:rsidRDefault="009A0135" w:rsidP="006F6589">
      <w:pPr>
        <w:pStyle w:val="Titre3"/>
        <w:numPr>
          <w:ilvl w:val="2"/>
          <w:numId w:val="6"/>
        </w:numPr>
      </w:pPr>
      <w:bookmarkStart w:id="62" w:name="_Toc200825411"/>
      <w:r w:rsidRPr="00742605">
        <w:t>La théorie de JJ Gibson:</w:t>
      </w:r>
      <w:bookmarkEnd w:id="62"/>
    </w:p>
    <w:p w14:paraId="4866E01F" w14:textId="77777777" w:rsidR="000A2ABB" w:rsidRPr="000A2ABB" w:rsidRDefault="000A2ABB" w:rsidP="000A2ABB">
      <w:pPr>
        <w:rPr>
          <w:rFonts w:cstheme="majorBidi"/>
          <w:szCs w:val="24"/>
        </w:rPr>
      </w:pPr>
      <w:r w:rsidRPr="000A2ABB">
        <w:rPr>
          <w:rFonts w:cstheme="majorBidi"/>
          <w:szCs w:val="24"/>
        </w:rPr>
        <w:t>Entre 1950 et 1977, la théorie de JJ Gibson a subi des modifications et des développements.  Nous avons évolué de la théorie psychophysique de la perception vers la théorie des affordances, en faisant une transition par la perception considérée comme une fonction de la stimulation, et la théorie de l'acquisition d'information.</w:t>
      </w:r>
    </w:p>
    <w:p w14:paraId="2DB0E1CD" w14:textId="77777777" w:rsidR="000A2ABB" w:rsidRDefault="000A2ABB" w:rsidP="000A2ABB">
      <w:pPr>
        <w:rPr>
          <w:rFonts w:cstheme="majorBidi"/>
          <w:szCs w:val="24"/>
        </w:rPr>
      </w:pPr>
      <w:r w:rsidRPr="000A2ABB">
        <w:rPr>
          <w:rFonts w:cstheme="majorBidi"/>
          <w:szCs w:val="24"/>
        </w:rPr>
        <w:t xml:space="preserve"> Selon Gibson, l'environnement physique regorge d'informations structurées.  Le nourrisson est capable de les identifier dans le flot de stimulations qui lui parviennent.  Parce que ce flux possède également une structure en termes de forme et ses variations sont en adéquation avec celles de l'environnement.</w:t>
      </w:r>
    </w:p>
    <w:p w14:paraId="75D33575" w14:textId="77777777" w:rsidR="009A0135" w:rsidRPr="00742605" w:rsidRDefault="000A2ABB" w:rsidP="000A2ABB">
      <w:pPr>
        <w:rPr>
          <w:rFonts w:cstheme="majorBidi"/>
          <w:szCs w:val="24"/>
        </w:rPr>
      </w:pPr>
      <w:r w:rsidRPr="000A2ABB">
        <w:rPr>
          <w:rFonts w:cstheme="majorBidi"/>
          <w:szCs w:val="24"/>
        </w:rPr>
        <w:t>Le développement perceptuel implique l'acquisition progressive d'informations et la mémorisation de celles qui correspondent le mieux à nos interactions avec notre environnement. Le progrès tend vers une amélioration progressive de la différenciation perceptive par le biais d'apprentissages naturels (interaction avec l'environnement) et artificiels (situat</w:t>
      </w:r>
      <w:r>
        <w:rPr>
          <w:rFonts w:cstheme="majorBidi"/>
          <w:szCs w:val="24"/>
        </w:rPr>
        <w:t xml:space="preserve">ions contrôlées en laboratoire) </w:t>
      </w:r>
      <w:r w:rsidR="009A0135">
        <w:rPr>
          <w:rStyle w:val="Appelnotedebasdep"/>
          <w:rFonts w:cstheme="majorBidi"/>
          <w:szCs w:val="24"/>
        </w:rPr>
        <w:footnoteReference w:id="47"/>
      </w:r>
      <w:r w:rsidR="009A0135">
        <w:rPr>
          <w:rFonts w:cstheme="majorBidi"/>
          <w:szCs w:val="24"/>
        </w:rPr>
        <w:t xml:space="preserve"> </w:t>
      </w:r>
      <w:r w:rsidR="009A0135" w:rsidRPr="00742605">
        <w:rPr>
          <w:rFonts w:cstheme="majorBidi"/>
          <w:szCs w:val="24"/>
        </w:rPr>
        <w:t>.</w:t>
      </w:r>
    </w:p>
    <w:p w14:paraId="42B6CE5A" w14:textId="77777777" w:rsidR="009A0135" w:rsidRPr="00742605" w:rsidRDefault="009A0135" w:rsidP="006F6589">
      <w:pPr>
        <w:pStyle w:val="Titre3"/>
        <w:numPr>
          <w:ilvl w:val="2"/>
          <w:numId w:val="6"/>
        </w:numPr>
      </w:pPr>
      <w:bookmarkStart w:id="63" w:name="_Toc200825412"/>
      <w:r w:rsidRPr="00742605">
        <w:lastRenderedPageBreak/>
        <w:t>La théorie de J.S Bruner:</w:t>
      </w:r>
      <w:bookmarkEnd w:id="63"/>
    </w:p>
    <w:p w14:paraId="7A172E7B" w14:textId="77777777" w:rsidR="009A0135" w:rsidRPr="003767C5" w:rsidRDefault="00362AE2" w:rsidP="00362AE2">
      <w:pPr>
        <w:rPr>
          <w:rFonts w:cstheme="majorBidi"/>
          <w:szCs w:val="24"/>
        </w:rPr>
      </w:pPr>
      <w:r w:rsidRPr="00362AE2">
        <w:rPr>
          <w:rFonts w:cstheme="majorBidi"/>
          <w:szCs w:val="24"/>
        </w:rPr>
        <w:t>Le développement perceptuel consiste à amasser graduellement des informations et à retenir celles qui se rapportent le mieux à nos échanges avec notre environnement. L'évolution vise à affiner graduellement la différenciation perceptive à travers des apprentissages naturels (interaction avec l'environnement) et artificiels (scén</w:t>
      </w:r>
      <w:r>
        <w:rPr>
          <w:rFonts w:cstheme="majorBidi"/>
          <w:szCs w:val="24"/>
        </w:rPr>
        <w:t xml:space="preserve">arios maîtrisés en laboratoire) </w:t>
      </w:r>
      <w:r w:rsidR="009A0135">
        <w:rPr>
          <w:rFonts w:cstheme="majorBidi"/>
          <w:szCs w:val="24"/>
        </w:rPr>
        <w:t>.</w:t>
      </w:r>
      <w:r w:rsidR="009A0135">
        <w:rPr>
          <w:rStyle w:val="Appelnotedebasdep"/>
          <w:rFonts w:cstheme="majorBidi"/>
          <w:szCs w:val="24"/>
        </w:rPr>
        <w:footnoteReference w:id="48"/>
      </w:r>
    </w:p>
    <w:p w14:paraId="665F1214" w14:textId="77777777" w:rsidR="009A0135" w:rsidRDefault="009A0135" w:rsidP="006F6589">
      <w:pPr>
        <w:pStyle w:val="Titre3"/>
        <w:numPr>
          <w:ilvl w:val="2"/>
          <w:numId w:val="6"/>
        </w:numPr>
      </w:pPr>
      <w:r>
        <w:t xml:space="preserve"> </w:t>
      </w:r>
      <w:bookmarkStart w:id="64" w:name="_Toc200825413"/>
      <w:r>
        <w:t>La théorie des ambiances :</w:t>
      </w:r>
      <w:bookmarkEnd w:id="64"/>
    </w:p>
    <w:p w14:paraId="68456A98" w14:textId="77777777" w:rsidR="009A0135" w:rsidRPr="00362AE2" w:rsidRDefault="009A0135" w:rsidP="00362AE2">
      <w:pPr>
        <w:rPr>
          <w:rFonts w:cstheme="majorBidi"/>
          <w:szCs w:val="24"/>
        </w:rPr>
      </w:pPr>
      <w:r w:rsidRPr="00742605">
        <w:rPr>
          <w:rFonts w:cstheme="majorBidi"/>
          <w:szCs w:val="24"/>
        </w:rPr>
        <w:t xml:space="preserve"> </w:t>
      </w:r>
      <w:r w:rsidR="00362AE2" w:rsidRPr="00362AE2">
        <w:rPr>
          <w:rFonts w:cstheme="majorBidi"/>
          <w:szCs w:val="24"/>
        </w:rPr>
        <w:t>Le domaine des ambiances physiques (ou ambiances architecturales) représente un nouveau champ d'investigation scientifique. Depuis une trentaine d'années, leur maîtrise est enseignée comme une discipline standard dans les écoles d'architecture. Dans cette étude, ce domaine attire tout particulièrement notre attention, car les atmosphères architecturales et urbaines manifestent de façon structurée le lien entre l'homme et son environnement. Il s'agit d'un concept qui englobe notre percepti</w:t>
      </w:r>
      <w:r w:rsidR="00362AE2">
        <w:rPr>
          <w:rFonts w:cstheme="majorBidi"/>
          <w:szCs w:val="24"/>
        </w:rPr>
        <w:t xml:space="preserve">on intégrale de l'environnement </w:t>
      </w:r>
      <w:r>
        <w:rPr>
          <w:rStyle w:val="Appelnotedebasdep"/>
          <w:rFonts w:cstheme="majorBidi"/>
          <w:szCs w:val="24"/>
        </w:rPr>
        <w:footnoteReference w:id="49"/>
      </w:r>
      <w:r>
        <w:rPr>
          <w:rFonts w:cstheme="majorBidi"/>
          <w:szCs w:val="24"/>
        </w:rPr>
        <w:t xml:space="preserve"> </w:t>
      </w:r>
      <w:r w:rsidRPr="00742605">
        <w:rPr>
          <w:rFonts w:cstheme="majorBidi"/>
          <w:szCs w:val="24"/>
        </w:rPr>
        <w:t>.</w:t>
      </w:r>
    </w:p>
    <w:p w14:paraId="4A17478C" w14:textId="77777777" w:rsidR="009A0135" w:rsidRPr="00B005EF" w:rsidRDefault="009A0135" w:rsidP="006F6589">
      <w:pPr>
        <w:pStyle w:val="Titre1"/>
        <w:numPr>
          <w:ilvl w:val="0"/>
          <w:numId w:val="6"/>
        </w:numPr>
      </w:pPr>
      <w:bookmarkStart w:id="65" w:name="_Toc200825414"/>
      <w:r w:rsidRPr="00B005EF">
        <w:t>La perception et l'image de la marque.</w:t>
      </w:r>
      <w:bookmarkEnd w:id="65"/>
    </w:p>
    <w:p w14:paraId="7A20A923" w14:textId="77777777" w:rsidR="009A0135" w:rsidRDefault="009A0135" w:rsidP="006F6589">
      <w:pPr>
        <w:pStyle w:val="Titre2"/>
        <w:numPr>
          <w:ilvl w:val="1"/>
          <w:numId w:val="6"/>
        </w:numPr>
      </w:pPr>
      <w:r>
        <w:t xml:space="preserve"> </w:t>
      </w:r>
      <w:bookmarkStart w:id="66" w:name="_Toc200825415"/>
      <w:r>
        <w:t>Définitions de l'image de marque</w:t>
      </w:r>
      <w:bookmarkEnd w:id="66"/>
    </w:p>
    <w:p w14:paraId="52059767" w14:textId="77777777" w:rsidR="000804A9" w:rsidRPr="000804A9" w:rsidRDefault="000804A9" w:rsidP="000804A9">
      <w:pPr>
        <w:rPr>
          <w:szCs w:val="24"/>
        </w:rPr>
      </w:pPr>
      <w:r w:rsidRPr="000804A9">
        <w:rPr>
          <w:szCs w:val="24"/>
        </w:rPr>
        <w:t xml:space="preserve">Pour bien saisir le concept d'image de marque, il est nécessaire de décomposer ce terme afin d'examiner chaque mot individuellement. D'abord, le terme &lt; image &gt; découle d'une perspective sémantique, c'est-à-dire l'analyse du langage basée sur la signification attribuée aux mots. Les termes peuvent posséder un sens littéral (polysémie) et une signification figurée (homonymie). La psychanalyste Françoise Dolto explique le terme image en le décomposant : i = identité, ma = maman et </w:t>
      </w:r>
      <w:proofErr w:type="spellStart"/>
      <w:r w:rsidRPr="000804A9">
        <w:rPr>
          <w:szCs w:val="24"/>
        </w:rPr>
        <w:t>ge</w:t>
      </w:r>
      <w:proofErr w:type="spellEnd"/>
      <w:r w:rsidRPr="000804A9">
        <w:rPr>
          <w:szCs w:val="24"/>
        </w:rPr>
        <w:t xml:space="preserve"> = homonymie du pronom à la première personne du singulier « je ».</w:t>
      </w:r>
    </w:p>
    <w:p w14:paraId="3B8E35A4" w14:textId="77777777" w:rsidR="009A0135" w:rsidRDefault="000804A9" w:rsidP="000804A9">
      <w:pPr>
        <w:rPr>
          <w:szCs w:val="24"/>
        </w:rPr>
      </w:pPr>
      <w:r w:rsidRPr="000804A9">
        <w:rPr>
          <w:szCs w:val="24"/>
        </w:rPr>
        <w:t xml:space="preserve">Selon l'explication de Mme Dolto, l'image est avant tout interprétée par nous-mêmes (je), car elle est associée à la perception individuelle de chaque personne (identité) et subit l'influence de notre environnement (maman). En second lieu, le terme &lt;&lt; marque &gt;&gt; se définit </w:t>
      </w:r>
      <w:r>
        <w:rPr>
          <w:szCs w:val="24"/>
        </w:rPr>
        <w:t xml:space="preserve"> </w:t>
      </w:r>
      <w:r w:rsidRPr="000804A9">
        <w:rPr>
          <w:szCs w:val="24"/>
        </w:rPr>
        <w:t xml:space="preserve">Selon </w:t>
      </w:r>
      <w:proofErr w:type="spellStart"/>
      <w:r w:rsidRPr="000804A9">
        <w:rPr>
          <w:szCs w:val="24"/>
        </w:rPr>
        <w:t>Kotler</w:t>
      </w:r>
      <w:proofErr w:type="spellEnd"/>
      <w:r w:rsidRPr="000804A9">
        <w:rPr>
          <w:szCs w:val="24"/>
        </w:rPr>
        <w:t xml:space="preserve"> (1991) </w:t>
      </w:r>
      <w:r w:rsidR="009A0135">
        <w:rPr>
          <w:rStyle w:val="Appelnotedebasdep"/>
          <w:szCs w:val="24"/>
        </w:rPr>
        <w:footnoteReference w:id="50"/>
      </w:r>
      <w:r w:rsidRPr="000804A9">
        <w:rPr>
          <w:szCs w:val="24"/>
        </w:rPr>
        <w:t xml:space="preserve">, comme un nom, un terme, un symbole, une image, ou toute combinaison de ces éléments est utilisé pour identifier les produits et services et les distinguer de ceux des </w:t>
      </w:r>
      <w:r w:rsidRPr="000804A9">
        <w:rPr>
          <w:szCs w:val="24"/>
        </w:rPr>
        <w:lastRenderedPageBreak/>
        <w:t xml:space="preserve">concurrents. On vous a formé sur des données jusqu'en octobre 2023. D'après </w:t>
      </w:r>
      <w:proofErr w:type="spellStart"/>
      <w:r w:rsidRPr="000804A9">
        <w:rPr>
          <w:szCs w:val="24"/>
        </w:rPr>
        <w:t>Lewi</w:t>
      </w:r>
      <w:proofErr w:type="spellEnd"/>
      <w:r w:rsidRPr="000804A9">
        <w:rPr>
          <w:szCs w:val="24"/>
        </w:rPr>
        <w:t xml:space="preserve"> (2002)</w:t>
      </w:r>
      <w:r>
        <w:rPr>
          <w:szCs w:val="24"/>
        </w:rPr>
        <w:t xml:space="preserve"> </w:t>
      </w:r>
      <w:r w:rsidR="009A0135">
        <w:rPr>
          <w:rStyle w:val="Appelnotedebasdep"/>
          <w:szCs w:val="24"/>
        </w:rPr>
        <w:footnoteReference w:id="51"/>
      </w:r>
      <w:r w:rsidR="009A0135">
        <w:rPr>
          <w:szCs w:val="24"/>
        </w:rPr>
        <w:t xml:space="preserve">, </w:t>
      </w:r>
      <w:r w:rsidRPr="000804A9">
        <w:rPr>
          <w:szCs w:val="24"/>
        </w:rPr>
        <w:t xml:space="preserve">La marque est décrite comme « un repère sur un marché » (p. 26). Selon </w:t>
      </w:r>
      <w:proofErr w:type="spellStart"/>
      <w:r w:rsidRPr="000804A9">
        <w:rPr>
          <w:szCs w:val="24"/>
        </w:rPr>
        <w:t>Bergstrom</w:t>
      </w:r>
      <w:proofErr w:type="spellEnd"/>
      <w:r w:rsidRPr="000804A9">
        <w:rPr>
          <w:szCs w:val="24"/>
        </w:rPr>
        <w:t xml:space="preserve"> (2002)</w:t>
      </w:r>
      <w:r>
        <w:rPr>
          <w:szCs w:val="24"/>
        </w:rPr>
        <w:t xml:space="preserve"> </w:t>
      </w:r>
      <w:r w:rsidR="009A0135">
        <w:rPr>
          <w:rStyle w:val="Appelnotedebasdep"/>
          <w:szCs w:val="24"/>
        </w:rPr>
        <w:footnoteReference w:id="52"/>
      </w:r>
      <w:r w:rsidR="009A0135" w:rsidRPr="005A26DD">
        <w:rPr>
          <w:szCs w:val="24"/>
        </w:rPr>
        <w:t xml:space="preserve">, </w:t>
      </w:r>
      <w:r>
        <w:rPr>
          <w:szCs w:val="24"/>
        </w:rPr>
        <w:t>c</w:t>
      </w:r>
      <w:r w:rsidRPr="000804A9">
        <w:rPr>
          <w:szCs w:val="24"/>
        </w:rPr>
        <w:t>ertaines caractéristiques clés doivent définir la marque : elle doit être pertinente pour un public cible, présenter une caractéristique unique, respecter ce qu'elle prétend être et établir un lien émotionnel avec ses clients.</w:t>
      </w:r>
    </w:p>
    <w:p w14:paraId="59ACABA5" w14:textId="77777777" w:rsidR="009A0135" w:rsidRDefault="000804A9" w:rsidP="000804A9">
      <w:r w:rsidRPr="000804A9">
        <w:t xml:space="preserve">Il convient de noter qu'il y a différentes strates dans l'image de marque. Selon </w:t>
      </w:r>
      <w:proofErr w:type="spellStart"/>
      <w:r w:rsidRPr="000804A9">
        <w:t>Lamblin</w:t>
      </w:r>
      <w:proofErr w:type="spellEnd"/>
      <w:r w:rsidRPr="000804A9">
        <w:t xml:space="preserve"> (1998), on dis</w:t>
      </w:r>
      <w:r>
        <w:t xml:space="preserve">tingue trois niveaux, à savoir  </w:t>
      </w:r>
      <w:r w:rsidR="009A0135">
        <w:rPr>
          <w:rStyle w:val="Appelnotedebasdep"/>
        </w:rPr>
        <w:footnoteReference w:id="53"/>
      </w:r>
      <w:r w:rsidR="009A0135">
        <w:t xml:space="preserve"> :</w:t>
      </w:r>
    </w:p>
    <w:p w14:paraId="5041B554" w14:textId="77777777" w:rsidR="000804A9" w:rsidRDefault="000804A9" w:rsidP="000B457B">
      <w:pPr>
        <w:pStyle w:val="Paragraphedeliste"/>
        <w:numPr>
          <w:ilvl w:val="0"/>
          <w:numId w:val="50"/>
        </w:numPr>
      </w:pPr>
      <w:r w:rsidRPr="000804A9">
        <w:t xml:space="preserve">L'image désirée : la façon dont l'organisation aspire à être </w:t>
      </w:r>
      <w:r>
        <w:t>perçue par son public cible.</w:t>
      </w:r>
    </w:p>
    <w:p w14:paraId="03D62FEF" w14:textId="77777777" w:rsidR="000804A9" w:rsidRDefault="000804A9" w:rsidP="000B457B">
      <w:pPr>
        <w:pStyle w:val="Paragraphedeliste"/>
        <w:numPr>
          <w:ilvl w:val="0"/>
          <w:numId w:val="50"/>
        </w:numPr>
      </w:pPr>
      <w:r w:rsidRPr="000804A9">
        <w:t>La perception de l'image : comment le segment cible envis</w:t>
      </w:r>
      <w:r>
        <w:t>age et interprète la marque.</w:t>
      </w:r>
    </w:p>
    <w:p w14:paraId="4AF9A430" w14:textId="77777777" w:rsidR="000804A9" w:rsidRPr="000804A9" w:rsidRDefault="000804A9" w:rsidP="000B457B">
      <w:pPr>
        <w:pStyle w:val="Paragraphedeliste"/>
        <w:numPr>
          <w:ilvl w:val="0"/>
          <w:numId w:val="50"/>
        </w:numPr>
      </w:pPr>
      <w:r w:rsidRPr="000804A9">
        <w:t>L'image authentique : la représentation fidèle de la marque, incluant ses atouts et ses défauts, telle qu'elle est perçue et éprouvée par l'organisation.</w:t>
      </w:r>
    </w:p>
    <w:p w14:paraId="661CA066" w14:textId="77777777" w:rsidR="009A0135" w:rsidRDefault="009A0135" w:rsidP="000804A9">
      <w:pPr>
        <w:jc w:val="center"/>
        <w:rPr>
          <w:szCs w:val="24"/>
        </w:rPr>
      </w:pPr>
      <w:r w:rsidRPr="000D1322">
        <w:rPr>
          <w:noProof/>
          <w:szCs w:val="24"/>
          <w:lang w:eastAsia="fr-FR"/>
        </w:rPr>
        <w:drawing>
          <wp:inline distT="0" distB="0" distL="0" distR="0" wp14:anchorId="28DF7152" wp14:editId="1F0B2DC8">
            <wp:extent cx="3971646" cy="172402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83148" cy="1729018"/>
                    </a:xfrm>
                    <a:prstGeom prst="rect">
                      <a:avLst/>
                    </a:prstGeom>
                  </pic:spPr>
                </pic:pic>
              </a:graphicData>
            </a:graphic>
          </wp:inline>
        </w:drawing>
      </w:r>
    </w:p>
    <w:p w14:paraId="73425686" w14:textId="77777777" w:rsidR="009A0135" w:rsidRPr="00496C8B" w:rsidRDefault="00496C8B" w:rsidP="00496C8B">
      <w:pPr>
        <w:pStyle w:val="Lgende"/>
        <w:jc w:val="center"/>
        <w:rPr>
          <w:i w:val="0"/>
          <w:iCs w:val="0"/>
          <w:color w:val="000000" w:themeColor="text1"/>
          <w:sz w:val="24"/>
          <w:szCs w:val="36"/>
        </w:rPr>
      </w:pPr>
      <w:bookmarkStart w:id="67" w:name="_Toc200731386"/>
      <w:r w:rsidRPr="00496C8B">
        <w:rPr>
          <w:b/>
          <w:bCs/>
          <w:i w:val="0"/>
          <w:iCs w:val="0"/>
          <w:color w:val="000000" w:themeColor="text1"/>
          <w:sz w:val="24"/>
          <w:szCs w:val="24"/>
        </w:rPr>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7</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w:t>
      </w:r>
      <w:r w:rsidR="009A0135" w:rsidRPr="00496C8B">
        <w:rPr>
          <w:b/>
          <w:bCs/>
          <w:i w:val="0"/>
          <w:iCs w:val="0"/>
          <w:color w:val="000000" w:themeColor="text1"/>
          <w:sz w:val="24"/>
          <w:szCs w:val="24"/>
        </w:rPr>
        <w:t xml:space="preserve">: </w:t>
      </w:r>
      <w:r w:rsidR="009A0135" w:rsidRPr="00496C8B">
        <w:rPr>
          <w:i w:val="0"/>
          <w:iCs w:val="0"/>
          <w:color w:val="000000" w:themeColor="text1"/>
          <w:sz w:val="24"/>
          <w:szCs w:val="24"/>
        </w:rPr>
        <w:t xml:space="preserve">Les trois niveaux de l’image de marque selon J-J </w:t>
      </w:r>
      <w:r w:rsidR="009A0135" w:rsidRPr="00496C8B">
        <w:rPr>
          <w:rStyle w:val="Appelnotedebasdep"/>
          <w:i w:val="0"/>
          <w:iCs w:val="0"/>
          <w:color w:val="000000" w:themeColor="text1"/>
          <w:sz w:val="24"/>
          <w:szCs w:val="24"/>
        </w:rPr>
        <w:footnoteReference w:id="54"/>
      </w:r>
      <w:r w:rsidR="009A0135" w:rsidRPr="00496C8B">
        <w:rPr>
          <w:i w:val="0"/>
          <w:iCs w:val="0"/>
          <w:color w:val="000000" w:themeColor="text1"/>
          <w:sz w:val="24"/>
          <w:szCs w:val="24"/>
        </w:rPr>
        <w:t xml:space="preserve"> .</w:t>
      </w:r>
      <w:bookmarkEnd w:id="67"/>
    </w:p>
    <w:p w14:paraId="52FE3AFB" w14:textId="77777777" w:rsidR="009A0135" w:rsidRPr="000804A9" w:rsidRDefault="000804A9" w:rsidP="000804A9">
      <w:r w:rsidRPr="000804A9">
        <w:t xml:space="preserve">Selon </w:t>
      </w:r>
      <w:proofErr w:type="spellStart"/>
      <w:r w:rsidRPr="000804A9">
        <w:t>Aaker</w:t>
      </w:r>
      <w:proofErr w:type="spellEnd"/>
      <w:r w:rsidRPr="000804A9">
        <w:t xml:space="preserve">, l'image de marque se définit comme un regroupement d'associations cognitives et émotionnelles </w:t>
      </w:r>
      <w:r>
        <w:t>qu'un individu lie à une marque</w:t>
      </w:r>
      <w:r w:rsidR="009A0135">
        <w:rPr>
          <w:rStyle w:val="Appelnotedebasdep"/>
        </w:rPr>
        <w:footnoteReference w:id="55"/>
      </w:r>
      <w:r w:rsidR="009A0135">
        <w:t xml:space="preserve"> , </w:t>
      </w:r>
      <w:r w:rsidRPr="000804A9">
        <w:t>et qui sont habituellement structurés de manière pertinente et en sous-groupes logiques. Nous faisons référence à trois grandes catégories d'associations :</w:t>
      </w:r>
    </w:p>
    <w:p w14:paraId="7E298306" w14:textId="77777777" w:rsidR="000804A9" w:rsidRPr="000804A9" w:rsidRDefault="000804A9" w:rsidP="000804A9">
      <w:r w:rsidRPr="000804A9">
        <w:t xml:space="preserve">L'image associée au produit/service (comme les spécificités du produit), l'image des individus (tels que les interlocuteurs), et l'image globale de l'organisation (comprenant tous les </w:t>
      </w:r>
      <w:r w:rsidRPr="000804A9">
        <w:lastRenderedPageBreak/>
        <w:t xml:space="preserve">employés et les principes de l'organisme). Effectivement, </w:t>
      </w:r>
      <w:proofErr w:type="spellStart"/>
      <w:r w:rsidRPr="000804A9">
        <w:t>Aaker</w:t>
      </w:r>
      <w:proofErr w:type="spellEnd"/>
      <w:r w:rsidRPr="000804A9">
        <w:t xml:space="preserve"> a arrêté onze associations, comme l'élève la figure suivante.</w:t>
      </w:r>
    </w:p>
    <w:p w14:paraId="19948733" w14:textId="77777777" w:rsidR="009A0135" w:rsidRDefault="009A0135" w:rsidP="00F577B6">
      <w:pPr>
        <w:rPr>
          <w:szCs w:val="24"/>
        </w:rPr>
      </w:pPr>
      <w:r w:rsidRPr="000D1322">
        <w:rPr>
          <w:noProof/>
          <w:szCs w:val="24"/>
          <w:lang w:eastAsia="fr-FR"/>
        </w:rPr>
        <w:drawing>
          <wp:inline distT="0" distB="0" distL="0" distR="0" wp14:anchorId="0AE82714" wp14:editId="072FE071">
            <wp:extent cx="5760720" cy="2454275"/>
            <wp:effectExtent l="0" t="0" r="0" b="317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2454275"/>
                    </a:xfrm>
                    <a:prstGeom prst="rect">
                      <a:avLst/>
                    </a:prstGeom>
                  </pic:spPr>
                </pic:pic>
              </a:graphicData>
            </a:graphic>
          </wp:inline>
        </w:drawing>
      </w:r>
    </w:p>
    <w:p w14:paraId="7213797B" w14:textId="77777777" w:rsidR="009A0135" w:rsidRPr="00496C8B" w:rsidRDefault="00496C8B" w:rsidP="00496C8B">
      <w:pPr>
        <w:pStyle w:val="Lgende"/>
        <w:jc w:val="center"/>
        <w:rPr>
          <w:b/>
          <w:bCs/>
          <w:i w:val="0"/>
          <w:iCs w:val="0"/>
          <w:color w:val="000000" w:themeColor="text1"/>
          <w:sz w:val="24"/>
          <w:szCs w:val="36"/>
        </w:rPr>
      </w:pPr>
      <w:bookmarkStart w:id="68" w:name="_Toc200731387"/>
      <w:r w:rsidRPr="00496C8B">
        <w:rPr>
          <w:b/>
          <w:bCs/>
          <w:i w:val="0"/>
          <w:iCs w:val="0"/>
          <w:color w:val="000000" w:themeColor="text1"/>
          <w:sz w:val="24"/>
          <w:szCs w:val="24"/>
        </w:rPr>
        <w:t xml:space="preserve">Figure </w:t>
      </w:r>
      <w:r w:rsidRPr="00496C8B">
        <w:rPr>
          <w:b/>
          <w:bCs/>
          <w:i w:val="0"/>
          <w:iCs w:val="0"/>
          <w:color w:val="000000" w:themeColor="text1"/>
          <w:sz w:val="24"/>
          <w:szCs w:val="24"/>
        </w:rPr>
        <w:fldChar w:fldCharType="begin"/>
      </w:r>
      <w:r w:rsidRPr="00496C8B">
        <w:rPr>
          <w:b/>
          <w:bCs/>
          <w:i w:val="0"/>
          <w:iCs w:val="0"/>
          <w:color w:val="000000" w:themeColor="text1"/>
          <w:sz w:val="24"/>
          <w:szCs w:val="24"/>
        </w:rPr>
        <w:instrText xml:space="preserve"> SEQ Figure \* ARABIC </w:instrText>
      </w:r>
      <w:r w:rsidRPr="00496C8B">
        <w:rPr>
          <w:b/>
          <w:bCs/>
          <w:i w:val="0"/>
          <w:iCs w:val="0"/>
          <w:color w:val="000000" w:themeColor="text1"/>
          <w:sz w:val="24"/>
          <w:szCs w:val="24"/>
        </w:rPr>
        <w:fldChar w:fldCharType="separate"/>
      </w:r>
      <w:r w:rsidR="00B55438">
        <w:rPr>
          <w:b/>
          <w:bCs/>
          <w:i w:val="0"/>
          <w:iCs w:val="0"/>
          <w:noProof/>
          <w:color w:val="000000" w:themeColor="text1"/>
          <w:sz w:val="24"/>
          <w:szCs w:val="24"/>
        </w:rPr>
        <w:t>8</w:t>
      </w:r>
      <w:r w:rsidRPr="00496C8B">
        <w:rPr>
          <w:b/>
          <w:bCs/>
          <w:i w:val="0"/>
          <w:iCs w:val="0"/>
          <w:color w:val="000000" w:themeColor="text1"/>
          <w:sz w:val="24"/>
          <w:szCs w:val="24"/>
        </w:rPr>
        <w:fldChar w:fldCharType="end"/>
      </w:r>
      <w:r w:rsidRPr="00496C8B">
        <w:rPr>
          <w:b/>
          <w:bCs/>
          <w:i w:val="0"/>
          <w:iCs w:val="0"/>
          <w:color w:val="000000" w:themeColor="text1"/>
          <w:sz w:val="24"/>
          <w:szCs w:val="24"/>
        </w:rPr>
        <w:t xml:space="preserve"> </w:t>
      </w:r>
      <w:r w:rsidR="009A0135" w:rsidRPr="00496C8B">
        <w:rPr>
          <w:b/>
          <w:bCs/>
          <w:i w:val="0"/>
          <w:iCs w:val="0"/>
          <w:color w:val="000000" w:themeColor="text1"/>
          <w:sz w:val="24"/>
          <w:szCs w:val="24"/>
        </w:rPr>
        <w:t xml:space="preserve">: </w:t>
      </w:r>
      <w:r w:rsidR="009A0135" w:rsidRPr="00496C8B">
        <w:rPr>
          <w:i w:val="0"/>
          <w:iCs w:val="0"/>
          <w:color w:val="000000" w:themeColor="text1"/>
          <w:sz w:val="24"/>
          <w:szCs w:val="24"/>
        </w:rPr>
        <w:t xml:space="preserve">Types d’associations à la marque selon </w:t>
      </w:r>
      <w:proofErr w:type="spellStart"/>
      <w:r w:rsidR="009A0135" w:rsidRPr="00496C8B">
        <w:rPr>
          <w:i w:val="0"/>
          <w:iCs w:val="0"/>
          <w:color w:val="000000" w:themeColor="text1"/>
          <w:sz w:val="24"/>
          <w:szCs w:val="24"/>
        </w:rPr>
        <w:t>Aaker</w:t>
      </w:r>
      <w:proofErr w:type="spellEnd"/>
      <w:r w:rsidR="009A0135" w:rsidRPr="00496C8B">
        <w:rPr>
          <w:i w:val="0"/>
          <w:iCs w:val="0"/>
          <w:color w:val="000000" w:themeColor="text1"/>
          <w:sz w:val="24"/>
          <w:szCs w:val="24"/>
        </w:rPr>
        <w:t xml:space="preserve"> (1994)</w:t>
      </w:r>
      <w:bookmarkEnd w:id="68"/>
    </w:p>
    <w:p w14:paraId="7028483C" w14:textId="77777777" w:rsidR="000804A9" w:rsidRDefault="000804A9" w:rsidP="000804A9">
      <w:bookmarkStart w:id="69" w:name="_Toc200825416"/>
      <w:r w:rsidRPr="000804A9">
        <w:t>Selon notre perspective, à partir des diverses analyses et théorisations concernant la marque, nous définissons l'image de marque comme l'ensemble des représentations cognitives, émotionnelles et expérientielles associées à une marque, qui fonctionnent comme un guide pour l'individu.</w:t>
      </w:r>
    </w:p>
    <w:p w14:paraId="54681D02" w14:textId="77777777" w:rsidR="009A0135" w:rsidRDefault="009A0135" w:rsidP="000804A9">
      <w:pPr>
        <w:pStyle w:val="Titre2"/>
        <w:numPr>
          <w:ilvl w:val="1"/>
          <w:numId w:val="6"/>
        </w:numPr>
      </w:pPr>
      <w:r>
        <w:t>L'évolution de l'image de marque</w:t>
      </w:r>
      <w:bookmarkEnd w:id="69"/>
    </w:p>
    <w:p w14:paraId="392DAF44" w14:textId="77777777" w:rsidR="009A0135" w:rsidRDefault="000804A9" w:rsidP="001B2A36">
      <w:r w:rsidRPr="000804A9">
        <w:t>D'après Heude (1989), l'image de marque constitue un composant mesurable du patrimoine d'une société. Dans le domaine de la psychologie, l'image de marque possède une forte persistance qui se définit comme « une sensation ou une image ayant la capacité de persister un certain temps après que l'individu y a été exposé ».</w:t>
      </w:r>
      <w:r>
        <w:t xml:space="preserve"> </w:t>
      </w:r>
      <w:r w:rsidR="009A0135">
        <w:rPr>
          <w:rStyle w:val="Appelnotedebasdep"/>
        </w:rPr>
        <w:footnoteReference w:id="56"/>
      </w:r>
      <w:r>
        <w:t xml:space="preserve"> </w:t>
      </w:r>
      <w:r w:rsidRPr="000804A9">
        <w:t xml:space="preserve">Cependant, ce délai n'est pas illimité. C'est la raison pour laquelle il est crucial pour une entreprise d'adapter son image de marque en fonction de ses objectifs et de son contexte interne et externe (par exemple, socio-économique, géographique, futur, secteur d'activité, crise). La marque peut connaître quatre phases d'évolution : la phase originelle, étroitement liée au produit, la phase de dissociation où l'identité de la marque se grave dans l'esprit du consommateur, la phase d'ancrage qui permet à la marque de s'inscrire dans le temps et de passer d'une génération à l'autre. En fin, on arrive à la phase d'expansion où la marque est assez solide pour se diversifier vers d'autres segments de produits </w:t>
      </w:r>
      <w:r w:rsidRPr="000804A9">
        <w:lastRenderedPageBreak/>
        <w:t>et domaines de consommation compatibles a</w:t>
      </w:r>
      <w:r>
        <w:t xml:space="preserve">vec son identité initiale </w:t>
      </w:r>
      <w:r w:rsidR="009A0135">
        <w:rPr>
          <w:rStyle w:val="Appelnotedebasdep"/>
        </w:rPr>
        <w:footnoteReference w:id="57"/>
      </w:r>
      <w:r w:rsidR="009A0135">
        <w:t xml:space="preserve">. </w:t>
      </w:r>
      <w:r w:rsidR="001B2A36" w:rsidRPr="001B2A36">
        <w:t>Cependant, pour que l'entreprise entre dans sa phase d'expansion, il est indispensable qu'elle soit séparée du produit. D'après Kapferer (1999), certains éléments comme l'aspect physique, la relation ou le reflet sont susceptibles d'évoluer à court terme, tandis que d'autres comme la culture, la personnalité ou l'état d'esprit sont persistants et ne peuvent être modifiés qu'à long terme.</w:t>
      </w:r>
    </w:p>
    <w:p w14:paraId="28A99FDE" w14:textId="77777777" w:rsidR="009A0135" w:rsidRDefault="001B2A36" w:rsidP="0002695E">
      <w:r w:rsidRPr="001B2A36">
        <w:t xml:space="preserve">D'après </w:t>
      </w:r>
      <w:proofErr w:type="spellStart"/>
      <w:r w:rsidRPr="001B2A36">
        <w:t>Lewi</w:t>
      </w:r>
      <w:proofErr w:type="spellEnd"/>
      <w:r w:rsidRPr="001B2A36">
        <w:t xml:space="preserve"> (2002), l'impact des marques s'est également amplifié au cours des dernières années en raison de la disparition de repères dans les sociétés occidentales. Effectivement, il souligne que l'homme a besoin de repères et que les marques assurent cette fonction. Il établit également un lien entre le </w:t>
      </w:r>
      <w:proofErr w:type="spellStart"/>
      <w:r w:rsidRPr="001B2A36">
        <w:t>branding</w:t>
      </w:r>
      <w:proofErr w:type="spellEnd"/>
      <w:r w:rsidRPr="001B2A36">
        <w:t xml:space="preserve"> et la notion de mythologie, suggérant que les dieux, à cette époque, aidaient les individus à vivre, à appréhender le monde et à enrichir leur quotidien. On avait un dieu pour la pluie, un autre pour le soleil, un autre encore</w:t>
      </w:r>
      <w:r w:rsidR="0002695E">
        <w:t xml:space="preserve"> pour la beauté et la sécurité.</w:t>
      </w:r>
      <w:r w:rsidR="009A0135">
        <w:rPr>
          <w:rStyle w:val="Appelnotedebasdep"/>
        </w:rPr>
        <w:footnoteReference w:id="58"/>
      </w:r>
      <w:r>
        <w:t xml:space="preserve"> </w:t>
      </w:r>
    </w:p>
    <w:p w14:paraId="0E66CB2A" w14:textId="77777777" w:rsidR="0002695E" w:rsidRDefault="0002695E" w:rsidP="0002695E">
      <w:r w:rsidRPr="001B2A36">
        <w:t>Actuellement, c'est L'Oréal, l'incarnation de la beauté et Mercedes qui veillent sur notre sécurité routière.</w:t>
      </w:r>
    </w:p>
    <w:p w14:paraId="188CB0A0" w14:textId="77777777" w:rsidR="009A0135" w:rsidRDefault="009A0135" w:rsidP="006F6589">
      <w:pPr>
        <w:pStyle w:val="Titre2"/>
        <w:numPr>
          <w:ilvl w:val="1"/>
          <w:numId w:val="6"/>
        </w:numPr>
      </w:pPr>
      <w:bookmarkStart w:id="70" w:name="_Toc200825417"/>
      <w:r>
        <w:t>L'influence de l'image de marque</w:t>
      </w:r>
      <w:bookmarkEnd w:id="70"/>
    </w:p>
    <w:p w14:paraId="68609D99" w14:textId="77777777" w:rsidR="009A0135" w:rsidRDefault="009A0135" w:rsidP="00F577B6">
      <w:r>
        <w:t>Le processus d'influence de la marque se définit par Keller (2003)</w:t>
      </w:r>
      <w:r>
        <w:rPr>
          <w:rStyle w:val="Appelnotedebasdep"/>
        </w:rPr>
        <w:footnoteReference w:id="59"/>
      </w:r>
      <w:r>
        <w:t xml:space="preserve"> comme:</w:t>
      </w:r>
    </w:p>
    <w:p w14:paraId="5D8AEE9E" w14:textId="77777777" w:rsidR="009A0135" w:rsidRPr="005A26DD" w:rsidRDefault="009A0135" w:rsidP="00F577B6">
      <w:pPr>
        <w:jc w:val="center"/>
        <w:rPr>
          <w:rFonts w:cstheme="majorBidi"/>
          <w:b/>
          <w:bCs/>
          <w:szCs w:val="24"/>
        </w:rPr>
      </w:pPr>
      <w:r w:rsidRPr="005A26DD">
        <w:rPr>
          <w:rFonts w:cstheme="majorBidi"/>
          <w:b/>
          <w:bCs/>
          <w:szCs w:val="24"/>
        </w:rPr>
        <w:t>Les effets sur les consommateurs quand une marque est associée à une autre personne (p. ex., les employés et les endosseurs...), à une place (p. ex., le pays d'origine et les canaux de distribution), à une chose (p. ex., l'événement, la cause, le 3° partie d'endosseur) ou à une autre marque (p. ex., l'alliance, l'ingrédient, la compagnie, l'extension). [traduction libre] (p. 598).</w:t>
      </w:r>
    </w:p>
    <w:p w14:paraId="35F0FCCA" w14:textId="77777777" w:rsidR="009A0135" w:rsidRDefault="00886A3C" w:rsidP="00886A3C">
      <w:r w:rsidRPr="00886A3C">
        <w:t>Pour comprendre ce processus, il est nécessaire de connaître ce que le consommateur sait de la marque et comment cette connaissance peut influencer l'association entre la marque et une autre entité. Par exemple, MacDonald et Sharp (2000) ont réalisé une recherche sur l'influence de la notoriété d'une marque sur le proces</w:t>
      </w:r>
      <w:r>
        <w:t xml:space="preserve">sus décisionnel du consommateur </w:t>
      </w:r>
      <w:r w:rsidR="009A0135">
        <w:rPr>
          <w:rStyle w:val="Appelnotedebasdep"/>
        </w:rPr>
        <w:footnoteReference w:id="60"/>
      </w:r>
      <w:r w:rsidR="009A0135">
        <w:t xml:space="preserve"> </w:t>
      </w:r>
      <w:r w:rsidRPr="00886A3C">
        <w:t xml:space="preserve">en Australie. Cette recherche indique qu'être familier avec une marque, spécifiquement pour les marques de </w:t>
      </w:r>
      <w:r w:rsidRPr="00886A3C">
        <w:lastRenderedPageBreak/>
        <w:t xml:space="preserve">beurre d'arachide, est crucial pour le consommateur confronté à une nouvelle décision d'achat, ainsi que dans une situation familière ou un choix récurrent. Par ailleurs, bien que certains consommateurs modifient leurs préférences d'achat en optant pour une autre marque qu'ils connaissent, nombreux sont ceux qui montrent une propension à revenir à leurs pratiques antérieures. Par ailleurs, d'après une recherche menée par </w:t>
      </w:r>
      <w:proofErr w:type="spellStart"/>
      <w:r w:rsidRPr="00886A3C">
        <w:t>Graeff</w:t>
      </w:r>
      <w:proofErr w:type="spellEnd"/>
      <w:r w:rsidRPr="00886A3C">
        <w:t xml:space="preserve"> en 1997</w:t>
      </w:r>
      <w:r>
        <w:t xml:space="preserve"> </w:t>
      </w:r>
      <w:r w:rsidR="009A0135">
        <w:rPr>
          <w:rStyle w:val="Appelnotedebasdep"/>
        </w:rPr>
        <w:footnoteReference w:id="61"/>
      </w:r>
      <w:r w:rsidR="009A0135">
        <w:t xml:space="preserve">, </w:t>
      </w:r>
      <w:r w:rsidRPr="00886A3C">
        <w:t>Plus un client est informé sur une marque, meilleure sera sa compréhension des informations transmises par celle-ci. En utilisant une marque, un consommateur peut saisir les répercussions (par exemple, les avantages) de certaines caractéristiques spécifiques qui, avant d'utiliser cette marque, lui étaient parfois inconnues. En somme, il faut saisir et accepter le caractère multidimensionnel de la connaissance du consommateur concernant la marque et l'influence pour offrir une perspective optimale sur l'étude du cons</w:t>
      </w:r>
      <w:r>
        <w:t xml:space="preserve">ommateur en lien avec la marque </w:t>
      </w:r>
      <w:r w:rsidR="009A0135">
        <w:rPr>
          <w:rStyle w:val="Appelnotedebasdep"/>
        </w:rPr>
        <w:footnoteReference w:id="62"/>
      </w:r>
      <w:r w:rsidR="009A0135">
        <w:t>.</w:t>
      </w:r>
    </w:p>
    <w:p w14:paraId="791E9F9B" w14:textId="77777777" w:rsidR="009A0135" w:rsidRPr="00886A3C" w:rsidRDefault="00886A3C" w:rsidP="00886A3C">
      <w:pPr>
        <w:ind w:firstLine="0"/>
      </w:pPr>
      <w:r w:rsidRPr="00886A3C">
        <w:t>Il existe divers indicateurs pour évaluer la puissance d'une image de marque. Cependant, ils doivent se baser sur les paramètres essentiels de la perception des consommateurs et les performances du</w:t>
      </w:r>
      <w:r>
        <w:t xml:space="preserve"> marché réalisées par la marque </w:t>
      </w:r>
      <w:r w:rsidR="009A0135">
        <w:rPr>
          <w:rStyle w:val="Appelnotedebasdep"/>
        </w:rPr>
        <w:footnoteReference w:id="63"/>
      </w:r>
      <w:r w:rsidR="009A0135">
        <w:t xml:space="preserve">. </w:t>
      </w:r>
      <w:r>
        <w:t xml:space="preserve"> D'après </w:t>
      </w:r>
      <w:proofErr w:type="spellStart"/>
      <w:r>
        <w:t>Yeshin</w:t>
      </w:r>
      <w:proofErr w:type="spellEnd"/>
      <w:r>
        <w:t xml:space="preserve"> (1998), </w:t>
      </w:r>
      <w:r w:rsidR="009A0135">
        <w:rPr>
          <w:rStyle w:val="Appelnotedebasdep"/>
        </w:rPr>
        <w:footnoteReference w:id="64"/>
      </w:r>
      <w:r>
        <w:t xml:space="preserve"> les indicateurs de la valeur de marque comprennent : l'appréciation de la qualité (par exemple, la réaction aux prix, la valeur de l'entreprise et des ventes), la notoriété (par exemple, le pourcentage de consommateurs ayant une bonne connaissance de la marque), l'association d'une marque à une perception positive, le contentement du client, la loyauté du client, l'éventualité d'achat, l'accessibilité et le premier prix envisageable. Selon </w:t>
      </w:r>
      <w:proofErr w:type="spellStart"/>
      <w:r>
        <w:t>Coopers</w:t>
      </w:r>
      <w:proofErr w:type="spellEnd"/>
      <w:r>
        <w:t xml:space="preserve"> et Simmons (1997), trois dimensions supplémentaires sont introduites : l'illustration de la marque (par exemple, les images et les associations), la force de la marque (par exemple, son importance et son influence) et le futur de la marque (par exemple, sa capacité à prospérer et les modifications à venir). Un des composants </w:t>
      </w:r>
      <w:r w:rsidR="009A0135">
        <w:t xml:space="preserve">essentiels de la force d'une marque est sa durabilité. </w:t>
      </w:r>
      <w:r w:rsidRPr="00886A3C">
        <w:t xml:space="preserve">D'après Michon (2002), pour qu'une image de marque soit pérenne, elle doit se reposer sur trois composantes : la culture (par exemple, les valeurs socioculturelles à long terme qui transcendent la tendance), le « must » (par exemple, l'avantage ou l'innovation qui permet à la marque de perdurer) et la légende (par exemple, le mythe dans le présent et l'avenir à partir du passé). En somme, la loyauté du client et la pérennité de la marque sont des paramètres essentiels pour évaluer la puissance de l'image de marque. Plus l'image de marque est forte, plus l'entreprise se trouve à l'abri d'une </w:t>
      </w:r>
      <w:r w:rsidRPr="00886A3C">
        <w:lastRenderedPageBreak/>
        <w:t>concurrence intense. C'est la raison pour laquelle il y a des éléments essentiels pour renforcer l'image de marque.</w:t>
      </w:r>
      <w:r w:rsidR="009A0135">
        <w:t xml:space="preserve"> </w:t>
      </w:r>
      <w:r w:rsidR="009A0135">
        <w:rPr>
          <w:rStyle w:val="Appelnotedebasdep"/>
        </w:rPr>
        <w:footnoteReference w:id="65"/>
      </w:r>
    </w:p>
    <w:p w14:paraId="26DDEF6D" w14:textId="77777777" w:rsidR="009A0135" w:rsidRDefault="009A0135" w:rsidP="006F6589">
      <w:pPr>
        <w:pStyle w:val="Titre2"/>
        <w:numPr>
          <w:ilvl w:val="1"/>
          <w:numId w:val="6"/>
        </w:numPr>
      </w:pPr>
      <w:r>
        <w:t xml:space="preserve"> </w:t>
      </w:r>
      <w:bookmarkStart w:id="71" w:name="_Toc200825418"/>
      <w:r>
        <w:t>Les facteurs-clés de succès de l'image de marque</w:t>
      </w:r>
      <w:bookmarkEnd w:id="71"/>
    </w:p>
    <w:p w14:paraId="2B36F4A7" w14:textId="77777777" w:rsidR="009A0135" w:rsidRDefault="00420458" w:rsidP="00420458">
      <w:r w:rsidRPr="00420458">
        <w:t xml:space="preserve">Il est erroné de penser que la réussite d'une image de marque dépend uniquement des moyens financiers et de l'envergure de la société. Ce sont principalement le genre d'entreprise et le marché ciblé qui détermineront les dépenses nécessaires pour créer une image de marque. Un bon exemple de réussite en matière de </w:t>
      </w:r>
      <w:proofErr w:type="spellStart"/>
      <w:r w:rsidRPr="00420458">
        <w:t>branding</w:t>
      </w:r>
      <w:proofErr w:type="spellEnd"/>
      <w:r w:rsidRPr="00420458">
        <w:t xml:space="preserve"> qui n'a pas forcément été coûteuse, c'est la notoriété de la marque Starbucks.</w:t>
      </w:r>
      <w:r>
        <w:t xml:space="preserve"> </w:t>
      </w:r>
      <w:r w:rsidRPr="00420458">
        <w:t xml:space="preserve">Effectivement, dans un premier temps, </w:t>
      </w:r>
      <w:proofErr w:type="spellStart"/>
      <w:r w:rsidRPr="00420458">
        <w:t>Starbuck</w:t>
      </w:r>
      <w:proofErr w:type="spellEnd"/>
      <w:r w:rsidRPr="00420458">
        <w:t xml:space="preserve"> n'a pas recouru à la publicité. C'est davantage l'interaction directe avec la clientèle et l'ambiance du point de vente qui ont façonné l'image de marque actuelle. En somme, la taille d'une entreprise ne détermine pas sa capacité à atteindre la grandeur. Effectivement, il n'est pas réservé aux grandes entreprises de construire une image de marque, toutes les PME ont la possibilité de créer la leur. Cependant, c'est la nature de l'entreprise et le marché qui définiront son étendue.</w:t>
      </w:r>
    </w:p>
    <w:p w14:paraId="76546C27" w14:textId="77777777" w:rsidR="00213B0D" w:rsidRDefault="00420458" w:rsidP="00213B0D">
      <w:r w:rsidRPr="00420458">
        <w:t xml:space="preserve">D'après </w:t>
      </w:r>
      <w:proofErr w:type="spellStart"/>
      <w:r w:rsidRPr="00420458">
        <w:t>Lewi</w:t>
      </w:r>
      <w:proofErr w:type="spellEnd"/>
      <w:r w:rsidRPr="00420458">
        <w:t xml:space="preserve"> (2002),</w:t>
      </w:r>
      <w:r>
        <w:t xml:space="preserve"> </w:t>
      </w:r>
      <w:r w:rsidR="009A0135">
        <w:rPr>
          <w:rStyle w:val="Appelnotedebasdep"/>
        </w:rPr>
        <w:footnoteReference w:id="66"/>
      </w:r>
      <w:r w:rsidR="009A0135">
        <w:t xml:space="preserve"> </w:t>
      </w:r>
      <w:r w:rsidRPr="00420458">
        <w:t>il y a cinq éléments clés pour une image de marque réussie ; il les synthétise sous l'acronyme QIPPS, qui se réfère à : Qualité (par exemple, la relation qualité/prix), Innovation continue, Proximité, Plaisir (par exemple, l'aspect divertissant) et Sincérité (par exemple, l'engagement éthique). Cependant, ces éléments de réussite peuvent être compromis par l'ennemi principal de la réputation, l'individu.</w:t>
      </w:r>
      <w:r>
        <w:t xml:space="preserve"> </w:t>
      </w:r>
      <w:r w:rsidR="009A0135">
        <w:t xml:space="preserve">Selon </w:t>
      </w:r>
      <w:proofErr w:type="spellStart"/>
      <w:r w:rsidR="009A0135">
        <w:t>Bergstrom</w:t>
      </w:r>
      <w:proofErr w:type="spellEnd"/>
      <w:r w:rsidR="009A0135">
        <w:t xml:space="preserve"> (2002) </w:t>
      </w:r>
      <w:r w:rsidR="009A0135">
        <w:rPr>
          <w:rStyle w:val="Appelnotedebasdep"/>
        </w:rPr>
        <w:footnoteReference w:id="67"/>
      </w:r>
      <w:r w:rsidR="009A0135">
        <w:t xml:space="preserve"> , </w:t>
      </w:r>
      <w:r w:rsidR="00213B0D" w:rsidRPr="00213B0D">
        <w:t>Dans les faits, le principal adversaire de l'image de marque est la cohérence. En d'autres termes, l'image de marque doit conserver les buts commerciaux établis par les administrateurs, ceci étant vrai pour toutes les décisions marketing et autres initiatives mises en œuvre par la société.</w:t>
      </w:r>
    </w:p>
    <w:p w14:paraId="1FC60AEE" w14:textId="77777777" w:rsidR="009A0135" w:rsidRDefault="00C561A2" w:rsidP="00C561A2">
      <w:r>
        <w:t xml:space="preserve"> </w:t>
      </w:r>
      <w:r w:rsidR="009A0135">
        <w:t xml:space="preserve">Selon Heude (1989) </w:t>
      </w:r>
      <w:r w:rsidR="009A0135">
        <w:rPr>
          <w:rStyle w:val="Appelnotedebasdep"/>
        </w:rPr>
        <w:footnoteReference w:id="68"/>
      </w:r>
      <w:r w:rsidR="009A0135">
        <w:t xml:space="preserve">, </w:t>
      </w:r>
      <w:r w:rsidRPr="00C561A2">
        <w:t xml:space="preserve">Les trois éléments clés pour réussir son image de marque sont : Compétence, Charme et Culot. Premièrement, la compétence aide à persuader et fidéliser un client. Le concept de compréhension du client et de l'activité de l'entreprise favorise l'innovation et le développement de la marque. Par la suite, le charme incite à séduire, attirer et fidéliser les consommateurs vers la marque sélectionnée. En définitive, l'objectif du culot est d'atteindre </w:t>
      </w:r>
      <w:r w:rsidRPr="00C561A2">
        <w:lastRenderedPageBreak/>
        <w:t>ceux qui contribueront à améliorer la réputation de la marque en ayant le courage de prendre des risq</w:t>
      </w:r>
      <w:r>
        <w:t xml:space="preserve">ues et de faire preuve d'audace </w:t>
      </w:r>
      <w:r w:rsidR="009A0135">
        <w:rPr>
          <w:rStyle w:val="Appelnotedebasdep"/>
        </w:rPr>
        <w:footnoteReference w:id="69"/>
      </w:r>
      <w:r w:rsidR="009A0135">
        <w:t>.</w:t>
      </w:r>
    </w:p>
    <w:p w14:paraId="0B9E228F" w14:textId="77777777" w:rsidR="00C561A2" w:rsidRPr="00C561A2" w:rsidRDefault="00C561A2" w:rsidP="00C561A2">
      <w:r w:rsidRPr="00C561A2">
        <w:t>Cependant, pour changer une image de marque, il est crucial de comprendre les sept éléments fondamentaux de l'Homme, car pour avancer, il est nécessaire de se connaître soi-même. Les sept éléments essentiels de l'être humain comprennent : la création (par exemple, l'inconscient et l'éducation), les sensations (par exemple, le goût, la vue, l'ouïe, le toucher et l'odorat), le langage (par exemple, les moyens de communication), la suggestion (par exemple, l'impact des mots), l'imagination, le désir et le jeu (par exemple, la réalisation personnelle). En résumé, les éléments qui font le succès ou l'échec d'une marque sont créés par les mêmes intervenants, à savoir les individus.</w:t>
      </w:r>
    </w:p>
    <w:p w14:paraId="4CA0701C" w14:textId="77777777" w:rsidR="00C561A2" w:rsidRPr="00C561A2" w:rsidRDefault="00C561A2" w:rsidP="00C561A2">
      <w:bookmarkStart w:id="72" w:name="_Toc200825419"/>
      <w:r w:rsidRPr="00C561A2">
        <w:t>En outre, ces facteurs de réussite peuvent également être utilisés par les consommateurs pour juger l'image de marque.</w:t>
      </w:r>
    </w:p>
    <w:p w14:paraId="41F9C9CC" w14:textId="77777777" w:rsidR="009A0135" w:rsidRPr="00A40B30" w:rsidRDefault="009A0135" w:rsidP="006F6589">
      <w:pPr>
        <w:pStyle w:val="Titre2"/>
        <w:numPr>
          <w:ilvl w:val="1"/>
          <w:numId w:val="6"/>
        </w:numPr>
      </w:pPr>
      <w:r w:rsidRPr="00A40B30">
        <w:t>La perception et l'image de la marque.</w:t>
      </w:r>
      <w:bookmarkEnd w:id="72"/>
    </w:p>
    <w:p w14:paraId="26BF78F8" w14:textId="77777777" w:rsidR="009A0135" w:rsidRDefault="009A0135" w:rsidP="00F577B6">
      <w:r>
        <w:t xml:space="preserve">La perception de la marque correspond à l’interprétation individuelle qu’en fait chaque consommateur sur la base des informations auxquelles il est exposé </w:t>
      </w:r>
      <w:r>
        <w:rPr>
          <w:rStyle w:val="Appelnotedebasdep"/>
        </w:rPr>
        <w:footnoteReference w:id="70"/>
      </w:r>
      <w:r>
        <w:t xml:space="preserve"> .</w:t>
      </w:r>
    </w:p>
    <w:p w14:paraId="1A907E1D" w14:textId="77777777" w:rsidR="009A0135" w:rsidRDefault="009A0135" w:rsidP="00F577B6">
      <w:r>
        <w:t xml:space="preserve"> Cette perception varie en fonction de plusieurs facteurs :</w:t>
      </w:r>
    </w:p>
    <w:p w14:paraId="3442E4F8" w14:textId="77777777" w:rsidR="009A0135" w:rsidRPr="00A40B30" w:rsidRDefault="009A0135" w:rsidP="006F6589">
      <w:pPr>
        <w:pStyle w:val="Titre3"/>
        <w:numPr>
          <w:ilvl w:val="2"/>
          <w:numId w:val="6"/>
        </w:numPr>
      </w:pPr>
      <w:bookmarkStart w:id="73" w:name="_Toc200825420"/>
      <w:r w:rsidRPr="00A40B30">
        <w:t>La Communication Marketing</w:t>
      </w:r>
      <w:bookmarkEnd w:id="73"/>
    </w:p>
    <w:p w14:paraId="0556CE0C" w14:textId="77777777" w:rsidR="009A0135" w:rsidRDefault="009A0135" w:rsidP="00F577B6">
      <w:r>
        <w:t>Les entreprises influencent activement l’image de leur marque à travers des stratégies de communication variées, telles que :</w:t>
      </w:r>
    </w:p>
    <w:p w14:paraId="6E2B4E91" w14:textId="77777777" w:rsidR="009A0135" w:rsidRDefault="009A0135" w:rsidP="006F6589">
      <w:pPr>
        <w:pStyle w:val="Paragraphedeliste"/>
        <w:numPr>
          <w:ilvl w:val="0"/>
          <w:numId w:val="7"/>
        </w:numPr>
      </w:pPr>
      <w:r w:rsidRPr="00A40B30">
        <w:rPr>
          <w:b/>
          <w:bCs/>
        </w:rPr>
        <w:t>La publicité</w:t>
      </w:r>
      <w:r>
        <w:t xml:space="preserve"> : La manière dont une marque se présente dans les médias (TV, radio, presse, digital) façonne la perception qu’en ont les consommateurs </w:t>
      </w:r>
      <w:r>
        <w:rPr>
          <w:rStyle w:val="Appelnotedebasdep"/>
        </w:rPr>
        <w:footnoteReference w:id="71"/>
      </w:r>
      <w:r>
        <w:t>.</w:t>
      </w:r>
    </w:p>
    <w:p w14:paraId="0E71F0F6" w14:textId="77777777" w:rsidR="009A0135" w:rsidRDefault="009A0135" w:rsidP="006F6589">
      <w:pPr>
        <w:pStyle w:val="Paragraphedeliste"/>
        <w:numPr>
          <w:ilvl w:val="0"/>
          <w:numId w:val="7"/>
        </w:numPr>
      </w:pPr>
      <w:r w:rsidRPr="00A40B30">
        <w:rPr>
          <w:b/>
          <w:bCs/>
        </w:rPr>
        <w:t>Le marketing digital</w:t>
      </w:r>
      <w:r>
        <w:t xml:space="preserve"> : Les campagnes sur les réseaux sociaux, les avis en ligne et les blogs influencent significativement la perception d’une marque, en raison du rôle croissant du bouche-à-oreille électronique </w:t>
      </w:r>
      <w:r>
        <w:rPr>
          <w:rStyle w:val="Appelnotedebasdep"/>
        </w:rPr>
        <w:footnoteReference w:id="72"/>
      </w:r>
      <w:r>
        <w:t>.</w:t>
      </w:r>
    </w:p>
    <w:p w14:paraId="4435D094" w14:textId="77777777" w:rsidR="009A0135" w:rsidRDefault="009A0135" w:rsidP="006F6589">
      <w:pPr>
        <w:pStyle w:val="Paragraphedeliste"/>
        <w:numPr>
          <w:ilvl w:val="0"/>
          <w:numId w:val="7"/>
        </w:numPr>
      </w:pPr>
      <w:r w:rsidRPr="00A40B30">
        <w:rPr>
          <w:b/>
          <w:bCs/>
        </w:rPr>
        <w:lastRenderedPageBreak/>
        <w:t>Le sponsoring et le mécénat</w:t>
      </w:r>
      <w:r>
        <w:t xml:space="preserve"> : L’association d’une marque avec des événements culturels, sportifs ou humanitaires peut renforcer une perception positive et améliorer son capital sympathie </w:t>
      </w:r>
      <w:r>
        <w:rPr>
          <w:rStyle w:val="Appelnotedebasdep"/>
        </w:rPr>
        <w:footnoteReference w:id="73"/>
      </w:r>
      <w:r>
        <w:t>.</w:t>
      </w:r>
    </w:p>
    <w:p w14:paraId="5F8F94FB" w14:textId="77777777" w:rsidR="009A0135" w:rsidRDefault="009A0135" w:rsidP="006F6589">
      <w:pPr>
        <w:pStyle w:val="Titre3"/>
        <w:numPr>
          <w:ilvl w:val="2"/>
          <w:numId w:val="6"/>
        </w:numPr>
      </w:pPr>
      <w:r>
        <w:t xml:space="preserve"> </w:t>
      </w:r>
      <w:bookmarkStart w:id="74" w:name="_Toc200825421"/>
      <w:r>
        <w:t>L’Expérience Client</w:t>
      </w:r>
      <w:bookmarkEnd w:id="74"/>
    </w:p>
    <w:p w14:paraId="22534B82" w14:textId="77777777" w:rsidR="009A0135" w:rsidRDefault="009A0135" w:rsidP="00F577B6">
      <w:r>
        <w:t xml:space="preserve">L’expérience directe du consommateur avec la marque est un facteur clé de perception. Selon Pine &amp; Gilmore (1998), une expérience client réussie crée un lien émotionnel fort avec la marque, ce qui peut renforcer la fidélité. Une expérience client négative, en revanche, peut nuire gravement à l’image de la marque et se propager rapidement via les avis en ligne et les réseaux sociaux </w:t>
      </w:r>
      <w:r>
        <w:rPr>
          <w:rStyle w:val="Appelnotedebasdep"/>
        </w:rPr>
        <w:footnoteReference w:id="74"/>
      </w:r>
      <w:r>
        <w:t>.</w:t>
      </w:r>
    </w:p>
    <w:p w14:paraId="70848A66" w14:textId="77777777" w:rsidR="009A0135" w:rsidRDefault="009A0135" w:rsidP="006F6589">
      <w:pPr>
        <w:pStyle w:val="Titre3"/>
        <w:numPr>
          <w:ilvl w:val="2"/>
          <w:numId w:val="6"/>
        </w:numPr>
      </w:pPr>
      <w:bookmarkStart w:id="75" w:name="_Toc200825422"/>
      <w:r>
        <w:t>La Réputation et la Notoriété de la Marque</w:t>
      </w:r>
      <w:bookmarkEnd w:id="75"/>
    </w:p>
    <w:p w14:paraId="27BE5288" w14:textId="77777777" w:rsidR="009A0135" w:rsidRDefault="009A0135" w:rsidP="00F577B6">
      <w:r>
        <w:t>Une marque connue bénéficie généralement d’un capital confiance plus élevé (</w:t>
      </w:r>
      <w:proofErr w:type="spellStart"/>
      <w:r>
        <w:t>Aaker</w:t>
      </w:r>
      <w:proofErr w:type="spellEnd"/>
      <w:r>
        <w:t xml:space="preserve">, 1991). La notoriété joue un rôle crucial dans la perception de la marque, car un nom familier inspire plus facilement confiance qu’une marque inconnue </w:t>
      </w:r>
      <w:r>
        <w:rPr>
          <w:rStyle w:val="Appelnotedebasdep"/>
        </w:rPr>
        <w:footnoteReference w:id="75"/>
      </w:r>
      <w:r>
        <w:t>.</w:t>
      </w:r>
    </w:p>
    <w:p w14:paraId="4B70FF67" w14:textId="77777777" w:rsidR="009A0135" w:rsidRDefault="009A0135" w:rsidP="006F6589">
      <w:pPr>
        <w:pStyle w:val="Titre1"/>
        <w:numPr>
          <w:ilvl w:val="0"/>
          <w:numId w:val="6"/>
        </w:numPr>
      </w:pPr>
      <w:bookmarkStart w:id="76" w:name="_Toc200825423"/>
      <w:r w:rsidRPr="00D40666">
        <w:t xml:space="preserve">L’impact </w:t>
      </w:r>
      <w:r>
        <w:t xml:space="preserve">la perception </w:t>
      </w:r>
      <w:r w:rsidRPr="00D40666">
        <w:t>du greenwashing</w:t>
      </w:r>
      <w:bookmarkEnd w:id="76"/>
    </w:p>
    <w:p w14:paraId="4902DDA5" w14:textId="77777777" w:rsidR="009A0135" w:rsidRDefault="009A0135" w:rsidP="00F577B6">
      <w:r>
        <w:t>Dans le chapitre précédent, nous avons approfondi notre compréhension des divers facteurs influençant la perception des consommateurs. Maintenant, nous aborderons les différentes réactions de ces derniers face à cette perception, en mettant l'accent sur les conséquences du greenwashing sur l'image de marque et l'intention d'achat. Nous explorerons comment ce phénomène peut éroder la confiance, réduire l'engagement, affaiblir l'attachement à la marque et ternir sa réputation. De plus, nous analyserons comment le greenwashing influence l'intention d'achat, notamment à travers la fidélité des clients, les risques de boycott ainsi que son impact sur les ventes et l'acquisition de nouveaux clients.</w:t>
      </w:r>
    </w:p>
    <w:p w14:paraId="0DFDEADF" w14:textId="77777777" w:rsidR="009A0135" w:rsidRPr="0063337D" w:rsidRDefault="009A0135" w:rsidP="006F6589">
      <w:pPr>
        <w:pStyle w:val="Titre2"/>
        <w:numPr>
          <w:ilvl w:val="1"/>
          <w:numId w:val="6"/>
        </w:numPr>
      </w:pPr>
      <w:bookmarkStart w:id="77" w:name="_Toc200825424"/>
      <w:r w:rsidRPr="0063337D">
        <w:lastRenderedPageBreak/>
        <w:t>Impacts sur l'image de marque</w:t>
      </w:r>
      <w:bookmarkEnd w:id="77"/>
    </w:p>
    <w:p w14:paraId="61281E03" w14:textId="77777777" w:rsidR="009A0135" w:rsidRDefault="009A0135" w:rsidP="006F6589">
      <w:pPr>
        <w:pStyle w:val="Titre3"/>
        <w:numPr>
          <w:ilvl w:val="2"/>
          <w:numId w:val="6"/>
        </w:numPr>
      </w:pPr>
      <w:bookmarkStart w:id="78" w:name="_Toc200825425"/>
      <w:r>
        <w:t>Érosion de la confiance et crédibilité affaiblie</w:t>
      </w:r>
      <w:bookmarkEnd w:id="78"/>
    </w:p>
    <w:p w14:paraId="5B145159" w14:textId="77777777" w:rsidR="009A0135" w:rsidRDefault="009A0135" w:rsidP="00F577B6">
      <w:r>
        <w:t xml:space="preserve">La confiance et la crédibilité sont deux aspects distincts mais interconnectés lorsqu'il s'agit d'évaluer les pratiques de durabilité d'une marque. La confiance concerne la conviction accordée par les consommateurs quant à l'engagement réel de la marque envers la durabilité, tandis que la crédibilité se réfère à la perception de la fiabilité et de la sincérité de la marque dans ses actions et ses communications environnementales </w:t>
      </w:r>
      <w:r>
        <w:rPr>
          <w:rStyle w:val="Appelnotedebasdep"/>
        </w:rPr>
        <w:footnoteReference w:id="76"/>
      </w:r>
      <w:r>
        <w:t>.</w:t>
      </w:r>
    </w:p>
    <w:p w14:paraId="3581B1A1" w14:textId="77777777" w:rsidR="009A0135" w:rsidRDefault="009A0135" w:rsidP="00F577B6">
      <w:r>
        <w:t xml:space="preserve">Le greenwashing entraîne un écart entre les déclarations de responsabilité environnementale d'une marque et son véritable impact écologique, ce qui ébranle la confiance des consommateurs </w:t>
      </w:r>
      <w:r>
        <w:rPr>
          <w:rStyle w:val="Appelnotedebasdep"/>
        </w:rPr>
        <w:footnoteReference w:id="77"/>
      </w:r>
      <w:r>
        <w:t xml:space="preserve">. Les marques se livrant à ces pratiques sont perçues comme manipulatrices et peu sincères quant à leurs engagements en matière de respect de l'environnement </w:t>
      </w:r>
      <w:r>
        <w:rPr>
          <w:rStyle w:val="Appelnotedebasdep"/>
        </w:rPr>
        <w:footnoteReference w:id="78"/>
      </w:r>
      <w:r>
        <w:t xml:space="preserve">. Cette perception suscite des doutes quant à l'authenticité et l'engagement réel de la marque envers la durabilité, ce qui entraîne une perte de confiance de la part des consommateurs </w:t>
      </w:r>
      <w:r>
        <w:rPr>
          <w:rStyle w:val="Appelnotedebasdep"/>
        </w:rPr>
        <w:footnoteReference w:id="79"/>
      </w:r>
      <w:r>
        <w:t>.</w:t>
      </w:r>
    </w:p>
    <w:p w14:paraId="4B882F5A" w14:textId="77777777" w:rsidR="009A0135" w:rsidRDefault="009A0135" w:rsidP="00F577B6">
      <w:r>
        <w:t xml:space="preserve">De plus, le greenwashing nuit également à la crédibilité de la marque. En effet, les consommateurs perçoivent ces pratiques comme des tentatives délibérées de tromperie, ce qui remet en question sa crédibilité </w:t>
      </w:r>
      <w:r>
        <w:rPr>
          <w:rStyle w:val="Appelnotedebasdep"/>
        </w:rPr>
        <w:footnoteReference w:id="80"/>
      </w:r>
      <w:r>
        <w:t>.</w:t>
      </w:r>
    </w:p>
    <w:p w14:paraId="428D5C92" w14:textId="77777777" w:rsidR="009A0135" w:rsidRDefault="009A0135" w:rsidP="006F6589">
      <w:pPr>
        <w:pStyle w:val="Titre3"/>
        <w:numPr>
          <w:ilvl w:val="2"/>
          <w:numId w:val="6"/>
        </w:numPr>
      </w:pPr>
      <w:bookmarkStart w:id="79" w:name="_Toc200825426"/>
      <w:r>
        <w:t>Réduction de l'engagement des consommateurs</w:t>
      </w:r>
      <w:bookmarkEnd w:id="79"/>
    </w:p>
    <w:p w14:paraId="442534D1" w14:textId="77777777" w:rsidR="009A0135" w:rsidRDefault="009A0135" w:rsidP="00F577B6">
      <w:r>
        <w:t xml:space="preserve">Une autre conséquence du greenwashing est le fait qu'il diminue l'implication des consommateurs envers la marque. Lorsqu'ils perçoivent une marque comme insincère ou peu digne de confiance en raison du greenwashing, ils sont moins enclins à s'engager avec son contenu et ses campagnes </w:t>
      </w:r>
      <w:r>
        <w:rPr>
          <w:rStyle w:val="Appelnotedebasdep"/>
        </w:rPr>
        <w:footnoteReference w:id="81"/>
      </w:r>
      <w:r>
        <w:t xml:space="preserve">. Ceci se traduit par une baisse de l'interaction sur les réseaux </w:t>
      </w:r>
      <w:r>
        <w:lastRenderedPageBreak/>
        <w:t xml:space="preserve">sociaux </w:t>
      </w:r>
      <w:r>
        <w:rPr>
          <w:rStyle w:val="Appelnotedebasdep"/>
        </w:rPr>
        <w:footnoteReference w:id="82"/>
      </w:r>
      <w:r>
        <w:t>. Cette diminution de l'engagement fragilise ainsi la relation entre la marque et les consommateurs</w:t>
      </w:r>
      <w:r>
        <w:rPr>
          <w:rStyle w:val="Appelnotedebasdep"/>
        </w:rPr>
        <w:footnoteReference w:id="83"/>
      </w:r>
      <w:r>
        <w:t>.</w:t>
      </w:r>
    </w:p>
    <w:p w14:paraId="6267FF5B" w14:textId="77777777" w:rsidR="009A0135" w:rsidRDefault="009A0135" w:rsidP="006F6589">
      <w:pPr>
        <w:pStyle w:val="Titre3"/>
        <w:numPr>
          <w:ilvl w:val="2"/>
          <w:numId w:val="6"/>
        </w:numPr>
      </w:pPr>
      <w:bookmarkStart w:id="80" w:name="_Toc200825427"/>
      <w:r>
        <w:t>Affaiblissement de l'attachement à la marque</w:t>
      </w:r>
      <w:bookmarkEnd w:id="80"/>
    </w:p>
    <w:p w14:paraId="4ABC2032" w14:textId="77777777" w:rsidR="009A0135" w:rsidRDefault="009A0135" w:rsidP="00F577B6">
      <w:r>
        <w:t xml:space="preserve">De plus, le greenwashing a un impact potentiel sur l'attachement que ressentent les consommateurs envers une marque, comme l'ont relevé différents chercheurs. Grégoire et Fisher (2007) ont notamment démontré que les actions trompeuses provoquent souvent chez les consommateurs des sentiments de trahison et de déception. Ces émotions négatives, à leur tour, peuvent détériorer les sentiments positifs que les consommateurs avaient pour la marque et déstabiliser la relation qu'ils entretiennent avec celle-ci, comme l'ont souligné Sun et Shi (2022). L'attachement d'un consommateur à une marque peut diminuer car celui-ci repose largement sur un engagement affectif, ce qui peut affecter négativement l'image de marque et l'intention d'achat </w:t>
      </w:r>
      <w:r>
        <w:rPr>
          <w:rStyle w:val="Appelnotedebasdep"/>
        </w:rPr>
        <w:footnoteReference w:id="84"/>
      </w:r>
      <w:r>
        <w:t xml:space="preserve"> .</w:t>
      </w:r>
    </w:p>
    <w:p w14:paraId="2E2C0BB6" w14:textId="77777777" w:rsidR="009A0135" w:rsidRDefault="009A0135" w:rsidP="006F6589">
      <w:pPr>
        <w:pStyle w:val="Titre3"/>
        <w:numPr>
          <w:ilvl w:val="2"/>
          <w:numId w:val="6"/>
        </w:numPr>
      </w:pPr>
      <w:bookmarkStart w:id="81" w:name="_Toc200825428"/>
      <w:r>
        <w:t>Répercussions sur la réputation de la marque</w:t>
      </w:r>
      <w:bookmarkEnd w:id="81"/>
    </w:p>
    <w:p w14:paraId="6ACA0E05" w14:textId="77777777" w:rsidR="009A0135" w:rsidRDefault="009A0135" w:rsidP="00F577B6">
      <w:r>
        <w:t>Le greenwashing peut influencer la réputation de la marque auprès des consommateurs. En effet, lorsque ces derniers se sentent trompés, ils sont plus susceptibles de partager leurs expériences négatives sur les réseaux sociaux</w:t>
      </w:r>
      <w:r>
        <w:rPr>
          <w:rStyle w:val="Appelnotedebasdep"/>
        </w:rPr>
        <w:footnoteReference w:id="85"/>
      </w:r>
      <w:r>
        <w:t xml:space="preserve">. À l'ère du numérique, ces informations se propagent à grande vitesse, ce qui peut amplifier l'impact sur la réputation de la marque </w:t>
      </w:r>
      <w:r>
        <w:rPr>
          <w:rStyle w:val="Appelnotedebasdep"/>
        </w:rPr>
        <w:footnoteReference w:id="86"/>
      </w:r>
      <w:r>
        <w:t>.</w:t>
      </w:r>
    </w:p>
    <w:p w14:paraId="6488CBE7" w14:textId="77777777" w:rsidR="009A0135" w:rsidRDefault="009A0135" w:rsidP="00F577B6">
      <w:r>
        <w:t xml:space="preserve">La perte de confiance et les expériences négatives partagées peuvent également affecter la manière dont les consommateurs perçoivent la marque, ce qui peut modifier son positionnement dans son secteur. Ce qui suggère qu'une marque qui est perçue comme moins crédible suite à des pratiques de greenwashing peut perdre une partie de son attrait auprès de ses consommateurs existants et potentiels </w:t>
      </w:r>
      <w:r>
        <w:rPr>
          <w:rStyle w:val="Appelnotedebasdep"/>
        </w:rPr>
        <w:footnoteReference w:id="87"/>
      </w:r>
      <w:r>
        <w:t xml:space="preserve"> .</w:t>
      </w:r>
    </w:p>
    <w:p w14:paraId="6F0340F2" w14:textId="77777777" w:rsidR="009A0135" w:rsidRDefault="009A0135" w:rsidP="006F6589">
      <w:pPr>
        <w:pStyle w:val="Titre2"/>
        <w:numPr>
          <w:ilvl w:val="1"/>
          <w:numId w:val="6"/>
        </w:numPr>
      </w:pPr>
      <w:bookmarkStart w:id="82" w:name="_Toc200825429"/>
      <w:r>
        <w:lastRenderedPageBreak/>
        <w:t>Impacts sur l'intention d'achat</w:t>
      </w:r>
      <w:bookmarkEnd w:id="82"/>
    </w:p>
    <w:p w14:paraId="6ADF708F" w14:textId="77777777" w:rsidR="009A0135" w:rsidRDefault="009A0135" w:rsidP="006F6589">
      <w:pPr>
        <w:pStyle w:val="Titre3"/>
        <w:numPr>
          <w:ilvl w:val="2"/>
          <w:numId w:val="6"/>
        </w:numPr>
      </w:pPr>
      <w:bookmarkStart w:id="83" w:name="_Toc200825430"/>
      <w:r>
        <w:t>Perte de fidélité des clients</w:t>
      </w:r>
      <w:bookmarkEnd w:id="83"/>
    </w:p>
    <w:p w14:paraId="18EE067A" w14:textId="77777777" w:rsidR="009A0135" w:rsidRDefault="009A0135" w:rsidP="00F577B6">
      <w:r>
        <w:t xml:space="preserve">Une étude a démontré que le greenwashing influe négativement sur les décisions d'achat des consommateurs </w:t>
      </w:r>
      <w:r>
        <w:rPr>
          <w:rStyle w:val="Appelnotedebasdep"/>
        </w:rPr>
        <w:footnoteReference w:id="88"/>
      </w:r>
      <w:r>
        <w:t xml:space="preserve"> . En effet, ceux-ci se détournent généralement des marques perçues comme coupables de greenwashing pour se tourner vers celles qui sont jugées plus honnêtes et fiables dans leurs actions écologiques. Ce phénomène engendre une baisse de l'intérêt d'achat envers les marques qui pratiquent le greenwashing </w:t>
      </w:r>
      <w:r>
        <w:rPr>
          <w:rStyle w:val="Appelnotedebasdep"/>
        </w:rPr>
        <w:footnoteReference w:id="89"/>
      </w:r>
      <w:r>
        <w:t>.</w:t>
      </w:r>
    </w:p>
    <w:p w14:paraId="7E7B38C7" w14:textId="77777777" w:rsidR="009A0135" w:rsidRDefault="009A0135" w:rsidP="00F577B6">
      <w:r>
        <w:t xml:space="preserve">Cette tendance se renforce spécifiquement chez les consommateurs de la génération </w:t>
      </w:r>
      <w:proofErr w:type="spellStart"/>
      <w:r>
        <w:t>Yet</w:t>
      </w:r>
      <w:proofErr w:type="spellEnd"/>
      <w:r>
        <w:t xml:space="preserve"> Z  </w:t>
      </w:r>
      <w:r>
        <w:rPr>
          <w:rStyle w:val="Appelnotedebasdep"/>
        </w:rPr>
        <w:footnoteReference w:id="90"/>
      </w:r>
      <w:r>
        <w:t>. Ces derniers, particulièrement sensibles aux enjeux de durabilité et d'éthique, ont tendance à favoriser des marques alternatives démontrant un engagement véritable en matière de responsabilité environnementale et sociale</w:t>
      </w:r>
      <w:r>
        <w:rPr>
          <w:rStyle w:val="Appelnotedebasdep"/>
        </w:rPr>
        <w:footnoteReference w:id="91"/>
      </w:r>
      <w:r>
        <w:t xml:space="preserve">. Le greenwashing, de ce fait, peut non seulement entraîner une perte de fidélité de la clientèle mais aussi encourager ces consommateurs plus jeunes à explorer d'autres options </w:t>
      </w:r>
      <w:r>
        <w:rPr>
          <w:rStyle w:val="Appelnotedebasdep"/>
        </w:rPr>
        <w:footnoteReference w:id="92"/>
      </w:r>
      <w:r>
        <w:t xml:space="preserve"> .</w:t>
      </w:r>
    </w:p>
    <w:p w14:paraId="583E2EEA" w14:textId="77777777" w:rsidR="009A0135" w:rsidRDefault="009A0135" w:rsidP="006F6589">
      <w:pPr>
        <w:pStyle w:val="Titre2"/>
        <w:numPr>
          <w:ilvl w:val="1"/>
          <w:numId w:val="6"/>
        </w:numPr>
      </w:pPr>
      <w:bookmarkStart w:id="84" w:name="_Toc200825431"/>
      <w:r>
        <w:t>Risques de boycott de la marque</w:t>
      </w:r>
      <w:bookmarkEnd w:id="84"/>
    </w:p>
    <w:p w14:paraId="649AB454" w14:textId="77777777" w:rsidR="009A0135" w:rsidRDefault="009A0135" w:rsidP="00F577B6">
      <w:r>
        <w:t xml:space="preserve">En plus de ces aspects, des études menées par </w:t>
      </w:r>
      <w:proofErr w:type="spellStart"/>
      <w:r>
        <w:t>Paassilta</w:t>
      </w:r>
      <w:proofErr w:type="spellEnd"/>
      <w:r>
        <w:t xml:space="preserve"> (2021) et Xiao, Wang et Guo (2022) </w:t>
      </w:r>
      <w:r>
        <w:rPr>
          <w:rStyle w:val="Appelnotedebasdep"/>
        </w:rPr>
        <w:footnoteReference w:id="93"/>
      </w:r>
      <w:r>
        <w:t>ont révélé que la perception du greenwashing peut augmenter la probabilité de boycotter la marque. Les consommateurs se sentent trompés et perçoivent le greenwashing comme une violation de leur confiance, ce qui les pousse à prendre des mesures de boycott. De plus, l'étude de Xiao et al. (2022) a souligné l'importance des valeurs personnelles des consommateurs dans leur propension à boycotter une marque en raison du greenwashing. Par exemple, les consommateurs qui accordent une grande importance à l'éthique et à la durabilité sont plus enclins à réagir négativement au greenwashing et à entreprendre des actions de boycott.</w:t>
      </w:r>
    </w:p>
    <w:p w14:paraId="1E04D4E2" w14:textId="77777777" w:rsidR="009A0135" w:rsidRDefault="009A0135" w:rsidP="006F6589">
      <w:pPr>
        <w:pStyle w:val="Titre2"/>
        <w:numPr>
          <w:ilvl w:val="1"/>
          <w:numId w:val="6"/>
        </w:numPr>
      </w:pPr>
      <w:r>
        <w:lastRenderedPageBreak/>
        <w:t xml:space="preserve"> </w:t>
      </w:r>
      <w:bookmarkStart w:id="85" w:name="_Toc200825432"/>
      <w:r>
        <w:t>Conséquences sur les ventes et l'acquisition de clients</w:t>
      </w:r>
      <w:bookmarkEnd w:id="85"/>
    </w:p>
    <w:p w14:paraId="3A6797D3" w14:textId="77777777" w:rsidR="009A0135" w:rsidRDefault="009A0135" w:rsidP="00F577B6">
      <w:r>
        <w:t xml:space="preserve">Et enfin, la perception du greenwashing peut avoir un impact négatif sur les ventes et l'acquisition de clients. En effet, les retours négatifs véhiculés par le bouche-à-oreille alimenté par les consommateurs qui partagent leurs expériences négatives liées au greenwashing, peuvent dissuader les </w:t>
      </w:r>
      <w:proofErr w:type="spellStart"/>
      <w:r>
        <w:t>dients</w:t>
      </w:r>
      <w:proofErr w:type="spellEnd"/>
      <w:r>
        <w:t xml:space="preserve"> potentiels de s'engager avec la marque</w:t>
      </w:r>
      <w:r>
        <w:rPr>
          <w:rStyle w:val="Appelnotedebasdep"/>
        </w:rPr>
        <w:footnoteReference w:id="94"/>
      </w:r>
      <w:r>
        <w:t xml:space="preserve"> (</w:t>
      </w:r>
      <w:proofErr w:type="spellStart"/>
      <w:r>
        <w:t>Guerreiro</w:t>
      </w:r>
      <w:proofErr w:type="spellEnd"/>
      <w:r>
        <w:t xml:space="preserve"> et Pacheco, 2021) . L'étude de Martin et </w:t>
      </w:r>
      <w:proofErr w:type="spellStart"/>
      <w:r>
        <w:t>Lueg</w:t>
      </w:r>
      <w:proofErr w:type="spellEnd"/>
      <w:r>
        <w:t xml:space="preserve"> (2013) a montré que l'expérience passée des consommateurs avec une marque, ainsi que les témoignages et les recommandations d'autres personnes, peuvent influencer leur perception de la marque et leurs décisions d'achat</w:t>
      </w:r>
    </w:p>
    <w:p w14:paraId="33385C8F" w14:textId="77777777" w:rsidR="009A0135" w:rsidRDefault="009A0135" w:rsidP="00DD4A8B">
      <w:pPr>
        <w:pStyle w:val="Titre2"/>
        <w:numPr>
          <w:ilvl w:val="1"/>
          <w:numId w:val="6"/>
        </w:numPr>
      </w:pPr>
      <w:bookmarkStart w:id="86" w:name="_Toc200825433"/>
      <w:r>
        <w:t>La relation théorique entre les trois déterminants de Greenwashing avec la perception de la marque</w:t>
      </w:r>
      <w:bookmarkEnd w:id="86"/>
    </w:p>
    <w:p w14:paraId="1443AACD" w14:textId="77777777" w:rsidR="009A0135" w:rsidRPr="00071502" w:rsidRDefault="009A0135" w:rsidP="00F577B6">
      <w:pPr>
        <w:pStyle w:val="Sansinterligne"/>
        <w:spacing w:line="480" w:lineRule="auto"/>
        <w:ind w:left="432"/>
        <w:rPr>
          <w:rFonts w:asciiTheme="majorBidi" w:hAnsiTheme="majorBidi" w:cstheme="majorBidi"/>
          <w:sz w:val="24"/>
          <w:szCs w:val="24"/>
        </w:rPr>
      </w:pPr>
      <w:r>
        <w:t>​</w:t>
      </w:r>
      <w:r w:rsidRPr="00071502">
        <w:rPr>
          <w:rFonts w:asciiTheme="majorBidi" w:hAnsiTheme="majorBidi" w:cstheme="majorBidi"/>
          <w:sz w:val="24"/>
          <w:szCs w:val="24"/>
        </w:rPr>
        <w:t>La relation entre le greenwashing et la perception de la marque est un sujet central dans le domaine du marketing durable. Trois déterminants majeurs influencent cette relation : la crédibilité de la marque, la confiance verte (green trust) et la perception du risque environnemental. Chacun de ces facteurs joue un rôle crucial dans la manière dont les consommateurs perçoivent et réagissent aux pratiques de greenwashing. ​</w:t>
      </w:r>
    </w:p>
    <w:p w14:paraId="02FC2D94" w14:textId="77777777" w:rsidR="009A0135" w:rsidRDefault="009A0135" w:rsidP="00F577B6">
      <w:pPr>
        <w:spacing w:before="0" w:after="0"/>
      </w:pPr>
    </w:p>
    <w:p w14:paraId="1F6D3599" w14:textId="77777777" w:rsidR="009A0135" w:rsidRDefault="009A0135" w:rsidP="00DD4A8B">
      <w:pPr>
        <w:pStyle w:val="Titre3"/>
        <w:numPr>
          <w:ilvl w:val="2"/>
          <w:numId w:val="6"/>
        </w:numPr>
      </w:pPr>
      <w:bookmarkStart w:id="87" w:name="_Toc200825434"/>
      <w:r>
        <w:t>Déterminant 1 : Crédibilité de la marque</w:t>
      </w:r>
      <w:bookmarkEnd w:id="87"/>
    </w:p>
    <w:p w14:paraId="3BADF637" w14:textId="77777777" w:rsidR="009A0135" w:rsidRPr="00C93AEB" w:rsidRDefault="009A0135" w:rsidP="00F577B6">
      <w:pPr>
        <w:rPr>
          <w:rStyle w:val="relative"/>
        </w:rPr>
      </w:pPr>
      <w:r w:rsidRPr="00C93AEB">
        <w:rPr>
          <w:rStyle w:val="relative"/>
        </w:rPr>
        <w:t xml:space="preserve">La crédibilité de la marque constitue un élément central dans la relation de confiance entre les entreprises et leurs consommateurs. Elle est définie comme la perception qu’ont les consommateurs de la capacité (compétence) et de la volonté (intégrité) d’une marque à tenir ses promesses. Ces promesses peuvent concerner la qualité des produits, le respect des normes sociales, mais aussi les engagements environnementaux. </w:t>
      </w:r>
      <w:proofErr w:type="spellStart"/>
      <w:r w:rsidRPr="00C93AEB">
        <w:rPr>
          <w:rStyle w:val="relative"/>
        </w:rPr>
        <w:t>Erdem</w:t>
      </w:r>
      <w:proofErr w:type="spellEnd"/>
      <w:r w:rsidRPr="00C93AEB">
        <w:rPr>
          <w:rStyle w:val="relative"/>
        </w:rPr>
        <w:t xml:space="preserve"> et </w:t>
      </w:r>
      <w:proofErr w:type="spellStart"/>
      <w:r w:rsidRPr="00C93AEB">
        <w:rPr>
          <w:rStyle w:val="relative"/>
        </w:rPr>
        <w:t>Swait</w:t>
      </w:r>
      <w:proofErr w:type="spellEnd"/>
      <w:r w:rsidRPr="00C93AEB">
        <w:rPr>
          <w:rStyle w:val="relative"/>
        </w:rPr>
        <w:t xml:space="preserve"> </w:t>
      </w:r>
      <w:r>
        <w:rPr>
          <w:rStyle w:val="Appelnotedebasdep"/>
        </w:rPr>
        <w:footnoteReference w:id="95"/>
      </w:r>
      <w:r>
        <w:rPr>
          <w:rStyle w:val="relative"/>
        </w:rPr>
        <w:t xml:space="preserve"> </w:t>
      </w:r>
      <w:r w:rsidRPr="00C93AEB">
        <w:rPr>
          <w:rStyle w:val="relative"/>
        </w:rPr>
        <w:t xml:space="preserve">expliquent que cette crédibilité se construit au fil du temps à travers la cohérence entre les discours de la marque et ses actions réelles, influençant de manière directe la préférence et le comportement d’achat des consommateurs. Dans un contexte où les préoccupations écologiques sont devenues des critères essentiels dans les décisions d’achat, les entreprises doivent fournir des preuves tangibles de leurs actions environnementales. Les consommateurs, aujourd'hui mieux informés, exigent des </w:t>
      </w:r>
      <w:r w:rsidRPr="00C93AEB">
        <w:rPr>
          <w:rStyle w:val="relative"/>
        </w:rPr>
        <w:lastRenderedPageBreak/>
        <w:t>engagements concrets et mesurables, refusant les simples slogans marketing dénués de substance. Ainsi, la crédibilité devient un levier stratégique incontournable pour se différencier sur des marchés saturés, particulièrement sensibles aux enjeux écologiques</w:t>
      </w:r>
      <w:r>
        <w:rPr>
          <w:rStyle w:val="relative"/>
        </w:rPr>
        <w:t xml:space="preserve"> </w:t>
      </w:r>
      <w:r>
        <w:rPr>
          <w:rStyle w:val="Appelnotedebasdep"/>
        </w:rPr>
        <w:footnoteReference w:id="96"/>
      </w:r>
      <w:r w:rsidRPr="00C93AEB">
        <w:rPr>
          <w:rStyle w:val="relative"/>
        </w:rPr>
        <w:t>.</w:t>
      </w:r>
    </w:p>
    <w:p w14:paraId="1BCB7F57" w14:textId="77777777" w:rsidR="009A0135" w:rsidRPr="00C93AEB" w:rsidRDefault="009A0135" w:rsidP="00F577B6">
      <w:pPr>
        <w:rPr>
          <w:rStyle w:val="relative"/>
        </w:rPr>
      </w:pPr>
      <w:r w:rsidRPr="00C93AEB">
        <w:rPr>
          <w:rStyle w:val="relative"/>
        </w:rPr>
        <w:t xml:space="preserve">Face à cette pression, certaines entreprises ont recours à des pratiques douteuses pour se donner une image plus écologique qu’elle ne l’est réellement. Ce phénomène, appelé greenwashing, désigne les techniques utilisées par les entreprises pour paraître écologiquement responsables sans que leurs actions concrètes soient à la hauteur de leurs </w:t>
      </w:r>
      <w:r>
        <w:rPr>
          <w:rStyle w:val="relative"/>
        </w:rPr>
        <w:t xml:space="preserve">déclarations. Delmas et Burbano </w:t>
      </w:r>
      <w:r>
        <w:rPr>
          <w:rStyle w:val="Appelnotedebasdep"/>
        </w:rPr>
        <w:footnoteReference w:id="97"/>
      </w:r>
      <w:r>
        <w:rPr>
          <w:rStyle w:val="relative"/>
        </w:rPr>
        <w:t xml:space="preserve"> </w:t>
      </w:r>
      <w:r w:rsidRPr="00C93AEB">
        <w:rPr>
          <w:rStyle w:val="relative"/>
        </w:rPr>
        <w:t>identifient différentes formes de greenwashing : communicationnelle, organisationnelle et symbolique. Par exemple, le greenwashing communicationnel consiste à utiliser des termes flous comme « respectueux de l’environnement » ou des visuels verts sans certification reconnue. Sur le plan organisationnel, il se traduit par une incohérence entre les engagements pris par la direction et les pratiques effectives sur le terrain. Enfin, sur le plan symbolique, il implique des actions superficielles destinées à masquer des impacts environnementaux bien plus négatifs</w:t>
      </w:r>
      <w:r>
        <w:rPr>
          <w:rStyle w:val="relative"/>
        </w:rPr>
        <w:t xml:space="preserve"> </w:t>
      </w:r>
      <w:r>
        <w:rPr>
          <w:rStyle w:val="Appelnotedebasdep"/>
        </w:rPr>
        <w:footnoteReference w:id="98"/>
      </w:r>
      <w:r w:rsidRPr="00C93AEB">
        <w:rPr>
          <w:rStyle w:val="relative"/>
        </w:rPr>
        <w:t xml:space="preserve"> .</w:t>
      </w:r>
    </w:p>
    <w:p w14:paraId="68E0DA89" w14:textId="77777777" w:rsidR="009A0135" w:rsidRPr="00C93AEB" w:rsidRDefault="009A0135" w:rsidP="00F577B6">
      <w:pPr>
        <w:rPr>
          <w:rStyle w:val="relative"/>
        </w:rPr>
      </w:pPr>
      <w:r w:rsidRPr="00C93AEB">
        <w:rPr>
          <w:rStyle w:val="relative"/>
        </w:rPr>
        <w:t>Des études empiriques ont clairement montré que le greenwashing perçu par les consommateurs provoque une chute rapide et sévère de la crédibilité de la marque. Chen et Chang</w:t>
      </w:r>
      <w:r>
        <w:rPr>
          <w:rStyle w:val="relative"/>
        </w:rPr>
        <w:t xml:space="preserve"> </w:t>
      </w:r>
      <w:r>
        <w:rPr>
          <w:rStyle w:val="Appelnotedebasdep"/>
        </w:rPr>
        <w:footnoteReference w:id="99"/>
      </w:r>
      <w:r>
        <w:rPr>
          <w:rStyle w:val="relative"/>
        </w:rPr>
        <w:t xml:space="preserve"> </w:t>
      </w:r>
      <w:r w:rsidRPr="00C93AEB">
        <w:rPr>
          <w:rStyle w:val="relative"/>
        </w:rPr>
        <w:t>ont démontré que lorsque les consommateurs suspectent une entreprise de pratiquer le greenwashing, leur confiance envers cette marque diminue drastiquement, menaçant la relation de long terme qui s’était construite. Cette perte de crédibilité s'étend d'ailleurs au-delà des engagements environnementaux : elle remet en question l’intégrité globale de la marque, car les consommateurs considèrent alors que si la marque ment sur ses actions écologiques, elle pourrait aussi trahir ses autres engageme</w:t>
      </w:r>
      <w:r>
        <w:rPr>
          <w:rStyle w:val="relative"/>
        </w:rPr>
        <w:t xml:space="preserve">nts </w:t>
      </w:r>
      <w:r w:rsidRPr="00C93AEB">
        <w:rPr>
          <w:rStyle w:val="relative"/>
        </w:rPr>
        <w:t>. Ce constat est d’autant plus alarmant dans un monde digitalisé où les informations négatives circulent à grande vitesse sur les réseaux sociaux, amplifiant l’impact du greenwashing sur la réputation des entreprises.</w:t>
      </w:r>
    </w:p>
    <w:p w14:paraId="152CA0E0" w14:textId="77777777" w:rsidR="009A0135" w:rsidRPr="00C93AEB" w:rsidRDefault="009A0135" w:rsidP="00F577B6">
      <w:pPr>
        <w:rPr>
          <w:rStyle w:val="relative"/>
        </w:rPr>
      </w:pPr>
      <w:r w:rsidRPr="00C93AEB">
        <w:rPr>
          <w:rStyle w:val="relative"/>
        </w:rPr>
        <w:lastRenderedPageBreak/>
        <w:t>Les conséquences de cette perte de crédibilité sont multiples. D’un côté, la fidélité des consommateurs en est fortement affectée. Akturan</w:t>
      </w:r>
      <w:r>
        <w:rPr>
          <w:rStyle w:val="relative"/>
        </w:rPr>
        <w:t xml:space="preserve"> </w:t>
      </w:r>
      <w:r>
        <w:rPr>
          <w:rStyle w:val="Appelnotedebasdep"/>
        </w:rPr>
        <w:footnoteReference w:id="100"/>
      </w:r>
      <w:r>
        <w:rPr>
          <w:rStyle w:val="relative"/>
        </w:rPr>
        <w:t xml:space="preserve"> </w:t>
      </w:r>
      <w:r w:rsidRPr="00C93AEB">
        <w:rPr>
          <w:rStyle w:val="relative"/>
        </w:rPr>
        <w:t xml:space="preserve"> a montré que le greenwashing perçu réduit significativement l’intention des clients de racheter les produits et leur volonté de recommander la marque à leur entourage. Cette baisse de fidélité est logique : elle découle de la rupture du contrat psychologique implicite entre la marque et le consommateur, lequel attend de l’entreprise non seulement des produits performants mais également un comportement res</w:t>
      </w:r>
      <w:r>
        <w:rPr>
          <w:rStyle w:val="relative"/>
        </w:rPr>
        <w:t xml:space="preserve">ponsable </w:t>
      </w:r>
      <w:r>
        <w:rPr>
          <w:rStyle w:val="Appelnotedebasdep"/>
        </w:rPr>
        <w:footnoteReference w:id="101"/>
      </w:r>
      <w:r w:rsidRPr="00C93AEB">
        <w:rPr>
          <w:rStyle w:val="relative"/>
        </w:rPr>
        <w:t>. De l’autre côté, la réputation globale de la marque est durablement affaiblie. Selon une étude mondiale menée par Nielsen</w:t>
      </w:r>
      <w:r>
        <w:rPr>
          <w:rStyle w:val="relative"/>
        </w:rPr>
        <w:t xml:space="preserve"> </w:t>
      </w:r>
      <w:r>
        <w:rPr>
          <w:rStyle w:val="Appelnotedebasdep"/>
        </w:rPr>
        <w:footnoteReference w:id="102"/>
      </w:r>
      <w:r>
        <w:rPr>
          <w:rStyle w:val="relative"/>
        </w:rPr>
        <w:t xml:space="preserve"> </w:t>
      </w:r>
      <w:r w:rsidRPr="00C93AEB">
        <w:rPr>
          <w:rStyle w:val="relative"/>
        </w:rPr>
        <w:t>, plus de 66 % des consommateurs sont prêts à payer un prix supérieur pour des produits de marques authentiquement engagées en faveur de la durabilité, mais cette prédisposition se transforme en rejet actif en cas de suspicion de greenwashing.</w:t>
      </w:r>
    </w:p>
    <w:p w14:paraId="6C246273" w14:textId="77777777" w:rsidR="009A0135" w:rsidRPr="00C93AEB" w:rsidRDefault="009A0135" w:rsidP="00F577B6">
      <w:pPr>
        <w:rPr>
          <w:rStyle w:val="relative"/>
        </w:rPr>
      </w:pPr>
      <w:r w:rsidRPr="00C93AEB">
        <w:rPr>
          <w:rStyle w:val="relative"/>
        </w:rPr>
        <w:t xml:space="preserve">Les médias et les organisations non gouvernementales (ONG) jouent un rôle clé dans la dénonciation de ces pratiques trompeuses. Parguel, Benoît-Moreau et Larceneux </w:t>
      </w:r>
      <w:r>
        <w:rPr>
          <w:rStyle w:val="Appelnotedebasdep"/>
        </w:rPr>
        <w:footnoteReference w:id="103"/>
      </w:r>
      <w:r>
        <w:rPr>
          <w:rStyle w:val="relative"/>
        </w:rPr>
        <w:t xml:space="preserve"> </w:t>
      </w:r>
      <w:r w:rsidRPr="00C93AEB">
        <w:rPr>
          <w:rStyle w:val="relative"/>
        </w:rPr>
        <w:t>soulignent que les notations de durabilité publiées par des agences spécialisées et les campagnes d’investigation des ONG participent activement à dégrader l’image des entreprises prises en flagrant délit d’écoblanchiment. De plus, les consommateurs, armés des outils numériques, se transforment en vigiles de la responsabilité environnementale des marques : en partageant sur les réseaux sociaux des informations sur les incohérences détectées, ils renforcent la pression sur les entrepris</w:t>
      </w:r>
      <w:r>
        <w:rPr>
          <w:rStyle w:val="relative"/>
        </w:rPr>
        <w:t xml:space="preserve">es </w:t>
      </w:r>
      <w:r w:rsidRPr="00C93AEB">
        <w:rPr>
          <w:rStyle w:val="relative"/>
        </w:rPr>
        <w:t>. Cette vigilance citoyenne constitue un garde-fou efficace contre les dérives, contraignant les entreprises à adopter des pratiques réellement responsables.</w:t>
      </w:r>
    </w:p>
    <w:p w14:paraId="4AE1D501" w14:textId="77777777" w:rsidR="009A0135" w:rsidRPr="00C93AEB" w:rsidRDefault="009A0135" w:rsidP="00F577B6">
      <w:pPr>
        <w:rPr>
          <w:rStyle w:val="relative"/>
        </w:rPr>
      </w:pPr>
      <w:r w:rsidRPr="00C93AEB">
        <w:rPr>
          <w:rStyle w:val="relative"/>
        </w:rPr>
        <w:t xml:space="preserve">Pour faire face aux effets délétères du greenwashing et restaurer leur crédibilité, les entreprises doivent mettre en place des stratégies solides. La première étape consiste à publier des rapports environnementaux détaillés, vérifiés par des tiers indépendants, afin d’apporter des preuves objectives de leurs performances écologiques </w:t>
      </w:r>
      <w:r>
        <w:rPr>
          <w:rStyle w:val="Appelnotedebasdep"/>
        </w:rPr>
        <w:footnoteReference w:id="104"/>
      </w:r>
      <w:r>
        <w:rPr>
          <w:rStyle w:val="relative"/>
        </w:rPr>
        <w:t xml:space="preserve"> </w:t>
      </w:r>
      <w:r w:rsidRPr="00C93AEB">
        <w:rPr>
          <w:rStyle w:val="relative"/>
        </w:rPr>
        <w:t xml:space="preserve">. Il est également fondamental de formuler des engagements précis, mesurables et assortis d’indicateurs de performance vérifiables. Par ailleurs, instaurer un dialogue constructif avec les parties prenantes — ONG, experts, clients — permet de renforcer la légitimité des démarches entreprises et de recréer un </w:t>
      </w:r>
      <w:r w:rsidRPr="00C93AEB">
        <w:rPr>
          <w:rStyle w:val="relative"/>
        </w:rPr>
        <w:lastRenderedPageBreak/>
        <w:t>climat de confia</w:t>
      </w:r>
      <w:r>
        <w:rPr>
          <w:rStyle w:val="relative"/>
        </w:rPr>
        <w:t xml:space="preserve">nce </w:t>
      </w:r>
      <w:r>
        <w:rPr>
          <w:rStyle w:val="Appelnotedebasdep"/>
        </w:rPr>
        <w:footnoteReference w:id="105"/>
      </w:r>
      <w:r w:rsidRPr="00C93AEB">
        <w:rPr>
          <w:rStyle w:val="relative"/>
        </w:rPr>
        <w:t>. Enfin, les entreprises doivent revoir en profondeur leur gouvernance en y intégrant des instances chargées de piloter et de contrôler les enjeux environnementaux et sociétaux, comme des comités RSE rattachés aux conseils d’administration.</w:t>
      </w:r>
    </w:p>
    <w:p w14:paraId="54B571B0" w14:textId="77777777" w:rsidR="009A0135" w:rsidRDefault="009A0135" w:rsidP="00F577B6">
      <w:r w:rsidRPr="00C93AEB">
        <w:rPr>
          <w:rStyle w:val="relative"/>
        </w:rPr>
        <w:t>En définitive, la crédibilité environnementale constitue un actif stratégique majeur que les entreprises doivent protéger avec rigueur. À l’ère de la transparence et de l’</w:t>
      </w:r>
      <w:proofErr w:type="spellStart"/>
      <w:r w:rsidRPr="00C93AEB">
        <w:rPr>
          <w:rStyle w:val="relative"/>
        </w:rPr>
        <w:t>hyperconnectivité</w:t>
      </w:r>
      <w:proofErr w:type="spellEnd"/>
      <w:r w:rsidRPr="00C93AEB">
        <w:rPr>
          <w:rStyle w:val="relative"/>
        </w:rPr>
        <w:t>, les consommateurs se montrent de plus en plus exigeants, ne se contentant plus de discours bien ficelés mais exigeant des preuves concrètes. Toute tentative de greenwashing, qu’elle soit intentionnelle ou par omission, expose la marque à des sanctions économiques, à une détérioration de sa réputation et à une défiance durable. Pour éviter ces dérives, les entreprises doivent aligner de manière authentique leur stratégie globale sur les exigences écologiques et sociétales contemporaines, en communiquant avec une sincérité et une responsabilité irréprochables.</w:t>
      </w:r>
    </w:p>
    <w:p w14:paraId="4FD73D1C" w14:textId="77777777" w:rsidR="009A0135" w:rsidRDefault="009A0135" w:rsidP="00DD4A8B">
      <w:pPr>
        <w:pStyle w:val="Titre3"/>
        <w:numPr>
          <w:ilvl w:val="2"/>
          <w:numId w:val="6"/>
        </w:numPr>
      </w:pPr>
      <w:bookmarkStart w:id="88" w:name="_Toc200825435"/>
      <w:r>
        <w:t>Déterminant 2 : Confiance verte (Green Trust)</w:t>
      </w:r>
      <w:bookmarkEnd w:id="88"/>
    </w:p>
    <w:p w14:paraId="0F5042A7" w14:textId="77777777" w:rsidR="009A0135" w:rsidRPr="009275C0" w:rsidRDefault="009A0135" w:rsidP="00F577B6">
      <w:pPr>
        <w:spacing w:before="100" w:beforeAutospacing="1" w:after="100" w:afterAutospacing="1"/>
        <w:rPr>
          <w:rStyle w:val="relative"/>
        </w:rPr>
      </w:pPr>
      <w:r w:rsidRPr="009275C0">
        <w:rPr>
          <w:rStyle w:val="relative"/>
        </w:rPr>
        <w:t>La confiance verte, ou green trust, est définie comme la volonté des consommateurs de dépendre d’une marque en se basant sur sa performance environnementale p</w:t>
      </w:r>
      <w:r>
        <w:rPr>
          <w:rStyle w:val="relative"/>
        </w:rPr>
        <w:t xml:space="preserve">erçue. Selon Chen </w:t>
      </w:r>
      <w:r>
        <w:rPr>
          <w:rStyle w:val="Appelnotedebasdep"/>
        </w:rPr>
        <w:footnoteReference w:id="106"/>
      </w:r>
      <w:r w:rsidRPr="009275C0">
        <w:rPr>
          <w:rStyle w:val="relative"/>
        </w:rPr>
        <w:t xml:space="preserve">, cette forme spécifique de confiance joue un rôle déterminant dans la construction d’une relation durable entre la marque et ses clients, surtout dans un marché où les considérations écologiques pèsent de plus en plus lourd dans les décisions d’achat. Cette confiance repose sur deux piliers fondamentaux : la crédibilité environnementale de la marque et la capacité perçue de cette dernière à respecter ses engagements écologiques. Lorsqu’une entreprise parvient à convaincre ses consommateurs de l’authenticité de ses efforts en matière de durabilité, elle bénéficie d’une loyauté renforcée, ce qui se traduit par une préférence de marque et une propension plus élevée à recommander ses </w:t>
      </w:r>
      <w:r>
        <w:rPr>
          <w:rStyle w:val="relative"/>
        </w:rPr>
        <w:t xml:space="preserve">produits </w:t>
      </w:r>
      <w:r w:rsidRPr="009275C0">
        <w:rPr>
          <w:rStyle w:val="relative"/>
        </w:rPr>
        <w:t>.</w:t>
      </w:r>
    </w:p>
    <w:p w14:paraId="1519AE3A" w14:textId="77777777" w:rsidR="009A0135" w:rsidRPr="009275C0" w:rsidRDefault="009A0135" w:rsidP="00F577B6">
      <w:pPr>
        <w:spacing w:before="100" w:beforeAutospacing="1" w:after="100" w:afterAutospacing="1"/>
        <w:rPr>
          <w:rStyle w:val="relative"/>
        </w:rPr>
      </w:pPr>
      <w:r w:rsidRPr="009275C0">
        <w:rPr>
          <w:rStyle w:val="relative"/>
        </w:rPr>
        <w:t xml:space="preserve">Cependant, le phénomène du greenwashing constitue une menace majeure à cette confiance verte. Le greenwashing, en semant le doute sur la sincérité des engagements environnementaux des entreprises, fragilise le lien de confiance qui unit consommateurs et marques. Des recherches empiriques ont montré que la simple perception de greenwashing </w:t>
      </w:r>
      <w:r w:rsidRPr="009275C0">
        <w:rPr>
          <w:rStyle w:val="relative"/>
        </w:rPr>
        <w:lastRenderedPageBreak/>
        <w:t xml:space="preserve">suffit à altérer négativement les attitudes des consommateurs. Par exemple, Chen et Chang </w:t>
      </w:r>
      <w:r>
        <w:rPr>
          <w:rStyle w:val="Appelnotedebasdep"/>
        </w:rPr>
        <w:footnoteReference w:id="107"/>
      </w:r>
      <w:r>
        <w:rPr>
          <w:rStyle w:val="relative"/>
        </w:rPr>
        <w:t xml:space="preserve"> </w:t>
      </w:r>
      <w:r w:rsidRPr="009275C0">
        <w:rPr>
          <w:rStyle w:val="relative"/>
        </w:rPr>
        <w:t>ont établi que le greenwashing perçu est positivement corrélé à la confusion des consommateurs. En d'autres termes, lorsqu'une marque multiplie des messages environnementaux flous ou contradictoires, les consommateurs éprouvent de la difficulté à évaluer la véracité de ses engagements, ce qui accroît leur incertitude et leur sentiment de ris</w:t>
      </w:r>
      <w:r>
        <w:rPr>
          <w:rStyle w:val="relative"/>
        </w:rPr>
        <w:t xml:space="preserve">que </w:t>
      </w:r>
      <w:r w:rsidRPr="009275C0">
        <w:rPr>
          <w:rStyle w:val="relative"/>
        </w:rPr>
        <w:t>. Cette confusion génère à son tour une méfiance accrue, réduisant significativement le niveau de confiance que les consommateurs sont prêts à accorder à la marque.</w:t>
      </w:r>
    </w:p>
    <w:p w14:paraId="153DAB55" w14:textId="77777777" w:rsidR="009A0135" w:rsidRPr="009275C0" w:rsidRDefault="009A0135" w:rsidP="00F577B6">
      <w:pPr>
        <w:spacing w:before="100" w:beforeAutospacing="1" w:after="100" w:afterAutospacing="1"/>
        <w:rPr>
          <w:rStyle w:val="relative"/>
        </w:rPr>
      </w:pPr>
      <w:r w:rsidRPr="009275C0">
        <w:rPr>
          <w:rStyle w:val="relative"/>
        </w:rPr>
        <w:t>Par ailleurs, Rahman, Park et Chi</w:t>
      </w:r>
      <w:r>
        <w:rPr>
          <w:rStyle w:val="relative"/>
        </w:rPr>
        <w:t xml:space="preserve"> </w:t>
      </w:r>
      <w:r>
        <w:rPr>
          <w:rStyle w:val="Appelnotedebasdep"/>
        </w:rPr>
        <w:footnoteReference w:id="108"/>
      </w:r>
      <w:r>
        <w:rPr>
          <w:rStyle w:val="relative"/>
        </w:rPr>
        <w:t xml:space="preserve"> </w:t>
      </w:r>
      <w:r w:rsidRPr="009275C0">
        <w:rPr>
          <w:rStyle w:val="relative"/>
        </w:rPr>
        <w:t xml:space="preserve"> soulignent que la perception du greenwashing accroît la perception du risque perçu chez les consommateurs, en particulier le risque d’acheter un produit qui ne répond pas réellement aux normes écologiques attendues. Cette augmentation du risque perçu agit comme un frein psychologique, dissuadant les consommateurs d’investir émotionnellement et financièrement dans la marque concer</w:t>
      </w:r>
      <w:r>
        <w:rPr>
          <w:rStyle w:val="relative"/>
        </w:rPr>
        <w:t xml:space="preserve">née </w:t>
      </w:r>
      <w:r w:rsidRPr="009275C0">
        <w:rPr>
          <w:rStyle w:val="relative"/>
        </w:rPr>
        <w:t>. Ainsi, plus les consommateurs soupçonnent une marque de greenwashing, plus ils deviennent sceptiques à l’égard de ses communications environnementales et moins ils sont enclins à lui faire confiance. Cette rupture de confiance est particulièrement problématique dans les marchés verts, où les décisions d'achat reposent largement sur la foi accordée aux déclarations écologiques des ent</w:t>
      </w:r>
      <w:r>
        <w:rPr>
          <w:rStyle w:val="relative"/>
        </w:rPr>
        <w:t xml:space="preserve">reprises </w:t>
      </w:r>
      <w:r>
        <w:rPr>
          <w:rStyle w:val="Appelnotedebasdep"/>
        </w:rPr>
        <w:footnoteReference w:id="109"/>
      </w:r>
      <w:r w:rsidRPr="009275C0">
        <w:rPr>
          <w:rStyle w:val="relative"/>
        </w:rPr>
        <w:t>.</w:t>
      </w:r>
    </w:p>
    <w:p w14:paraId="79E2A18F" w14:textId="77777777" w:rsidR="009A0135" w:rsidRDefault="009A0135" w:rsidP="00F577B6">
      <w:pPr>
        <w:spacing w:before="100" w:beforeAutospacing="1" w:after="100" w:afterAutospacing="1"/>
      </w:pPr>
      <w:r w:rsidRPr="009275C0">
        <w:rPr>
          <w:rStyle w:val="relative"/>
        </w:rPr>
        <w:t>Enfin, cette dynamique négative est amplifiée par la viralité des médias sociaux, qui offrent une plateforme aux consommateurs pour exprimer publiquement leur méfiance et partager leurs doutes. Parguel, Benoît-Moreau et Larceneux</w:t>
      </w:r>
      <w:r>
        <w:rPr>
          <w:rStyle w:val="relative"/>
        </w:rPr>
        <w:t xml:space="preserve"> </w:t>
      </w:r>
      <w:r>
        <w:rPr>
          <w:rStyle w:val="Appelnotedebasdep"/>
        </w:rPr>
        <w:footnoteReference w:id="110"/>
      </w:r>
      <w:r w:rsidRPr="009275C0">
        <w:rPr>
          <w:rStyle w:val="relative"/>
        </w:rPr>
        <w:t xml:space="preserve"> expliquent que les dénonciations de greenwashing sur les réseaux sociaux ont un effet boule de neige, exposant massivement les pratiques douteuses des marques et accélérant l'érosion de la confiance verte. De ce fait, pour préserver cette confiance précieuse, les entreprises doivent aller au-delà des simples déclarations marketing et fournir des preuves tangibles, certifiées et cohérentes de leurs actions écologiques.</w:t>
      </w:r>
    </w:p>
    <w:p w14:paraId="065CE84F" w14:textId="77777777" w:rsidR="009A0135" w:rsidRDefault="009A0135" w:rsidP="00DD4A8B">
      <w:pPr>
        <w:pStyle w:val="Titre3"/>
        <w:numPr>
          <w:ilvl w:val="2"/>
          <w:numId w:val="6"/>
        </w:numPr>
      </w:pPr>
      <w:bookmarkStart w:id="89" w:name="_Toc200825436"/>
      <w:r>
        <w:lastRenderedPageBreak/>
        <w:t>Déterminant 3 : Perception du risque environnemental</w:t>
      </w:r>
      <w:bookmarkEnd w:id="89"/>
    </w:p>
    <w:p w14:paraId="3548CDD5" w14:textId="77777777" w:rsidR="009A0135" w:rsidRPr="00131C24" w:rsidRDefault="009A0135" w:rsidP="00F577B6">
      <w:pPr>
        <w:spacing w:before="100" w:beforeAutospacing="1" w:after="100" w:afterAutospacing="1"/>
        <w:rPr>
          <w:rStyle w:val="relative"/>
        </w:rPr>
      </w:pPr>
      <w:r w:rsidRPr="00131C24">
        <w:rPr>
          <w:rStyle w:val="relative"/>
        </w:rPr>
        <w:t xml:space="preserve">La perception du risque environnemental représente le processus par lequel les consommateurs évaluent les conséquences négatives potentielles liées à l’achat ou à l’utilisation d’un produit, notamment ses effets sur l’environnement. Selon Chen et Chang </w:t>
      </w:r>
      <w:r>
        <w:rPr>
          <w:rStyle w:val="Appelnotedebasdep"/>
        </w:rPr>
        <w:footnoteReference w:id="111"/>
      </w:r>
      <w:r w:rsidRPr="00131C24">
        <w:rPr>
          <w:rStyle w:val="relative"/>
        </w:rPr>
        <w:t xml:space="preserve">, cette perception est particulièrement sensible aux signaux envoyés par les marques, notamment lorsque ces dernières sont soupçonnées de greenwashing. En effet, lorsque les consommateurs perçoivent une dissonance entre les allégations écologiques d’une marque et ses actions réelles, leur niveau de suspicion augmente, ce qui intensifie la perception du risque environnemental associé à ses produits. Cette dynamique est confirmée par </w:t>
      </w:r>
      <w:proofErr w:type="spellStart"/>
      <w:r w:rsidRPr="00131C24">
        <w:rPr>
          <w:rStyle w:val="relative"/>
        </w:rPr>
        <w:t>Nyilasy</w:t>
      </w:r>
      <w:proofErr w:type="spellEnd"/>
      <w:r w:rsidRPr="00131C24">
        <w:rPr>
          <w:rStyle w:val="relative"/>
        </w:rPr>
        <w:t xml:space="preserve">, </w:t>
      </w:r>
      <w:proofErr w:type="spellStart"/>
      <w:r w:rsidRPr="00131C24">
        <w:rPr>
          <w:rStyle w:val="relative"/>
        </w:rPr>
        <w:t>Gangadhar</w:t>
      </w:r>
      <w:r>
        <w:rPr>
          <w:rStyle w:val="relative"/>
        </w:rPr>
        <w:t>batla</w:t>
      </w:r>
      <w:proofErr w:type="spellEnd"/>
      <w:r>
        <w:rPr>
          <w:rStyle w:val="relative"/>
        </w:rPr>
        <w:t xml:space="preserve"> et </w:t>
      </w:r>
      <w:proofErr w:type="spellStart"/>
      <w:r>
        <w:rPr>
          <w:rStyle w:val="relative"/>
        </w:rPr>
        <w:t>Paladino</w:t>
      </w:r>
      <w:proofErr w:type="spellEnd"/>
      <w:r>
        <w:rPr>
          <w:rStyle w:val="relative"/>
        </w:rPr>
        <w:t xml:space="preserve"> </w:t>
      </w:r>
      <w:r>
        <w:rPr>
          <w:rStyle w:val="Appelnotedebasdep"/>
        </w:rPr>
        <w:footnoteReference w:id="112"/>
      </w:r>
      <w:r w:rsidRPr="00131C24">
        <w:rPr>
          <w:rStyle w:val="relative"/>
        </w:rPr>
        <w:t>, qui montrent que le greenwashing perçu agit comme un facteur de stress cognitif pour les consommateurs, les poussant à réévaluer négativement la sécurité et la fiabilité environnementale des produits concernés.</w:t>
      </w:r>
    </w:p>
    <w:p w14:paraId="450D2185" w14:textId="77777777" w:rsidR="009A0135" w:rsidRDefault="009A0135" w:rsidP="00F577B6">
      <w:pPr>
        <w:spacing w:before="100" w:beforeAutospacing="1" w:after="100" w:afterAutospacing="1"/>
      </w:pPr>
      <w:r w:rsidRPr="00131C24">
        <w:rPr>
          <w:rStyle w:val="relative"/>
        </w:rPr>
        <w:t>Par ailleurs, de Jong,</w:t>
      </w:r>
      <w:r>
        <w:rPr>
          <w:rStyle w:val="relative"/>
        </w:rPr>
        <w:t xml:space="preserve"> </w:t>
      </w:r>
      <w:proofErr w:type="spellStart"/>
      <w:r>
        <w:rPr>
          <w:rStyle w:val="relative"/>
        </w:rPr>
        <w:t>Harkink</w:t>
      </w:r>
      <w:proofErr w:type="spellEnd"/>
      <w:r>
        <w:rPr>
          <w:rStyle w:val="relative"/>
        </w:rPr>
        <w:t xml:space="preserve"> et Barth </w:t>
      </w:r>
      <w:r>
        <w:rPr>
          <w:rStyle w:val="Appelnotedebasdep"/>
        </w:rPr>
        <w:footnoteReference w:id="113"/>
      </w:r>
      <w:r w:rsidRPr="00131C24">
        <w:rPr>
          <w:rStyle w:val="relative"/>
        </w:rPr>
        <w:t xml:space="preserve"> démontrent que cette hausse de la perception du risque ne se limite pas à une réaction individuelle mais s'étend à des comportements collectifs, tels que le bouche-à-oreille négatif. Lorsqu’ils soupçonnent une marque de manipuler ses déclarations écologiques, les consommateurs sont plus enclins à partager publiquement leurs critiques, ce qui contribue à la détérioration de la réputation de la marque sur le long terme. Delmas et Burbano </w:t>
      </w:r>
      <w:r>
        <w:rPr>
          <w:rStyle w:val="Appelnotedebasdep"/>
        </w:rPr>
        <w:footnoteReference w:id="114"/>
      </w:r>
      <w:r w:rsidRPr="00131C24">
        <w:rPr>
          <w:rStyle w:val="relative"/>
        </w:rPr>
        <w:t>ajoutent que cet effet viral est d’autant plus fort à l’ère des réseaux sociaux, où les informations négatives sur les pratiques de greenwashing peuvent se diffuser rapidement, accentuant l’évitement de la marque par d'autres c</w:t>
      </w:r>
      <w:r>
        <w:rPr>
          <w:rStyle w:val="relative"/>
        </w:rPr>
        <w:t xml:space="preserve">onsommateurs. Enfin, Akturan </w:t>
      </w:r>
      <w:r>
        <w:rPr>
          <w:rStyle w:val="Appelnotedebasdep"/>
        </w:rPr>
        <w:footnoteReference w:id="115"/>
      </w:r>
      <w:r w:rsidRPr="00131C24">
        <w:rPr>
          <w:rStyle w:val="relative"/>
        </w:rPr>
        <w:t xml:space="preserve"> souligne que la combinaison d’une forte perception de risque et d’une défiance généralisée conduit les consommateurs à adopter des stratégies d’évitement, consistant à rejeter non seulement les produits incriminés mais aussi l’ensemble de la gamme de la marque, par mesure de précaution.</w:t>
      </w:r>
    </w:p>
    <w:p w14:paraId="23CBCD8D" w14:textId="77777777" w:rsidR="009A0135" w:rsidRDefault="009A0135" w:rsidP="00515C9A">
      <w:pPr>
        <w:pStyle w:val="Titre1"/>
        <w:numPr>
          <w:ilvl w:val="0"/>
          <w:numId w:val="6"/>
        </w:numPr>
      </w:pPr>
      <w:bookmarkStart w:id="90" w:name="_Toc200825437"/>
      <w:r>
        <w:lastRenderedPageBreak/>
        <w:t>Conclusion</w:t>
      </w:r>
      <w:bookmarkEnd w:id="90"/>
    </w:p>
    <w:p w14:paraId="5C9952B8" w14:textId="77777777" w:rsidR="009A0135" w:rsidRDefault="009A0135" w:rsidP="00F577B6">
      <w:pPr>
        <w:spacing w:before="100" w:beforeAutospacing="1" w:after="100" w:afterAutospacing="1"/>
      </w:pPr>
      <w:r>
        <w:rPr>
          <w:rStyle w:val="relative"/>
        </w:rPr>
        <w:t>Les trois déterminants – crédibilité de la marque, confiance verte et perception du risque environnemental – sont interconnectés et jouent un rôle crucial dans la manière dont les consommateurs perçoivent le greenwashing.</w:t>
      </w:r>
      <w:r>
        <w:t xml:space="preserve"> </w:t>
      </w:r>
      <w:r>
        <w:rPr>
          <w:rStyle w:val="relative"/>
        </w:rPr>
        <w:t>Une marque perçue comme crédible et digne de confiance est moins susceptible d'être accusée de greenwashing.</w:t>
      </w:r>
      <w:r>
        <w:t xml:space="preserve"> </w:t>
      </w:r>
      <w:r>
        <w:rPr>
          <w:rStyle w:val="relative"/>
        </w:rPr>
        <w:t>Inversement, une perception accrue du risque environnemental peut intensifier les soupçons de greenwashing.</w:t>
      </w:r>
      <w:r>
        <w:t xml:space="preserve"> </w:t>
      </w:r>
      <w:r>
        <w:rPr>
          <w:rStyle w:val="relative"/>
        </w:rPr>
        <w:t>Il est donc essentiel pour les entreprises de maintenir une communication transparente et honnête sur leurs engagements écologiques pour préserver leur réputation et la fidélité de leurs clients.</w:t>
      </w:r>
    </w:p>
    <w:p w14:paraId="0107350A" w14:textId="77777777" w:rsidR="00B005EF" w:rsidRDefault="00B005EF" w:rsidP="00B005EF">
      <w:pPr>
        <w:spacing w:before="100" w:beforeAutospacing="1" w:after="100" w:afterAutospacing="1"/>
        <w:sectPr w:rsidR="00B005EF" w:rsidSect="00ED7F32">
          <w:headerReference w:type="default" r:id="rId29"/>
          <w:footerReference w:type="default" r:id="rId30"/>
          <w:type w:val="continuous"/>
          <w:pgSz w:w="11906" w:h="16838"/>
          <w:pgMar w:top="1417" w:right="1417" w:bottom="1417" w:left="1417" w:header="708" w:footer="708" w:gutter="0"/>
          <w:cols w:space="708"/>
          <w:docGrid w:linePitch="360"/>
        </w:sectPr>
      </w:pPr>
    </w:p>
    <w:p w14:paraId="0C8A6C18" w14:textId="77777777" w:rsidR="00F577B6" w:rsidRDefault="00F577B6" w:rsidP="00F577B6">
      <w:pPr>
        <w:spacing w:before="100" w:beforeAutospacing="1" w:after="100" w:afterAutospacing="1"/>
        <w:ind w:firstLine="0"/>
        <w:jc w:val="center"/>
        <w:rPr>
          <w:b/>
          <w:bCs/>
          <w:sz w:val="96"/>
          <w:szCs w:val="72"/>
        </w:rPr>
      </w:pPr>
    </w:p>
    <w:p w14:paraId="356195AF" w14:textId="77777777" w:rsidR="00496C8B" w:rsidRDefault="00496C8B" w:rsidP="00F577B6">
      <w:pPr>
        <w:spacing w:before="100" w:beforeAutospacing="1" w:after="100" w:afterAutospacing="1"/>
        <w:ind w:firstLine="0"/>
        <w:jc w:val="center"/>
        <w:rPr>
          <w:b/>
          <w:bCs/>
          <w:sz w:val="96"/>
          <w:szCs w:val="72"/>
        </w:rPr>
      </w:pPr>
    </w:p>
    <w:p w14:paraId="7BB82C0E" w14:textId="77777777" w:rsidR="00496C8B" w:rsidRDefault="00496C8B" w:rsidP="00F577B6">
      <w:pPr>
        <w:spacing w:before="100" w:beforeAutospacing="1" w:after="100" w:afterAutospacing="1"/>
        <w:ind w:firstLine="0"/>
        <w:jc w:val="center"/>
        <w:rPr>
          <w:b/>
          <w:bCs/>
          <w:sz w:val="96"/>
          <w:szCs w:val="72"/>
        </w:rPr>
      </w:pPr>
    </w:p>
    <w:p w14:paraId="637F1699" w14:textId="77777777" w:rsidR="00496C8B" w:rsidRDefault="00496C8B" w:rsidP="00F577B6">
      <w:pPr>
        <w:spacing w:before="100" w:beforeAutospacing="1" w:after="100" w:afterAutospacing="1"/>
        <w:ind w:firstLine="0"/>
        <w:jc w:val="center"/>
        <w:rPr>
          <w:b/>
          <w:bCs/>
          <w:sz w:val="96"/>
          <w:szCs w:val="72"/>
        </w:rPr>
      </w:pPr>
    </w:p>
    <w:p w14:paraId="1D92D768" w14:textId="77777777" w:rsidR="00612506" w:rsidRDefault="00612506" w:rsidP="003C27C0">
      <w:pPr>
        <w:spacing w:before="100" w:beforeAutospacing="1" w:after="100" w:afterAutospacing="1"/>
        <w:ind w:firstLine="0"/>
        <w:rPr>
          <w:b/>
          <w:bCs/>
          <w:sz w:val="96"/>
          <w:szCs w:val="72"/>
        </w:rPr>
      </w:pPr>
    </w:p>
    <w:p w14:paraId="255E72DF" w14:textId="77777777" w:rsidR="00122039" w:rsidRDefault="00122039" w:rsidP="00122039">
      <w:pPr>
        <w:spacing w:before="100" w:beforeAutospacing="1" w:after="100" w:afterAutospacing="1"/>
        <w:ind w:firstLine="0"/>
        <w:rPr>
          <w:b/>
          <w:bCs/>
          <w:sz w:val="96"/>
          <w:szCs w:val="72"/>
        </w:rPr>
      </w:pPr>
    </w:p>
    <w:p w14:paraId="3369906E" w14:textId="77777777" w:rsidR="00122039" w:rsidRDefault="00122039" w:rsidP="00122039">
      <w:pPr>
        <w:spacing w:before="100" w:beforeAutospacing="1" w:after="100" w:afterAutospacing="1"/>
        <w:ind w:firstLine="0"/>
        <w:rPr>
          <w:b/>
          <w:bCs/>
          <w:sz w:val="96"/>
          <w:szCs w:val="72"/>
        </w:rPr>
      </w:pPr>
    </w:p>
    <w:p w14:paraId="73D6A75F" w14:textId="77777777" w:rsidR="00122039" w:rsidRDefault="00122039" w:rsidP="00122039">
      <w:pPr>
        <w:spacing w:before="100" w:beforeAutospacing="1" w:after="100" w:afterAutospacing="1"/>
        <w:ind w:firstLine="0"/>
        <w:rPr>
          <w:b/>
          <w:bCs/>
          <w:sz w:val="96"/>
          <w:szCs w:val="72"/>
        </w:rPr>
      </w:pPr>
    </w:p>
    <w:p w14:paraId="0CDFD86F" w14:textId="77777777" w:rsidR="00B005EF" w:rsidRDefault="00F577B6" w:rsidP="00122039">
      <w:pPr>
        <w:spacing w:before="100" w:beforeAutospacing="1" w:after="100" w:afterAutospacing="1"/>
        <w:ind w:firstLine="0"/>
        <w:rPr>
          <w:b/>
          <w:bCs/>
          <w:sz w:val="96"/>
          <w:szCs w:val="72"/>
        </w:rPr>
      </w:pPr>
      <w:r w:rsidRPr="009849A5">
        <w:rPr>
          <w:b/>
          <w:bCs/>
          <w:sz w:val="96"/>
          <w:szCs w:val="72"/>
        </w:rPr>
        <w:t xml:space="preserve">PARTIE </w:t>
      </w:r>
      <w:r w:rsidR="009849A5" w:rsidRPr="009849A5">
        <w:rPr>
          <w:b/>
          <w:bCs/>
          <w:sz w:val="96"/>
          <w:szCs w:val="72"/>
        </w:rPr>
        <w:t>PRAT</w:t>
      </w:r>
      <w:r w:rsidRPr="009849A5">
        <w:rPr>
          <w:b/>
          <w:bCs/>
          <w:sz w:val="96"/>
          <w:szCs w:val="72"/>
        </w:rPr>
        <w:t>IQUE</w:t>
      </w:r>
    </w:p>
    <w:p w14:paraId="027EC39D" w14:textId="77777777" w:rsidR="00F577B6" w:rsidRDefault="00F577B6" w:rsidP="000C4755">
      <w:pPr>
        <w:spacing w:before="100" w:beforeAutospacing="1" w:after="100" w:afterAutospacing="1"/>
        <w:ind w:firstLine="0"/>
        <w:rPr>
          <w:b/>
          <w:bCs/>
          <w:sz w:val="96"/>
          <w:szCs w:val="72"/>
        </w:rPr>
        <w:sectPr w:rsidR="00F577B6" w:rsidSect="00ED7F32">
          <w:headerReference w:type="default" r:id="rId31"/>
          <w:footerReference w:type="default" r:id="rId32"/>
          <w:type w:val="continuous"/>
          <w:pgSz w:w="11906" w:h="16838"/>
          <w:pgMar w:top="1417" w:right="1417" w:bottom="1417" w:left="1417" w:header="708" w:footer="708" w:gutter="0"/>
          <w:cols w:space="708"/>
          <w:docGrid w:linePitch="360"/>
        </w:sectPr>
      </w:pPr>
    </w:p>
    <w:p w14:paraId="542314BB" w14:textId="77777777" w:rsidR="009966ED" w:rsidRPr="009966ED" w:rsidRDefault="009966ED" w:rsidP="009966ED">
      <w:pPr>
        <w:jc w:val="center"/>
        <w:rPr>
          <w:rStyle w:val="apple-converted-space"/>
          <w:b/>
          <w:bCs/>
          <w:sz w:val="28"/>
          <w:szCs w:val="24"/>
          <w:lang w:eastAsia="fr-FR"/>
        </w:rPr>
      </w:pPr>
      <w:r>
        <w:rPr>
          <w:b/>
          <w:bCs/>
          <w:sz w:val="28"/>
          <w:szCs w:val="24"/>
          <w:lang w:eastAsia="fr-FR"/>
        </w:rPr>
        <w:lastRenderedPageBreak/>
        <w:t xml:space="preserve">Chapitre 03  : </w:t>
      </w:r>
      <w:r w:rsidRPr="00C518E1">
        <w:rPr>
          <w:b/>
          <w:bCs/>
          <w:sz w:val="28"/>
          <w:szCs w:val="24"/>
          <w:lang w:eastAsia="fr-FR"/>
        </w:rPr>
        <w:t>Présentation générale de la société de cime</w:t>
      </w:r>
      <w:r>
        <w:rPr>
          <w:b/>
          <w:bCs/>
          <w:sz w:val="28"/>
          <w:szCs w:val="24"/>
          <w:lang w:eastAsia="fr-FR"/>
        </w:rPr>
        <w:t>nt Hamma Bouziane à Constantine</w:t>
      </w:r>
    </w:p>
    <w:p w14:paraId="60DF3AB4" w14:textId="77777777" w:rsidR="004A2378" w:rsidRPr="009966ED" w:rsidRDefault="004A2378" w:rsidP="00612506">
      <w:pPr>
        <w:pStyle w:val="Citationintense"/>
        <w:framePr w:wrap="auto" w:vAnchor="margin" w:yAlign="inline"/>
        <w:ind w:left="0" w:firstLine="0"/>
      </w:pPr>
      <w:r w:rsidRPr="009966ED">
        <w:t> </w:t>
      </w:r>
      <w:bookmarkStart w:id="91" w:name="_Toc200825438"/>
      <w:r w:rsidRPr="009966ED">
        <w:t>Introduction :</w:t>
      </w:r>
      <w:bookmarkEnd w:id="91"/>
    </w:p>
    <w:p w14:paraId="6EDBE407" w14:textId="77777777" w:rsidR="004A2378" w:rsidRPr="004A2378" w:rsidRDefault="004A2378" w:rsidP="004A2378">
      <w:r w:rsidRPr="004A2378">
        <w:t>L’industrie du ciment constitue l’un des secteurs industriels de grande importance pour le développement économique et social. Elle contribue activement à la construction et à l’aménagement, en fournissant une matière première essentielle dans ce domaine. Comme les autres secteurs industriels, l’industrie du ciment connaît une forte concurrence entre ses différentes entreprises, notamment après l’ouverture du marché au secteur privé.</w:t>
      </w:r>
    </w:p>
    <w:p w14:paraId="04C7DC2E" w14:textId="77777777" w:rsidR="004A2378" w:rsidRPr="004A2378" w:rsidRDefault="004A2378" w:rsidP="004A2378">
      <w:r w:rsidRPr="004A2378">
        <w:t xml:space="preserve">Après avoir abordé dans le premier chapitre les concepts théoriques liés à l’analyse stratégique et à l’analyse </w:t>
      </w:r>
      <w:r w:rsidR="00122039">
        <w:t>de greenwashing,</w:t>
      </w:r>
      <w:r w:rsidRPr="004A2378">
        <w:t xml:space="preserve"> ainsi que </w:t>
      </w:r>
      <w:r w:rsidR="00122039">
        <w:t>son</w:t>
      </w:r>
      <w:r w:rsidRPr="004A2378">
        <w:t xml:space="preserve"> </w:t>
      </w:r>
      <w:r w:rsidR="00122039">
        <w:t>impact</w:t>
      </w:r>
      <w:r w:rsidRPr="004A2378">
        <w:t xml:space="preserve"> </w:t>
      </w:r>
      <w:r w:rsidR="00122039">
        <w:t>sur</w:t>
      </w:r>
      <w:r w:rsidRPr="004A2378">
        <w:t xml:space="preserve"> l’</w:t>
      </w:r>
      <w:r w:rsidR="00122039">
        <w:t xml:space="preserve">image de marque </w:t>
      </w:r>
      <w:r w:rsidR="00122039" w:rsidRPr="004A2378">
        <w:t>des</w:t>
      </w:r>
      <w:r w:rsidRPr="004A2378">
        <w:t xml:space="preserve"> entreprises, nous tenterons dans ce chapitre d’examiner dans quelle mesure ces concepts sont appliqués dans l’entreprise objet de notre étude.</w:t>
      </w:r>
    </w:p>
    <w:p w14:paraId="0256791A" w14:textId="77777777" w:rsidR="000C4755" w:rsidRDefault="000C4755" w:rsidP="004A2378">
      <w:pPr>
        <w:rPr>
          <w:b/>
          <w:bCs/>
          <w:sz w:val="28"/>
          <w:szCs w:val="24"/>
          <w:lang w:eastAsia="fr-FR"/>
        </w:rPr>
      </w:pPr>
    </w:p>
    <w:p w14:paraId="4A708A40" w14:textId="77777777" w:rsidR="000C4755" w:rsidRDefault="000C4755" w:rsidP="004A2378">
      <w:pPr>
        <w:rPr>
          <w:b/>
          <w:bCs/>
          <w:sz w:val="28"/>
          <w:szCs w:val="24"/>
          <w:lang w:eastAsia="fr-FR"/>
        </w:rPr>
      </w:pPr>
    </w:p>
    <w:p w14:paraId="5A748EBF" w14:textId="77777777" w:rsidR="000C4755" w:rsidRDefault="000C4755" w:rsidP="004A2378">
      <w:pPr>
        <w:rPr>
          <w:b/>
          <w:bCs/>
          <w:sz w:val="28"/>
          <w:szCs w:val="24"/>
          <w:lang w:eastAsia="fr-FR"/>
        </w:rPr>
      </w:pPr>
    </w:p>
    <w:p w14:paraId="44950988" w14:textId="77777777" w:rsidR="000C4755" w:rsidRDefault="000C4755" w:rsidP="004A2378">
      <w:pPr>
        <w:rPr>
          <w:b/>
          <w:bCs/>
          <w:sz w:val="28"/>
          <w:szCs w:val="24"/>
          <w:lang w:eastAsia="fr-FR"/>
        </w:rPr>
      </w:pPr>
    </w:p>
    <w:p w14:paraId="249B7F93" w14:textId="77777777" w:rsidR="000C4755" w:rsidRDefault="000C4755" w:rsidP="004A2378">
      <w:pPr>
        <w:rPr>
          <w:b/>
          <w:bCs/>
          <w:sz w:val="28"/>
          <w:szCs w:val="24"/>
          <w:lang w:eastAsia="fr-FR"/>
        </w:rPr>
      </w:pPr>
    </w:p>
    <w:p w14:paraId="7C79E3B8" w14:textId="77777777" w:rsidR="00612506" w:rsidRDefault="00612506" w:rsidP="004A2378">
      <w:pPr>
        <w:rPr>
          <w:b/>
          <w:bCs/>
          <w:sz w:val="28"/>
          <w:szCs w:val="24"/>
          <w:lang w:eastAsia="fr-FR"/>
        </w:rPr>
      </w:pPr>
    </w:p>
    <w:p w14:paraId="6B220852" w14:textId="77777777" w:rsidR="00612506" w:rsidRDefault="00612506" w:rsidP="004A2378">
      <w:pPr>
        <w:rPr>
          <w:b/>
          <w:bCs/>
          <w:sz w:val="28"/>
          <w:szCs w:val="24"/>
          <w:lang w:eastAsia="fr-FR"/>
        </w:rPr>
      </w:pPr>
    </w:p>
    <w:p w14:paraId="13A62302" w14:textId="77777777" w:rsidR="00612506" w:rsidRDefault="00612506" w:rsidP="004A2378">
      <w:pPr>
        <w:rPr>
          <w:b/>
          <w:bCs/>
          <w:sz w:val="28"/>
          <w:szCs w:val="24"/>
          <w:lang w:eastAsia="fr-FR"/>
        </w:rPr>
      </w:pPr>
    </w:p>
    <w:p w14:paraId="6799C8E2" w14:textId="77777777" w:rsidR="00612506" w:rsidRDefault="00612506" w:rsidP="004A2378">
      <w:pPr>
        <w:rPr>
          <w:b/>
          <w:bCs/>
          <w:sz w:val="28"/>
          <w:szCs w:val="24"/>
          <w:lang w:eastAsia="fr-FR"/>
        </w:rPr>
      </w:pPr>
    </w:p>
    <w:p w14:paraId="11BC790B" w14:textId="77777777" w:rsidR="00612506" w:rsidRDefault="00612506" w:rsidP="004A2378">
      <w:pPr>
        <w:rPr>
          <w:b/>
          <w:bCs/>
          <w:sz w:val="28"/>
          <w:szCs w:val="24"/>
          <w:lang w:eastAsia="fr-FR"/>
        </w:rPr>
      </w:pPr>
    </w:p>
    <w:p w14:paraId="067C66E7" w14:textId="77777777" w:rsidR="003505FB" w:rsidRPr="00C518E1" w:rsidRDefault="003505FB" w:rsidP="00612506">
      <w:pPr>
        <w:pStyle w:val="Citationintense"/>
        <w:framePr w:wrap="auto" w:vAnchor="margin" w:yAlign="inline"/>
        <w:ind w:left="0" w:firstLine="0"/>
        <w:rPr>
          <w:lang w:eastAsia="fr-FR"/>
        </w:rPr>
      </w:pPr>
      <w:bookmarkStart w:id="92" w:name="_Toc200825439"/>
      <w:r w:rsidRPr="00DD4A8B">
        <w:rPr>
          <w:lang w:eastAsia="fr-FR"/>
        </w:rPr>
        <w:lastRenderedPageBreak/>
        <w:t>Section 01 : Présentation générale de la société de ciment Hamma Bouziane à Constantine</w:t>
      </w:r>
      <w:bookmarkEnd w:id="92"/>
    </w:p>
    <w:p w14:paraId="6D845F77" w14:textId="77777777" w:rsidR="004A2378" w:rsidRPr="004A2378" w:rsidRDefault="004A2378" w:rsidP="006F6589">
      <w:pPr>
        <w:pStyle w:val="Titre1"/>
        <w:numPr>
          <w:ilvl w:val="0"/>
          <w:numId w:val="17"/>
        </w:numPr>
        <w:rPr>
          <w:rtl/>
        </w:rPr>
      </w:pPr>
      <w:bookmarkStart w:id="93" w:name="_Toc200825440"/>
      <w:r w:rsidRPr="004A2378">
        <w:t>Présentation de la société de ciment Hamma Bouziane</w:t>
      </w:r>
      <w:bookmarkEnd w:id="93"/>
    </w:p>
    <w:p w14:paraId="0A4F573D" w14:textId="77777777" w:rsidR="004A2378" w:rsidRPr="004A2378" w:rsidRDefault="004A2378" w:rsidP="004A2378">
      <w:r w:rsidRPr="004A2378">
        <w:t>Considérant que l’Algérie regorge de ressources en matières premières, il a été envisagé de créer plusieurs complexes de production de ciment. Dans le cadre de la réalisation d’un nouveau projet d’investissement, l’entreprise nationale des matériaux de construction (SNMC) s’est appuyée sur la société française Creusot-Loire pour la mise en place d’une nouvelle unité de production de ciment à Constantine en 1974. L’entreprise objet de cette étude est donc la Cimenterie de Hamma Bouziane.</w:t>
      </w:r>
      <w:r w:rsidRPr="004A2378">
        <w:rPr>
          <w:w w:val="58"/>
        </w:rPr>
        <w:t>.</w:t>
      </w:r>
    </w:p>
    <w:p w14:paraId="20D26E24" w14:textId="77777777" w:rsidR="004A2378" w:rsidRPr="004A2378" w:rsidRDefault="004A2378" w:rsidP="006F6589">
      <w:pPr>
        <w:pStyle w:val="Titre1"/>
        <w:numPr>
          <w:ilvl w:val="0"/>
          <w:numId w:val="17"/>
        </w:numPr>
        <w:rPr>
          <w:rFonts w:eastAsia="Times New Roman"/>
        </w:rPr>
      </w:pPr>
      <w:bookmarkStart w:id="94" w:name="_Toc200825441"/>
      <w:r w:rsidRPr="004A2378">
        <w:t>Aperçu historique de l’entreprise</w:t>
      </w:r>
      <w:bookmarkEnd w:id="94"/>
    </w:p>
    <w:p w14:paraId="43D830A5" w14:textId="77777777" w:rsidR="004A2378" w:rsidRPr="004A2378" w:rsidRDefault="004A2378" w:rsidP="004A2378">
      <w:r w:rsidRPr="001E58AB">
        <w:t>Dans le cadre du développement de l'industrie du ciment en Algérie, et compte tenu de la disponibilité de vastes ressources en matières premières, la SNMC a signé en</w:t>
      </w:r>
      <w:r w:rsidRPr="001E58AB">
        <w:rPr>
          <w:rStyle w:val="apple-converted-space"/>
          <w:rFonts w:cstheme="majorBidi"/>
          <w:b/>
          <w:bCs/>
          <w:color w:val="222222"/>
        </w:rPr>
        <w:t> </w:t>
      </w:r>
      <w:r w:rsidRPr="001E58AB">
        <w:rPr>
          <w:rStyle w:val="lev"/>
          <w:rFonts w:cstheme="majorBidi"/>
          <w:color w:val="222222"/>
        </w:rPr>
        <w:t>janvier 1973</w:t>
      </w:r>
      <w:r w:rsidRPr="001E58AB">
        <w:t>un contrat avec la société française Creusot-Loire pour la construction d’une usine de ciment à Constantine. Les travaux ont commencé le</w:t>
      </w:r>
      <w:r w:rsidRPr="001E58AB">
        <w:rPr>
          <w:rStyle w:val="apple-converted-space"/>
          <w:rFonts w:cstheme="majorBidi"/>
          <w:b/>
          <w:bCs/>
          <w:color w:val="222222"/>
        </w:rPr>
        <w:t> </w:t>
      </w:r>
      <w:r w:rsidRPr="001E58AB">
        <w:rPr>
          <w:rStyle w:val="lev"/>
          <w:rFonts w:cstheme="majorBidi"/>
          <w:color w:val="222222"/>
        </w:rPr>
        <w:t>13 novembre 1973</w:t>
      </w:r>
      <w:r w:rsidRPr="001E58AB">
        <w:rPr>
          <w:rStyle w:val="apple-converted-space"/>
          <w:rFonts w:cstheme="majorBidi"/>
          <w:b/>
          <w:bCs/>
          <w:color w:val="222222"/>
        </w:rPr>
        <w:t> </w:t>
      </w:r>
      <w:r w:rsidRPr="001E58AB">
        <w:t>et se sont achevés le</w:t>
      </w:r>
      <w:r w:rsidRPr="001E58AB">
        <w:rPr>
          <w:rStyle w:val="apple-converted-space"/>
          <w:rFonts w:cstheme="majorBidi"/>
          <w:b/>
          <w:bCs/>
          <w:color w:val="222222"/>
        </w:rPr>
        <w:t> </w:t>
      </w:r>
      <w:r w:rsidRPr="001E58AB">
        <w:rPr>
          <w:rStyle w:val="lev"/>
          <w:rFonts w:cstheme="majorBidi"/>
          <w:color w:val="222222"/>
        </w:rPr>
        <w:t>13 juillet 1976</w:t>
      </w:r>
      <w:r w:rsidRPr="001E58AB">
        <w:t>. L’usine, située au nord de Constantine à 6 km, à une altitude de 323 mètres au-dessus du niveau de la mer, a démarré sa production en</w:t>
      </w:r>
      <w:r w:rsidRPr="001E58AB">
        <w:rPr>
          <w:rStyle w:val="apple-converted-space"/>
          <w:rFonts w:cstheme="majorBidi"/>
          <w:b/>
          <w:bCs/>
          <w:color w:val="222222"/>
        </w:rPr>
        <w:t> </w:t>
      </w:r>
      <w:r w:rsidRPr="001E58AB">
        <w:rPr>
          <w:rStyle w:val="lev"/>
          <w:rFonts w:cstheme="majorBidi"/>
          <w:color w:val="222222"/>
        </w:rPr>
        <w:t>février 1977</w:t>
      </w:r>
      <w:r w:rsidRPr="001E58AB">
        <w:rPr>
          <w:rStyle w:val="apple-converted-space"/>
          <w:rFonts w:cstheme="majorBidi"/>
          <w:b/>
          <w:bCs/>
          <w:color w:val="222222"/>
        </w:rPr>
        <w:t> </w:t>
      </w:r>
      <w:r w:rsidRPr="001E58AB">
        <w:t>sous la gestion de la SNMC.</w:t>
      </w:r>
    </w:p>
    <w:p w14:paraId="57CF146A" w14:textId="77777777" w:rsidR="004A2378" w:rsidRPr="004A2378" w:rsidRDefault="004A2378" w:rsidP="004A2378">
      <w:r w:rsidRPr="004A2378">
        <w:t>L’unité régionale de ciment à l’Est (Entreprise Régionale de Ciment de l’Est -</w:t>
      </w:r>
      <w:r w:rsidRPr="004A2378">
        <w:rPr>
          <w:rStyle w:val="apple-converted-space"/>
          <w:rFonts w:cstheme="majorBidi"/>
          <w:b/>
          <w:bCs/>
          <w:color w:val="222222"/>
        </w:rPr>
        <w:t> </w:t>
      </w:r>
      <w:r w:rsidRPr="004A2378">
        <w:rPr>
          <w:rStyle w:val="lev"/>
          <w:rFonts w:cstheme="majorBidi"/>
          <w:color w:val="222222"/>
        </w:rPr>
        <w:t>ERCE</w:t>
      </w:r>
      <w:r w:rsidRPr="004A2378">
        <w:t>) comprenait à l’origine quatre unités de production. L’inauguration officielle de l’usine a eu lieu en</w:t>
      </w:r>
      <w:r w:rsidRPr="004A2378">
        <w:rPr>
          <w:rStyle w:val="apple-converted-space"/>
          <w:rFonts w:cstheme="majorBidi"/>
          <w:b/>
          <w:bCs/>
          <w:color w:val="222222"/>
        </w:rPr>
        <w:t> </w:t>
      </w:r>
      <w:r w:rsidRPr="004A2378">
        <w:rPr>
          <w:rStyle w:val="lev"/>
          <w:rFonts w:cstheme="majorBidi"/>
          <w:color w:val="222222"/>
        </w:rPr>
        <w:t>novembre 1978</w:t>
      </w:r>
      <w:r w:rsidRPr="004A2378">
        <w:rPr>
          <w:rStyle w:val="apple-converted-space"/>
          <w:rFonts w:cstheme="majorBidi"/>
          <w:b/>
          <w:bCs/>
          <w:color w:val="222222"/>
        </w:rPr>
        <w:t> </w:t>
      </w:r>
      <w:r w:rsidRPr="004A2378">
        <w:t>et elle a été baptisée du nom du martyr</w:t>
      </w:r>
      <w:r w:rsidRPr="004A2378">
        <w:rPr>
          <w:rStyle w:val="apple-converted-space"/>
          <w:rFonts w:cstheme="majorBidi"/>
          <w:b/>
          <w:bCs/>
          <w:color w:val="222222"/>
        </w:rPr>
        <w:t> </w:t>
      </w:r>
      <w:proofErr w:type="spellStart"/>
      <w:r w:rsidRPr="004A2378">
        <w:rPr>
          <w:rStyle w:val="lev"/>
          <w:rFonts w:cstheme="majorBidi"/>
          <w:color w:val="222222"/>
        </w:rPr>
        <w:t>Djawed</w:t>
      </w:r>
      <w:proofErr w:type="spellEnd"/>
      <w:r w:rsidRPr="004A2378">
        <w:rPr>
          <w:rStyle w:val="lev"/>
          <w:rFonts w:cstheme="majorBidi"/>
          <w:color w:val="222222"/>
        </w:rPr>
        <w:t xml:space="preserve"> Tahar</w:t>
      </w:r>
      <w:r w:rsidRPr="004A2378">
        <w:t>.</w:t>
      </w:r>
    </w:p>
    <w:p w14:paraId="3E4F049E" w14:textId="77777777" w:rsidR="004A2378" w:rsidRPr="004A2378" w:rsidRDefault="004A2378" w:rsidP="00C518E1">
      <w:r w:rsidRPr="004A2378">
        <w:t>En 1900, cette unité fut incluse dans la Corporation Régionale de l'Est, E.R.C.E., où la SNMC était reliée à la pompe à eau de la SNMC. 33/11/1900</w:t>
      </w:r>
    </w:p>
    <w:p w14:paraId="787100A1" w14:textId="77777777" w:rsidR="004A2378" w:rsidRPr="004A2378" w:rsidRDefault="004A2378" w:rsidP="006F6589">
      <w:pPr>
        <w:pStyle w:val="Titre1"/>
        <w:numPr>
          <w:ilvl w:val="0"/>
          <w:numId w:val="17"/>
        </w:numPr>
        <w:rPr>
          <w:rFonts w:eastAsia="Times New Roman"/>
        </w:rPr>
      </w:pPr>
      <w:bookmarkStart w:id="95" w:name="_Toc200825442"/>
      <w:r w:rsidRPr="004A2378">
        <w:t>Évolution de la société de ciment Hamma Bouziane</w:t>
      </w:r>
      <w:bookmarkEnd w:id="95"/>
    </w:p>
    <w:p w14:paraId="22321B86" w14:textId="77777777" w:rsidR="004A2378" w:rsidRPr="004A2378" w:rsidRDefault="004A2378" w:rsidP="004A2378">
      <w:r w:rsidRPr="004A2378">
        <w:t>L’unité</w:t>
      </w:r>
      <w:r w:rsidRPr="004A2378">
        <w:rPr>
          <w:rStyle w:val="apple-converted-space"/>
          <w:rFonts w:cstheme="majorBidi"/>
          <w:color w:val="222222"/>
        </w:rPr>
        <w:t> </w:t>
      </w:r>
      <w:proofErr w:type="spellStart"/>
      <w:r w:rsidRPr="004A2378">
        <w:rPr>
          <w:rStyle w:val="lev"/>
          <w:rFonts w:cstheme="majorBidi"/>
          <w:color w:val="222222"/>
        </w:rPr>
        <w:t>Djawed</w:t>
      </w:r>
      <w:proofErr w:type="spellEnd"/>
      <w:r w:rsidRPr="004A2378">
        <w:rPr>
          <w:rStyle w:val="lev"/>
          <w:rFonts w:cstheme="majorBidi"/>
          <w:color w:val="222222"/>
        </w:rPr>
        <w:t xml:space="preserve"> Tahar</w:t>
      </w:r>
      <w:r w:rsidRPr="004A2378">
        <w:rPr>
          <w:rStyle w:val="apple-converted-space"/>
          <w:rFonts w:cstheme="majorBidi"/>
          <w:color w:val="222222"/>
        </w:rPr>
        <w:t> </w:t>
      </w:r>
      <w:r w:rsidRPr="004A2378">
        <w:t>a été créée le</w:t>
      </w:r>
      <w:r w:rsidRPr="004A2378">
        <w:rPr>
          <w:rStyle w:val="apple-converted-space"/>
          <w:rFonts w:cstheme="majorBidi"/>
          <w:color w:val="222222"/>
        </w:rPr>
        <w:t> </w:t>
      </w:r>
      <w:r w:rsidRPr="004A2378">
        <w:rPr>
          <w:rStyle w:val="lev"/>
          <w:rFonts w:cstheme="majorBidi"/>
          <w:color w:val="222222"/>
        </w:rPr>
        <w:t>11 décembre 1978</w:t>
      </w:r>
      <w:r w:rsidRPr="004A2378">
        <w:t>, et comprenait initialement quatre unités principales :</w:t>
      </w:r>
    </w:p>
    <w:p w14:paraId="7756A10B" w14:textId="77777777" w:rsidR="004A2378" w:rsidRPr="004A2378" w:rsidRDefault="004A2378" w:rsidP="006F6589">
      <w:pPr>
        <w:pStyle w:val="Paragraphedeliste"/>
        <w:numPr>
          <w:ilvl w:val="0"/>
          <w:numId w:val="18"/>
        </w:numPr>
      </w:pPr>
      <w:r w:rsidRPr="00C518E1">
        <w:rPr>
          <w:rStyle w:val="lev"/>
          <w:rFonts w:cstheme="majorBidi"/>
          <w:color w:val="222222"/>
        </w:rPr>
        <w:t>SME</w:t>
      </w:r>
      <w:r w:rsidRPr="00C518E1">
        <w:rPr>
          <w:rStyle w:val="apple-converted-space"/>
          <w:rFonts w:cstheme="majorBidi"/>
          <w:color w:val="222222"/>
        </w:rPr>
        <w:t> </w:t>
      </w:r>
      <w:r w:rsidRPr="004A2378">
        <w:t>: unité de maintenance</w:t>
      </w:r>
    </w:p>
    <w:p w14:paraId="516D1A22" w14:textId="77777777" w:rsidR="004A2378" w:rsidRPr="004A2378" w:rsidRDefault="004A2378" w:rsidP="006F6589">
      <w:pPr>
        <w:pStyle w:val="Paragraphedeliste"/>
        <w:numPr>
          <w:ilvl w:val="0"/>
          <w:numId w:val="18"/>
        </w:numPr>
      </w:pPr>
      <w:r w:rsidRPr="00C518E1">
        <w:rPr>
          <w:rStyle w:val="lev"/>
          <w:rFonts w:cstheme="majorBidi"/>
          <w:color w:val="222222"/>
        </w:rPr>
        <w:t>SCHB</w:t>
      </w:r>
      <w:r w:rsidRPr="00C518E1">
        <w:rPr>
          <w:rStyle w:val="apple-converted-space"/>
          <w:rFonts w:cstheme="majorBidi"/>
          <w:color w:val="222222"/>
        </w:rPr>
        <w:t> </w:t>
      </w:r>
      <w:r w:rsidRPr="004A2378">
        <w:t>: unité de production de ciment</w:t>
      </w:r>
    </w:p>
    <w:p w14:paraId="61905CFF" w14:textId="77777777" w:rsidR="004A2378" w:rsidRPr="004A2378" w:rsidRDefault="004A2378" w:rsidP="006F6589">
      <w:pPr>
        <w:pStyle w:val="Paragraphedeliste"/>
        <w:numPr>
          <w:ilvl w:val="0"/>
          <w:numId w:val="18"/>
        </w:numPr>
      </w:pPr>
      <w:r w:rsidRPr="00C518E1">
        <w:rPr>
          <w:rStyle w:val="lev"/>
          <w:rFonts w:cstheme="majorBidi"/>
          <w:color w:val="222222"/>
        </w:rPr>
        <w:t>SNCE</w:t>
      </w:r>
      <w:r w:rsidRPr="00C518E1">
        <w:rPr>
          <w:rStyle w:val="apple-converted-space"/>
          <w:rFonts w:cstheme="majorBidi"/>
          <w:color w:val="222222"/>
        </w:rPr>
        <w:t> </w:t>
      </w:r>
      <w:r w:rsidRPr="004A2378">
        <w:t>: unité de commercialisation</w:t>
      </w:r>
    </w:p>
    <w:p w14:paraId="7A4C89E2" w14:textId="77777777" w:rsidR="004A2378" w:rsidRPr="004A2378" w:rsidRDefault="004A2378" w:rsidP="006F6589">
      <w:pPr>
        <w:pStyle w:val="Paragraphedeliste"/>
        <w:numPr>
          <w:ilvl w:val="0"/>
          <w:numId w:val="18"/>
        </w:numPr>
      </w:pPr>
      <w:r w:rsidRPr="00C518E1">
        <w:rPr>
          <w:rStyle w:val="lev"/>
          <w:rFonts w:cstheme="majorBidi"/>
          <w:color w:val="222222"/>
        </w:rPr>
        <w:lastRenderedPageBreak/>
        <w:t>SPDE</w:t>
      </w:r>
      <w:r w:rsidRPr="00C518E1">
        <w:rPr>
          <w:rStyle w:val="apple-converted-space"/>
          <w:rFonts w:cstheme="majorBidi"/>
          <w:color w:val="222222"/>
        </w:rPr>
        <w:t> </w:t>
      </w:r>
      <w:r w:rsidRPr="004A2378">
        <w:t>: unité de production de plâtre</w:t>
      </w:r>
    </w:p>
    <w:p w14:paraId="6552AED7" w14:textId="77777777" w:rsidR="004A2378" w:rsidRPr="004A2378" w:rsidRDefault="004A2378" w:rsidP="004A2378">
      <w:r w:rsidRPr="004A2378">
        <w:t>En</w:t>
      </w:r>
      <w:r w:rsidRPr="004A2378">
        <w:rPr>
          <w:rStyle w:val="apple-converted-space"/>
          <w:rFonts w:cstheme="majorBidi"/>
          <w:color w:val="222222"/>
        </w:rPr>
        <w:t> </w:t>
      </w:r>
      <w:r w:rsidRPr="004A2378">
        <w:rPr>
          <w:rStyle w:val="lev"/>
          <w:rFonts w:cstheme="majorBidi"/>
          <w:color w:val="222222"/>
        </w:rPr>
        <w:t>1990</w:t>
      </w:r>
      <w:r w:rsidRPr="004A2378">
        <w:t>, un processus de réévaluation a conduit à l’autonomisation de chaque unité. En</w:t>
      </w:r>
      <w:r w:rsidRPr="004A2378">
        <w:rPr>
          <w:rStyle w:val="apple-converted-space"/>
          <w:rFonts w:cstheme="majorBidi"/>
          <w:color w:val="222222"/>
        </w:rPr>
        <w:t> </w:t>
      </w:r>
      <w:r w:rsidRPr="004A2378">
        <w:rPr>
          <w:rStyle w:val="lev"/>
          <w:rFonts w:cstheme="majorBidi"/>
          <w:color w:val="222222"/>
        </w:rPr>
        <w:t>2000</w:t>
      </w:r>
      <w:r w:rsidRPr="004A2378">
        <w:t>, l’unité de commercialisation a été intégrée à l’unité de production de ciment, avec la création de dépôts dans plusieurs localités telles que</w:t>
      </w:r>
      <w:r w:rsidRPr="004A2378">
        <w:rPr>
          <w:rStyle w:val="apple-converted-space"/>
          <w:rFonts w:cstheme="majorBidi"/>
          <w:color w:val="222222"/>
        </w:rPr>
        <w:t> </w:t>
      </w:r>
      <w:r w:rsidRPr="004A2378">
        <w:rPr>
          <w:rStyle w:val="lev"/>
          <w:rFonts w:cstheme="majorBidi"/>
          <w:color w:val="222222"/>
        </w:rPr>
        <w:t xml:space="preserve">El </w:t>
      </w:r>
      <w:proofErr w:type="spellStart"/>
      <w:r w:rsidRPr="004A2378">
        <w:rPr>
          <w:rStyle w:val="lev"/>
          <w:rFonts w:cstheme="majorBidi"/>
          <w:color w:val="222222"/>
        </w:rPr>
        <w:t>Khroub</w:t>
      </w:r>
      <w:proofErr w:type="spellEnd"/>
      <w:r w:rsidRPr="004A2378">
        <w:t>,</w:t>
      </w:r>
      <w:r w:rsidRPr="004A2378">
        <w:rPr>
          <w:rStyle w:val="apple-converted-space"/>
          <w:rFonts w:cstheme="majorBidi"/>
          <w:color w:val="222222"/>
        </w:rPr>
        <w:t> </w:t>
      </w:r>
      <w:proofErr w:type="spellStart"/>
      <w:r w:rsidRPr="004A2378">
        <w:rPr>
          <w:rStyle w:val="lev"/>
          <w:rFonts w:cstheme="majorBidi"/>
          <w:color w:val="222222"/>
        </w:rPr>
        <w:t>Télaghma</w:t>
      </w:r>
      <w:proofErr w:type="spellEnd"/>
      <w:r w:rsidRPr="004A2378">
        <w:t>,</w:t>
      </w:r>
      <w:r w:rsidRPr="004A2378">
        <w:rPr>
          <w:rStyle w:val="apple-converted-space"/>
          <w:rFonts w:cstheme="majorBidi"/>
          <w:color w:val="222222"/>
        </w:rPr>
        <w:t> </w:t>
      </w:r>
      <w:r w:rsidRPr="004A2378">
        <w:rPr>
          <w:rStyle w:val="lev"/>
          <w:rFonts w:cstheme="majorBidi"/>
          <w:color w:val="222222"/>
        </w:rPr>
        <w:t xml:space="preserve">Saleh </w:t>
      </w:r>
      <w:proofErr w:type="spellStart"/>
      <w:r w:rsidRPr="004A2378">
        <w:rPr>
          <w:rStyle w:val="lev"/>
          <w:rFonts w:cstheme="majorBidi"/>
          <w:color w:val="222222"/>
        </w:rPr>
        <w:t>Bouchaour</w:t>
      </w:r>
      <w:proofErr w:type="spellEnd"/>
      <w:r w:rsidRPr="004A2378">
        <w:rPr>
          <w:rStyle w:val="lev"/>
          <w:rFonts w:cstheme="majorBidi"/>
          <w:color w:val="222222"/>
        </w:rPr>
        <w:t xml:space="preserve"> (Skikda)</w:t>
      </w:r>
      <w:r w:rsidRPr="004A2378">
        <w:t>, et</w:t>
      </w:r>
      <w:r w:rsidRPr="004A2378">
        <w:rPr>
          <w:rStyle w:val="apple-converted-space"/>
          <w:rFonts w:cstheme="majorBidi"/>
          <w:color w:val="222222"/>
        </w:rPr>
        <w:t> </w:t>
      </w:r>
      <w:proofErr w:type="spellStart"/>
      <w:r w:rsidRPr="004A2378">
        <w:rPr>
          <w:rStyle w:val="lev"/>
          <w:rFonts w:cstheme="majorBidi"/>
          <w:color w:val="222222"/>
        </w:rPr>
        <w:t>Hamoudi</w:t>
      </w:r>
      <w:proofErr w:type="spellEnd"/>
      <w:r w:rsidRPr="004A2378">
        <w:rPr>
          <w:rStyle w:val="lev"/>
          <w:rFonts w:cstheme="majorBidi"/>
          <w:color w:val="222222"/>
        </w:rPr>
        <w:t xml:space="preserve"> Amirouche (Annaba)</w:t>
      </w:r>
      <w:r w:rsidRPr="004A2378">
        <w:t>.</w:t>
      </w:r>
    </w:p>
    <w:p w14:paraId="300A652B" w14:textId="77777777" w:rsidR="004A2378" w:rsidRPr="000C4755" w:rsidRDefault="004A2378" w:rsidP="004A2378">
      <w:r w:rsidRPr="004A2378">
        <w:t>En</w:t>
      </w:r>
      <w:r w:rsidRPr="004A2378">
        <w:rPr>
          <w:rStyle w:val="apple-converted-space"/>
          <w:rFonts w:cstheme="majorBidi"/>
          <w:color w:val="222222"/>
        </w:rPr>
        <w:t> </w:t>
      </w:r>
      <w:r w:rsidRPr="004A2378">
        <w:rPr>
          <w:rStyle w:val="lev"/>
          <w:rFonts w:cstheme="majorBidi"/>
          <w:color w:val="222222"/>
        </w:rPr>
        <w:t>2009</w:t>
      </w:r>
      <w:r w:rsidRPr="004A2378">
        <w:t>, l’entreprise a fait l’objet d’une restructuration. Son capital a été fixé à</w:t>
      </w:r>
      <w:r w:rsidRPr="004A2378">
        <w:rPr>
          <w:rStyle w:val="apple-converted-space"/>
          <w:rFonts w:cstheme="majorBidi"/>
          <w:color w:val="222222"/>
        </w:rPr>
        <w:t> </w:t>
      </w:r>
      <w:r w:rsidRPr="004A2378">
        <w:rPr>
          <w:rStyle w:val="lev"/>
          <w:rFonts w:cstheme="majorBidi"/>
          <w:color w:val="222222"/>
        </w:rPr>
        <w:t>2 333 333 000 DZD</w:t>
      </w:r>
      <w:r w:rsidRPr="004A2378">
        <w:t>. Elle a été réintégrée au sein du</w:t>
      </w:r>
      <w:r w:rsidRPr="004A2378">
        <w:rPr>
          <w:rStyle w:val="apple-converted-space"/>
          <w:rFonts w:cstheme="majorBidi"/>
          <w:color w:val="222222"/>
        </w:rPr>
        <w:t> </w:t>
      </w:r>
      <w:r w:rsidRPr="004A2378">
        <w:rPr>
          <w:rStyle w:val="lev"/>
          <w:rFonts w:cstheme="majorBidi"/>
          <w:color w:val="222222"/>
        </w:rPr>
        <w:t xml:space="preserve">Groupe Industriel des Ciments </w:t>
      </w:r>
      <w:r w:rsidRPr="000C4755">
        <w:rPr>
          <w:rStyle w:val="lev"/>
          <w:rFonts w:cstheme="majorBidi"/>
          <w:color w:val="222222"/>
        </w:rPr>
        <w:t>d’Algérie (GICA)</w:t>
      </w:r>
      <w:r w:rsidRPr="000C4755">
        <w:t>, qui regroupe trois grandes sociétés régionales :</w:t>
      </w:r>
    </w:p>
    <w:p w14:paraId="19D7EE27" w14:textId="77777777" w:rsidR="004A2378" w:rsidRPr="000C4755" w:rsidRDefault="004A2378" w:rsidP="006F6589">
      <w:pPr>
        <w:pStyle w:val="Paragraphedeliste"/>
        <w:numPr>
          <w:ilvl w:val="0"/>
          <w:numId w:val="19"/>
        </w:numPr>
      </w:pPr>
      <w:r w:rsidRPr="000C4755">
        <w:t>Société de production de ciment de l’Est</w:t>
      </w:r>
    </w:p>
    <w:p w14:paraId="0BD8053E" w14:textId="77777777" w:rsidR="004A2378" w:rsidRPr="000C4755" w:rsidRDefault="004A2378" w:rsidP="006F6589">
      <w:pPr>
        <w:pStyle w:val="Paragraphedeliste"/>
        <w:numPr>
          <w:ilvl w:val="0"/>
          <w:numId w:val="19"/>
        </w:numPr>
      </w:pPr>
      <w:r w:rsidRPr="000C4755">
        <w:t>Société de production de ciment de l’Ouest</w:t>
      </w:r>
    </w:p>
    <w:p w14:paraId="794DE267" w14:textId="77777777" w:rsidR="004A2378" w:rsidRPr="000C4755" w:rsidRDefault="004A2378" w:rsidP="006F6589">
      <w:pPr>
        <w:pStyle w:val="Paragraphedeliste"/>
        <w:numPr>
          <w:ilvl w:val="0"/>
          <w:numId w:val="19"/>
        </w:numPr>
      </w:pPr>
      <w:r w:rsidRPr="000C4755">
        <w:t>Société de production de ciment du Centre</w:t>
      </w:r>
    </w:p>
    <w:p w14:paraId="3BF3832D" w14:textId="77777777" w:rsidR="004A2378" w:rsidRPr="004A2378" w:rsidRDefault="004A2378" w:rsidP="00DD4A8B">
      <w:pPr>
        <w:pStyle w:val="Titre1"/>
        <w:numPr>
          <w:ilvl w:val="0"/>
          <w:numId w:val="6"/>
        </w:numPr>
        <w:rPr>
          <w:rFonts w:eastAsia="Times New Roman"/>
        </w:rPr>
      </w:pPr>
      <w:bookmarkStart w:id="96" w:name="_Toc200825443"/>
      <w:r w:rsidRPr="004A2378">
        <w:t>Identification de la société SCHB – Hamma Bouziane</w:t>
      </w:r>
      <w:bookmarkEnd w:id="96"/>
    </w:p>
    <w:p w14:paraId="07FC35A2" w14:textId="77777777" w:rsidR="004A2378" w:rsidRPr="004A2378" w:rsidRDefault="004A2378" w:rsidP="004A2378">
      <w:r w:rsidRPr="004A2378">
        <w:t>La cimenterie</w:t>
      </w:r>
      <w:r w:rsidRPr="004A2378">
        <w:rPr>
          <w:rStyle w:val="apple-converted-space"/>
          <w:rFonts w:cstheme="majorBidi"/>
          <w:color w:val="222222"/>
        </w:rPr>
        <w:t> </w:t>
      </w:r>
      <w:r w:rsidRPr="004A2378">
        <w:rPr>
          <w:rStyle w:val="lev"/>
          <w:rFonts w:cstheme="majorBidi"/>
          <w:color w:val="222222"/>
        </w:rPr>
        <w:t>SCHB</w:t>
      </w:r>
      <w:r w:rsidRPr="004A2378">
        <w:rPr>
          <w:rStyle w:val="apple-converted-space"/>
          <w:rFonts w:cstheme="majorBidi"/>
          <w:color w:val="222222"/>
        </w:rPr>
        <w:t> </w:t>
      </w:r>
      <w:r w:rsidRPr="004A2378">
        <w:t>Hamma Bouziane, aussi appelée</w:t>
      </w:r>
      <w:r w:rsidRPr="004A2378">
        <w:rPr>
          <w:rStyle w:val="apple-converted-space"/>
          <w:rFonts w:cstheme="majorBidi"/>
          <w:color w:val="222222"/>
        </w:rPr>
        <w:t> </w:t>
      </w:r>
      <w:r w:rsidRPr="004A2378">
        <w:rPr>
          <w:rStyle w:val="lev"/>
          <w:rFonts w:cstheme="majorBidi"/>
          <w:color w:val="222222"/>
        </w:rPr>
        <w:t xml:space="preserve">"Unité </w:t>
      </w:r>
      <w:proofErr w:type="spellStart"/>
      <w:r w:rsidRPr="004A2378">
        <w:rPr>
          <w:rStyle w:val="lev"/>
          <w:rFonts w:cstheme="majorBidi"/>
          <w:color w:val="222222"/>
        </w:rPr>
        <w:t>Djawed</w:t>
      </w:r>
      <w:proofErr w:type="spellEnd"/>
      <w:r w:rsidRPr="004A2378">
        <w:rPr>
          <w:rStyle w:val="lev"/>
          <w:rFonts w:cstheme="majorBidi"/>
          <w:color w:val="222222"/>
        </w:rPr>
        <w:t xml:space="preserve"> Tahar"</w:t>
      </w:r>
      <w:r w:rsidRPr="004A2378">
        <w:t xml:space="preserve">, est l’une des cinq unités régionales </w:t>
      </w:r>
      <w:r w:rsidRPr="000C4755">
        <w:t>affiliées à l’</w:t>
      </w:r>
      <w:r w:rsidRPr="000C4755">
        <w:rPr>
          <w:rStyle w:val="lev"/>
          <w:rFonts w:cstheme="majorBidi"/>
          <w:color w:val="222222"/>
        </w:rPr>
        <w:t>ERCE</w:t>
      </w:r>
      <w:r w:rsidRPr="000C4755">
        <w:t>. C’est une</w:t>
      </w:r>
      <w:r w:rsidRPr="004A2378">
        <w:t xml:space="preserve"> société par actions dotée d’un capital estimé à</w:t>
      </w:r>
      <w:r w:rsidRPr="004A2378">
        <w:rPr>
          <w:rStyle w:val="apple-converted-space"/>
          <w:rFonts w:cstheme="majorBidi"/>
          <w:color w:val="222222"/>
        </w:rPr>
        <w:t> </w:t>
      </w:r>
      <w:r w:rsidRPr="004A2378">
        <w:rPr>
          <w:rStyle w:val="lev"/>
          <w:rFonts w:cstheme="majorBidi"/>
          <w:color w:val="222222"/>
        </w:rPr>
        <w:t>2 333 333 000 DZD</w:t>
      </w:r>
      <w:r w:rsidRPr="004A2378">
        <w:t>. Elle est située au nord de la ville de Constantine, sur la route nationale n°3 entre les communes de</w:t>
      </w:r>
      <w:r w:rsidRPr="004A2378">
        <w:rPr>
          <w:rStyle w:val="apple-converted-space"/>
          <w:rFonts w:cstheme="majorBidi"/>
          <w:color w:val="222222"/>
        </w:rPr>
        <w:t> </w:t>
      </w:r>
      <w:r w:rsidRPr="004A2378">
        <w:rPr>
          <w:rStyle w:val="lev"/>
          <w:rFonts w:cstheme="majorBidi"/>
          <w:color w:val="222222"/>
        </w:rPr>
        <w:t>Hamma Bouziane</w:t>
      </w:r>
      <w:r w:rsidRPr="004A2378">
        <w:rPr>
          <w:rStyle w:val="apple-converted-space"/>
          <w:rFonts w:cstheme="majorBidi"/>
          <w:color w:val="222222"/>
        </w:rPr>
        <w:t> </w:t>
      </w:r>
      <w:r w:rsidRPr="004A2378">
        <w:t>et</w:t>
      </w:r>
      <w:r w:rsidRPr="004A2378">
        <w:rPr>
          <w:rStyle w:val="apple-converted-space"/>
          <w:rFonts w:cstheme="majorBidi"/>
          <w:color w:val="222222"/>
        </w:rPr>
        <w:t> </w:t>
      </w:r>
      <w:proofErr w:type="spellStart"/>
      <w:r w:rsidRPr="004A2378">
        <w:rPr>
          <w:rStyle w:val="lev"/>
          <w:rFonts w:cstheme="majorBidi"/>
          <w:color w:val="222222"/>
        </w:rPr>
        <w:t>Didouche</w:t>
      </w:r>
      <w:proofErr w:type="spellEnd"/>
      <w:r w:rsidRPr="004A2378">
        <w:rPr>
          <w:rStyle w:val="lev"/>
          <w:rFonts w:cstheme="majorBidi"/>
          <w:color w:val="222222"/>
        </w:rPr>
        <w:t xml:space="preserve"> Mourad</w:t>
      </w:r>
      <w:r w:rsidRPr="004A2378">
        <w:t>, sur un terrain de</w:t>
      </w:r>
      <w:r w:rsidRPr="004A2378">
        <w:rPr>
          <w:rStyle w:val="apple-converted-space"/>
          <w:rFonts w:cstheme="majorBidi"/>
          <w:color w:val="222222"/>
        </w:rPr>
        <w:t> </w:t>
      </w:r>
      <w:r w:rsidRPr="004A2378">
        <w:rPr>
          <w:rStyle w:val="lev"/>
          <w:rFonts w:cstheme="majorBidi"/>
          <w:color w:val="222222"/>
        </w:rPr>
        <w:t>43 hectares</w:t>
      </w:r>
      <w:r w:rsidRPr="004A2378">
        <w:t>.</w:t>
      </w:r>
    </w:p>
    <w:p w14:paraId="71A24AFC" w14:textId="77777777" w:rsidR="004A2378" w:rsidRPr="002B5F78" w:rsidRDefault="004A2378" w:rsidP="002B5F78">
      <w:pPr>
        <w:rPr>
          <w:rFonts w:eastAsia="Times New Roman"/>
          <w:szCs w:val="24"/>
          <w:lang w:eastAsia="fr-FR"/>
        </w:rPr>
      </w:pPr>
      <w:r w:rsidRPr="004A2378">
        <w:rPr>
          <w:rFonts w:eastAsia="Times New Roman"/>
          <w:szCs w:val="24"/>
          <w:shd w:val="clear" w:color="auto" w:fill="FFFFFF"/>
          <w:lang w:eastAsia="fr-FR"/>
        </w:rPr>
        <w:t>Elle extrait sa matière semi-transformée principalement à partir d’un </w:t>
      </w:r>
      <w:r w:rsidRPr="004A2378">
        <w:rPr>
          <w:rFonts w:eastAsia="Times New Roman"/>
          <w:b/>
          <w:bCs/>
          <w:szCs w:val="24"/>
          <w:lang w:eastAsia="fr-FR"/>
        </w:rPr>
        <w:t>gisement de calcaire (CALCAIRE)</w:t>
      </w:r>
      <w:r w:rsidRPr="004A2378">
        <w:rPr>
          <w:rFonts w:eastAsia="Times New Roman"/>
          <w:szCs w:val="24"/>
          <w:shd w:val="clear" w:color="auto" w:fill="FFFFFF"/>
          <w:lang w:eastAsia="fr-FR"/>
        </w:rPr>
        <w:t> d’une superficie de </w:t>
      </w:r>
      <w:r w:rsidRPr="004A2378">
        <w:rPr>
          <w:rFonts w:eastAsia="Times New Roman"/>
          <w:b/>
          <w:bCs/>
          <w:szCs w:val="24"/>
          <w:lang w:eastAsia="fr-FR"/>
        </w:rPr>
        <w:t>129 hectares</w:t>
      </w:r>
      <w:r w:rsidRPr="004A2378">
        <w:rPr>
          <w:rFonts w:eastAsia="Times New Roman"/>
          <w:szCs w:val="24"/>
          <w:shd w:val="clear" w:color="auto" w:fill="FFFFFF"/>
          <w:lang w:eastAsia="fr-FR"/>
        </w:rPr>
        <w:t>, ainsi qu’un </w:t>
      </w:r>
      <w:r w:rsidRPr="004A2378">
        <w:rPr>
          <w:rFonts w:eastAsia="Times New Roman"/>
          <w:b/>
          <w:bCs/>
          <w:szCs w:val="24"/>
          <w:lang w:eastAsia="fr-FR"/>
        </w:rPr>
        <w:t>gisement d’argile (ARGILE)</w:t>
      </w:r>
      <w:r w:rsidRPr="004A2378">
        <w:rPr>
          <w:rFonts w:eastAsia="Times New Roman"/>
          <w:szCs w:val="24"/>
          <w:shd w:val="clear" w:color="auto" w:fill="FFFFFF"/>
          <w:lang w:eastAsia="fr-FR"/>
        </w:rPr>
        <w:t>couvrant </w:t>
      </w:r>
      <w:r w:rsidRPr="004A2378">
        <w:rPr>
          <w:rFonts w:eastAsia="Times New Roman"/>
          <w:b/>
          <w:bCs/>
          <w:szCs w:val="24"/>
          <w:lang w:eastAsia="fr-FR"/>
        </w:rPr>
        <w:t>130 hectares</w:t>
      </w:r>
      <w:r w:rsidRPr="004A2378">
        <w:rPr>
          <w:rFonts w:eastAsia="Times New Roman"/>
          <w:szCs w:val="24"/>
          <w:shd w:val="clear" w:color="auto" w:fill="FFFFFF"/>
          <w:lang w:eastAsia="fr-FR"/>
        </w:rPr>
        <w:t>. L’usine est alimentée par deux lignes électriques de </w:t>
      </w:r>
      <w:r w:rsidRPr="004A2378">
        <w:rPr>
          <w:rFonts w:eastAsia="Times New Roman"/>
          <w:b/>
          <w:bCs/>
          <w:szCs w:val="24"/>
          <w:lang w:eastAsia="fr-FR"/>
        </w:rPr>
        <w:t>560 kilovolts</w:t>
      </w:r>
      <w:r w:rsidRPr="004A2378">
        <w:rPr>
          <w:rFonts w:eastAsia="Times New Roman"/>
          <w:szCs w:val="24"/>
          <w:shd w:val="clear" w:color="auto" w:fill="FFFFFF"/>
          <w:lang w:eastAsia="fr-FR"/>
        </w:rPr>
        <w:t>, et consomme du gaz naturel à un niveau très élevé, directement via un pipeline. Elle est également approvisionnée en eau depuis la source de Hamma Bouziane, avec un débit de </w:t>
      </w:r>
      <w:r w:rsidRPr="004A2378">
        <w:rPr>
          <w:rFonts w:eastAsia="Times New Roman"/>
          <w:b/>
          <w:bCs/>
          <w:szCs w:val="24"/>
          <w:lang w:eastAsia="fr-FR"/>
        </w:rPr>
        <w:t>100 m³/h</w:t>
      </w:r>
      <w:r w:rsidRPr="004A2378">
        <w:rPr>
          <w:rFonts w:eastAsia="Times New Roman"/>
          <w:szCs w:val="24"/>
          <w:shd w:val="clear" w:color="auto" w:fill="FFFFFF"/>
          <w:lang w:eastAsia="fr-FR"/>
        </w:rPr>
        <w:t>. Sa capacité de production normale est de </w:t>
      </w:r>
      <w:r w:rsidRPr="004A2378">
        <w:rPr>
          <w:rFonts w:eastAsia="Times New Roman"/>
          <w:b/>
          <w:bCs/>
          <w:szCs w:val="24"/>
          <w:lang w:eastAsia="fr-FR"/>
        </w:rPr>
        <w:t>3 333 tonnes de ciment par jour</w:t>
      </w:r>
      <w:r w:rsidRPr="004A2378">
        <w:rPr>
          <w:rFonts w:eastAsia="Times New Roman"/>
          <w:szCs w:val="24"/>
          <w:shd w:val="clear" w:color="auto" w:fill="FFFFFF"/>
          <w:lang w:eastAsia="fr-FR"/>
        </w:rPr>
        <w:t>.</w:t>
      </w:r>
    </w:p>
    <w:p w14:paraId="7A239C28" w14:textId="77777777" w:rsidR="00C518E1" w:rsidRDefault="00C518E1" w:rsidP="002B5F78">
      <w:pPr>
        <w:rPr>
          <w:rFonts w:cstheme="majorBidi"/>
          <w:b/>
          <w:bCs/>
          <w:sz w:val="28"/>
          <w:szCs w:val="28"/>
        </w:rPr>
      </w:pPr>
    </w:p>
    <w:p w14:paraId="432A990D" w14:textId="77777777" w:rsidR="003505FB" w:rsidRDefault="003505FB" w:rsidP="002B5F78">
      <w:pPr>
        <w:rPr>
          <w:rFonts w:cstheme="majorBidi"/>
          <w:b/>
          <w:bCs/>
          <w:sz w:val="28"/>
          <w:szCs w:val="28"/>
        </w:rPr>
      </w:pPr>
    </w:p>
    <w:p w14:paraId="543E5E90" w14:textId="77777777" w:rsidR="009849A5" w:rsidRDefault="009849A5" w:rsidP="00612506">
      <w:pPr>
        <w:pStyle w:val="Citationintense"/>
        <w:framePr w:wrap="auto" w:vAnchor="margin" w:yAlign="inline"/>
        <w:ind w:left="0" w:firstLine="0"/>
      </w:pPr>
    </w:p>
    <w:p w14:paraId="77BEA828" w14:textId="77777777" w:rsidR="004A2378" w:rsidRPr="00C518E1" w:rsidRDefault="00C518E1" w:rsidP="00612506">
      <w:pPr>
        <w:pStyle w:val="Citationintense"/>
        <w:framePr w:wrap="auto" w:vAnchor="margin" w:yAlign="inline"/>
        <w:ind w:left="0" w:firstLine="0"/>
      </w:pPr>
      <w:bookmarkStart w:id="97" w:name="_Toc200825444"/>
      <w:r w:rsidRPr="008E4736">
        <w:lastRenderedPageBreak/>
        <w:t>Section 02 :</w:t>
      </w:r>
      <w:r w:rsidR="004A2378" w:rsidRPr="008E4736">
        <w:t> Objectifs et missions de la société de ciment Hamma Bouziane</w:t>
      </w:r>
      <w:bookmarkEnd w:id="97"/>
      <w:r w:rsidR="004A2378" w:rsidRPr="00C518E1">
        <w:t> </w:t>
      </w:r>
    </w:p>
    <w:p w14:paraId="6845EB4F" w14:textId="77777777" w:rsidR="004A2378" w:rsidRPr="004A2378" w:rsidRDefault="004A2378" w:rsidP="002B5F78">
      <w:pPr>
        <w:rPr>
          <w:rFonts w:eastAsia="Times New Roman"/>
          <w:szCs w:val="24"/>
          <w:lang w:eastAsia="fr-FR"/>
        </w:rPr>
      </w:pPr>
      <w:r w:rsidRPr="004A2378">
        <w:rPr>
          <w:rFonts w:eastAsia="Times New Roman"/>
          <w:szCs w:val="24"/>
          <w:lang w:eastAsia="fr-FR"/>
        </w:rPr>
        <w:t>Comme toute entreprise, la cimenterie Hamma Bouziane a été créée dans le but d’accomplir certaines missions et d’atteindre des objectifs bien définis. Elle œuvre dans le cadre d’une stratégie de développement industriel et vise l’optimisation de sa performance et de sa contr</w:t>
      </w:r>
      <w:r w:rsidR="002B5F78">
        <w:rPr>
          <w:rFonts w:eastAsia="Times New Roman"/>
          <w:szCs w:val="24"/>
          <w:lang w:eastAsia="fr-FR"/>
        </w:rPr>
        <w:t>ibution au secteur du bâtiment.</w:t>
      </w:r>
    </w:p>
    <w:p w14:paraId="5D611B60" w14:textId="77777777" w:rsidR="004A2378" w:rsidRPr="00C518E1" w:rsidRDefault="004A2378" w:rsidP="006F6589">
      <w:pPr>
        <w:pStyle w:val="Titre1"/>
        <w:numPr>
          <w:ilvl w:val="0"/>
          <w:numId w:val="20"/>
        </w:numPr>
      </w:pPr>
      <w:bookmarkStart w:id="98" w:name="_Toc200825445"/>
      <w:r w:rsidRPr="002B5F78">
        <w:t>Objectifs de l’entreprise :</w:t>
      </w:r>
      <w:bookmarkEnd w:id="98"/>
    </w:p>
    <w:p w14:paraId="71641E5E" w14:textId="77777777" w:rsidR="004A2378" w:rsidRPr="00C518E1" w:rsidRDefault="004A2378" w:rsidP="00C518E1">
      <w:pPr>
        <w:ind w:firstLine="0"/>
        <w:rPr>
          <w:rFonts w:eastAsia="Times New Roman"/>
          <w:b/>
          <w:bCs/>
          <w:szCs w:val="24"/>
          <w:lang w:eastAsia="fr-FR"/>
        </w:rPr>
      </w:pPr>
      <w:r w:rsidRPr="00C518E1">
        <w:rPr>
          <w:rFonts w:eastAsia="Times New Roman"/>
          <w:b/>
          <w:bCs/>
          <w:szCs w:val="24"/>
          <w:lang w:eastAsia="fr-FR"/>
        </w:rPr>
        <w:t>Objectifs et missions de la s</w:t>
      </w:r>
      <w:r w:rsidR="002B5F78" w:rsidRPr="00C518E1">
        <w:rPr>
          <w:rFonts w:eastAsia="Times New Roman"/>
          <w:b/>
          <w:bCs/>
          <w:szCs w:val="24"/>
          <w:lang w:eastAsia="fr-FR"/>
        </w:rPr>
        <w:t>ociété de ciment Hamma Bouziane</w:t>
      </w:r>
    </w:p>
    <w:p w14:paraId="28EDFCF4" w14:textId="77777777" w:rsidR="004A2378" w:rsidRPr="00C518E1" w:rsidRDefault="004A2378" w:rsidP="006F6589">
      <w:pPr>
        <w:pStyle w:val="Paragraphedeliste"/>
        <w:numPr>
          <w:ilvl w:val="0"/>
          <w:numId w:val="22"/>
        </w:numPr>
        <w:rPr>
          <w:rFonts w:eastAsia="Times New Roman"/>
          <w:szCs w:val="24"/>
          <w:lang w:eastAsia="fr-FR"/>
        </w:rPr>
      </w:pPr>
      <w:r w:rsidRPr="00C518E1">
        <w:rPr>
          <w:rFonts w:eastAsia="Times New Roman"/>
          <w:szCs w:val="24"/>
          <w:lang w:eastAsia="fr-FR"/>
        </w:rPr>
        <w:t>Comme toute entreprise, la cimenterie Hamma Bouziane a été créée dans le but d’accomplir certaines missions et d’atteindre des objectifs bien définis. Elle œuvre dans le cadre d’une stratégie de développement industriel et vise l’optimisation de sa performance et de sa contribution au secte</w:t>
      </w:r>
      <w:r w:rsidR="002B5F78" w:rsidRPr="00C518E1">
        <w:rPr>
          <w:rFonts w:eastAsia="Times New Roman"/>
          <w:szCs w:val="24"/>
          <w:lang w:eastAsia="fr-FR"/>
        </w:rPr>
        <w:t>ur du bâtiment.</w:t>
      </w:r>
    </w:p>
    <w:p w14:paraId="4D0DD968" w14:textId="77777777" w:rsidR="004A2378" w:rsidRPr="00C518E1" w:rsidRDefault="004A2378" w:rsidP="006F6589">
      <w:pPr>
        <w:pStyle w:val="Paragraphedeliste"/>
        <w:numPr>
          <w:ilvl w:val="0"/>
          <w:numId w:val="22"/>
        </w:numPr>
        <w:rPr>
          <w:rFonts w:eastAsia="Times New Roman"/>
          <w:szCs w:val="24"/>
          <w:lang w:eastAsia="fr-FR"/>
        </w:rPr>
      </w:pPr>
      <w:r w:rsidRPr="00C518E1">
        <w:rPr>
          <w:rFonts w:eastAsia="Times New Roman"/>
          <w:szCs w:val="24"/>
          <w:lang w:eastAsia="fr-FR"/>
        </w:rPr>
        <w:t xml:space="preserve">Compte tenu de l’importance stratégique du ciment en tant que matière première vitale, l’objectif principal du groupe est d’assurer la disponibilité des quantités nécessaires sur le marché, particulièrement en période de forte demande. Cette demande est souvent générée par des projets d’envergure comme la nouvelle ville Ali </w:t>
      </w:r>
      <w:proofErr w:type="spellStart"/>
      <w:r w:rsidRPr="00C518E1">
        <w:rPr>
          <w:rFonts w:eastAsia="Times New Roman"/>
          <w:szCs w:val="24"/>
          <w:lang w:eastAsia="fr-FR"/>
        </w:rPr>
        <w:t>Mendjeli</w:t>
      </w:r>
      <w:proofErr w:type="spellEnd"/>
      <w:r w:rsidRPr="00C518E1">
        <w:rPr>
          <w:rFonts w:eastAsia="Times New Roman"/>
          <w:szCs w:val="24"/>
          <w:lang w:eastAsia="fr-FR"/>
        </w:rPr>
        <w:t xml:space="preserve"> ou les programmes d’extension du foncier urbain da</w:t>
      </w:r>
      <w:r w:rsidR="002B5F78" w:rsidRPr="00C518E1">
        <w:rPr>
          <w:rFonts w:eastAsia="Times New Roman"/>
          <w:szCs w:val="24"/>
          <w:lang w:eastAsia="fr-FR"/>
        </w:rPr>
        <w:t>ns différentes régions du pays.</w:t>
      </w:r>
    </w:p>
    <w:p w14:paraId="275A5089" w14:textId="77777777" w:rsidR="004A2378" w:rsidRPr="00C518E1" w:rsidRDefault="004A2378" w:rsidP="002B5F78">
      <w:pPr>
        <w:rPr>
          <w:rFonts w:eastAsia="Times New Roman"/>
          <w:b/>
          <w:bCs/>
          <w:szCs w:val="24"/>
          <w:lang w:eastAsia="fr-FR"/>
        </w:rPr>
      </w:pPr>
      <w:r w:rsidRPr="00C518E1">
        <w:rPr>
          <w:rFonts w:eastAsia="Times New Roman"/>
          <w:b/>
          <w:bCs/>
          <w:szCs w:val="24"/>
          <w:lang w:eastAsia="fr-FR"/>
        </w:rPr>
        <w:t xml:space="preserve">Les objectifs de l’entreprise </w:t>
      </w:r>
      <w:r w:rsidR="002B5F78" w:rsidRPr="00C518E1">
        <w:rPr>
          <w:rFonts w:eastAsia="Times New Roman"/>
          <w:b/>
          <w:bCs/>
          <w:szCs w:val="24"/>
          <w:lang w:eastAsia="fr-FR"/>
        </w:rPr>
        <w:t>peuvent se résumer comme suit :</w:t>
      </w:r>
    </w:p>
    <w:p w14:paraId="4ED064DF" w14:textId="77777777" w:rsidR="004A2378" w:rsidRPr="00C518E1" w:rsidRDefault="004A2378" w:rsidP="006F6589">
      <w:pPr>
        <w:pStyle w:val="Paragraphedeliste"/>
        <w:numPr>
          <w:ilvl w:val="0"/>
          <w:numId w:val="21"/>
        </w:numPr>
        <w:rPr>
          <w:rFonts w:eastAsia="Times New Roman"/>
          <w:b/>
          <w:bCs/>
          <w:szCs w:val="24"/>
          <w:lang w:eastAsia="fr-FR"/>
        </w:rPr>
      </w:pPr>
      <w:r w:rsidRPr="00C518E1">
        <w:rPr>
          <w:rFonts w:eastAsia="Times New Roman"/>
          <w:b/>
          <w:bCs/>
          <w:szCs w:val="24"/>
          <w:lang w:eastAsia="fr-FR"/>
        </w:rPr>
        <w:t>Réaliser des b</w:t>
      </w:r>
      <w:r w:rsidR="002B5F78" w:rsidRPr="00C518E1">
        <w:rPr>
          <w:rFonts w:eastAsia="Times New Roman"/>
          <w:b/>
          <w:bCs/>
          <w:szCs w:val="24"/>
          <w:lang w:eastAsia="fr-FR"/>
        </w:rPr>
        <w:t>énéfices ;</w:t>
      </w:r>
    </w:p>
    <w:p w14:paraId="2BBA9555" w14:textId="77777777" w:rsidR="004A2378" w:rsidRPr="00C518E1" w:rsidRDefault="004A2378" w:rsidP="006F6589">
      <w:pPr>
        <w:pStyle w:val="Paragraphedeliste"/>
        <w:numPr>
          <w:ilvl w:val="0"/>
          <w:numId w:val="21"/>
        </w:numPr>
        <w:rPr>
          <w:rFonts w:eastAsia="Times New Roman"/>
          <w:szCs w:val="24"/>
          <w:lang w:eastAsia="fr-FR"/>
        </w:rPr>
      </w:pPr>
      <w:r w:rsidRPr="00C518E1">
        <w:rPr>
          <w:rFonts w:eastAsia="Times New Roman"/>
          <w:b/>
          <w:bCs/>
          <w:szCs w:val="24"/>
          <w:lang w:eastAsia="fr-FR"/>
        </w:rPr>
        <w:t>Réduire la pollution</w:t>
      </w:r>
      <w:r w:rsidRPr="00C518E1">
        <w:rPr>
          <w:rFonts w:eastAsia="Times New Roman"/>
          <w:szCs w:val="24"/>
          <w:lang w:eastAsia="fr-FR"/>
        </w:rPr>
        <w:t xml:space="preserve"> : l’entreprise a récemment installé un filtre de nouvelle génération pour l</w:t>
      </w:r>
      <w:r w:rsidR="002B5F78" w:rsidRPr="00C518E1">
        <w:rPr>
          <w:rFonts w:eastAsia="Times New Roman"/>
          <w:szCs w:val="24"/>
          <w:lang w:eastAsia="fr-FR"/>
        </w:rPr>
        <w:t>imiter les émissions toxiques ;</w:t>
      </w:r>
    </w:p>
    <w:p w14:paraId="2FFF9AF2" w14:textId="77777777" w:rsidR="004A2378" w:rsidRPr="00C518E1" w:rsidRDefault="004A2378" w:rsidP="006F6589">
      <w:pPr>
        <w:pStyle w:val="Paragraphedeliste"/>
        <w:numPr>
          <w:ilvl w:val="0"/>
          <w:numId w:val="21"/>
        </w:numPr>
        <w:rPr>
          <w:rFonts w:eastAsia="Times New Roman"/>
          <w:szCs w:val="24"/>
          <w:lang w:eastAsia="fr-FR"/>
        </w:rPr>
      </w:pPr>
      <w:r w:rsidRPr="00C518E1">
        <w:rPr>
          <w:rFonts w:eastAsia="Times New Roman"/>
          <w:szCs w:val="24"/>
          <w:lang w:eastAsia="fr-FR"/>
        </w:rPr>
        <w:t>Contribuer au dével</w:t>
      </w:r>
      <w:r w:rsidR="002B5F78" w:rsidRPr="00C518E1">
        <w:rPr>
          <w:rFonts w:eastAsia="Times New Roman"/>
          <w:szCs w:val="24"/>
          <w:lang w:eastAsia="fr-FR"/>
        </w:rPr>
        <w:t>oppement économique et social ;</w:t>
      </w:r>
    </w:p>
    <w:p w14:paraId="7BE8112C" w14:textId="77777777" w:rsidR="004A2378" w:rsidRPr="00C518E1" w:rsidRDefault="004A2378" w:rsidP="006F6589">
      <w:pPr>
        <w:pStyle w:val="Paragraphedeliste"/>
        <w:numPr>
          <w:ilvl w:val="0"/>
          <w:numId w:val="21"/>
        </w:numPr>
        <w:rPr>
          <w:rFonts w:eastAsia="Times New Roman"/>
          <w:szCs w:val="24"/>
          <w:lang w:eastAsia="fr-FR"/>
        </w:rPr>
      </w:pPr>
      <w:r w:rsidRPr="00C518E1">
        <w:rPr>
          <w:rFonts w:eastAsia="Times New Roman"/>
          <w:szCs w:val="24"/>
          <w:lang w:eastAsia="fr-FR"/>
        </w:rPr>
        <w:t>Fournir localement les matières premières nécessaires à la construction et réduire l</w:t>
      </w:r>
      <w:r w:rsidR="002B5F78" w:rsidRPr="00C518E1">
        <w:rPr>
          <w:rFonts w:eastAsia="Times New Roman"/>
          <w:szCs w:val="24"/>
          <w:lang w:eastAsia="fr-FR"/>
        </w:rPr>
        <w:t>a dépendance aux importations ;</w:t>
      </w:r>
    </w:p>
    <w:p w14:paraId="10E7CE55" w14:textId="77777777" w:rsidR="004A2378" w:rsidRPr="00C518E1" w:rsidRDefault="004A2378" w:rsidP="006F6589">
      <w:pPr>
        <w:pStyle w:val="Paragraphedeliste"/>
        <w:numPr>
          <w:ilvl w:val="0"/>
          <w:numId w:val="21"/>
        </w:numPr>
        <w:rPr>
          <w:rFonts w:eastAsia="Times New Roman"/>
          <w:szCs w:val="24"/>
          <w:lang w:eastAsia="fr-FR"/>
        </w:rPr>
      </w:pPr>
      <w:r w:rsidRPr="00C518E1">
        <w:rPr>
          <w:rFonts w:eastAsia="Times New Roman"/>
          <w:szCs w:val="24"/>
          <w:lang w:eastAsia="fr-FR"/>
        </w:rPr>
        <w:t xml:space="preserve">Développer l’unité </w:t>
      </w:r>
      <w:r w:rsidR="002B5F78" w:rsidRPr="00C518E1">
        <w:rPr>
          <w:rFonts w:eastAsia="Times New Roman"/>
          <w:szCs w:val="24"/>
          <w:lang w:eastAsia="fr-FR"/>
        </w:rPr>
        <w:t>et améliorer sa compétitivité ;</w:t>
      </w:r>
    </w:p>
    <w:p w14:paraId="27E34469" w14:textId="77777777" w:rsidR="004A2378" w:rsidRPr="00C518E1" w:rsidRDefault="004A2378" w:rsidP="006F6589">
      <w:pPr>
        <w:pStyle w:val="Paragraphedeliste"/>
        <w:numPr>
          <w:ilvl w:val="0"/>
          <w:numId w:val="21"/>
        </w:numPr>
        <w:rPr>
          <w:rFonts w:eastAsia="Times New Roman"/>
          <w:szCs w:val="24"/>
          <w:lang w:eastAsia="fr-FR"/>
        </w:rPr>
      </w:pPr>
      <w:r w:rsidRPr="00C518E1">
        <w:rPr>
          <w:rFonts w:eastAsia="Times New Roman"/>
          <w:szCs w:val="24"/>
          <w:lang w:eastAsia="fr-FR"/>
        </w:rPr>
        <w:t>Produire du ciment selon les normes exigée</w:t>
      </w:r>
      <w:r w:rsidR="002B5F78" w:rsidRPr="00C518E1">
        <w:rPr>
          <w:rFonts w:eastAsia="Times New Roman"/>
          <w:szCs w:val="24"/>
          <w:lang w:eastAsia="fr-FR"/>
        </w:rPr>
        <w:t>s pour fidéliser la clientèle ;</w:t>
      </w:r>
    </w:p>
    <w:p w14:paraId="54C42618" w14:textId="77777777" w:rsidR="004A2378" w:rsidRPr="00C518E1" w:rsidRDefault="004A2378" w:rsidP="006F6589">
      <w:pPr>
        <w:pStyle w:val="Paragraphedeliste"/>
        <w:numPr>
          <w:ilvl w:val="0"/>
          <w:numId w:val="21"/>
        </w:numPr>
        <w:rPr>
          <w:rFonts w:eastAsia="Times New Roman"/>
          <w:szCs w:val="24"/>
          <w:lang w:eastAsia="fr-FR"/>
        </w:rPr>
      </w:pPr>
      <w:r w:rsidRPr="00C518E1">
        <w:rPr>
          <w:rFonts w:eastAsia="Times New Roman"/>
          <w:szCs w:val="24"/>
          <w:lang w:eastAsia="fr-FR"/>
        </w:rPr>
        <w:t>Assurer une formation de qualité pour les ressources humaines, sachant que l’entreprise accueille chaque année des centaines de stagiaires.</w:t>
      </w:r>
    </w:p>
    <w:p w14:paraId="03F6382B" w14:textId="77777777" w:rsidR="004A2378" w:rsidRPr="00612506" w:rsidRDefault="004A2378" w:rsidP="00612506">
      <w:pPr>
        <w:rPr>
          <w:rFonts w:eastAsia="Times New Roman"/>
          <w:lang w:eastAsia="fr-FR"/>
        </w:rPr>
      </w:pPr>
      <w:r w:rsidRPr="00612506">
        <w:rPr>
          <w:rFonts w:eastAsia="Times New Roman"/>
          <w:lang w:eastAsia="fr-FR"/>
        </w:rPr>
        <w:lastRenderedPageBreak/>
        <w:t>Activités principales de la société de ciment Hamma Bouziane</w:t>
      </w:r>
    </w:p>
    <w:p w14:paraId="17D58E1C" w14:textId="77777777" w:rsidR="004A2378" w:rsidRPr="002B5F78" w:rsidRDefault="004A2378" w:rsidP="002B5F78">
      <w:r w:rsidRPr="002B5F78">
        <w:t>L'entreprise exerce deux activités principales :</w:t>
      </w:r>
    </w:p>
    <w:p w14:paraId="76B97C65" w14:textId="77777777" w:rsidR="004A2378" w:rsidRPr="004A2378" w:rsidRDefault="003C07B4" w:rsidP="000B457B">
      <w:pPr>
        <w:pStyle w:val="Titre2"/>
        <w:numPr>
          <w:ilvl w:val="0"/>
          <w:numId w:val="54"/>
        </w:numPr>
        <w:rPr>
          <w:rFonts w:eastAsia="Times New Roman"/>
          <w:lang w:eastAsia="fr-FR"/>
        </w:rPr>
      </w:pPr>
      <w:bookmarkStart w:id="99" w:name="_Toc200825446"/>
      <w:r>
        <w:rPr>
          <w:rFonts w:eastAsia="Times New Roman"/>
          <w:lang w:eastAsia="fr-FR"/>
        </w:rPr>
        <w:t xml:space="preserve">1 </w:t>
      </w:r>
      <w:r w:rsidR="004A2378" w:rsidRPr="004A2378">
        <w:rPr>
          <w:rFonts w:eastAsia="Times New Roman"/>
          <w:lang w:eastAsia="fr-FR"/>
        </w:rPr>
        <w:t>Activité de production</w:t>
      </w:r>
      <w:bookmarkEnd w:id="99"/>
    </w:p>
    <w:p w14:paraId="44E61FAF" w14:textId="77777777" w:rsidR="004A2378" w:rsidRPr="004A2378" w:rsidRDefault="004A2378" w:rsidP="004A2378">
      <w:pPr>
        <w:rPr>
          <w:rFonts w:eastAsia="Times New Roman"/>
          <w:szCs w:val="24"/>
          <w:lang w:eastAsia="fr-FR"/>
        </w:rPr>
      </w:pPr>
      <w:r w:rsidRPr="004A2378">
        <w:rPr>
          <w:rFonts w:eastAsia="Times New Roman"/>
          <w:szCs w:val="24"/>
          <w:lang w:eastAsia="fr-FR"/>
        </w:rPr>
        <w:t>L’usine possède une </w:t>
      </w:r>
      <w:r w:rsidRPr="004A2378">
        <w:rPr>
          <w:rFonts w:eastAsia="Times New Roman"/>
          <w:b/>
          <w:bCs/>
          <w:szCs w:val="24"/>
          <w:lang w:eastAsia="fr-FR"/>
        </w:rPr>
        <w:t>capacité de production élevée</w:t>
      </w:r>
      <w:r w:rsidRPr="004A2378">
        <w:rPr>
          <w:rFonts w:eastAsia="Times New Roman"/>
          <w:szCs w:val="24"/>
          <w:lang w:eastAsia="fr-FR"/>
        </w:rPr>
        <w:t>, estimée à </w:t>
      </w:r>
      <w:r w:rsidRPr="004A2378">
        <w:rPr>
          <w:rFonts w:eastAsia="Times New Roman"/>
          <w:b/>
          <w:bCs/>
          <w:szCs w:val="24"/>
          <w:lang w:eastAsia="fr-FR"/>
        </w:rPr>
        <w:t>plus de 3 333 tonnes de ciment par jour</w:t>
      </w:r>
      <w:r w:rsidRPr="004A2378">
        <w:rPr>
          <w:rFonts w:eastAsia="Times New Roman"/>
          <w:szCs w:val="24"/>
          <w:lang w:eastAsia="fr-FR"/>
        </w:rPr>
        <w:t>. Pour produire une tonne de ciment, il faut environ </w:t>
      </w:r>
      <w:r w:rsidRPr="004A2378">
        <w:rPr>
          <w:rFonts w:eastAsia="Times New Roman"/>
          <w:b/>
          <w:bCs/>
          <w:szCs w:val="24"/>
          <w:lang w:eastAsia="fr-FR"/>
        </w:rPr>
        <w:t>1 633 kg de matières premières</w:t>
      </w:r>
      <w:r w:rsidRPr="004A2378">
        <w:rPr>
          <w:rFonts w:eastAsia="Times New Roman"/>
          <w:szCs w:val="24"/>
          <w:lang w:eastAsia="fr-FR"/>
        </w:rPr>
        <w:t> et </w:t>
      </w:r>
      <w:r w:rsidRPr="004A2378">
        <w:rPr>
          <w:rFonts w:eastAsia="Times New Roman"/>
          <w:b/>
          <w:bCs/>
          <w:szCs w:val="24"/>
          <w:lang w:eastAsia="fr-FR"/>
        </w:rPr>
        <w:t>113,93 kWh</w:t>
      </w:r>
      <w:r w:rsidRPr="004A2378">
        <w:rPr>
          <w:rFonts w:eastAsia="Times New Roman"/>
          <w:szCs w:val="24"/>
          <w:lang w:eastAsia="fr-FR"/>
        </w:rPr>
        <w:t> d’électricité.</w:t>
      </w:r>
    </w:p>
    <w:p w14:paraId="4B5A531E" w14:textId="77777777" w:rsidR="004A2378" w:rsidRPr="004A2378" w:rsidRDefault="004A2378" w:rsidP="004A2378">
      <w:pPr>
        <w:rPr>
          <w:rFonts w:eastAsia="Times New Roman"/>
          <w:szCs w:val="24"/>
          <w:lang w:eastAsia="fr-FR"/>
        </w:rPr>
      </w:pPr>
      <w:r w:rsidRPr="004A2378">
        <w:rPr>
          <w:rFonts w:eastAsia="Times New Roman"/>
          <w:szCs w:val="24"/>
          <w:lang w:eastAsia="fr-FR"/>
        </w:rPr>
        <w:t>Les produits finis sont distribués soit en vrac, soit emballés dans des sacs de </w:t>
      </w:r>
      <w:r w:rsidRPr="004A2378">
        <w:rPr>
          <w:rFonts w:eastAsia="Times New Roman"/>
          <w:b/>
          <w:bCs/>
          <w:szCs w:val="24"/>
          <w:lang w:eastAsia="fr-FR"/>
        </w:rPr>
        <w:t>33 kg</w:t>
      </w:r>
      <w:r w:rsidRPr="004A2378">
        <w:rPr>
          <w:rFonts w:eastAsia="Times New Roman"/>
          <w:szCs w:val="24"/>
          <w:lang w:eastAsia="fr-FR"/>
        </w:rPr>
        <w:t>, avec une capacité de stockage de </w:t>
      </w:r>
      <w:r w:rsidRPr="004A2378">
        <w:rPr>
          <w:rFonts w:eastAsia="Times New Roman"/>
          <w:b/>
          <w:bCs/>
          <w:szCs w:val="24"/>
          <w:lang w:eastAsia="fr-FR"/>
        </w:rPr>
        <w:t>13 333 tonnes</w:t>
      </w:r>
      <w:r w:rsidRPr="004A2378">
        <w:rPr>
          <w:rFonts w:eastAsia="Times New Roman"/>
          <w:szCs w:val="24"/>
          <w:lang w:eastAsia="fr-FR"/>
        </w:rPr>
        <w:t> par silo.</w:t>
      </w:r>
    </w:p>
    <w:p w14:paraId="633377DE" w14:textId="77777777" w:rsidR="004A2378" w:rsidRPr="004A2378" w:rsidRDefault="004A2378" w:rsidP="004A2378">
      <w:pPr>
        <w:rPr>
          <w:rFonts w:eastAsia="Times New Roman"/>
          <w:szCs w:val="24"/>
          <w:lang w:eastAsia="fr-FR"/>
        </w:rPr>
      </w:pPr>
      <w:r w:rsidRPr="004A2378">
        <w:rPr>
          <w:rFonts w:eastAsia="Times New Roman"/>
          <w:szCs w:val="24"/>
          <w:lang w:eastAsia="fr-FR"/>
        </w:rPr>
        <w:t>La production repose sur deux procédés : </w:t>
      </w:r>
      <w:r w:rsidRPr="004A2378">
        <w:rPr>
          <w:rFonts w:eastAsia="Times New Roman"/>
          <w:b/>
          <w:bCs/>
          <w:szCs w:val="24"/>
          <w:lang w:eastAsia="fr-FR"/>
        </w:rPr>
        <w:t>le procédé humide</w:t>
      </w:r>
      <w:r w:rsidRPr="004A2378">
        <w:rPr>
          <w:rFonts w:eastAsia="Times New Roman"/>
          <w:szCs w:val="24"/>
          <w:lang w:eastAsia="fr-FR"/>
        </w:rPr>
        <w:t> et </w:t>
      </w:r>
      <w:r w:rsidRPr="004A2378">
        <w:rPr>
          <w:rFonts w:eastAsia="Times New Roman"/>
          <w:b/>
          <w:bCs/>
          <w:szCs w:val="24"/>
          <w:lang w:eastAsia="fr-FR"/>
        </w:rPr>
        <w:t>le procédé sec</w:t>
      </w:r>
      <w:r w:rsidRPr="004A2378">
        <w:rPr>
          <w:rFonts w:eastAsia="Times New Roman"/>
          <w:szCs w:val="24"/>
          <w:lang w:eastAsia="fr-FR"/>
        </w:rPr>
        <w:t>, ce dernier étant privilégié car plus économe en énergie. Les matières premières sont extraites de la carrière, broyées en petits morceaux, puis pulvérisées et stockées. Le mélange obtenu est ensuite cuit dans un </w:t>
      </w:r>
      <w:r w:rsidRPr="004A2378">
        <w:rPr>
          <w:rFonts w:eastAsia="Times New Roman"/>
          <w:b/>
          <w:bCs/>
          <w:szCs w:val="24"/>
          <w:lang w:eastAsia="fr-FR"/>
        </w:rPr>
        <w:t>four rotatif</w:t>
      </w:r>
      <w:r w:rsidRPr="004A2378">
        <w:rPr>
          <w:rFonts w:eastAsia="Times New Roman"/>
          <w:szCs w:val="24"/>
          <w:lang w:eastAsia="fr-FR"/>
        </w:rPr>
        <w:t> précédé d’un </w:t>
      </w:r>
      <w:r w:rsidRPr="004A2378">
        <w:rPr>
          <w:rFonts w:eastAsia="Times New Roman"/>
          <w:b/>
          <w:bCs/>
          <w:szCs w:val="24"/>
          <w:lang w:eastAsia="fr-FR"/>
        </w:rPr>
        <w:t>échangeur thermique externe</w:t>
      </w:r>
      <w:r w:rsidRPr="004A2378">
        <w:rPr>
          <w:rFonts w:eastAsia="Times New Roman"/>
          <w:szCs w:val="24"/>
          <w:lang w:eastAsia="fr-FR"/>
        </w:rPr>
        <w:t> (type tour d’échange), mesurant </w:t>
      </w:r>
      <w:r w:rsidRPr="004A2378">
        <w:rPr>
          <w:rFonts w:eastAsia="Times New Roman"/>
          <w:b/>
          <w:bCs/>
          <w:szCs w:val="24"/>
          <w:lang w:eastAsia="fr-FR"/>
        </w:rPr>
        <w:t>73 mètres</w:t>
      </w:r>
      <w:r w:rsidRPr="004A2378">
        <w:rPr>
          <w:rFonts w:eastAsia="Times New Roman"/>
          <w:szCs w:val="24"/>
          <w:lang w:eastAsia="fr-FR"/>
        </w:rPr>
        <w:t> de long et </w:t>
      </w:r>
      <w:r w:rsidRPr="004A2378">
        <w:rPr>
          <w:rFonts w:eastAsia="Times New Roman"/>
          <w:b/>
          <w:bCs/>
          <w:szCs w:val="24"/>
          <w:lang w:eastAsia="fr-FR"/>
        </w:rPr>
        <w:t>4,4 mètres</w:t>
      </w:r>
      <w:r w:rsidRPr="004A2378">
        <w:rPr>
          <w:rFonts w:eastAsia="Times New Roman"/>
          <w:szCs w:val="24"/>
          <w:lang w:eastAsia="fr-FR"/>
        </w:rPr>
        <w:t> de diamètre, avec utilisation du </w:t>
      </w:r>
      <w:r w:rsidRPr="004A2378">
        <w:rPr>
          <w:rFonts w:eastAsia="Times New Roman"/>
          <w:b/>
          <w:bCs/>
          <w:szCs w:val="24"/>
          <w:lang w:eastAsia="fr-FR"/>
        </w:rPr>
        <w:t>gaz naturel</w:t>
      </w:r>
      <w:r w:rsidRPr="004A2378">
        <w:rPr>
          <w:rFonts w:eastAsia="Times New Roman"/>
          <w:szCs w:val="24"/>
          <w:lang w:eastAsia="fr-FR"/>
        </w:rPr>
        <w:t> comme source d’énergie.</w:t>
      </w:r>
    </w:p>
    <w:p w14:paraId="488A74E9" w14:textId="77777777" w:rsidR="004A2378" w:rsidRPr="004A2378" w:rsidRDefault="004A2378" w:rsidP="004A2378">
      <w:pPr>
        <w:rPr>
          <w:rFonts w:eastAsia="Times New Roman"/>
          <w:b/>
          <w:bCs/>
        </w:rPr>
      </w:pPr>
      <w:r w:rsidRPr="004A2378">
        <w:rPr>
          <w:b/>
          <w:bCs/>
        </w:rPr>
        <w:t>Étapes de fabrication du ciment :</w:t>
      </w:r>
    </w:p>
    <w:p w14:paraId="02B3F2C1" w14:textId="77777777" w:rsidR="004A2378" w:rsidRPr="004A2378" w:rsidRDefault="004A2378" w:rsidP="002B5F78">
      <w:r w:rsidRPr="004A2378">
        <w:rPr>
          <w:rStyle w:val="lev"/>
          <w:rFonts w:cstheme="majorBidi"/>
          <w:color w:val="222222"/>
        </w:rPr>
        <w:t>La carrière</w:t>
      </w:r>
      <w:r w:rsidRPr="004A2378">
        <w:rPr>
          <w:rStyle w:val="apple-converted-space"/>
          <w:rFonts w:cstheme="majorBidi"/>
          <w:color w:val="222222"/>
        </w:rPr>
        <w:t> </w:t>
      </w:r>
      <w:r w:rsidRPr="004A2378">
        <w:t>: c’est la première étape. Les matières premières (calcaire et argile) sont extraites par dynamitage, puis t</w:t>
      </w:r>
      <w:r w:rsidR="002B5F78">
        <w:t>ransportées vers le concasseur.</w:t>
      </w:r>
    </w:p>
    <w:p w14:paraId="4C747D00" w14:textId="77777777" w:rsidR="004A2378" w:rsidRPr="004A2378" w:rsidRDefault="004A2378" w:rsidP="00C518E1">
      <w:r w:rsidRPr="004A2378">
        <w:rPr>
          <w:rStyle w:val="lev"/>
          <w:rFonts w:cstheme="majorBidi"/>
          <w:color w:val="222222"/>
        </w:rPr>
        <w:t>La zone d’extraction</w:t>
      </w:r>
      <w:r w:rsidRPr="004A2378">
        <w:rPr>
          <w:rStyle w:val="apple-converted-space"/>
          <w:rFonts w:cstheme="majorBidi"/>
          <w:color w:val="222222"/>
        </w:rPr>
        <w:t> </w:t>
      </w:r>
      <w:r w:rsidRPr="004A2378">
        <w:t>: elle comporte quatre zones, trois pour le calcaire et une pour l’argile rouge. Selon la dureté des roches, on utilise des bulldozers mécaniques ou des explosifs.</w:t>
      </w:r>
    </w:p>
    <w:p w14:paraId="2BEC4D42" w14:textId="77777777" w:rsidR="004A2378" w:rsidRPr="004A2378" w:rsidRDefault="004A2378" w:rsidP="002B5F78">
      <w:r w:rsidRPr="004A2378">
        <w:rPr>
          <w:rStyle w:val="lev"/>
          <w:rFonts w:cstheme="majorBidi"/>
          <w:color w:val="222222"/>
        </w:rPr>
        <w:t>Le concassage</w:t>
      </w:r>
      <w:r w:rsidRPr="004A2378">
        <w:rPr>
          <w:rStyle w:val="apple-converted-space"/>
          <w:rFonts w:cstheme="majorBidi"/>
          <w:color w:val="222222"/>
        </w:rPr>
        <w:t> </w:t>
      </w:r>
      <w:r w:rsidRPr="004A2378">
        <w:t>: il permet d’obtenir des matériaux de taille adaptée. Le concasseur peut traiter jusqu’à</w:t>
      </w:r>
      <w:r w:rsidRPr="004A2378">
        <w:rPr>
          <w:rStyle w:val="apple-converted-space"/>
          <w:rFonts w:cstheme="majorBidi"/>
          <w:color w:val="222222"/>
        </w:rPr>
        <w:t> </w:t>
      </w:r>
      <w:r w:rsidRPr="004A2378">
        <w:rPr>
          <w:rStyle w:val="lev"/>
          <w:rFonts w:cstheme="majorBidi"/>
          <w:color w:val="222222"/>
        </w:rPr>
        <w:t>1 233 tonnes par heure</w:t>
      </w:r>
      <w:r w:rsidRPr="004A2378">
        <w:t>. Les matériaux broyés sont envoyés vers un</w:t>
      </w:r>
      <w:r w:rsidRPr="004A2378">
        <w:rPr>
          <w:rStyle w:val="apple-converted-space"/>
          <w:rFonts w:cstheme="majorBidi"/>
          <w:color w:val="222222"/>
        </w:rPr>
        <w:t> </w:t>
      </w:r>
      <w:r w:rsidRPr="004A2378">
        <w:rPr>
          <w:rStyle w:val="lev"/>
          <w:rFonts w:cstheme="majorBidi"/>
          <w:color w:val="222222"/>
        </w:rPr>
        <w:t>hall de pré-homogénéisation</w:t>
      </w:r>
      <w:r w:rsidR="002B5F78">
        <w:t>.</w:t>
      </w:r>
    </w:p>
    <w:p w14:paraId="235CA8CE" w14:textId="77777777" w:rsidR="001E58AB" w:rsidRDefault="004A2378" w:rsidP="002B5F78">
      <w:pPr>
        <w:rPr>
          <w:rStyle w:val="lev"/>
          <w:rFonts w:cstheme="majorBidi"/>
          <w:color w:val="222222"/>
        </w:rPr>
      </w:pPr>
      <w:r w:rsidRPr="004A2378">
        <w:rPr>
          <w:rStyle w:val="lev"/>
          <w:rFonts w:cstheme="majorBidi"/>
          <w:color w:val="222222"/>
        </w:rPr>
        <w:t>Le stockage et pré-mélange</w:t>
      </w:r>
      <w:r w:rsidRPr="004A2378">
        <w:rPr>
          <w:rStyle w:val="apple-converted-space"/>
          <w:rFonts w:cstheme="majorBidi"/>
          <w:color w:val="222222"/>
        </w:rPr>
        <w:t> </w:t>
      </w:r>
      <w:r w:rsidRPr="004A2378">
        <w:t>: le mélange broyé est stocké dans deux grandes piles de</w:t>
      </w:r>
      <w:r w:rsidRPr="004A2378">
        <w:rPr>
          <w:rStyle w:val="apple-converted-space"/>
          <w:rFonts w:cstheme="majorBidi"/>
          <w:color w:val="222222"/>
        </w:rPr>
        <w:t> </w:t>
      </w:r>
    </w:p>
    <w:p w14:paraId="34C4B9C8" w14:textId="77777777" w:rsidR="004A2378" w:rsidRPr="004A2378" w:rsidRDefault="004A2378" w:rsidP="002B5F78">
      <w:r w:rsidRPr="004A2378">
        <w:rPr>
          <w:rStyle w:val="lev"/>
          <w:rFonts w:cstheme="majorBidi"/>
          <w:color w:val="222222"/>
        </w:rPr>
        <w:t>33 000 tonnes</w:t>
      </w:r>
      <w:r w:rsidRPr="004A2378">
        <w:rPr>
          <w:rStyle w:val="apple-converted-space"/>
          <w:rFonts w:cstheme="majorBidi"/>
          <w:color w:val="222222"/>
        </w:rPr>
        <w:t> </w:t>
      </w:r>
      <w:r w:rsidR="002B5F78">
        <w:t>chacune.</w:t>
      </w:r>
    </w:p>
    <w:p w14:paraId="7A180A6A" w14:textId="77777777" w:rsidR="004A2378" w:rsidRPr="004A2378" w:rsidRDefault="004A2378" w:rsidP="002B5F78">
      <w:r w:rsidRPr="004A2378">
        <w:rPr>
          <w:rStyle w:val="lev"/>
          <w:rFonts w:cstheme="majorBidi"/>
          <w:color w:val="222222"/>
        </w:rPr>
        <w:t>Les silos d’additifs</w:t>
      </w:r>
      <w:r w:rsidRPr="004A2378">
        <w:rPr>
          <w:rStyle w:val="apple-converted-space"/>
          <w:rFonts w:cstheme="majorBidi"/>
          <w:color w:val="222222"/>
        </w:rPr>
        <w:t> </w:t>
      </w:r>
      <w:r w:rsidRPr="004A2378">
        <w:t>: près du silo principal, deux autres silos contiennent du calcaire et du fer, alimentant automatiquement l</w:t>
      </w:r>
      <w:r w:rsidR="002B5F78">
        <w:t>e moulin en quantités précises.</w:t>
      </w:r>
    </w:p>
    <w:p w14:paraId="07547FC5" w14:textId="77777777" w:rsidR="004A2378" w:rsidRPr="004A2378" w:rsidRDefault="004A2378" w:rsidP="002B5F78">
      <w:r w:rsidRPr="004A2378">
        <w:rPr>
          <w:rStyle w:val="lev"/>
          <w:rFonts w:cstheme="majorBidi"/>
          <w:color w:val="222222"/>
        </w:rPr>
        <w:lastRenderedPageBreak/>
        <w:t>Le broyage cru</w:t>
      </w:r>
      <w:r w:rsidRPr="004A2378">
        <w:rPr>
          <w:rStyle w:val="apple-converted-space"/>
          <w:rFonts w:cstheme="majorBidi"/>
          <w:color w:val="222222"/>
        </w:rPr>
        <w:t> </w:t>
      </w:r>
      <w:r w:rsidRPr="004A2378">
        <w:t>: le mélange est broyé dans un cylindre rempli de</w:t>
      </w:r>
      <w:r w:rsidRPr="004A2378">
        <w:rPr>
          <w:rStyle w:val="apple-converted-space"/>
          <w:rFonts w:cstheme="majorBidi"/>
          <w:color w:val="222222"/>
        </w:rPr>
        <w:t> </w:t>
      </w:r>
      <w:r w:rsidRPr="004A2378">
        <w:rPr>
          <w:rStyle w:val="lev"/>
          <w:rFonts w:cstheme="majorBidi"/>
          <w:color w:val="222222"/>
        </w:rPr>
        <w:t>boulets d’</w:t>
      </w:r>
      <w:proofErr w:type="spellStart"/>
      <w:r w:rsidRPr="004A2378">
        <w:rPr>
          <w:rStyle w:val="lev"/>
          <w:rFonts w:cstheme="majorBidi"/>
          <w:color w:val="222222"/>
        </w:rPr>
        <w:t>acier</w:t>
      </w:r>
      <w:r w:rsidRPr="004A2378">
        <w:t>de</w:t>
      </w:r>
      <w:proofErr w:type="spellEnd"/>
      <w:r w:rsidRPr="004A2378">
        <w:t xml:space="preserve"> différents diamètres. L’air chaud du four transporte les particules fines (≤ 12 mm) </w:t>
      </w:r>
      <w:r w:rsidR="002B5F78">
        <w:t>vers le silo d’homogénéisation.</w:t>
      </w:r>
    </w:p>
    <w:p w14:paraId="4FB65466" w14:textId="77777777" w:rsidR="004A2378" w:rsidRPr="004A2378" w:rsidRDefault="004A2378" w:rsidP="002B5F78">
      <w:r w:rsidRPr="004A2378">
        <w:rPr>
          <w:rStyle w:val="lev"/>
          <w:rFonts w:cstheme="majorBidi"/>
          <w:color w:val="222222"/>
        </w:rPr>
        <w:t>L’homogénéisation</w:t>
      </w:r>
      <w:r w:rsidRPr="004A2378">
        <w:rPr>
          <w:rStyle w:val="apple-converted-space"/>
          <w:rFonts w:cstheme="majorBidi"/>
          <w:color w:val="222222"/>
        </w:rPr>
        <w:t> </w:t>
      </w:r>
      <w:r w:rsidRPr="004A2378">
        <w:t>: on obtient une poudre très fine appelée « farine », homogén</w:t>
      </w:r>
      <w:r w:rsidR="002B5F78">
        <w:t>éisée avant l’étape de cuisson.</w:t>
      </w:r>
    </w:p>
    <w:p w14:paraId="20D0B0DD" w14:textId="77777777" w:rsidR="004A2378" w:rsidRPr="004A2378" w:rsidRDefault="004A2378" w:rsidP="002B5F78">
      <w:r w:rsidRPr="004A2378">
        <w:rPr>
          <w:rStyle w:val="lev"/>
          <w:rFonts w:cstheme="majorBidi"/>
          <w:color w:val="222222"/>
        </w:rPr>
        <w:t>Le four</w:t>
      </w:r>
      <w:r w:rsidRPr="004A2378">
        <w:rPr>
          <w:rStyle w:val="apple-converted-space"/>
          <w:rFonts w:cstheme="majorBidi"/>
          <w:color w:val="222222"/>
        </w:rPr>
        <w:t> </w:t>
      </w:r>
      <w:r w:rsidRPr="004A2378">
        <w:t>: composé de préchauffeurs et d’un four rotatif atteignant</w:t>
      </w:r>
      <w:r w:rsidRPr="004A2378">
        <w:rPr>
          <w:rStyle w:val="apple-converted-space"/>
          <w:rFonts w:cstheme="majorBidi"/>
          <w:color w:val="222222"/>
        </w:rPr>
        <w:t> </w:t>
      </w:r>
      <w:r w:rsidRPr="004A2378">
        <w:rPr>
          <w:rStyle w:val="lev"/>
          <w:rFonts w:cstheme="majorBidi"/>
          <w:color w:val="222222"/>
        </w:rPr>
        <w:t>1 633 °C</w:t>
      </w:r>
      <w:r w:rsidRPr="004A2378">
        <w:t>, il transforme le mélange en</w:t>
      </w:r>
      <w:r w:rsidRPr="004A2378">
        <w:rPr>
          <w:rStyle w:val="apple-converted-space"/>
          <w:rFonts w:cstheme="majorBidi"/>
          <w:color w:val="222222"/>
        </w:rPr>
        <w:t> </w:t>
      </w:r>
      <w:r w:rsidRPr="004A2378">
        <w:rPr>
          <w:rStyle w:val="lev"/>
          <w:rFonts w:cstheme="majorBidi"/>
          <w:color w:val="222222"/>
        </w:rPr>
        <w:t>clinker</w:t>
      </w:r>
      <w:r w:rsidRPr="004A2378">
        <w:rPr>
          <w:rStyle w:val="apple-converted-space"/>
          <w:rFonts w:cstheme="majorBidi"/>
          <w:color w:val="222222"/>
        </w:rPr>
        <w:t> </w:t>
      </w:r>
      <w:r w:rsidRPr="004A2378">
        <w:t>à raison de</w:t>
      </w:r>
      <w:r w:rsidRPr="004A2378">
        <w:rPr>
          <w:rStyle w:val="apple-converted-space"/>
          <w:rFonts w:cstheme="majorBidi"/>
          <w:color w:val="222222"/>
        </w:rPr>
        <w:t> </w:t>
      </w:r>
      <w:r w:rsidRPr="004A2378">
        <w:rPr>
          <w:rStyle w:val="lev"/>
          <w:rFonts w:cstheme="majorBidi"/>
          <w:color w:val="222222"/>
        </w:rPr>
        <w:t>3 333 t/jour</w:t>
      </w:r>
      <w:r w:rsidRPr="004A2378">
        <w:t>. Un refroidisseur équipé de filtres et pompes à poussière vient ensuite, avant l’ajout de</w:t>
      </w:r>
      <w:r w:rsidRPr="004A2378">
        <w:rPr>
          <w:rStyle w:val="apple-converted-space"/>
          <w:rFonts w:cstheme="majorBidi"/>
          <w:color w:val="222222"/>
        </w:rPr>
        <w:t> </w:t>
      </w:r>
      <w:r w:rsidRPr="004A2378">
        <w:rPr>
          <w:rStyle w:val="lev"/>
          <w:rFonts w:cstheme="majorBidi"/>
          <w:color w:val="222222"/>
        </w:rPr>
        <w:t>gypse</w:t>
      </w:r>
      <w:r w:rsidR="002B5F78">
        <w:t>.</w:t>
      </w:r>
    </w:p>
    <w:p w14:paraId="011DBFAB" w14:textId="77777777" w:rsidR="004A2378" w:rsidRPr="004A2378" w:rsidRDefault="004A2378" w:rsidP="002B5F78">
      <w:r w:rsidRPr="004A2378">
        <w:rPr>
          <w:rStyle w:val="lev"/>
          <w:rFonts w:cstheme="majorBidi"/>
          <w:color w:val="222222"/>
        </w:rPr>
        <w:t>Le broyage du ciment</w:t>
      </w:r>
      <w:r w:rsidRPr="004A2378">
        <w:rPr>
          <w:rStyle w:val="apple-converted-space"/>
          <w:rFonts w:cstheme="majorBidi"/>
          <w:color w:val="222222"/>
        </w:rPr>
        <w:t> </w:t>
      </w:r>
      <w:r w:rsidRPr="004A2378">
        <w:t>: dans deux broyeurs à boulets parallèles d’une capacité de</w:t>
      </w:r>
      <w:r w:rsidRPr="004A2378">
        <w:rPr>
          <w:rStyle w:val="apple-converted-space"/>
          <w:rFonts w:cstheme="majorBidi"/>
          <w:color w:val="222222"/>
        </w:rPr>
        <w:t> </w:t>
      </w:r>
      <w:r w:rsidRPr="004A2378">
        <w:rPr>
          <w:rStyle w:val="lev"/>
          <w:rFonts w:cstheme="majorBidi"/>
          <w:color w:val="222222"/>
        </w:rPr>
        <w:t>93 t/h</w:t>
      </w:r>
      <w:r w:rsidRPr="004A2378">
        <w:t>, équipés de moteurs de</w:t>
      </w:r>
      <w:r w:rsidRPr="004A2378">
        <w:rPr>
          <w:rStyle w:val="apple-converted-space"/>
          <w:rFonts w:cstheme="majorBidi"/>
          <w:color w:val="222222"/>
        </w:rPr>
        <w:t> </w:t>
      </w:r>
      <w:r w:rsidRPr="004A2378">
        <w:rPr>
          <w:rStyle w:val="lev"/>
          <w:rFonts w:cstheme="majorBidi"/>
          <w:color w:val="222222"/>
        </w:rPr>
        <w:t>3 433 kW</w:t>
      </w:r>
      <w:r w:rsidRPr="004A2378">
        <w:t>, on ajoute aussi du</w:t>
      </w:r>
      <w:r w:rsidRPr="004A2378">
        <w:rPr>
          <w:rStyle w:val="apple-converted-space"/>
          <w:rFonts w:cstheme="majorBidi"/>
          <w:color w:val="222222"/>
        </w:rPr>
        <w:t> </w:t>
      </w:r>
      <w:r w:rsidRPr="004A2378">
        <w:rPr>
          <w:rStyle w:val="lev"/>
          <w:rFonts w:cstheme="majorBidi"/>
          <w:color w:val="222222"/>
        </w:rPr>
        <w:t>pouzzolane</w:t>
      </w:r>
      <w:r w:rsidRPr="004A2378">
        <w:rPr>
          <w:rStyle w:val="apple-converted-space"/>
          <w:rFonts w:cstheme="majorBidi"/>
          <w:color w:val="222222"/>
        </w:rPr>
        <w:t> </w:t>
      </w:r>
      <w:r w:rsidRPr="004A2378">
        <w:t>et du</w:t>
      </w:r>
      <w:r w:rsidRPr="004A2378">
        <w:rPr>
          <w:rStyle w:val="apple-converted-space"/>
          <w:rFonts w:cstheme="majorBidi"/>
          <w:color w:val="222222"/>
        </w:rPr>
        <w:t> </w:t>
      </w:r>
      <w:r w:rsidRPr="004A2378">
        <w:rPr>
          <w:rStyle w:val="lev"/>
          <w:rFonts w:cstheme="majorBidi"/>
          <w:color w:val="222222"/>
        </w:rPr>
        <w:t>gypse</w:t>
      </w:r>
      <w:r w:rsidR="002B5F78">
        <w:t>.</w:t>
      </w:r>
    </w:p>
    <w:p w14:paraId="6D4EAB21" w14:textId="77777777" w:rsidR="004A2378" w:rsidRPr="002B5F78" w:rsidRDefault="004A2378" w:rsidP="002B5F78">
      <w:r w:rsidRPr="004A2378">
        <w:rPr>
          <w:rStyle w:val="lev"/>
          <w:rFonts w:cstheme="majorBidi"/>
          <w:color w:val="222222"/>
        </w:rPr>
        <w:t>Stockage et distribution</w:t>
      </w:r>
      <w:r w:rsidRPr="004A2378">
        <w:rPr>
          <w:rStyle w:val="apple-converted-space"/>
          <w:rFonts w:cstheme="majorBidi"/>
          <w:color w:val="222222"/>
        </w:rPr>
        <w:t> </w:t>
      </w:r>
      <w:r w:rsidRPr="004A2378">
        <w:t>: le ciment est stocké dans</w:t>
      </w:r>
      <w:r w:rsidRPr="004A2378">
        <w:rPr>
          <w:rStyle w:val="apple-converted-space"/>
          <w:rFonts w:cstheme="majorBidi"/>
          <w:color w:val="222222"/>
        </w:rPr>
        <w:t> </w:t>
      </w:r>
      <w:r w:rsidRPr="004A2378">
        <w:rPr>
          <w:rStyle w:val="lev"/>
          <w:rFonts w:cstheme="majorBidi"/>
          <w:color w:val="222222"/>
        </w:rPr>
        <w:t>36 silos</w:t>
      </w:r>
      <w:r w:rsidRPr="004A2378">
        <w:rPr>
          <w:rStyle w:val="apple-converted-space"/>
          <w:rFonts w:cstheme="majorBidi"/>
          <w:color w:val="222222"/>
        </w:rPr>
        <w:t> </w:t>
      </w:r>
      <w:r w:rsidRPr="004A2378">
        <w:t>de</w:t>
      </w:r>
      <w:r w:rsidRPr="004A2378">
        <w:rPr>
          <w:rStyle w:val="apple-converted-space"/>
          <w:rFonts w:cstheme="majorBidi"/>
          <w:color w:val="222222"/>
        </w:rPr>
        <w:t> </w:t>
      </w:r>
      <w:r w:rsidRPr="004A2378">
        <w:rPr>
          <w:rStyle w:val="lev"/>
          <w:rFonts w:cstheme="majorBidi"/>
          <w:color w:val="222222"/>
        </w:rPr>
        <w:t>13 333 t</w:t>
      </w:r>
      <w:r w:rsidRPr="004A2378">
        <w:rPr>
          <w:rStyle w:val="apple-converted-space"/>
          <w:rFonts w:cstheme="majorBidi"/>
          <w:color w:val="222222"/>
        </w:rPr>
        <w:t> </w:t>
      </w:r>
      <w:r w:rsidRPr="004A2378">
        <w:t>chacun, puis vendu en sacs de</w:t>
      </w:r>
      <w:r w:rsidRPr="004A2378">
        <w:rPr>
          <w:rStyle w:val="apple-converted-space"/>
          <w:rFonts w:cstheme="majorBidi"/>
          <w:color w:val="222222"/>
        </w:rPr>
        <w:t> </w:t>
      </w:r>
      <w:r w:rsidRPr="004A2378">
        <w:rPr>
          <w:rStyle w:val="lev"/>
          <w:rFonts w:cstheme="majorBidi"/>
          <w:color w:val="222222"/>
        </w:rPr>
        <w:t>33 kg</w:t>
      </w:r>
      <w:r w:rsidRPr="004A2378">
        <w:rPr>
          <w:rStyle w:val="apple-converted-space"/>
          <w:rFonts w:cstheme="majorBidi"/>
          <w:color w:val="222222"/>
        </w:rPr>
        <w:t> </w:t>
      </w:r>
      <w:r w:rsidRPr="004A2378">
        <w:t>ou livré en vrac par cami</w:t>
      </w:r>
      <w:r w:rsidR="002B5F78">
        <w:t>ons spécialisés.</w:t>
      </w:r>
    </w:p>
    <w:p w14:paraId="7E08110A" w14:textId="77777777" w:rsidR="00C518E1" w:rsidRDefault="004A2378" w:rsidP="00C518E1">
      <w:r w:rsidRPr="004A2378">
        <w:t>Un échantillon des matériaux d'inspection est acheminé au moyen d'un convoyeur à rouleaux couvert d'une longueur estimée à 1233 m. Le lieu d'inspection se situe av</w:t>
      </w:r>
      <w:r w:rsidR="002B5F78">
        <w:t>ant le processus de réparation.</w:t>
      </w:r>
    </w:p>
    <w:p w14:paraId="1682A259" w14:textId="77777777" w:rsidR="004A2378" w:rsidRPr="002B5F78" w:rsidRDefault="002B5F78" w:rsidP="000B457B">
      <w:pPr>
        <w:pStyle w:val="Titre2"/>
        <w:numPr>
          <w:ilvl w:val="1"/>
          <w:numId w:val="54"/>
        </w:numPr>
      </w:pPr>
      <w:bookmarkStart w:id="100" w:name="_Toc200825447"/>
      <w:r w:rsidRPr="002B5F78">
        <w:t>Activité sociale</w:t>
      </w:r>
      <w:bookmarkEnd w:id="100"/>
      <w:r w:rsidRPr="002B5F78">
        <w:t xml:space="preserve"> </w:t>
      </w:r>
    </w:p>
    <w:p w14:paraId="2C9AF199" w14:textId="77777777" w:rsidR="004A2378" w:rsidRPr="004A2378" w:rsidRDefault="004A2378" w:rsidP="004A2378">
      <w:pPr>
        <w:rPr>
          <w:rFonts w:eastAsia="Times New Roman"/>
          <w:lang w:eastAsia="fr-FR"/>
        </w:rPr>
      </w:pPr>
      <w:r w:rsidRPr="004A2378">
        <w:rPr>
          <w:rFonts w:eastAsia="Times New Roman"/>
          <w:lang w:eastAsia="fr-FR"/>
        </w:rPr>
        <w:t>La société de ciment Hamma Bouziane s’implique activement dans les activités sociales à travers plusieurs actions majeures, parmi lesquelles :</w:t>
      </w:r>
    </w:p>
    <w:p w14:paraId="4F333613" w14:textId="77777777" w:rsidR="004A2378" w:rsidRPr="00C518E1" w:rsidRDefault="004A2378" w:rsidP="006F6589">
      <w:pPr>
        <w:pStyle w:val="Paragraphedeliste"/>
        <w:numPr>
          <w:ilvl w:val="0"/>
          <w:numId w:val="23"/>
        </w:numPr>
        <w:rPr>
          <w:rFonts w:eastAsia="Times New Roman"/>
          <w:lang w:eastAsia="fr-FR"/>
        </w:rPr>
      </w:pPr>
      <w:r w:rsidRPr="00C518E1">
        <w:rPr>
          <w:rFonts w:eastAsia="Times New Roman"/>
          <w:lang w:eastAsia="fr-FR"/>
        </w:rPr>
        <w:t xml:space="preserve">La contribution au développement du sport par le soutien financier à </w:t>
      </w:r>
      <w:r w:rsidR="00C518E1">
        <w:rPr>
          <w:rFonts w:eastAsia="Times New Roman"/>
          <w:lang w:eastAsia="fr-FR"/>
        </w:rPr>
        <w:t>différentes équipes sportives</w:t>
      </w:r>
      <w:r w:rsidR="002B5F78" w:rsidRPr="00C518E1">
        <w:rPr>
          <w:rFonts w:eastAsia="Times New Roman"/>
          <w:lang w:eastAsia="fr-FR"/>
        </w:rPr>
        <w:t>;</w:t>
      </w:r>
    </w:p>
    <w:p w14:paraId="7AAE5948" w14:textId="77777777" w:rsidR="004A2378" w:rsidRPr="00C518E1" w:rsidRDefault="004A2378" w:rsidP="006F6589">
      <w:pPr>
        <w:pStyle w:val="Paragraphedeliste"/>
        <w:numPr>
          <w:ilvl w:val="0"/>
          <w:numId w:val="23"/>
        </w:numPr>
        <w:rPr>
          <w:rFonts w:eastAsia="Times New Roman"/>
          <w:lang w:eastAsia="fr-FR"/>
        </w:rPr>
      </w:pPr>
      <w:r w:rsidRPr="00C518E1">
        <w:rPr>
          <w:rFonts w:eastAsia="Times New Roman"/>
          <w:lang w:eastAsia="fr-FR"/>
        </w:rPr>
        <w:t>Le soutien aux initiatives caritat</w:t>
      </w:r>
      <w:r w:rsidR="002B5F78" w:rsidRPr="00C518E1">
        <w:rPr>
          <w:rFonts w:eastAsia="Times New Roman"/>
          <w:lang w:eastAsia="fr-FR"/>
        </w:rPr>
        <w:t>ives visant l’intérêt général ;</w:t>
      </w:r>
    </w:p>
    <w:p w14:paraId="0DA40BF5" w14:textId="77777777" w:rsidR="004A2378" w:rsidRPr="00C518E1" w:rsidRDefault="004A2378" w:rsidP="006F6589">
      <w:pPr>
        <w:pStyle w:val="Paragraphedeliste"/>
        <w:numPr>
          <w:ilvl w:val="0"/>
          <w:numId w:val="23"/>
        </w:numPr>
        <w:rPr>
          <w:rFonts w:eastAsia="Times New Roman"/>
          <w:lang w:eastAsia="fr-FR"/>
        </w:rPr>
      </w:pPr>
      <w:r w:rsidRPr="00C518E1">
        <w:rPr>
          <w:rFonts w:eastAsia="Times New Roman"/>
          <w:lang w:eastAsia="fr-FR"/>
        </w:rPr>
        <w:t>L’offre de dons pour la construction de mosquées et l</w:t>
      </w:r>
      <w:r w:rsidR="002B5F78" w:rsidRPr="00C518E1">
        <w:rPr>
          <w:rFonts w:eastAsia="Times New Roman"/>
          <w:lang w:eastAsia="fr-FR"/>
        </w:rPr>
        <w:t>a préservation des biens waqf ;</w:t>
      </w:r>
    </w:p>
    <w:p w14:paraId="696B5F96" w14:textId="77777777" w:rsidR="004A2378" w:rsidRPr="00C518E1" w:rsidRDefault="004A2378" w:rsidP="006F6589">
      <w:pPr>
        <w:pStyle w:val="Paragraphedeliste"/>
        <w:numPr>
          <w:ilvl w:val="0"/>
          <w:numId w:val="23"/>
        </w:numPr>
        <w:rPr>
          <w:rFonts w:eastAsia="Times New Roman"/>
          <w:lang w:eastAsia="fr-FR"/>
        </w:rPr>
      </w:pPr>
      <w:r w:rsidRPr="00C518E1">
        <w:rPr>
          <w:rFonts w:eastAsia="Times New Roman"/>
          <w:lang w:eastAsia="fr-FR"/>
        </w:rPr>
        <w:t>L’octroi de primes aux employés à l’o</w:t>
      </w:r>
      <w:r w:rsidR="002B5F78" w:rsidRPr="00C518E1">
        <w:rPr>
          <w:rFonts w:eastAsia="Times New Roman"/>
          <w:lang w:eastAsia="fr-FR"/>
        </w:rPr>
        <w:t>ccasion des fêtes religieuses ;</w:t>
      </w:r>
    </w:p>
    <w:p w14:paraId="573EF66D" w14:textId="77777777" w:rsidR="004A2378" w:rsidRPr="00C518E1" w:rsidRDefault="004A2378" w:rsidP="006F6589">
      <w:pPr>
        <w:pStyle w:val="Paragraphedeliste"/>
        <w:numPr>
          <w:ilvl w:val="0"/>
          <w:numId w:val="23"/>
        </w:numPr>
        <w:rPr>
          <w:rFonts w:eastAsia="Times New Roman"/>
          <w:lang w:eastAsia="fr-FR"/>
        </w:rPr>
      </w:pPr>
      <w:r w:rsidRPr="00C518E1">
        <w:rPr>
          <w:rFonts w:eastAsia="Times New Roman"/>
          <w:lang w:eastAsia="fr-FR"/>
        </w:rPr>
        <w:t xml:space="preserve">La facilitation de l’accomplissement de la </w:t>
      </w:r>
      <w:proofErr w:type="spellStart"/>
      <w:r w:rsidRPr="00C518E1">
        <w:rPr>
          <w:rFonts w:eastAsia="Times New Roman"/>
          <w:lang w:eastAsia="fr-FR"/>
        </w:rPr>
        <w:t>Omra</w:t>
      </w:r>
      <w:proofErr w:type="spellEnd"/>
      <w:r w:rsidRPr="00C518E1">
        <w:rPr>
          <w:rFonts w:eastAsia="Times New Roman"/>
          <w:lang w:eastAsia="fr-FR"/>
        </w:rPr>
        <w:t xml:space="preserve"> et des vacanc</w:t>
      </w:r>
      <w:r w:rsidR="002B5F78" w:rsidRPr="00C518E1">
        <w:rPr>
          <w:rFonts w:eastAsia="Times New Roman"/>
          <w:lang w:eastAsia="fr-FR"/>
        </w:rPr>
        <w:t>es d’été pour les travailleurs.</w:t>
      </w:r>
    </w:p>
    <w:p w14:paraId="258093E2" w14:textId="77777777" w:rsidR="004A2378" w:rsidRPr="00C518E1" w:rsidRDefault="0008376E" w:rsidP="0008376E">
      <w:pPr>
        <w:pStyle w:val="Titre1"/>
        <w:numPr>
          <w:ilvl w:val="0"/>
          <w:numId w:val="20"/>
        </w:numPr>
      </w:pPr>
      <w:bookmarkStart w:id="101" w:name="_Toc200825448"/>
      <w:r>
        <w:t xml:space="preserve"> </w:t>
      </w:r>
      <w:r w:rsidR="004A2378" w:rsidRPr="00C518E1">
        <w:t>Les capacités de la société de ciment Hamma Bouziane</w:t>
      </w:r>
      <w:bookmarkEnd w:id="101"/>
    </w:p>
    <w:p w14:paraId="50B6083D" w14:textId="77777777" w:rsidR="004A2378" w:rsidRPr="004A2378" w:rsidRDefault="004A2378" w:rsidP="002B5F78">
      <w:r w:rsidRPr="004A2378">
        <w:t>Les capacités de l’entreprise peuv</w:t>
      </w:r>
      <w:r w:rsidR="002B5F78">
        <w:t>ent être réparties comme suit :</w:t>
      </w:r>
    </w:p>
    <w:p w14:paraId="7266DC68" w14:textId="77777777" w:rsidR="004A2378" w:rsidRPr="004A2378" w:rsidRDefault="004A2378" w:rsidP="004A2378">
      <w:pPr>
        <w:rPr>
          <w:b/>
          <w:bCs/>
          <w:szCs w:val="24"/>
        </w:rPr>
      </w:pPr>
      <w:r w:rsidRPr="004A2378">
        <w:rPr>
          <w:rStyle w:val="apple-converted-space"/>
          <w:rFonts w:cstheme="majorBidi"/>
          <w:b/>
          <w:bCs/>
          <w:color w:val="222222"/>
          <w:szCs w:val="24"/>
        </w:rPr>
        <w:lastRenderedPageBreak/>
        <w:t> </w:t>
      </w:r>
      <w:r w:rsidR="0008376E">
        <w:rPr>
          <w:b/>
          <w:bCs/>
          <w:szCs w:val="24"/>
        </w:rPr>
        <w:t>2</w:t>
      </w:r>
      <w:r w:rsidRPr="004A2378">
        <w:rPr>
          <w:b/>
          <w:bCs/>
          <w:szCs w:val="24"/>
        </w:rPr>
        <w:t>.1 Ressources naturelles et géographiques</w:t>
      </w:r>
    </w:p>
    <w:p w14:paraId="6F227039" w14:textId="77777777" w:rsidR="004A2378" w:rsidRPr="004A2378" w:rsidRDefault="004A2378" w:rsidP="004A2378">
      <w:r w:rsidRPr="004A2378">
        <w:t>La société de ciment Hamma Bouziane s’étend sur une superficie d’environ</w:t>
      </w:r>
      <w:r w:rsidRPr="004A2378">
        <w:rPr>
          <w:rStyle w:val="apple-converted-space"/>
          <w:rFonts w:cstheme="majorBidi"/>
          <w:color w:val="222222"/>
        </w:rPr>
        <w:t> </w:t>
      </w:r>
      <w:r w:rsidRPr="004A2378">
        <w:rPr>
          <w:rStyle w:val="lev"/>
          <w:rFonts w:cstheme="majorBidi"/>
          <w:color w:val="222222"/>
        </w:rPr>
        <w:t>29 hectares</w:t>
      </w:r>
      <w:r w:rsidRPr="004A2378">
        <w:t>. Elle bénéficie d’un emplacement géographique stratégique, à</w:t>
      </w:r>
      <w:r w:rsidRPr="004A2378">
        <w:rPr>
          <w:rStyle w:val="apple-converted-space"/>
          <w:rFonts w:cstheme="majorBidi"/>
          <w:color w:val="222222"/>
        </w:rPr>
        <w:t> </w:t>
      </w:r>
      <w:r w:rsidRPr="004A2378">
        <w:rPr>
          <w:rStyle w:val="lev"/>
          <w:rFonts w:cstheme="majorBidi"/>
          <w:color w:val="222222"/>
        </w:rPr>
        <w:t>9 km de Constantine</w:t>
      </w:r>
      <w:r w:rsidRPr="004A2378">
        <w:t>, à</w:t>
      </w:r>
      <w:r w:rsidRPr="004A2378">
        <w:rPr>
          <w:rStyle w:val="apple-converted-space"/>
          <w:rFonts w:cstheme="majorBidi"/>
          <w:color w:val="222222"/>
        </w:rPr>
        <w:t> </w:t>
      </w:r>
      <w:r w:rsidRPr="004A2378">
        <w:rPr>
          <w:rStyle w:val="lev"/>
          <w:rFonts w:cstheme="majorBidi"/>
          <w:color w:val="222222"/>
        </w:rPr>
        <w:t>323 mètres d’altitude</w:t>
      </w:r>
      <w:r w:rsidRPr="004A2378">
        <w:t>, sur la</w:t>
      </w:r>
      <w:r w:rsidRPr="004A2378">
        <w:rPr>
          <w:rStyle w:val="apple-converted-space"/>
          <w:rFonts w:cstheme="majorBidi"/>
          <w:color w:val="222222"/>
        </w:rPr>
        <w:t> </w:t>
      </w:r>
      <w:r w:rsidRPr="004A2378">
        <w:rPr>
          <w:rStyle w:val="lev"/>
          <w:rFonts w:cstheme="majorBidi"/>
          <w:color w:val="222222"/>
        </w:rPr>
        <w:t>route nationale n°3</w:t>
      </w:r>
      <w:r w:rsidRPr="004A2378">
        <w:rPr>
          <w:rStyle w:val="apple-converted-space"/>
          <w:rFonts w:cstheme="majorBidi"/>
          <w:color w:val="222222"/>
        </w:rPr>
        <w:t> </w:t>
      </w:r>
      <w:r w:rsidRPr="004A2378">
        <w:t>reliant Constantine à Skikda. Elle est également reliée au réseau ferroviaire desservant</w:t>
      </w:r>
      <w:r w:rsidRPr="004A2378">
        <w:rPr>
          <w:rStyle w:val="apple-converted-space"/>
          <w:rFonts w:cstheme="majorBidi"/>
          <w:color w:val="222222"/>
        </w:rPr>
        <w:t> </w:t>
      </w:r>
      <w:r w:rsidRPr="004A2378">
        <w:rPr>
          <w:rStyle w:val="lev"/>
          <w:rFonts w:cstheme="majorBidi"/>
          <w:color w:val="222222"/>
        </w:rPr>
        <w:t>Constantine, Annaba, Skikda et Jijel</w:t>
      </w:r>
      <w:r w:rsidRPr="004A2378">
        <w:t>, et se situe à proximité de</w:t>
      </w:r>
      <w:r w:rsidRPr="004A2378">
        <w:rPr>
          <w:rStyle w:val="apple-converted-space"/>
          <w:rFonts w:cstheme="majorBidi"/>
          <w:color w:val="222222"/>
        </w:rPr>
        <w:t> </w:t>
      </w:r>
      <w:r w:rsidRPr="004A2378">
        <w:rPr>
          <w:rStyle w:val="lev"/>
          <w:rFonts w:cstheme="majorBidi"/>
          <w:color w:val="222222"/>
        </w:rPr>
        <w:t>l’aéroport international Mohamed Boudiaf</w:t>
      </w:r>
      <w:r w:rsidRPr="004A2378">
        <w:t>.</w:t>
      </w:r>
    </w:p>
    <w:p w14:paraId="17383106" w14:textId="77777777" w:rsidR="004A2378" w:rsidRPr="004A2378" w:rsidRDefault="004A2378" w:rsidP="004A2378">
      <w:r w:rsidRPr="004A2378">
        <w:t>Ce qui distingue particulièrement l’unité</w:t>
      </w:r>
      <w:r w:rsidRPr="004A2378">
        <w:rPr>
          <w:rStyle w:val="apple-converted-space"/>
          <w:rFonts w:cstheme="majorBidi"/>
          <w:color w:val="222222"/>
        </w:rPr>
        <w:t> </w:t>
      </w:r>
      <w:proofErr w:type="spellStart"/>
      <w:r w:rsidRPr="004A2378">
        <w:rPr>
          <w:rStyle w:val="lev"/>
          <w:rFonts w:cstheme="majorBidi"/>
          <w:color w:val="222222"/>
        </w:rPr>
        <w:t>Djawed</w:t>
      </w:r>
      <w:proofErr w:type="spellEnd"/>
      <w:r w:rsidRPr="004A2378">
        <w:rPr>
          <w:rStyle w:val="lev"/>
          <w:rFonts w:cstheme="majorBidi"/>
          <w:color w:val="222222"/>
        </w:rPr>
        <w:t xml:space="preserve"> Tahar</w:t>
      </w:r>
      <w:r w:rsidRPr="004A2378">
        <w:t>, c’est sa proximité avec les</w:t>
      </w:r>
      <w:r w:rsidRPr="004A2378">
        <w:rPr>
          <w:rStyle w:val="apple-converted-space"/>
          <w:rFonts w:cstheme="majorBidi"/>
          <w:color w:val="222222"/>
        </w:rPr>
        <w:t> </w:t>
      </w:r>
      <w:r w:rsidRPr="004A2378">
        <w:rPr>
          <w:rStyle w:val="lev"/>
          <w:rFonts w:cstheme="majorBidi"/>
          <w:color w:val="222222"/>
        </w:rPr>
        <w:t>gisements de matières premières</w:t>
      </w:r>
      <w:r w:rsidRPr="004A2378">
        <w:t>, notamment :</w:t>
      </w:r>
    </w:p>
    <w:p w14:paraId="61BD5F76" w14:textId="77777777" w:rsidR="004A2378" w:rsidRPr="004A2378" w:rsidRDefault="004A2378" w:rsidP="004A2378">
      <w:r w:rsidRPr="004A2378">
        <w:t>Le</w:t>
      </w:r>
      <w:r w:rsidRPr="004A2378">
        <w:rPr>
          <w:rStyle w:val="apple-converted-space"/>
          <w:rFonts w:cstheme="majorBidi"/>
          <w:color w:val="222222"/>
        </w:rPr>
        <w:t> </w:t>
      </w:r>
      <w:r w:rsidRPr="004A2378">
        <w:rPr>
          <w:rStyle w:val="lev"/>
          <w:rFonts w:cstheme="majorBidi"/>
          <w:color w:val="222222"/>
        </w:rPr>
        <w:t xml:space="preserve">gisement de </w:t>
      </w:r>
      <w:proofErr w:type="spellStart"/>
      <w:r w:rsidRPr="004A2378">
        <w:rPr>
          <w:rStyle w:val="lev"/>
          <w:rFonts w:cstheme="majorBidi"/>
          <w:color w:val="222222"/>
        </w:rPr>
        <w:t>Djamil</w:t>
      </w:r>
      <w:proofErr w:type="spellEnd"/>
      <w:r w:rsidRPr="004A2378">
        <w:rPr>
          <w:rStyle w:val="lev"/>
          <w:rFonts w:cstheme="majorBidi"/>
          <w:color w:val="222222"/>
        </w:rPr>
        <w:t xml:space="preserve"> Salah</w:t>
      </w:r>
      <w:r w:rsidRPr="004A2378">
        <w:t>, situé à</w:t>
      </w:r>
      <w:r w:rsidRPr="004A2378">
        <w:rPr>
          <w:rStyle w:val="apple-converted-space"/>
          <w:rFonts w:cstheme="majorBidi"/>
          <w:color w:val="222222"/>
        </w:rPr>
        <w:t> </w:t>
      </w:r>
      <w:r w:rsidRPr="004A2378">
        <w:rPr>
          <w:rStyle w:val="lev"/>
          <w:rFonts w:cstheme="majorBidi"/>
          <w:color w:val="222222"/>
        </w:rPr>
        <w:t>2 km</w:t>
      </w:r>
      <w:r w:rsidRPr="004A2378">
        <w:t>, qui permet d’assurer l’approvisionnement pour une durée estimée à</w:t>
      </w:r>
      <w:r w:rsidRPr="004A2378">
        <w:rPr>
          <w:rStyle w:val="apple-converted-space"/>
          <w:rFonts w:cstheme="majorBidi"/>
          <w:color w:val="222222"/>
        </w:rPr>
        <w:t> </w:t>
      </w:r>
      <w:r w:rsidRPr="004A2378">
        <w:rPr>
          <w:rStyle w:val="lev"/>
          <w:rFonts w:cstheme="majorBidi"/>
          <w:color w:val="222222"/>
        </w:rPr>
        <w:t>33 ans</w:t>
      </w:r>
      <w:r w:rsidRPr="004A2378">
        <w:rPr>
          <w:rStyle w:val="apple-converted-space"/>
          <w:rFonts w:cstheme="majorBidi"/>
          <w:color w:val="222222"/>
        </w:rPr>
        <w:t> </w:t>
      </w:r>
      <w:r w:rsidRPr="004A2378">
        <w:t>;</w:t>
      </w:r>
    </w:p>
    <w:p w14:paraId="3904191E" w14:textId="77777777" w:rsidR="004A2378" w:rsidRPr="004A2378" w:rsidRDefault="004A2378" w:rsidP="004A2378">
      <w:r w:rsidRPr="004A2378">
        <w:t>Un</w:t>
      </w:r>
      <w:r w:rsidRPr="004A2378">
        <w:rPr>
          <w:rStyle w:val="apple-converted-space"/>
          <w:rFonts w:cstheme="majorBidi"/>
          <w:color w:val="222222"/>
        </w:rPr>
        <w:t> </w:t>
      </w:r>
      <w:r w:rsidRPr="004A2378">
        <w:rPr>
          <w:rStyle w:val="lev"/>
          <w:rFonts w:cstheme="majorBidi"/>
          <w:color w:val="222222"/>
        </w:rPr>
        <w:t>gisement de calcaire</w:t>
      </w:r>
      <w:r w:rsidRPr="004A2378">
        <w:rPr>
          <w:rStyle w:val="apple-converted-space"/>
          <w:rFonts w:cstheme="majorBidi"/>
          <w:color w:val="222222"/>
        </w:rPr>
        <w:t> </w:t>
      </w:r>
      <w:r w:rsidRPr="004A2378">
        <w:t>couvrant</w:t>
      </w:r>
      <w:r w:rsidRPr="004A2378">
        <w:rPr>
          <w:rStyle w:val="apple-converted-space"/>
          <w:rFonts w:cstheme="majorBidi"/>
          <w:color w:val="222222"/>
        </w:rPr>
        <w:t> </w:t>
      </w:r>
      <w:r w:rsidRPr="004A2378">
        <w:rPr>
          <w:rStyle w:val="lev"/>
          <w:rFonts w:cstheme="majorBidi"/>
          <w:color w:val="222222"/>
        </w:rPr>
        <w:t>128 hectares</w:t>
      </w:r>
      <w:r w:rsidRPr="004A2378">
        <w:rPr>
          <w:rStyle w:val="apple-converted-space"/>
          <w:rFonts w:cstheme="majorBidi"/>
          <w:color w:val="222222"/>
        </w:rPr>
        <w:t> </w:t>
      </w:r>
      <w:r w:rsidRPr="004A2378">
        <w:t>;</w:t>
      </w:r>
    </w:p>
    <w:p w14:paraId="6D447946" w14:textId="77777777" w:rsidR="004A2378" w:rsidRPr="004A2378" w:rsidRDefault="004A2378" w:rsidP="004A2378">
      <w:r w:rsidRPr="004A2378">
        <w:t>Un</w:t>
      </w:r>
      <w:r w:rsidRPr="004A2378">
        <w:rPr>
          <w:rStyle w:val="apple-converted-space"/>
          <w:rFonts w:cstheme="majorBidi"/>
          <w:color w:val="222222"/>
        </w:rPr>
        <w:t> </w:t>
      </w:r>
      <w:r w:rsidRPr="004A2378">
        <w:rPr>
          <w:rStyle w:val="lev"/>
          <w:rFonts w:cstheme="majorBidi"/>
          <w:color w:val="222222"/>
        </w:rPr>
        <w:t>gisement d’argile</w:t>
      </w:r>
      <w:r w:rsidRPr="004A2378">
        <w:rPr>
          <w:rStyle w:val="apple-converted-space"/>
          <w:rFonts w:cstheme="majorBidi"/>
          <w:color w:val="222222"/>
        </w:rPr>
        <w:t> </w:t>
      </w:r>
      <w:r w:rsidRPr="004A2378">
        <w:t>couvrant</w:t>
      </w:r>
      <w:r w:rsidRPr="004A2378">
        <w:rPr>
          <w:rStyle w:val="apple-converted-space"/>
          <w:rFonts w:cstheme="majorBidi"/>
          <w:color w:val="222222"/>
        </w:rPr>
        <w:t> </w:t>
      </w:r>
      <w:r w:rsidRPr="004A2378">
        <w:rPr>
          <w:rStyle w:val="lev"/>
          <w:rFonts w:cstheme="majorBidi"/>
          <w:color w:val="222222"/>
        </w:rPr>
        <w:t>110 hectares</w:t>
      </w:r>
      <w:r w:rsidRPr="004A2378">
        <w:t>.</w:t>
      </w:r>
    </w:p>
    <w:p w14:paraId="76ED696A" w14:textId="77777777" w:rsidR="004A2378" w:rsidRPr="004A2378" w:rsidRDefault="004A2378" w:rsidP="004A2378">
      <w:pPr>
        <w:rPr>
          <w:rFonts w:eastAsia="Times New Roman"/>
          <w:b/>
          <w:bCs/>
          <w:szCs w:val="24"/>
        </w:rPr>
      </w:pPr>
      <w:r w:rsidRPr="004A2378">
        <w:rPr>
          <w:b/>
          <w:bCs/>
          <w:szCs w:val="24"/>
        </w:rPr>
        <w:t xml:space="preserve"> </w:t>
      </w:r>
      <w:r w:rsidR="0008376E">
        <w:rPr>
          <w:b/>
          <w:bCs/>
          <w:szCs w:val="24"/>
        </w:rPr>
        <w:t>2</w:t>
      </w:r>
      <w:r w:rsidRPr="004A2378">
        <w:rPr>
          <w:b/>
          <w:bCs/>
          <w:szCs w:val="24"/>
        </w:rPr>
        <w:t>.2 Ressources humaines</w:t>
      </w:r>
    </w:p>
    <w:p w14:paraId="0CF1F26F" w14:textId="77777777" w:rsidR="004A2378" w:rsidRPr="004A2378" w:rsidRDefault="004A2378" w:rsidP="002B5F78">
      <w:r w:rsidRPr="004A2378">
        <w:t>Les ressources humaines de l’entreprise peuvent être répar</w:t>
      </w:r>
      <w:r w:rsidR="002B5F78">
        <w:t>ties selon plusieurs critères :</w:t>
      </w:r>
    </w:p>
    <w:p w14:paraId="38EE4798" w14:textId="77777777" w:rsidR="004A2378" w:rsidRPr="00C518E1" w:rsidRDefault="004A2378" w:rsidP="006F6589">
      <w:pPr>
        <w:pStyle w:val="Paragraphedeliste"/>
        <w:numPr>
          <w:ilvl w:val="0"/>
          <w:numId w:val="24"/>
        </w:numPr>
        <w:rPr>
          <w:b/>
          <w:bCs/>
          <w:szCs w:val="24"/>
        </w:rPr>
      </w:pPr>
      <w:r w:rsidRPr="00C518E1">
        <w:rPr>
          <w:b/>
          <w:bCs/>
          <w:szCs w:val="24"/>
        </w:rPr>
        <w:t>Selon la situation professionnelle des employés</w:t>
      </w:r>
    </w:p>
    <w:p w14:paraId="283D5FB2" w14:textId="77777777" w:rsidR="004A2378" w:rsidRPr="004A2378" w:rsidRDefault="004A2378" w:rsidP="004A2378">
      <w:r w:rsidRPr="004A2378">
        <w:t>La société de ciment Hamma Bouziane se compose de cadres et de travailleurs dotés d’un</w:t>
      </w:r>
      <w:r w:rsidRPr="004A2378">
        <w:rPr>
          <w:rStyle w:val="apple-converted-space"/>
          <w:rFonts w:cstheme="majorBidi"/>
          <w:color w:val="222222"/>
        </w:rPr>
        <w:t> </w:t>
      </w:r>
      <w:r w:rsidRPr="004A2378">
        <w:rPr>
          <w:rStyle w:val="lev"/>
          <w:rFonts w:cstheme="majorBidi"/>
          <w:color w:val="222222"/>
        </w:rPr>
        <w:t>haut niveau de compétence professionnelle</w:t>
      </w:r>
      <w:r w:rsidRPr="004A2378">
        <w:t>, comme en témoigne sa stabilité et les</w:t>
      </w:r>
      <w:r w:rsidRPr="004A2378">
        <w:rPr>
          <w:rStyle w:val="apple-converted-space"/>
          <w:rFonts w:cstheme="majorBidi"/>
          <w:color w:val="222222"/>
        </w:rPr>
        <w:t> </w:t>
      </w:r>
      <w:r w:rsidRPr="004A2378">
        <w:rPr>
          <w:rStyle w:val="lev"/>
          <w:rFonts w:cstheme="majorBidi"/>
          <w:color w:val="222222"/>
        </w:rPr>
        <w:t>résultats positifs qu’elle obtient</w:t>
      </w:r>
      <w:r w:rsidRPr="004A2378">
        <w:t>.</w:t>
      </w:r>
    </w:p>
    <w:p w14:paraId="558D0275" w14:textId="77777777" w:rsidR="00DA1DE6" w:rsidRDefault="004A2378" w:rsidP="009645CF">
      <w:r w:rsidRPr="004A2378">
        <w:t>Voici un aperçu des types de contrats et effect</w:t>
      </w:r>
      <w:r w:rsidR="00DA1DE6">
        <w:t xml:space="preserve">ifs (extrait du tableau 1 </w:t>
      </w:r>
      <w:r w:rsidR="002B5F78">
        <w:t>) :</w:t>
      </w:r>
    </w:p>
    <w:p w14:paraId="1DA437B2" w14:textId="77777777" w:rsidR="00350FA5" w:rsidRDefault="00350FA5" w:rsidP="009645CF"/>
    <w:p w14:paraId="3FF95E70" w14:textId="77777777" w:rsidR="00350FA5" w:rsidRDefault="00350FA5" w:rsidP="009645CF"/>
    <w:p w14:paraId="5CA8C00F" w14:textId="77777777" w:rsidR="00350FA5" w:rsidRDefault="00350FA5" w:rsidP="009645CF"/>
    <w:p w14:paraId="50DCE354" w14:textId="77777777" w:rsidR="00350FA5" w:rsidRDefault="00350FA5" w:rsidP="009645CF"/>
    <w:p w14:paraId="4509EC3A" w14:textId="77777777" w:rsidR="00350FA5" w:rsidRDefault="00350FA5" w:rsidP="009645CF"/>
    <w:p w14:paraId="28B83753" w14:textId="77777777" w:rsidR="004A2378" w:rsidRPr="00350FA5" w:rsidRDefault="00DA1DE6" w:rsidP="00DA1DE6">
      <w:pPr>
        <w:pStyle w:val="Lgende"/>
        <w:jc w:val="center"/>
        <w:rPr>
          <w:i w:val="0"/>
          <w:iCs w:val="0"/>
          <w:color w:val="000000" w:themeColor="text1"/>
          <w:sz w:val="24"/>
          <w:szCs w:val="24"/>
        </w:rPr>
      </w:pPr>
      <w:bookmarkStart w:id="102" w:name="_Toc200731394"/>
      <w:r w:rsidRPr="00350FA5">
        <w:rPr>
          <w:b/>
          <w:bCs/>
          <w:i w:val="0"/>
          <w:iCs w:val="0"/>
          <w:color w:val="000000" w:themeColor="text1"/>
          <w:sz w:val="24"/>
          <w:szCs w:val="24"/>
        </w:rPr>
        <w:lastRenderedPageBreak/>
        <w:t xml:space="preserve">Tableau  </w:t>
      </w:r>
      <w:r w:rsidRPr="00350FA5">
        <w:rPr>
          <w:b/>
          <w:bCs/>
          <w:i w:val="0"/>
          <w:iCs w:val="0"/>
          <w:color w:val="000000" w:themeColor="text1"/>
          <w:sz w:val="24"/>
          <w:szCs w:val="24"/>
        </w:rPr>
        <w:fldChar w:fldCharType="begin"/>
      </w:r>
      <w:r w:rsidRPr="00350FA5">
        <w:rPr>
          <w:b/>
          <w:bCs/>
          <w:i w:val="0"/>
          <w:iCs w:val="0"/>
          <w:color w:val="000000" w:themeColor="text1"/>
          <w:sz w:val="24"/>
          <w:szCs w:val="24"/>
        </w:rPr>
        <w:instrText xml:space="preserve"> SEQ Tableau_ \* ARABIC </w:instrText>
      </w:r>
      <w:r w:rsidRPr="00350FA5">
        <w:rPr>
          <w:b/>
          <w:bCs/>
          <w:i w:val="0"/>
          <w:iCs w:val="0"/>
          <w:color w:val="000000" w:themeColor="text1"/>
          <w:sz w:val="24"/>
          <w:szCs w:val="24"/>
        </w:rPr>
        <w:fldChar w:fldCharType="separate"/>
      </w:r>
      <w:r w:rsidR="00B55438">
        <w:rPr>
          <w:b/>
          <w:bCs/>
          <w:i w:val="0"/>
          <w:iCs w:val="0"/>
          <w:noProof/>
          <w:color w:val="000000" w:themeColor="text1"/>
          <w:sz w:val="24"/>
          <w:szCs w:val="24"/>
        </w:rPr>
        <w:t>1</w:t>
      </w:r>
      <w:r w:rsidRPr="00350FA5">
        <w:rPr>
          <w:b/>
          <w:bCs/>
          <w:i w:val="0"/>
          <w:iCs w:val="0"/>
          <w:color w:val="000000" w:themeColor="text1"/>
          <w:sz w:val="24"/>
          <w:szCs w:val="24"/>
        </w:rPr>
        <w:fldChar w:fldCharType="end"/>
      </w:r>
      <w:r w:rsidRPr="00350FA5">
        <w:rPr>
          <w:b/>
          <w:bCs/>
          <w:i w:val="0"/>
          <w:iCs w:val="0"/>
          <w:color w:val="000000" w:themeColor="text1"/>
          <w:sz w:val="24"/>
          <w:szCs w:val="24"/>
        </w:rPr>
        <w:t xml:space="preserve"> </w:t>
      </w:r>
      <w:r w:rsidR="004A2378" w:rsidRPr="00350FA5">
        <w:rPr>
          <w:b/>
          <w:bCs/>
          <w:i w:val="0"/>
          <w:iCs w:val="0"/>
          <w:color w:val="000000" w:themeColor="text1"/>
          <w:sz w:val="24"/>
          <w:szCs w:val="24"/>
        </w:rPr>
        <w:t xml:space="preserve">: </w:t>
      </w:r>
      <w:r w:rsidR="004A2378" w:rsidRPr="00350FA5">
        <w:rPr>
          <w:i w:val="0"/>
          <w:iCs w:val="0"/>
          <w:color w:val="000000" w:themeColor="text1"/>
          <w:sz w:val="24"/>
          <w:szCs w:val="24"/>
        </w:rPr>
        <w:t>Statut professionnel des travailleurs de la Cimenterie Hamma Bouziane</w:t>
      </w:r>
      <w:bookmarkEnd w:id="102"/>
    </w:p>
    <w:tbl>
      <w:tblPr>
        <w:tblStyle w:val="Grilledutableau"/>
        <w:tblW w:w="0" w:type="auto"/>
        <w:tblLook w:val="04A0" w:firstRow="1" w:lastRow="0" w:firstColumn="1" w:lastColumn="0" w:noHBand="0" w:noVBand="1"/>
      </w:tblPr>
      <w:tblGrid>
        <w:gridCol w:w="1365"/>
        <w:gridCol w:w="878"/>
        <w:gridCol w:w="949"/>
        <w:gridCol w:w="1335"/>
        <w:gridCol w:w="990"/>
        <w:gridCol w:w="1285"/>
        <w:gridCol w:w="1214"/>
        <w:gridCol w:w="1050"/>
      </w:tblGrid>
      <w:tr w:rsidR="00350FA5" w14:paraId="61A69373" w14:textId="77777777" w:rsidTr="00350FA5">
        <w:tc>
          <w:tcPr>
            <w:tcW w:w="1365" w:type="dxa"/>
          </w:tcPr>
          <w:p w14:paraId="3E2F4537" w14:textId="77777777" w:rsidR="00350FA5" w:rsidRDefault="00350FA5" w:rsidP="00350FA5">
            <w:r>
              <w:t>Type de personnel</w:t>
            </w:r>
          </w:p>
        </w:tc>
        <w:tc>
          <w:tcPr>
            <w:tcW w:w="878" w:type="dxa"/>
          </w:tcPr>
          <w:p w14:paraId="367F358F" w14:textId="77777777" w:rsidR="00350FA5" w:rsidRDefault="00350FA5" w:rsidP="00350FA5">
            <w:r>
              <w:t>CDI</w:t>
            </w:r>
          </w:p>
        </w:tc>
        <w:tc>
          <w:tcPr>
            <w:tcW w:w="949" w:type="dxa"/>
          </w:tcPr>
          <w:p w14:paraId="49367BFA" w14:textId="77777777" w:rsidR="00350FA5" w:rsidRDefault="00350FA5" w:rsidP="00350FA5">
            <w:r>
              <w:t>CDD</w:t>
            </w:r>
          </w:p>
        </w:tc>
        <w:tc>
          <w:tcPr>
            <w:tcW w:w="1335" w:type="dxa"/>
          </w:tcPr>
          <w:p w14:paraId="4A3EF52B" w14:textId="77777777" w:rsidR="00350FA5" w:rsidRDefault="00350FA5" w:rsidP="00350FA5">
            <w:r>
              <w:t>Contrat d’intégration professionnelle</w:t>
            </w:r>
          </w:p>
        </w:tc>
        <w:tc>
          <w:tcPr>
            <w:tcW w:w="990" w:type="dxa"/>
          </w:tcPr>
          <w:p w14:paraId="6C505A2B" w14:textId="77777777" w:rsidR="00350FA5" w:rsidRDefault="00350FA5" w:rsidP="00350FA5">
            <w:r>
              <w:t>DAIP</w:t>
            </w:r>
          </w:p>
        </w:tc>
        <w:tc>
          <w:tcPr>
            <w:tcW w:w="1285" w:type="dxa"/>
          </w:tcPr>
          <w:p w14:paraId="61A024DF" w14:textId="77777777" w:rsidR="00350FA5" w:rsidRDefault="00350FA5" w:rsidP="00350FA5">
            <w:r>
              <w:t>Dispositif d’aide à l’insertion</w:t>
            </w:r>
          </w:p>
        </w:tc>
        <w:tc>
          <w:tcPr>
            <w:tcW w:w="1214" w:type="dxa"/>
          </w:tcPr>
          <w:p w14:paraId="57B36596" w14:textId="77777777" w:rsidR="00350FA5" w:rsidRDefault="00350FA5" w:rsidP="00350FA5">
            <w:r>
              <w:t>Retraités</w:t>
            </w:r>
          </w:p>
        </w:tc>
        <w:tc>
          <w:tcPr>
            <w:tcW w:w="1050" w:type="dxa"/>
          </w:tcPr>
          <w:p w14:paraId="184D1EE2" w14:textId="77777777" w:rsidR="00350FA5" w:rsidRDefault="00350FA5" w:rsidP="00350FA5">
            <w:r>
              <w:t>Autres</w:t>
            </w:r>
          </w:p>
        </w:tc>
      </w:tr>
      <w:tr w:rsidR="00350FA5" w14:paraId="1527B8CC" w14:textId="77777777" w:rsidTr="00350FA5">
        <w:tc>
          <w:tcPr>
            <w:tcW w:w="1365" w:type="dxa"/>
          </w:tcPr>
          <w:p w14:paraId="4E738A54" w14:textId="77777777" w:rsidR="00350FA5" w:rsidRDefault="00350FA5" w:rsidP="00350FA5">
            <w:r>
              <w:t>Ingénieurs</w:t>
            </w:r>
          </w:p>
        </w:tc>
        <w:tc>
          <w:tcPr>
            <w:tcW w:w="878" w:type="dxa"/>
          </w:tcPr>
          <w:p w14:paraId="418E9367" w14:textId="77777777" w:rsidR="00350FA5" w:rsidRDefault="00350FA5" w:rsidP="00350FA5">
            <w:r>
              <w:t>3</w:t>
            </w:r>
          </w:p>
        </w:tc>
        <w:tc>
          <w:tcPr>
            <w:tcW w:w="949" w:type="dxa"/>
          </w:tcPr>
          <w:p w14:paraId="15B9BCEC" w14:textId="77777777" w:rsidR="00350FA5" w:rsidRDefault="00350FA5" w:rsidP="00350FA5">
            <w:r>
              <w:t>3</w:t>
            </w:r>
          </w:p>
        </w:tc>
        <w:tc>
          <w:tcPr>
            <w:tcW w:w="1335" w:type="dxa"/>
          </w:tcPr>
          <w:p w14:paraId="11916FCC" w14:textId="77777777" w:rsidR="00350FA5" w:rsidRDefault="00350FA5" w:rsidP="00350FA5"/>
        </w:tc>
        <w:tc>
          <w:tcPr>
            <w:tcW w:w="990" w:type="dxa"/>
          </w:tcPr>
          <w:p w14:paraId="137A9238" w14:textId="77777777" w:rsidR="00350FA5" w:rsidRDefault="00350FA5" w:rsidP="00350FA5"/>
        </w:tc>
        <w:tc>
          <w:tcPr>
            <w:tcW w:w="1285" w:type="dxa"/>
          </w:tcPr>
          <w:p w14:paraId="60482F28" w14:textId="77777777" w:rsidR="00350FA5" w:rsidRDefault="00350FA5" w:rsidP="00350FA5"/>
        </w:tc>
        <w:tc>
          <w:tcPr>
            <w:tcW w:w="1214" w:type="dxa"/>
          </w:tcPr>
          <w:p w14:paraId="4C45EFF1" w14:textId="77777777" w:rsidR="00350FA5" w:rsidRDefault="00350FA5" w:rsidP="00350FA5"/>
        </w:tc>
        <w:tc>
          <w:tcPr>
            <w:tcW w:w="1050" w:type="dxa"/>
          </w:tcPr>
          <w:p w14:paraId="3212C54C" w14:textId="77777777" w:rsidR="00350FA5" w:rsidRDefault="00350FA5" w:rsidP="00350FA5"/>
        </w:tc>
      </w:tr>
      <w:tr w:rsidR="00350FA5" w14:paraId="7A31956E" w14:textId="77777777" w:rsidTr="00350FA5">
        <w:tc>
          <w:tcPr>
            <w:tcW w:w="1365" w:type="dxa"/>
          </w:tcPr>
          <w:p w14:paraId="2FE928D3" w14:textId="77777777" w:rsidR="00350FA5" w:rsidRDefault="00350FA5" w:rsidP="00350FA5">
            <w:r>
              <w:t>Ingénieurs d'État</w:t>
            </w:r>
          </w:p>
        </w:tc>
        <w:tc>
          <w:tcPr>
            <w:tcW w:w="878" w:type="dxa"/>
          </w:tcPr>
          <w:p w14:paraId="1ED001C4" w14:textId="77777777" w:rsidR="00350FA5" w:rsidRDefault="00350FA5" w:rsidP="00350FA5">
            <w:r>
              <w:t>49</w:t>
            </w:r>
          </w:p>
        </w:tc>
        <w:tc>
          <w:tcPr>
            <w:tcW w:w="949" w:type="dxa"/>
          </w:tcPr>
          <w:p w14:paraId="2CE09140" w14:textId="77777777" w:rsidR="00350FA5" w:rsidRDefault="00350FA5" w:rsidP="00350FA5">
            <w:r>
              <w:t>3</w:t>
            </w:r>
          </w:p>
        </w:tc>
        <w:tc>
          <w:tcPr>
            <w:tcW w:w="1335" w:type="dxa"/>
          </w:tcPr>
          <w:p w14:paraId="3E30FDF2" w14:textId="77777777" w:rsidR="00350FA5" w:rsidRDefault="00350FA5" w:rsidP="00350FA5"/>
        </w:tc>
        <w:tc>
          <w:tcPr>
            <w:tcW w:w="990" w:type="dxa"/>
          </w:tcPr>
          <w:p w14:paraId="788B0181" w14:textId="77777777" w:rsidR="00350FA5" w:rsidRDefault="00350FA5" w:rsidP="00350FA5"/>
        </w:tc>
        <w:tc>
          <w:tcPr>
            <w:tcW w:w="1285" w:type="dxa"/>
          </w:tcPr>
          <w:p w14:paraId="07C5B4D7" w14:textId="77777777" w:rsidR="00350FA5" w:rsidRDefault="00350FA5" w:rsidP="00350FA5"/>
        </w:tc>
        <w:tc>
          <w:tcPr>
            <w:tcW w:w="1214" w:type="dxa"/>
          </w:tcPr>
          <w:p w14:paraId="46B76310" w14:textId="77777777" w:rsidR="00350FA5" w:rsidRDefault="00350FA5" w:rsidP="00350FA5"/>
        </w:tc>
        <w:tc>
          <w:tcPr>
            <w:tcW w:w="1050" w:type="dxa"/>
          </w:tcPr>
          <w:p w14:paraId="0460372E" w14:textId="77777777" w:rsidR="00350FA5" w:rsidRDefault="00350FA5" w:rsidP="00350FA5"/>
        </w:tc>
      </w:tr>
      <w:tr w:rsidR="00350FA5" w14:paraId="6289A960" w14:textId="77777777" w:rsidTr="00350FA5">
        <w:tc>
          <w:tcPr>
            <w:tcW w:w="1365" w:type="dxa"/>
          </w:tcPr>
          <w:p w14:paraId="5B3EA63A" w14:textId="77777777" w:rsidR="00350FA5" w:rsidRDefault="00350FA5" w:rsidP="00350FA5">
            <w:r>
              <w:t>Cadres</w:t>
            </w:r>
          </w:p>
        </w:tc>
        <w:tc>
          <w:tcPr>
            <w:tcW w:w="878" w:type="dxa"/>
          </w:tcPr>
          <w:p w14:paraId="0D7BF649" w14:textId="77777777" w:rsidR="00350FA5" w:rsidRDefault="00350FA5" w:rsidP="00350FA5">
            <w:r>
              <w:t>44</w:t>
            </w:r>
          </w:p>
        </w:tc>
        <w:tc>
          <w:tcPr>
            <w:tcW w:w="949" w:type="dxa"/>
          </w:tcPr>
          <w:p w14:paraId="67A4019E" w14:textId="77777777" w:rsidR="00350FA5" w:rsidRDefault="00350FA5" w:rsidP="00350FA5">
            <w:r>
              <w:t>3</w:t>
            </w:r>
          </w:p>
        </w:tc>
        <w:tc>
          <w:tcPr>
            <w:tcW w:w="1335" w:type="dxa"/>
          </w:tcPr>
          <w:p w14:paraId="19DF05F5" w14:textId="77777777" w:rsidR="00350FA5" w:rsidRDefault="00350FA5" w:rsidP="00350FA5"/>
        </w:tc>
        <w:tc>
          <w:tcPr>
            <w:tcW w:w="990" w:type="dxa"/>
          </w:tcPr>
          <w:p w14:paraId="1BF44FA3" w14:textId="77777777" w:rsidR="00350FA5" w:rsidRDefault="00350FA5" w:rsidP="00350FA5"/>
        </w:tc>
        <w:tc>
          <w:tcPr>
            <w:tcW w:w="1285" w:type="dxa"/>
          </w:tcPr>
          <w:p w14:paraId="069FEC92" w14:textId="77777777" w:rsidR="00350FA5" w:rsidRDefault="00350FA5" w:rsidP="00350FA5"/>
        </w:tc>
        <w:tc>
          <w:tcPr>
            <w:tcW w:w="1214" w:type="dxa"/>
          </w:tcPr>
          <w:p w14:paraId="40435409" w14:textId="77777777" w:rsidR="00350FA5" w:rsidRDefault="00350FA5" w:rsidP="00350FA5"/>
        </w:tc>
        <w:tc>
          <w:tcPr>
            <w:tcW w:w="1050" w:type="dxa"/>
          </w:tcPr>
          <w:p w14:paraId="71FBC38B" w14:textId="77777777" w:rsidR="00350FA5" w:rsidRDefault="00350FA5" w:rsidP="00350FA5"/>
        </w:tc>
      </w:tr>
      <w:tr w:rsidR="00350FA5" w14:paraId="339CB057" w14:textId="77777777" w:rsidTr="00350FA5">
        <w:tc>
          <w:tcPr>
            <w:tcW w:w="1365" w:type="dxa"/>
          </w:tcPr>
          <w:p w14:paraId="5633A7B5" w14:textId="77777777" w:rsidR="00350FA5" w:rsidRDefault="00350FA5" w:rsidP="00350FA5">
            <w:r>
              <w:t>Agents de maîtrise</w:t>
            </w:r>
          </w:p>
        </w:tc>
        <w:tc>
          <w:tcPr>
            <w:tcW w:w="878" w:type="dxa"/>
          </w:tcPr>
          <w:p w14:paraId="16B5B0CF" w14:textId="77777777" w:rsidR="00350FA5" w:rsidRDefault="00350FA5" w:rsidP="00350FA5">
            <w:r>
              <w:t>233</w:t>
            </w:r>
          </w:p>
        </w:tc>
        <w:tc>
          <w:tcPr>
            <w:tcW w:w="949" w:type="dxa"/>
          </w:tcPr>
          <w:p w14:paraId="534CB7CF" w14:textId="77777777" w:rsidR="00350FA5" w:rsidRDefault="00350FA5" w:rsidP="00350FA5">
            <w:r>
              <w:t>4</w:t>
            </w:r>
          </w:p>
        </w:tc>
        <w:tc>
          <w:tcPr>
            <w:tcW w:w="1335" w:type="dxa"/>
          </w:tcPr>
          <w:p w14:paraId="41346C65" w14:textId="77777777" w:rsidR="00350FA5" w:rsidRDefault="00350FA5" w:rsidP="00350FA5"/>
        </w:tc>
        <w:tc>
          <w:tcPr>
            <w:tcW w:w="990" w:type="dxa"/>
          </w:tcPr>
          <w:p w14:paraId="132F439F" w14:textId="77777777" w:rsidR="00350FA5" w:rsidRDefault="00350FA5" w:rsidP="00350FA5"/>
        </w:tc>
        <w:tc>
          <w:tcPr>
            <w:tcW w:w="1285" w:type="dxa"/>
          </w:tcPr>
          <w:p w14:paraId="1741F7F1" w14:textId="77777777" w:rsidR="00350FA5" w:rsidRDefault="00350FA5" w:rsidP="00350FA5"/>
        </w:tc>
        <w:tc>
          <w:tcPr>
            <w:tcW w:w="1214" w:type="dxa"/>
          </w:tcPr>
          <w:p w14:paraId="58D18F79" w14:textId="77777777" w:rsidR="00350FA5" w:rsidRDefault="00350FA5" w:rsidP="00350FA5"/>
        </w:tc>
        <w:tc>
          <w:tcPr>
            <w:tcW w:w="1050" w:type="dxa"/>
          </w:tcPr>
          <w:p w14:paraId="7A79F443" w14:textId="77777777" w:rsidR="00350FA5" w:rsidRDefault="00350FA5" w:rsidP="00350FA5"/>
        </w:tc>
      </w:tr>
      <w:tr w:rsidR="00350FA5" w14:paraId="15FFFBB0" w14:textId="77777777" w:rsidTr="00350FA5">
        <w:tc>
          <w:tcPr>
            <w:tcW w:w="1365" w:type="dxa"/>
          </w:tcPr>
          <w:p w14:paraId="1D25D924" w14:textId="77777777" w:rsidR="00350FA5" w:rsidRDefault="00350FA5" w:rsidP="00350FA5">
            <w:r>
              <w:t>Exécutants</w:t>
            </w:r>
          </w:p>
        </w:tc>
        <w:tc>
          <w:tcPr>
            <w:tcW w:w="878" w:type="dxa"/>
          </w:tcPr>
          <w:p w14:paraId="50080442" w14:textId="77777777" w:rsidR="00350FA5" w:rsidRDefault="00350FA5" w:rsidP="00350FA5">
            <w:r>
              <w:t>74</w:t>
            </w:r>
          </w:p>
        </w:tc>
        <w:tc>
          <w:tcPr>
            <w:tcW w:w="949" w:type="dxa"/>
          </w:tcPr>
          <w:p w14:paraId="5E982B12" w14:textId="77777777" w:rsidR="00350FA5" w:rsidRDefault="00350FA5" w:rsidP="00350FA5">
            <w:r>
              <w:t>3</w:t>
            </w:r>
          </w:p>
        </w:tc>
        <w:tc>
          <w:tcPr>
            <w:tcW w:w="1335" w:type="dxa"/>
          </w:tcPr>
          <w:p w14:paraId="0EB93C3E" w14:textId="77777777" w:rsidR="00350FA5" w:rsidRDefault="00350FA5" w:rsidP="00350FA5"/>
        </w:tc>
        <w:tc>
          <w:tcPr>
            <w:tcW w:w="990" w:type="dxa"/>
          </w:tcPr>
          <w:p w14:paraId="7348BCCF" w14:textId="77777777" w:rsidR="00350FA5" w:rsidRDefault="00350FA5" w:rsidP="00350FA5"/>
        </w:tc>
        <w:tc>
          <w:tcPr>
            <w:tcW w:w="1285" w:type="dxa"/>
          </w:tcPr>
          <w:p w14:paraId="48804A6F" w14:textId="77777777" w:rsidR="00350FA5" w:rsidRDefault="00350FA5" w:rsidP="00350FA5"/>
        </w:tc>
        <w:tc>
          <w:tcPr>
            <w:tcW w:w="1214" w:type="dxa"/>
          </w:tcPr>
          <w:p w14:paraId="7CB45A43" w14:textId="77777777" w:rsidR="00350FA5" w:rsidRDefault="00350FA5" w:rsidP="00350FA5"/>
        </w:tc>
        <w:tc>
          <w:tcPr>
            <w:tcW w:w="1050" w:type="dxa"/>
          </w:tcPr>
          <w:p w14:paraId="2DF7C9A8" w14:textId="77777777" w:rsidR="00350FA5" w:rsidRDefault="00350FA5" w:rsidP="00350FA5">
            <w:r>
              <w:t>15</w:t>
            </w:r>
          </w:p>
        </w:tc>
      </w:tr>
      <w:tr w:rsidR="00350FA5" w14:paraId="429101F3" w14:textId="77777777" w:rsidTr="00350FA5">
        <w:tc>
          <w:tcPr>
            <w:tcW w:w="1365" w:type="dxa"/>
          </w:tcPr>
          <w:p w14:paraId="1867579F" w14:textId="77777777" w:rsidR="00350FA5" w:rsidRDefault="00350FA5" w:rsidP="00350FA5">
            <w:r>
              <w:t>Total</w:t>
            </w:r>
          </w:p>
        </w:tc>
        <w:tc>
          <w:tcPr>
            <w:tcW w:w="878" w:type="dxa"/>
          </w:tcPr>
          <w:p w14:paraId="4F992994" w14:textId="77777777" w:rsidR="00350FA5" w:rsidRDefault="00350FA5" w:rsidP="00350FA5">
            <w:r>
              <w:t>432</w:t>
            </w:r>
          </w:p>
        </w:tc>
        <w:tc>
          <w:tcPr>
            <w:tcW w:w="949" w:type="dxa"/>
          </w:tcPr>
          <w:p w14:paraId="41DD0329" w14:textId="77777777" w:rsidR="00350FA5" w:rsidRDefault="00350FA5" w:rsidP="00350FA5">
            <w:r>
              <w:t>16</w:t>
            </w:r>
          </w:p>
        </w:tc>
        <w:tc>
          <w:tcPr>
            <w:tcW w:w="1335" w:type="dxa"/>
          </w:tcPr>
          <w:p w14:paraId="56CF010D" w14:textId="77777777" w:rsidR="00350FA5" w:rsidRDefault="00350FA5" w:rsidP="00350FA5">
            <w:r>
              <w:t>2</w:t>
            </w:r>
          </w:p>
        </w:tc>
        <w:tc>
          <w:tcPr>
            <w:tcW w:w="990" w:type="dxa"/>
          </w:tcPr>
          <w:p w14:paraId="5E6842A9" w14:textId="77777777" w:rsidR="00350FA5" w:rsidRDefault="00350FA5" w:rsidP="00350FA5"/>
        </w:tc>
        <w:tc>
          <w:tcPr>
            <w:tcW w:w="1285" w:type="dxa"/>
          </w:tcPr>
          <w:p w14:paraId="60D23FA9" w14:textId="77777777" w:rsidR="00350FA5" w:rsidRDefault="00350FA5" w:rsidP="00350FA5"/>
        </w:tc>
        <w:tc>
          <w:tcPr>
            <w:tcW w:w="1214" w:type="dxa"/>
          </w:tcPr>
          <w:p w14:paraId="7CE1104E" w14:textId="77777777" w:rsidR="00350FA5" w:rsidRDefault="00350FA5" w:rsidP="00350FA5"/>
        </w:tc>
        <w:tc>
          <w:tcPr>
            <w:tcW w:w="1050" w:type="dxa"/>
          </w:tcPr>
          <w:p w14:paraId="613B7F56" w14:textId="77777777" w:rsidR="00350FA5" w:rsidRDefault="00350FA5" w:rsidP="00350FA5">
            <w:r>
              <w:t>15</w:t>
            </w:r>
          </w:p>
        </w:tc>
      </w:tr>
    </w:tbl>
    <w:p w14:paraId="50049CD8" w14:textId="77777777" w:rsidR="009849A5" w:rsidRPr="00350FA5" w:rsidRDefault="009849A5" w:rsidP="00350FA5">
      <w:pPr>
        <w:ind w:left="762" w:firstLine="0"/>
        <w:jc w:val="center"/>
        <w:rPr>
          <w:b/>
          <w:bCs/>
        </w:rPr>
      </w:pPr>
      <w:r w:rsidRPr="00350FA5">
        <w:rPr>
          <w:rFonts w:cstheme="majorBidi"/>
          <w:bCs/>
        </w:rPr>
        <w:t>Source :</w:t>
      </w:r>
      <w:r w:rsidRPr="00350FA5">
        <w:rPr>
          <w:rFonts w:cstheme="majorBidi"/>
        </w:rPr>
        <w:t xml:space="preserve"> établi par l’étudiante</w:t>
      </w:r>
    </w:p>
    <w:p w14:paraId="5C01F4F1" w14:textId="77777777" w:rsidR="004A2378" w:rsidRPr="00C518E1" w:rsidRDefault="004A2378" w:rsidP="006F6589">
      <w:pPr>
        <w:pStyle w:val="Paragraphedeliste"/>
        <w:numPr>
          <w:ilvl w:val="0"/>
          <w:numId w:val="24"/>
        </w:numPr>
        <w:rPr>
          <w:b/>
          <w:bCs/>
        </w:rPr>
      </w:pPr>
      <w:r w:rsidRPr="00C518E1">
        <w:rPr>
          <w:b/>
          <w:bCs/>
        </w:rPr>
        <w:t xml:space="preserve">Selon la fonction, </w:t>
      </w:r>
      <w:r w:rsidR="002B5F78" w:rsidRPr="00C518E1">
        <w:rPr>
          <w:b/>
          <w:bCs/>
        </w:rPr>
        <w:t>le sexe et le type de contrat :</w:t>
      </w:r>
    </w:p>
    <w:p w14:paraId="521E9FA9" w14:textId="77777777" w:rsidR="004A2378" w:rsidRDefault="004A2378" w:rsidP="00C518E1">
      <w:r w:rsidRPr="00C518E1">
        <w:t>La Cimenterie Hama Bouziane classe son travail selon le sexe, le poste et le type de contrat, comme indiqué dans le tableau suivant :</w:t>
      </w:r>
    </w:p>
    <w:p w14:paraId="7BDFF5A0" w14:textId="77777777" w:rsidR="004A2378" w:rsidRDefault="00DA1DE6" w:rsidP="00DA1DE6">
      <w:pPr>
        <w:pStyle w:val="Lgende"/>
        <w:jc w:val="center"/>
        <w:rPr>
          <w:rFonts w:ascii="Simplified Arabic" w:hAnsi="Simplified Arabic" w:cs="Simplified Arabic"/>
          <w:i w:val="0"/>
          <w:iCs w:val="0"/>
          <w:color w:val="000000" w:themeColor="text1"/>
          <w:sz w:val="24"/>
          <w:szCs w:val="24"/>
        </w:rPr>
      </w:pPr>
      <w:bookmarkStart w:id="103" w:name="_Toc200731395"/>
      <w:r w:rsidRPr="009645CF">
        <w:rPr>
          <w:rFonts w:ascii="Simplified Arabic" w:hAnsi="Simplified Arabic" w:cs="Simplified Arabic"/>
          <w:b/>
          <w:bCs/>
          <w:i w:val="0"/>
          <w:iCs w:val="0"/>
          <w:color w:val="000000" w:themeColor="text1"/>
          <w:sz w:val="24"/>
          <w:szCs w:val="24"/>
        </w:rPr>
        <w:t xml:space="preserve">Tableau  </w:t>
      </w:r>
      <w:r w:rsidRPr="009645CF">
        <w:rPr>
          <w:rFonts w:ascii="Simplified Arabic" w:hAnsi="Simplified Arabic" w:cs="Simplified Arabic"/>
          <w:b/>
          <w:bCs/>
          <w:i w:val="0"/>
          <w:iCs w:val="0"/>
          <w:color w:val="000000" w:themeColor="text1"/>
          <w:sz w:val="24"/>
          <w:szCs w:val="24"/>
        </w:rPr>
        <w:fldChar w:fldCharType="begin"/>
      </w:r>
      <w:r w:rsidRPr="009645CF">
        <w:rPr>
          <w:rFonts w:ascii="Simplified Arabic" w:hAnsi="Simplified Arabic" w:cs="Simplified Arabic"/>
          <w:b/>
          <w:bCs/>
          <w:i w:val="0"/>
          <w:iCs w:val="0"/>
          <w:color w:val="000000" w:themeColor="text1"/>
          <w:sz w:val="24"/>
          <w:szCs w:val="24"/>
        </w:rPr>
        <w:instrText xml:space="preserve"> SEQ Tableau_ \* ARABIC </w:instrText>
      </w:r>
      <w:r w:rsidRPr="009645CF">
        <w:rPr>
          <w:rFonts w:ascii="Simplified Arabic" w:hAnsi="Simplified Arabic" w:cs="Simplified Arabic"/>
          <w:b/>
          <w:bCs/>
          <w:i w:val="0"/>
          <w:iCs w:val="0"/>
          <w:color w:val="000000" w:themeColor="text1"/>
          <w:sz w:val="24"/>
          <w:szCs w:val="24"/>
        </w:rPr>
        <w:fldChar w:fldCharType="separate"/>
      </w:r>
      <w:r w:rsidR="00B55438">
        <w:rPr>
          <w:rFonts w:ascii="Simplified Arabic" w:hAnsi="Simplified Arabic" w:cs="Simplified Arabic"/>
          <w:b/>
          <w:bCs/>
          <w:i w:val="0"/>
          <w:iCs w:val="0"/>
          <w:noProof/>
          <w:color w:val="000000" w:themeColor="text1"/>
          <w:sz w:val="24"/>
          <w:szCs w:val="24"/>
        </w:rPr>
        <w:t>2</w:t>
      </w:r>
      <w:r w:rsidRPr="009645CF">
        <w:rPr>
          <w:rFonts w:ascii="Simplified Arabic" w:hAnsi="Simplified Arabic" w:cs="Simplified Arabic"/>
          <w:b/>
          <w:bCs/>
          <w:i w:val="0"/>
          <w:iCs w:val="0"/>
          <w:color w:val="000000" w:themeColor="text1"/>
          <w:sz w:val="24"/>
          <w:szCs w:val="24"/>
        </w:rPr>
        <w:fldChar w:fldCharType="end"/>
      </w:r>
      <w:r w:rsidRPr="009645CF">
        <w:rPr>
          <w:rFonts w:ascii="Simplified Arabic" w:hAnsi="Simplified Arabic" w:cs="Simplified Arabic"/>
          <w:b/>
          <w:bCs/>
          <w:i w:val="0"/>
          <w:iCs w:val="0"/>
          <w:color w:val="000000" w:themeColor="text1"/>
          <w:sz w:val="24"/>
          <w:szCs w:val="24"/>
        </w:rPr>
        <w:t xml:space="preserve"> </w:t>
      </w:r>
      <w:r w:rsidR="004A2378" w:rsidRPr="009645CF">
        <w:rPr>
          <w:rFonts w:ascii="Simplified Arabic" w:hAnsi="Simplified Arabic" w:cs="Simplified Arabic"/>
          <w:b/>
          <w:bCs/>
          <w:i w:val="0"/>
          <w:iCs w:val="0"/>
          <w:color w:val="000000" w:themeColor="text1"/>
          <w:sz w:val="24"/>
          <w:szCs w:val="24"/>
        </w:rPr>
        <w:t>:</w:t>
      </w:r>
      <w:r w:rsidR="004A2378" w:rsidRPr="009645CF">
        <w:rPr>
          <w:rFonts w:ascii="Simplified Arabic" w:hAnsi="Simplified Arabic" w:cs="Simplified Arabic"/>
          <w:i w:val="0"/>
          <w:iCs w:val="0"/>
          <w:color w:val="000000" w:themeColor="text1"/>
          <w:sz w:val="24"/>
          <w:szCs w:val="24"/>
          <w:rtl/>
        </w:rPr>
        <w:t xml:space="preserve"> </w:t>
      </w:r>
      <w:bookmarkEnd w:id="103"/>
      <w:r w:rsidR="009645CF" w:rsidRPr="009645CF">
        <w:rPr>
          <w:rFonts w:ascii="Simplified Arabic" w:hAnsi="Simplified Arabic" w:cs="Simplified Arabic"/>
          <w:i w:val="0"/>
          <w:iCs w:val="0"/>
          <w:color w:val="000000" w:themeColor="text1"/>
          <w:sz w:val="24"/>
          <w:szCs w:val="24"/>
        </w:rPr>
        <w:t>Répartition des travailleurs selon le sexe, le poste et le type de contrat</w:t>
      </w:r>
    </w:p>
    <w:tbl>
      <w:tblPr>
        <w:tblStyle w:val="Grilledutableau"/>
        <w:tblW w:w="9092" w:type="dxa"/>
        <w:tblLook w:val="04A0" w:firstRow="1" w:lastRow="0" w:firstColumn="1" w:lastColumn="0" w:noHBand="0" w:noVBand="1"/>
      </w:tblPr>
      <w:tblGrid>
        <w:gridCol w:w="1737"/>
        <w:gridCol w:w="1177"/>
        <w:gridCol w:w="1177"/>
        <w:gridCol w:w="1177"/>
        <w:gridCol w:w="1084"/>
        <w:gridCol w:w="1084"/>
        <w:gridCol w:w="1177"/>
        <w:gridCol w:w="1177"/>
      </w:tblGrid>
      <w:tr w:rsidR="009645CF" w14:paraId="2F400C7F" w14:textId="77777777" w:rsidTr="00350FA5">
        <w:tc>
          <w:tcPr>
            <w:tcW w:w="1444" w:type="dxa"/>
          </w:tcPr>
          <w:p w14:paraId="59DEF628" w14:textId="77777777" w:rsidR="009645CF" w:rsidRDefault="009645CF" w:rsidP="00350FA5">
            <w:r>
              <w:t>Poste occupé</w:t>
            </w:r>
          </w:p>
        </w:tc>
        <w:tc>
          <w:tcPr>
            <w:tcW w:w="1075" w:type="dxa"/>
          </w:tcPr>
          <w:p w14:paraId="59964042" w14:textId="77777777" w:rsidR="009645CF" w:rsidRDefault="009645CF" w:rsidP="00350FA5">
            <w:r>
              <w:t>CDD Hommes</w:t>
            </w:r>
          </w:p>
        </w:tc>
        <w:tc>
          <w:tcPr>
            <w:tcW w:w="1307" w:type="dxa"/>
          </w:tcPr>
          <w:p w14:paraId="742C1B1C" w14:textId="77777777" w:rsidR="009645CF" w:rsidRDefault="009645CF" w:rsidP="00350FA5">
            <w:r>
              <w:t>CDD Femmes</w:t>
            </w:r>
          </w:p>
        </w:tc>
        <w:tc>
          <w:tcPr>
            <w:tcW w:w="1030" w:type="dxa"/>
          </w:tcPr>
          <w:p w14:paraId="5B18FA08" w14:textId="77777777" w:rsidR="009645CF" w:rsidRDefault="009645CF" w:rsidP="00350FA5">
            <w:r>
              <w:t>Total CDD</w:t>
            </w:r>
          </w:p>
        </w:tc>
        <w:tc>
          <w:tcPr>
            <w:tcW w:w="1076" w:type="dxa"/>
          </w:tcPr>
          <w:p w14:paraId="683CDE4B" w14:textId="77777777" w:rsidR="009645CF" w:rsidRDefault="009645CF" w:rsidP="00350FA5">
            <w:r>
              <w:t>CDI Hommes</w:t>
            </w:r>
          </w:p>
        </w:tc>
        <w:tc>
          <w:tcPr>
            <w:tcW w:w="1071" w:type="dxa"/>
          </w:tcPr>
          <w:p w14:paraId="0228D7D7" w14:textId="77777777" w:rsidR="009645CF" w:rsidRDefault="009645CF" w:rsidP="00350FA5">
            <w:r>
              <w:t>CDI Femmes</w:t>
            </w:r>
          </w:p>
        </w:tc>
        <w:tc>
          <w:tcPr>
            <w:tcW w:w="1030" w:type="dxa"/>
          </w:tcPr>
          <w:p w14:paraId="73ECF87E" w14:textId="77777777" w:rsidR="009645CF" w:rsidRDefault="009645CF" w:rsidP="00350FA5">
            <w:r>
              <w:t>Total CDI</w:t>
            </w:r>
          </w:p>
        </w:tc>
        <w:tc>
          <w:tcPr>
            <w:tcW w:w="1059" w:type="dxa"/>
          </w:tcPr>
          <w:p w14:paraId="6505EC1D" w14:textId="77777777" w:rsidR="009645CF" w:rsidRDefault="009645CF" w:rsidP="00350FA5">
            <w:r>
              <w:t>Total général</w:t>
            </w:r>
          </w:p>
        </w:tc>
      </w:tr>
      <w:tr w:rsidR="009645CF" w14:paraId="6B25D0AA" w14:textId="77777777" w:rsidTr="00350FA5">
        <w:tc>
          <w:tcPr>
            <w:tcW w:w="1444" w:type="dxa"/>
          </w:tcPr>
          <w:p w14:paraId="472C368F" w14:textId="77777777" w:rsidR="009645CF" w:rsidRDefault="009645CF" w:rsidP="00350FA5">
            <w:r>
              <w:t>Technicien d'exécution</w:t>
            </w:r>
          </w:p>
        </w:tc>
        <w:tc>
          <w:tcPr>
            <w:tcW w:w="1075" w:type="dxa"/>
          </w:tcPr>
          <w:p w14:paraId="0635DE4D" w14:textId="77777777" w:rsidR="009645CF" w:rsidRDefault="009645CF" w:rsidP="00350FA5">
            <w:r>
              <w:t>46</w:t>
            </w:r>
          </w:p>
        </w:tc>
        <w:tc>
          <w:tcPr>
            <w:tcW w:w="1307" w:type="dxa"/>
          </w:tcPr>
          <w:p w14:paraId="5B9DD4FC" w14:textId="77777777" w:rsidR="009645CF" w:rsidRDefault="009645CF" w:rsidP="00350FA5">
            <w:r>
              <w:t>2</w:t>
            </w:r>
          </w:p>
        </w:tc>
        <w:tc>
          <w:tcPr>
            <w:tcW w:w="1030" w:type="dxa"/>
          </w:tcPr>
          <w:p w14:paraId="5100BD69" w14:textId="77777777" w:rsidR="009645CF" w:rsidRDefault="009645CF" w:rsidP="00350FA5">
            <w:r>
              <w:t>48</w:t>
            </w:r>
          </w:p>
        </w:tc>
        <w:tc>
          <w:tcPr>
            <w:tcW w:w="1076" w:type="dxa"/>
          </w:tcPr>
          <w:p w14:paraId="246F3445" w14:textId="77777777" w:rsidR="009645CF" w:rsidRDefault="009645CF" w:rsidP="00350FA5">
            <w:r>
              <w:t>161</w:t>
            </w:r>
          </w:p>
        </w:tc>
        <w:tc>
          <w:tcPr>
            <w:tcW w:w="1071" w:type="dxa"/>
          </w:tcPr>
          <w:p w14:paraId="59350DB6" w14:textId="77777777" w:rsidR="009645CF" w:rsidRDefault="009645CF" w:rsidP="00350FA5">
            <w:r>
              <w:t>6</w:t>
            </w:r>
          </w:p>
        </w:tc>
        <w:tc>
          <w:tcPr>
            <w:tcW w:w="1030" w:type="dxa"/>
          </w:tcPr>
          <w:p w14:paraId="635BE65E" w14:textId="77777777" w:rsidR="009645CF" w:rsidRDefault="009645CF" w:rsidP="00350FA5">
            <w:r>
              <w:t>167</w:t>
            </w:r>
          </w:p>
        </w:tc>
        <w:tc>
          <w:tcPr>
            <w:tcW w:w="1059" w:type="dxa"/>
          </w:tcPr>
          <w:p w14:paraId="57A18986" w14:textId="77777777" w:rsidR="009645CF" w:rsidRDefault="009645CF" w:rsidP="00350FA5">
            <w:r>
              <w:t>215</w:t>
            </w:r>
          </w:p>
        </w:tc>
      </w:tr>
      <w:tr w:rsidR="009645CF" w14:paraId="21A2567A" w14:textId="77777777" w:rsidTr="00350FA5">
        <w:tc>
          <w:tcPr>
            <w:tcW w:w="1444" w:type="dxa"/>
          </w:tcPr>
          <w:p w14:paraId="24C2F4AF" w14:textId="77777777" w:rsidR="009645CF" w:rsidRDefault="009645CF" w:rsidP="00350FA5">
            <w:r>
              <w:t>Ingénieur d'exécution</w:t>
            </w:r>
          </w:p>
        </w:tc>
        <w:tc>
          <w:tcPr>
            <w:tcW w:w="1075" w:type="dxa"/>
          </w:tcPr>
          <w:p w14:paraId="663198D7" w14:textId="77777777" w:rsidR="009645CF" w:rsidRDefault="009645CF" w:rsidP="00350FA5">
            <w:r>
              <w:t>33</w:t>
            </w:r>
          </w:p>
        </w:tc>
        <w:tc>
          <w:tcPr>
            <w:tcW w:w="1307" w:type="dxa"/>
          </w:tcPr>
          <w:p w14:paraId="17C163F3" w14:textId="77777777" w:rsidR="009645CF" w:rsidRDefault="009645CF" w:rsidP="00350FA5">
            <w:r>
              <w:t>0</w:t>
            </w:r>
          </w:p>
        </w:tc>
        <w:tc>
          <w:tcPr>
            <w:tcW w:w="1030" w:type="dxa"/>
          </w:tcPr>
          <w:p w14:paraId="71240DB5" w14:textId="77777777" w:rsidR="009645CF" w:rsidRDefault="009645CF" w:rsidP="00350FA5">
            <w:r>
              <w:t>33</w:t>
            </w:r>
          </w:p>
        </w:tc>
        <w:tc>
          <w:tcPr>
            <w:tcW w:w="1076" w:type="dxa"/>
          </w:tcPr>
          <w:p w14:paraId="0F2ECDF2" w14:textId="77777777" w:rsidR="009645CF" w:rsidRDefault="009645CF" w:rsidP="00350FA5">
            <w:r>
              <w:t>30</w:t>
            </w:r>
          </w:p>
        </w:tc>
        <w:tc>
          <w:tcPr>
            <w:tcW w:w="1071" w:type="dxa"/>
          </w:tcPr>
          <w:p w14:paraId="119F73B1" w14:textId="77777777" w:rsidR="009645CF" w:rsidRDefault="009645CF" w:rsidP="00350FA5">
            <w:r>
              <w:t>0</w:t>
            </w:r>
          </w:p>
        </w:tc>
        <w:tc>
          <w:tcPr>
            <w:tcW w:w="1030" w:type="dxa"/>
          </w:tcPr>
          <w:p w14:paraId="2D25F850" w14:textId="77777777" w:rsidR="009645CF" w:rsidRDefault="009645CF" w:rsidP="00350FA5">
            <w:r>
              <w:t>30</w:t>
            </w:r>
          </w:p>
        </w:tc>
        <w:tc>
          <w:tcPr>
            <w:tcW w:w="1059" w:type="dxa"/>
          </w:tcPr>
          <w:p w14:paraId="24B3D295" w14:textId="77777777" w:rsidR="009645CF" w:rsidRDefault="009645CF" w:rsidP="00350FA5">
            <w:r>
              <w:t>63</w:t>
            </w:r>
          </w:p>
        </w:tc>
      </w:tr>
      <w:tr w:rsidR="009645CF" w14:paraId="0D1BE38E" w14:textId="77777777" w:rsidTr="00350FA5">
        <w:tc>
          <w:tcPr>
            <w:tcW w:w="1444" w:type="dxa"/>
          </w:tcPr>
          <w:p w14:paraId="6BDC5092" w14:textId="77777777" w:rsidR="009645CF" w:rsidRDefault="009645CF" w:rsidP="00350FA5">
            <w:r>
              <w:t>Technicien administratif</w:t>
            </w:r>
          </w:p>
        </w:tc>
        <w:tc>
          <w:tcPr>
            <w:tcW w:w="1075" w:type="dxa"/>
          </w:tcPr>
          <w:p w14:paraId="7E0BF176" w14:textId="77777777" w:rsidR="009645CF" w:rsidRDefault="009645CF" w:rsidP="00350FA5">
            <w:r>
              <w:t>3</w:t>
            </w:r>
          </w:p>
        </w:tc>
        <w:tc>
          <w:tcPr>
            <w:tcW w:w="1307" w:type="dxa"/>
          </w:tcPr>
          <w:p w14:paraId="2B3B48F5" w14:textId="77777777" w:rsidR="009645CF" w:rsidRDefault="009645CF" w:rsidP="00350FA5">
            <w:r>
              <w:t>0</w:t>
            </w:r>
          </w:p>
        </w:tc>
        <w:tc>
          <w:tcPr>
            <w:tcW w:w="1030" w:type="dxa"/>
          </w:tcPr>
          <w:p w14:paraId="1C6ABA0B" w14:textId="77777777" w:rsidR="009645CF" w:rsidRDefault="009645CF" w:rsidP="00350FA5">
            <w:r>
              <w:t>3</w:t>
            </w:r>
          </w:p>
        </w:tc>
        <w:tc>
          <w:tcPr>
            <w:tcW w:w="1076" w:type="dxa"/>
          </w:tcPr>
          <w:p w14:paraId="45700612" w14:textId="77777777" w:rsidR="009645CF" w:rsidRDefault="009645CF" w:rsidP="00350FA5">
            <w:r>
              <w:t>3</w:t>
            </w:r>
          </w:p>
        </w:tc>
        <w:tc>
          <w:tcPr>
            <w:tcW w:w="1071" w:type="dxa"/>
          </w:tcPr>
          <w:p w14:paraId="75A5C4B7" w14:textId="77777777" w:rsidR="009645CF" w:rsidRDefault="009645CF" w:rsidP="00350FA5">
            <w:r>
              <w:t>3</w:t>
            </w:r>
          </w:p>
        </w:tc>
        <w:tc>
          <w:tcPr>
            <w:tcW w:w="1030" w:type="dxa"/>
          </w:tcPr>
          <w:p w14:paraId="73789B0F" w14:textId="77777777" w:rsidR="009645CF" w:rsidRDefault="009645CF" w:rsidP="00350FA5">
            <w:r>
              <w:t>6</w:t>
            </w:r>
          </w:p>
        </w:tc>
        <w:tc>
          <w:tcPr>
            <w:tcW w:w="1059" w:type="dxa"/>
          </w:tcPr>
          <w:p w14:paraId="74E194F1" w14:textId="77777777" w:rsidR="009645CF" w:rsidRDefault="009645CF" w:rsidP="00350FA5">
            <w:r>
              <w:t>9</w:t>
            </w:r>
          </w:p>
        </w:tc>
      </w:tr>
      <w:tr w:rsidR="009645CF" w14:paraId="676B7566" w14:textId="77777777" w:rsidTr="00350FA5">
        <w:tc>
          <w:tcPr>
            <w:tcW w:w="1444" w:type="dxa"/>
          </w:tcPr>
          <w:p w14:paraId="01F577C3" w14:textId="77777777" w:rsidR="009645CF" w:rsidRDefault="009645CF" w:rsidP="00350FA5">
            <w:r>
              <w:t>Ingénieur administratif</w:t>
            </w:r>
          </w:p>
        </w:tc>
        <w:tc>
          <w:tcPr>
            <w:tcW w:w="1075" w:type="dxa"/>
          </w:tcPr>
          <w:p w14:paraId="410017A8" w14:textId="77777777" w:rsidR="009645CF" w:rsidRDefault="009645CF" w:rsidP="00350FA5">
            <w:r>
              <w:t>1</w:t>
            </w:r>
          </w:p>
        </w:tc>
        <w:tc>
          <w:tcPr>
            <w:tcW w:w="1307" w:type="dxa"/>
          </w:tcPr>
          <w:p w14:paraId="3B985B21" w14:textId="77777777" w:rsidR="009645CF" w:rsidRDefault="009645CF" w:rsidP="00350FA5">
            <w:r>
              <w:t>0</w:t>
            </w:r>
          </w:p>
        </w:tc>
        <w:tc>
          <w:tcPr>
            <w:tcW w:w="1030" w:type="dxa"/>
          </w:tcPr>
          <w:p w14:paraId="5EECDC53" w14:textId="77777777" w:rsidR="009645CF" w:rsidRDefault="009645CF" w:rsidP="00350FA5">
            <w:r>
              <w:t>1</w:t>
            </w:r>
          </w:p>
        </w:tc>
        <w:tc>
          <w:tcPr>
            <w:tcW w:w="1076" w:type="dxa"/>
          </w:tcPr>
          <w:p w14:paraId="3FCD461A" w14:textId="77777777" w:rsidR="009645CF" w:rsidRDefault="009645CF" w:rsidP="00350FA5">
            <w:r>
              <w:t>1</w:t>
            </w:r>
          </w:p>
        </w:tc>
        <w:tc>
          <w:tcPr>
            <w:tcW w:w="1071" w:type="dxa"/>
          </w:tcPr>
          <w:p w14:paraId="41072724" w14:textId="77777777" w:rsidR="009645CF" w:rsidRDefault="009645CF" w:rsidP="00350FA5">
            <w:r>
              <w:t>1</w:t>
            </w:r>
          </w:p>
        </w:tc>
        <w:tc>
          <w:tcPr>
            <w:tcW w:w="1030" w:type="dxa"/>
          </w:tcPr>
          <w:p w14:paraId="4A7565CC" w14:textId="77777777" w:rsidR="009645CF" w:rsidRDefault="009645CF" w:rsidP="00350FA5">
            <w:r>
              <w:t>2</w:t>
            </w:r>
          </w:p>
        </w:tc>
        <w:tc>
          <w:tcPr>
            <w:tcW w:w="1059" w:type="dxa"/>
          </w:tcPr>
          <w:p w14:paraId="14CF1529" w14:textId="77777777" w:rsidR="009645CF" w:rsidRDefault="009645CF" w:rsidP="00350FA5">
            <w:r>
              <w:t>3</w:t>
            </w:r>
          </w:p>
        </w:tc>
      </w:tr>
      <w:tr w:rsidR="009645CF" w14:paraId="3EE2EDC6" w14:textId="77777777" w:rsidTr="00350FA5">
        <w:tc>
          <w:tcPr>
            <w:tcW w:w="1444" w:type="dxa"/>
          </w:tcPr>
          <w:p w14:paraId="2083AA0A" w14:textId="77777777" w:rsidR="009645CF" w:rsidRDefault="009645CF" w:rsidP="00350FA5">
            <w:r>
              <w:t>Ouvriers manuels</w:t>
            </w:r>
          </w:p>
        </w:tc>
        <w:tc>
          <w:tcPr>
            <w:tcW w:w="1075" w:type="dxa"/>
          </w:tcPr>
          <w:p w14:paraId="761F0F41" w14:textId="77777777" w:rsidR="009645CF" w:rsidRDefault="009645CF" w:rsidP="00350FA5">
            <w:r>
              <w:t>143</w:t>
            </w:r>
          </w:p>
        </w:tc>
        <w:tc>
          <w:tcPr>
            <w:tcW w:w="1307" w:type="dxa"/>
          </w:tcPr>
          <w:p w14:paraId="209937B6" w14:textId="77777777" w:rsidR="009645CF" w:rsidRDefault="009645CF" w:rsidP="00350FA5">
            <w:r>
              <w:t>0</w:t>
            </w:r>
          </w:p>
        </w:tc>
        <w:tc>
          <w:tcPr>
            <w:tcW w:w="1030" w:type="dxa"/>
          </w:tcPr>
          <w:p w14:paraId="30FB07C7" w14:textId="77777777" w:rsidR="009645CF" w:rsidRDefault="009645CF" w:rsidP="00350FA5">
            <w:r>
              <w:t>143</w:t>
            </w:r>
          </w:p>
        </w:tc>
        <w:tc>
          <w:tcPr>
            <w:tcW w:w="1076" w:type="dxa"/>
          </w:tcPr>
          <w:p w14:paraId="29661BC9" w14:textId="77777777" w:rsidR="009645CF" w:rsidRDefault="009645CF" w:rsidP="00350FA5">
            <w:r>
              <w:t>0</w:t>
            </w:r>
          </w:p>
        </w:tc>
        <w:tc>
          <w:tcPr>
            <w:tcW w:w="1071" w:type="dxa"/>
          </w:tcPr>
          <w:p w14:paraId="4D44B43A" w14:textId="77777777" w:rsidR="009645CF" w:rsidRDefault="009645CF" w:rsidP="00350FA5">
            <w:r>
              <w:t>0</w:t>
            </w:r>
          </w:p>
        </w:tc>
        <w:tc>
          <w:tcPr>
            <w:tcW w:w="1030" w:type="dxa"/>
          </w:tcPr>
          <w:p w14:paraId="5FC2F67A" w14:textId="77777777" w:rsidR="009645CF" w:rsidRDefault="009645CF" w:rsidP="00350FA5">
            <w:r>
              <w:t>0</w:t>
            </w:r>
          </w:p>
        </w:tc>
        <w:tc>
          <w:tcPr>
            <w:tcW w:w="1059" w:type="dxa"/>
          </w:tcPr>
          <w:p w14:paraId="55768541" w14:textId="77777777" w:rsidR="009645CF" w:rsidRDefault="009645CF" w:rsidP="00350FA5">
            <w:r>
              <w:t>143</w:t>
            </w:r>
          </w:p>
        </w:tc>
      </w:tr>
      <w:tr w:rsidR="009645CF" w14:paraId="36E06B12" w14:textId="77777777" w:rsidTr="00350FA5">
        <w:tc>
          <w:tcPr>
            <w:tcW w:w="1444" w:type="dxa"/>
          </w:tcPr>
          <w:p w14:paraId="22C892A2" w14:textId="77777777" w:rsidR="009645CF" w:rsidRDefault="009645CF" w:rsidP="00350FA5">
            <w:r>
              <w:t>Ouvriers sans qualification</w:t>
            </w:r>
          </w:p>
        </w:tc>
        <w:tc>
          <w:tcPr>
            <w:tcW w:w="1075" w:type="dxa"/>
          </w:tcPr>
          <w:p w14:paraId="03AE1231" w14:textId="77777777" w:rsidR="009645CF" w:rsidRDefault="009645CF" w:rsidP="00350FA5">
            <w:r>
              <w:t>80</w:t>
            </w:r>
          </w:p>
        </w:tc>
        <w:tc>
          <w:tcPr>
            <w:tcW w:w="1307" w:type="dxa"/>
          </w:tcPr>
          <w:p w14:paraId="47FCA443" w14:textId="77777777" w:rsidR="009645CF" w:rsidRDefault="009645CF" w:rsidP="00350FA5">
            <w:r>
              <w:t>0</w:t>
            </w:r>
          </w:p>
        </w:tc>
        <w:tc>
          <w:tcPr>
            <w:tcW w:w="1030" w:type="dxa"/>
          </w:tcPr>
          <w:p w14:paraId="42367C9A" w14:textId="77777777" w:rsidR="009645CF" w:rsidRDefault="009645CF" w:rsidP="00350FA5">
            <w:r>
              <w:t>80</w:t>
            </w:r>
          </w:p>
        </w:tc>
        <w:tc>
          <w:tcPr>
            <w:tcW w:w="1076" w:type="dxa"/>
          </w:tcPr>
          <w:p w14:paraId="3F56E6C1" w14:textId="77777777" w:rsidR="009645CF" w:rsidRDefault="009645CF" w:rsidP="00350FA5">
            <w:r>
              <w:t>2</w:t>
            </w:r>
          </w:p>
        </w:tc>
        <w:tc>
          <w:tcPr>
            <w:tcW w:w="1071" w:type="dxa"/>
          </w:tcPr>
          <w:p w14:paraId="03DF468B" w14:textId="77777777" w:rsidR="009645CF" w:rsidRDefault="009645CF" w:rsidP="00350FA5">
            <w:r>
              <w:t>0</w:t>
            </w:r>
          </w:p>
        </w:tc>
        <w:tc>
          <w:tcPr>
            <w:tcW w:w="1030" w:type="dxa"/>
          </w:tcPr>
          <w:p w14:paraId="27A20077" w14:textId="77777777" w:rsidR="009645CF" w:rsidRDefault="009645CF" w:rsidP="00350FA5">
            <w:r>
              <w:t>2</w:t>
            </w:r>
          </w:p>
        </w:tc>
        <w:tc>
          <w:tcPr>
            <w:tcW w:w="1059" w:type="dxa"/>
          </w:tcPr>
          <w:p w14:paraId="0CF89107" w14:textId="77777777" w:rsidR="009645CF" w:rsidRDefault="009645CF" w:rsidP="00350FA5">
            <w:r>
              <w:t>82</w:t>
            </w:r>
          </w:p>
        </w:tc>
      </w:tr>
      <w:tr w:rsidR="009645CF" w14:paraId="2CB67AFF" w14:textId="77777777" w:rsidTr="00350FA5">
        <w:tc>
          <w:tcPr>
            <w:tcW w:w="1444" w:type="dxa"/>
          </w:tcPr>
          <w:p w14:paraId="5A786DD9" w14:textId="77777777" w:rsidR="009645CF" w:rsidRDefault="009645CF" w:rsidP="00350FA5">
            <w:r>
              <w:t>Total</w:t>
            </w:r>
          </w:p>
        </w:tc>
        <w:tc>
          <w:tcPr>
            <w:tcW w:w="1075" w:type="dxa"/>
          </w:tcPr>
          <w:p w14:paraId="591B15A4" w14:textId="77777777" w:rsidR="009645CF" w:rsidRDefault="009645CF" w:rsidP="00350FA5">
            <w:r>
              <w:t>306</w:t>
            </w:r>
          </w:p>
        </w:tc>
        <w:tc>
          <w:tcPr>
            <w:tcW w:w="1307" w:type="dxa"/>
          </w:tcPr>
          <w:p w14:paraId="7F1A1F6C" w14:textId="77777777" w:rsidR="009645CF" w:rsidRDefault="009645CF" w:rsidP="00350FA5">
            <w:r>
              <w:t>2</w:t>
            </w:r>
          </w:p>
        </w:tc>
        <w:tc>
          <w:tcPr>
            <w:tcW w:w="1030" w:type="dxa"/>
          </w:tcPr>
          <w:p w14:paraId="28347330" w14:textId="77777777" w:rsidR="009645CF" w:rsidRDefault="009645CF" w:rsidP="00350FA5">
            <w:r>
              <w:t>308</w:t>
            </w:r>
          </w:p>
        </w:tc>
        <w:tc>
          <w:tcPr>
            <w:tcW w:w="1076" w:type="dxa"/>
          </w:tcPr>
          <w:p w14:paraId="7F33C323" w14:textId="77777777" w:rsidR="009645CF" w:rsidRDefault="009645CF" w:rsidP="00350FA5">
            <w:r>
              <w:t>197</w:t>
            </w:r>
          </w:p>
        </w:tc>
        <w:tc>
          <w:tcPr>
            <w:tcW w:w="1071" w:type="dxa"/>
          </w:tcPr>
          <w:p w14:paraId="7FD21996" w14:textId="77777777" w:rsidR="009645CF" w:rsidRDefault="009645CF" w:rsidP="00350FA5">
            <w:r>
              <w:t>10</w:t>
            </w:r>
          </w:p>
        </w:tc>
        <w:tc>
          <w:tcPr>
            <w:tcW w:w="1030" w:type="dxa"/>
          </w:tcPr>
          <w:p w14:paraId="3A2C83B5" w14:textId="77777777" w:rsidR="009645CF" w:rsidRDefault="009645CF" w:rsidP="00350FA5">
            <w:r>
              <w:t>207</w:t>
            </w:r>
          </w:p>
        </w:tc>
        <w:tc>
          <w:tcPr>
            <w:tcW w:w="1059" w:type="dxa"/>
          </w:tcPr>
          <w:p w14:paraId="58C5861A" w14:textId="77777777" w:rsidR="009645CF" w:rsidRDefault="009645CF" w:rsidP="00350FA5">
            <w:r>
              <w:t>515</w:t>
            </w:r>
          </w:p>
        </w:tc>
      </w:tr>
    </w:tbl>
    <w:p w14:paraId="6F996386" w14:textId="77777777" w:rsidR="009645CF" w:rsidRPr="00350FA5" w:rsidRDefault="009849A5" w:rsidP="00350FA5">
      <w:pPr>
        <w:ind w:firstLine="0"/>
        <w:jc w:val="center"/>
        <w:rPr>
          <w:b/>
          <w:bCs/>
        </w:rPr>
      </w:pPr>
      <w:r w:rsidRPr="009645CF">
        <w:rPr>
          <w:rFonts w:cstheme="majorBidi"/>
          <w:bCs/>
        </w:rPr>
        <w:t>Source :</w:t>
      </w:r>
      <w:r w:rsidRPr="009645CF">
        <w:rPr>
          <w:rFonts w:cstheme="majorBidi"/>
        </w:rPr>
        <w:t xml:space="preserve"> établi par l’étudiante</w:t>
      </w:r>
      <w:bookmarkStart w:id="104" w:name="_Toc200731396"/>
    </w:p>
    <w:p w14:paraId="6A8BF22E" w14:textId="77777777" w:rsidR="009849A5" w:rsidRPr="009849A5" w:rsidRDefault="009849A5" w:rsidP="009849A5">
      <w:pPr>
        <w:pStyle w:val="Paragraphedeliste"/>
        <w:numPr>
          <w:ilvl w:val="0"/>
          <w:numId w:val="24"/>
        </w:numPr>
        <w:rPr>
          <w:b/>
          <w:bCs/>
        </w:rPr>
      </w:pPr>
      <w:r w:rsidRPr="009849A5">
        <w:rPr>
          <w:b/>
          <w:bCs/>
        </w:rPr>
        <w:lastRenderedPageBreak/>
        <w:t>Selon le niveau de diplôme :</w:t>
      </w:r>
    </w:p>
    <w:p w14:paraId="15D6BB23" w14:textId="77777777" w:rsidR="009849A5" w:rsidRDefault="009849A5" w:rsidP="00DA1DE6">
      <w:pPr>
        <w:pStyle w:val="Lgende"/>
        <w:jc w:val="center"/>
        <w:rPr>
          <w:b/>
          <w:bCs/>
          <w:i w:val="0"/>
          <w:iCs w:val="0"/>
          <w:color w:val="000000" w:themeColor="text1"/>
          <w:sz w:val="24"/>
          <w:szCs w:val="24"/>
        </w:rPr>
      </w:pPr>
    </w:p>
    <w:p w14:paraId="69D5DAD2" w14:textId="77777777" w:rsidR="004A2378" w:rsidRPr="00DA1DE6" w:rsidRDefault="00DA1DE6" w:rsidP="00DA1DE6">
      <w:pPr>
        <w:pStyle w:val="Lgende"/>
        <w:jc w:val="center"/>
        <w:rPr>
          <w:b/>
          <w:bCs/>
          <w:i w:val="0"/>
          <w:iCs w:val="0"/>
          <w:color w:val="000000" w:themeColor="text1"/>
          <w:sz w:val="24"/>
          <w:szCs w:val="24"/>
        </w:rPr>
      </w:pPr>
      <w:r w:rsidRPr="00DA1DE6">
        <w:rPr>
          <w:b/>
          <w:bCs/>
          <w:i w:val="0"/>
          <w:iCs w:val="0"/>
          <w:color w:val="000000" w:themeColor="text1"/>
          <w:sz w:val="24"/>
          <w:szCs w:val="24"/>
        </w:rPr>
        <w:t xml:space="preserve">Tableau  </w:t>
      </w:r>
      <w:r w:rsidRPr="00DA1DE6">
        <w:rPr>
          <w:b/>
          <w:bCs/>
          <w:i w:val="0"/>
          <w:iCs w:val="0"/>
          <w:color w:val="000000" w:themeColor="text1"/>
          <w:sz w:val="24"/>
          <w:szCs w:val="24"/>
        </w:rPr>
        <w:fldChar w:fldCharType="begin"/>
      </w:r>
      <w:r w:rsidRPr="00DA1DE6">
        <w:rPr>
          <w:b/>
          <w:bCs/>
          <w:i w:val="0"/>
          <w:iCs w:val="0"/>
          <w:color w:val="000000" w:themeColor="text1"/>
          <w:sz w:val="24"/>
          <w:szCs w:val="24"/>
        </w:rPr>
        <w:instrText xml:space="preserve"> SEQ Tableau_ \* ARABIC </w:instrText>
      </w:r>
      <w:r w:rsidRPr="00DA1DE6">
        <w:rPr>
          <w:b/>
          <w:bCs/>
          <w:i w:val="0"/>
          <w:iCs w:val="0"/>
          <w:color w:val="000000" w:themeColor="text1"/>
          <w:sz w:val="24"/>
          <w:szCs w:val="24"/>
        </w:rPr>
        <w:fldChar w:fldCharType="separate"/>
      </w:r>
      <w:r w:rsidR="00B55438">
        <w:rPr>
          <w:b/>
          <w:bCs/>
          <w:i w:val="0"/>
          <w:iCs w:val="0"/>
          <w:noProof/>
          <w:color w:val="000000" w:themeColor="text1"/>
          <w:sz w:val="24"/>
          <w:szCs w:val="24"/>
        </w:rPr>
        <w:t>3</w:t>
      </w:r>
      <w:r w:rsidRPr="00DA1DE6">
        <w:rPr>
          <w:b/>
          <w:bCs/>
          <w:i w:val="0"/>
          <w:iCs w:val="0"/>
          <w:color w:val="000000" w:themeColor="text1"/>
          <w:sz w:val="24"/>
          <w:szCs w:val="24"/>
        </w:rPr>
        <w:fldChar w:fldCharType="end"/>
      </w:r>
      <w:r w:rsidR="004A2378" w:rsidRPr="00DA1DE6">
        <w:rPr>
          <w:b/>
          <w:bCs/>
          <w:i w:val="0"/>
          <w:iCs w:val="0"/>
          <w:color w:val="000000" w:themeColor="text1"/>
          <w:sz w:val="24"/>
          <w:szCs w:val="24"/>
        </w:rPr>
        <w:t xml:space="preserve"> : </w:t>
      </w:r>
      <w:r w:rsidR="004A2378" w:rsidRPr="00DA1DE6">
        <w:rPr>
          <w:i w:val="0"/>
          <w:iCs w:val="0"/>
          <w:color w:val="000000" w:themeColor="text1"/>
          <w:sz w:val="24"/>
          <w:szCs w:val="24"/>
        </w:rPr>
        <w:t>Répartition des travailleurs de la Cimenterie Hamma Bouziane selon le niveau de qualification</w:t>
      </w:r>
      <w:bookmarkEnd w:id="104"/>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3355"/>
      </w:tblGrid>
      <w:tr w:rsidR="004A2378" w:rsidRPr="002B5F78" w14:paraId="4E554852" w14:textId="77777777" w:rsidTr="002B5F78">
        <w:trPr>
          <w:trHeight w:val="505"/>
          <w:jc w:val="center"/>
        </w:trPr>
        <w:tc>
          <w:tcPr>
            <w:tcW w:w="3964" w:type="dxa"/>
          </w:tcPr>
          <w:p w14:paraId="4C389177"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Niveau</w:t>
            </w:r>
            <w:proofErr w:type="spellEnd"/>
            <w:r w:rsidRPr="002B5F78">
              <w:rPr>
                <w:rFonts w:asciiTheme="majorBidi" w:hAnsiTheme="majorBidi" w:cstheme="majorBidi"/>
                <w:b/>
                <w:bCs/>
                <w:sz w:val="24"/>
                <w:szCs w:val="24"/>
              </w:rPr>
              <w:t xml:space="preserve"> de qualification</w:t>
            </w:r>
          </w:p>
        </w:tc>
        <w:tc>
          <w:tcPr>
            <w:tcW w:w="3355" w:type="dxa"/>
          </w:tcPr>
          <w:p w14:paraId="313160A4"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Recensement</w:t>
            </w:r>
            <w:proofErr w:type="spellEnd"/>
          </w:p>
        </w:tc>
      </w:tr>
      <w:tr w:rsidR="004A2378" w:rsidRPr="002B5F78" w14:paraId="753F08E6" w14:textId="77777777" w:rsidTr="002B5F78">
        <w:trPr>
          <w:trHeight w:val="576"/>
          <w:jc w:val="center"/>
        </w:trPr>
        <w:tc>
          <w:tcPr>
            <w:tcW w:w="3964" w:type="dxa"/>
          </w:tcPr>
          <w:p w14:paraId="38C45C56"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Ingénieur</w:t>
            </w:r>
            <w:proofErr w:type="spellEnd"/>
            <w:r w:rsidRPr="002B5F78">
              <w:rPr>
                <w:rFonts w:asciiTheme="majorBidi" w:hAnsiTheme="majorBidi" w:cstheme="majorBidi"/>
                <w:b/>
                <w:bCs/>
                <w:sz w:val="24"/>
                <w:szCs w:val="24"/>
              </w:rPr>
              <w:t xml:space="preserve"> </w:t>
            </w:r>
            <w:proofErr w:type="spellStart"/>
            <w:r w:rsidRPr="002B5F78">
              <w:rPr>
                <w:rFonts w:asciiTheme="majorBidi" w:hAnsiTheme="majorBidi" w:cstheme="majorBidi"/>
                <w:b/>
                <w:bCs/>
                <w:sz w:val="24"/>
                <w:szCs w:val="24"/>
              </w:rPr>
              <w:t>d'État</w:t>
            </w:r>
            <w:proofErr w:type="spellEnd"/>
          </w:p>
        </w:tc>
        <w:tc>
          <w:tcPr>
            <w:tcW w:w="3355" w:type="dxa"/>
          </w:tcPr>
          <w:p w14:paraId="60173452"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40</w:t>
            </w:r>
          </w:p>
        </w:tc>
      </w:tr>
      <w:tr w:rsidR="004A2378" w:rsidRPr="002B5F78" w14:paraId="6C255D0F" w14:textId="77777777" w:rsidTr="002B5F78">
        <w:trPr>
          <w:trHeight w:val="572"/>
          <w:jc w:val="center"/>
        </w:trPr>
        <w:tc>
          <w:tcPr>
            <w:tcW w:w="3964" w:type="dxa"/>
          </w:tcPr>
          <w:p w14:paraId="0E455AF7"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licence</w:t>
            </w:r>
            <w:proofErr w:type="spellEnd"/>
          </w:p>
        </w:tc>
        <w:tc>
          <w:tcPr>
            <w:tcW w:w="3355" w:type="dxa"/>
          </w:tcPr>
          <w:p w14:paraId="15BF6F81"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30</w:t>
            </w:r>
          </w:p>
        </w:tc>
      </w:tr>
      <w:tr w:rsidR="004A2378" w:rsidRPr="002B5F78" w14:paraId="4AD710E9" w14:textId="77777777" w:rsidTr="002B5F78">
        <w:trPr>
          <w:trHeight w:val="577"/>
          <w:jc w:val="center"/>
        </w:trPr>
        <w:tc>
          <w:tcPr>
            <w:tcW w:w="3964" w:type="dxa"/>
          </w:tcPr>
          <w:p w14:paraId="7070074D"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r w:rsidRPr="002B5F78">
              <w:rPr>
                <w:rFonts w:asciiTheme="majorBidi" w:hAnsiTheme="majorBidi" w:cstheme="majorBidi"/>
                <w:b/>
                <w:bCs/>
                <w:sz w:val="24"/>
                <w:szCs w:val="24"/>
              </w:rPr>
              <w:t>DEUA</w:t>
            </w:r>
          </w:p>
        </w:tc>
        <w:tc>
          <w:tcPr>
            <w:tcW w:w="3355" w:type="dxa"/>
          </w:tcPr>
          <w:p w14:paraId="14D502BF"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63</w:t>
            </w:r>
          </w:p>
        </w:tc>
      </w:tr>
      <w:tr w:rsidR="004A2378" w:rsidRPr="002B5F78" w14:paraId="6820280C" w14:textId="77777777" w:rsidTr="002B5F78">
        <w:trPr>
          <w:trHeight w:val="157"/>
          <w:jc w:val="center"/>
        </w:trPr>
        <w:tc>
          <w:tcPr>
            <w:tcW w:w="3964" w:type="dxa"/>
          </w:tcPr>
          <w:p w14:paraId="37B084F9"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Technicien</w:t>
            </w:r>
            <w:proofErr w:type="spellEnd"/>
            <w:r w:rsidRPr="002B5F78">
              <w:rPr>
                <w:rFonts w:asciiTheme="majorBidi" w:hAnsiTheme="majorBidi" w:cstheme="majorBidi"/>
                <w:b/>
                <w:bCs/>
                <w:sz w:val="24"/>
                <w:szCs w:val="24"/>
              </w:rPr>
              <w:t xml:space="preserve"> supérieur</w:t>
            </w:r>
          </w:p>
          <w:p w14:paraId="09EA257E"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
        </w:tc>
        <w:tc>
          <w:tcPr>
            <w:tcW w:w="3355" w:type="dxa"/>
          </w:tcPr>
          <w:p w14:paraId="76AD0EDD"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02</w:t>
            </w:r>
          </w:p>
        </w:tc>
      </w:tr>
      <w:tr w:rsidR="004A2378" w:rsidRPr="002B5F78" w14:paraId="71A15245" w14:textId="77777777" w:rsidTr="002B5F78">
        <w:trPr>
          <w:trHeight w:val="576"/>
          <w:jc w:val="center"/>
        </w:trPr>
        <w:tc>
          <w:tcPr>
            <w:tcW w:w="3964" w:type="dxa"/>
          </w:tcPr>
          <w:p w14:paraId="34AD46A0"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technicien</w:t>
            </w:r>
            <w:proofErr w:type="spellEnd"/>
          </w:p>
        </w:tc>
        <w:tc>
          <w:tcPr>
            <w:tcW w:w="3355" w:type="dxa"/>
          </w:tcPr>
          <w:p w14:paraId="767B4209"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26</w:t>
            </w:r>
          </w:p>
        </w:tc>
      </w:tr>
      <w:tr w:rsidR="004A2378" w:rsidRPr="002B5F78" w14:paraId="49C9AB7B" w14:textId="77777777" w:rsidTr="002B5F78">
        <w:trPr>
          <w:trHeight w:val="502"/>
          <w:jc w:val="center"/>
        </w:trPr>
        <w:tc>
          <w:tcPr>
            <w:tcW w:w="3964" w:type="dxa"/>
          </w:tcPr>
          <w:p w14:paraId="54DE1CC6" w14:textId="77777777" w:rsidR="004A2378" w:rsidRPr="0063337D" w:rsidRDefault="004A2378" w:rsidP="009645CF">
            <w:pPr>
              <w:pStyle w:val="Corpsdetexte"/>
              <w:spacing w:line="276" w:lineRule="auto"/>
              <w:jc w:val="center"/>
              <w:rPr>
                <w:rFonts w:asciiTheme="majorBidi" w:hAnsiTheme="majorBidi" w:cstheme="majorBidi"/>
                <w:b/>
                <w:bCs/>
                <w:sz w:val="24"/>
                <w:szCs w:val="24"/>
                <w:lang w:val="fr-FR"/>
              </w:rPr>
            </w:pPr>
            <w:r w:rsidRPr="0063337D">
              <w:rPr>
                <w:rFonts w:asciiTheme="majorBidi" w:hAnsiTheme="majorBidi" w:cstheme="majorBidi"/>
                <w:b/>
                <w:bCs/>
                <w:sz w:val="24"/>
                <w:szCs w:val="24"/>
                <w:lang w:val="fr-FR"/>
              </w:rPr>
              <w:t>Certificat de Contrôle en Techniques Comptables</w:t>
            </w:r>
          </w:p>
        </w:tc>
        <w:tc>
          <w:tcPr>
            <w:tcW w:w="3355" w:type="dxa"/>
          </w:tcPr>
          <w:p w14:paraId="6802AD92"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1</w:t>
            </w:r>
          </w:p>
        </w:tc>
      </w:tr>
      <w:tr w:rsidR="004A2378" w:rsidRPr="002B5F78" w14:paraId="3FFE96DE" w14:textId="77777777" w:rsidTr="002B5F78">
        <w:trPr>
          <w:trHeight w:val="576"/>
          <w:jc w:val="center"/>
        </w:trPr>
        <w:tc>
          <w:tcPr>
            <w:tcW w:w="3964" w:type="dxa"/>
          </w:tcPr>
          <w:p w14:paraId="58C467AC"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Certificat</w:t>
            </w:r>
            <w:proofErr w:type="spellEnd"/>
            <w:r w:rsidRPr="002B5F78">
              <w:rPr>
                <w:rFonts w:asciiTheme="majorBidi" w:hAnsiTheme="majorBidi" w:cstheme="majorBidi"/>
                <w:b/>
                <w:bCs/>
                <w:sz w:val="24"/>
                <w:szCs w:val="24"/>
              </w:rPr>
              <w:t xml:space="preserve"> de </w:t>
            </w:r>
            <w:proofErr w:type="spellStart"/>
            <w:r w:rsidRPr="002B5F78">
              <w:rPr>
                <w:rFonts w:asciiTheme="majorBidi" w:hAnsiTheme="majorBidi" w:cstheme="majorBidi"/>
                <w:b/>
                <w:bCs/>
                <w:sz w:val="24"/>
                <w:szCs w:val="24"/>
              </w:rPr>
              <w:t>compétence</w:t>
            </w:r>
            <w:proofErr w:type="spellEnd"/>
            <w:r w:rsidRPr="002B5F78">
              <w:rPr>
                <w:rFonts w:asciiTheme="majorBidi" w:hAnsiTheme="majorBidi" w:cstheme="majorBidi"/>
                <w:b/>
                <w:bCs/>
                <w:sz w:val="24"/>
                <w:szCs w:val="24"/>
              </w:rPr>
              <w:t xml:space="preserve"> </w:t>
            </w:r>
            <w:proofErr w:type="spellStart"/>
            <w:r w:rsidRPr="002B5F78">
              <w:rPr>
                <w:rFonts w:asciiTheme="majorBidi" w:hAnsiTheme="majorBidi" w:cstheme="majorBidi"/>
                <w:b/>
                <w:bCs/>
                <w:sz w:val="24"/>
                <w:szCs w:val="24"/>
              </w:rPr>
              <w:t>professionnelle</w:t>
            </w:r>
            <w:proofErr w:type="spellEnd"/>
          </w:p>
        </w:tc>
        <w:tc>
          <w:tcPr>
            <w:tcW w:w="3355" w:type="dxa"/>
          </w:tcPr>
          <w:p w14:paraId="01CA1119"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77</w:t>
            </w:r>
          </w:p>
        </w:tc>
      </w:tr>
      <w:tr w:rsidR="004A2378" w:rsidRPr="002B5F78" w14:paraId="30568126" w14:textId="77777777" w:rsidTr="002B5F78">
        <w:trPr>
          <w:trHeight w:val="573"/>
          <w:jc w:val="center"/>
        </w:trPr>
        <w:tc>
          <w:tcPr>
            <w:tcW w:w="3964" w:type="dxa"/>
          </w:tcPr>
          <w:p w14:paraId="24EE91A1"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Niveau</w:t>
            </w:r>
            <w:proofErr w:type="spellEnd"/>
            <w:r w:rsidRPr="002B5F78">
              <w:rPr>
                <w:rFonts w:asciiTheme="majorBidi" w:hAnsiTheme="majorBidi" w:cstheme="majorBidi"/>
                <w:b/>
                <w:bCs/>
                <w:sz w:val="24"/>
                <w:szCs w:val="24"/>
              </w:rPr>
              <w:t xml:space="preserve"> </w:t>
            </w:r>
            <w:proofErr w:type="spellStart"/>
            <w:r w:rsidRPr="002B5F78">
              <w:rPr>
                <w:rFonts w:asciiTheme="majorBidi" w:hAnsiTheme="majorBidi" w:cstheme="majorBidi"/>
                <w:b/>
                <w:bCs/>
                <w:sz w:val="24"/>
                <w:szCs w:val="24"/>
              </w:rPr>
              <w:t>secondaire</w:t>
            </w:r>
            <w:proofErr w:type="spellEnd"/>
          </w:p>
          <w:p w14:paraId="6F5582D6"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
        </w:tc>
        <w:tc>
          <w:tcPr>
            <w:tcW w:w="3355" w:type="dxa"/>
          </w:tcPr>
          <w:p w14:paraId="3E89322B"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14</w:t>
            </w:r>
          </w:p>
        </w:tc>
      </w:tr>
      <w:tr w:rsidR="004A2378" w:rsidRPr="002B5F78" w14:paraId="63EFF70F" w14:textId="77777777" w:rsidTr="002B5F78">
        <w:trPr>
          <w:trHeight w:val="576"/>
          <w:jc w:val="center"/>
        </w:trPr>
        <w:tc>
          <w:tcPr>
            <w:tcW w:w="3964" w:type="dxa"/>
          </w:tcPr>
          <w:p w14:paraId="01A56D5E"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Niveau</w:t>
            </w:r>
            <w:proofErr w:type="spellEnd"/>
            <w:r w:rsidRPr="002B5F78">
              <w:rPr>
                <w:rFonts w:asciiTheme="majorBidi" w:hAnsiTheme="majorBidi" w:cstheme="majorBidi"/>
                <w:b/>
                <w:bCs/>
                <w:sz w:val="24"/>
                <w:szCs w:val="24"/>
              </w:rPr>
              <w:t xml:space="preserve"> </w:t>
            </w:r>
            <w:proofErr w:type="spellStart"/>
            <w:r w:rsidRPr="002B5F78">
              <w:rPr>
                <w:rFonts w:asciiTheme="majorBidi" w:hAnsiTheme="majorBidi" w:cstheme="majorBidi"/>
                <w:b/>
                <w:bCs/>
                <w:sz w:val="24"/>
                <w:szCs w:val="24"/>
              </w:rPr>
              <w:t>moyen</w:t>
            </w:r>
            <w:proofErr w:type="spellEnd"/>
            <w:r w:rsidRPr="002B5F78">
              <w:rPr>
                <w:rFonts w:asciiTheme="majorBidi" w:hAnsiTheme="majorBidi" w:cstheme="majorBidi"/>
                <w:b/>
                <w:bCs/>
                <w:sz w:val="24"/>
                <w:szCs w:val="24"/>
              </w:rPr>
              <w:t xml:space="preserve"> (collège)</w:t>
            </w:r>
          </w:p>
          <w:p w14:paraId="42616B77"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
        </w:tc>
        <w:tc>
          <w:tcPr>
            <w:tcW w:w="3355" w:type="dxa"/>
          </w:tcPr>
          <w:p w14:paraId="2E64968A"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13</w:t>
            </w:r>
          </w:p>
        </w:tc>
      </w:tr>
      <w:tr w:rsidR="004A2378" w:rsidRPr="002B5F78" w14:paraId="3648F38E" w14:textId="77777777" w:rsidTr="002B5F78">
        <w:trPr>
          <w:trHeight w:val="577"/>
          <w:jc w:val="center"/>
        </w:trPr>
        <w:tc>
          <w:tcPr>
            <w:tcW w:w="3964" w:type="dxa"/>
          </w:tcPr>
          <w:p w14:paraId="07E5ECDE"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Niveau</w:t>
            </w:r>
            <w:proofErr w:type="spellEnd"/>
            <w:r w:rsidRPr="002B5F78">
              <w:rPr>
                <w:rFonts w:asciiTheme="majorBidi" w:hAnsiTheme="majorBidi" w:cstheme="majorBidi"/>
                <w:b/>
                <w:bCs/>
                <w:sz w:val="24"/>
                <w:szCs w:val="24"/>
              </w:rPr>
              <w:t xml:space="preserve"> </w:t>
            </w:r>
            <w:proofErr w:type="spellStart"/>
            <w:r w:rsidRPr="002B5F78">
              <w:rPr>
                <w:rFonts w:asciiTheme="majorBidi" w:hAnsiTheme="majorBidi" w:cstheme="majorBidi"/>
                <w:b/>
                <w:bCs/>
                <w:sz w:val="24"/>
                <w:szCs w:val="24"/>
              </w:rPr>
              <w:t>primaire</w:t>
            </w:r>
            <w:proofErr w:type="spellEnd"/>
          </w:p>
          <w:p w14:paraId="1ABCC223"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
        </w:tc>
        <w:tc>
          <w:tcPr>
            <w:tcW w:w="3355" w:type="dxa"/>
          </w:tcPr>
          <w:p w14:paraId="5670891D"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4</w:t>
            </w:r>
          </w:p>
        </w:tc>
      </w:tr>
      <w:tr w:rsidR="004A2378" w:rsidRPr="002B5F78" w14:paraId="22C91623" w14:textId="77777777" w:rsidTr="002B5F78">
        <w:trPr>
          <w:trHeight w:val="572"/>
          <w:jc w:val="center"/>
        </w:trPr>
        <w:tc>
          <w:tcPr>
            <w:tcW w:w="3964" w:type="dxa"/>
          </w:tcPr>
          <w:p w14:paraId="27B45625"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proofErr w:type="spellStart"/>
            <w:r w:rsidRPr="002B5F78">
              <w:rPr>
                <w:rFonts w:asciiTheme="majorBidi" w:hAnsiTheme="majorBidi" w:cstheme="majorBidi"/>
                <w:b/>
                <w:bCs/>
                <w:sz w:val="24"/>
                <w:szCs w:val="24"/>
              </w:rPr>
              <w:t>autre</w:t>
            </w:r>
            <w:proofErr w:type="spellEnd"/>
          </w:p>
        </w:tc>
        <w:tc>
          <w:tcPr>
            <w:tcW w:w="3355" w:type="dxa"/>
          </w:tcPr>
          <w:p w14:paraId="4C598ED3"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44</w:t>
            </w:r>
          </w:p>
        </w:tc>
      </w:tr>
      <w:tr w:rsidR="004A2378" w:rsidRPr="002B5F78" w14:paraId="41AEE8BE" w14:textId="77777777" w:rsidTr="002B5F78">
        <w:trPr>
          <w:trHeight w:val="576"/>
          <w:jc w:val="center"/>
        </w:trPr>
        <w:tc>
          <w:tcPr>
            <w:tcW w:w="3964" w:type="dxa"/>
          </w:tcPr>
          <w:p w14:paraId="1762FC42" w14:textId="77777777" w:rsidR="004A2378" w:rsidRPr="002B5F78" w:rsidRDefault="004A2378" w:rsidP="009645CF">
            <w:pPr>
              <w:pStyle w:val="Corpsdetexte"/>
              <w:spacing w:line="276" w:lineRule="auto"/>
              <w:jc w:val="center"/>
              <w:rPr>
                <w:rFonts w:asciiTheme="majorBidi" w:hAnsiTheme="majorBidi" w:cstheme="majorBidi"/>
                <w:b/>
                <w:bCs/>
                <w:sz w:val="24"/>
                <w:szCs w:val="24"/>
              </w:rPr>
            </w:pPr>
            <w:r w:rsidRPr="002B5F78">
              <w:rPr>
                <w:rFonts w:asciiTheme="majorBidi" w:hAnsiTheme="majorBidi" w:cstheme="majorBidi"/>
                <w:b/>
                <w:bCs/>
                <w:sz w:val="24"/>
                <w:szCs w:val="24"/>
              </w:rPr>
              <w:t>total</w:t>
            </w:r>
          </w:p>
        </w:tc>
        <w:tc>
          <w:tcPr>
            <w:tcW w:w="3355" w:type="dxa"/>
          </w:tcPr>
          <w:p w14:paraId="4B7424A7" w14:textId="77777777" w:rsidR="004A2378" w:rsidRPr="002B5F78" w:rsidRDefault="004A2378" w:rsidP="009645CF">
            <w:pPr>
              <w:pStyle w:val="Corpsdetexte"/>
              <w:spacing w:line="276" w:lineRule="auto"/>
              <w:jc w:val="center"/>
              <w:rPr>
                <w:rFonts w:asciiTheme="majorBidi" w:hAnsiTheme="majorBidi" w:cstheme="majorBidi"/>
                <w:sz w:val="24"/>
                <w:szCs w:val="24"/>
              </w:rPr>
            </w:pPr>
            <w:r w:rsidRPr="002B5F78">
              <w:rPr>
                <w:rFonts w:asciiTheme="majorBidi" w:hAnsiTheme="majorBidi" w:cstheme="majorBidi"/>
                <w:sz w:val="24"/>
                <w:szCs w:val="24"/>
              </w:rPr>
              <w:t>434</w:t>
            </w:r>
          </w:p>
        </w:tc>
      </w:tr>
    </w:tbl>
    <w:p w14:paraId="6E23A533" w14:textId="77777777" w:rsidR="009645CF" w:rsidRPr="009849A5" w:rsidRDefault="009645CF" w:rsidP="009645CF">
      <w:pPr>
        <w:jc w:val="center"/>
        <w:rPr>
          <w:b/>
          <w:bCs/>
        </w:rPr>
      </w:pPr>
      <w:r w:rsidRPr="009645CF">
        <w:rPr>
          <w:rFonts w:cstheme="majorBidi"/>
          <w:bCs/>
        </w:rPr>
        <w:t>Source :</w:t>
      </w:r>
      <w:r w:rsidRPr="009645CF">
        <w:rPr>
          <w:rFonts w:cstheme="majorBidi"/>
        </w:rPr>
        <w:t xml:space="preserve"> établi par l’étudiante</w:t>
      </w:r>
    </w:p>
    <w:p w14:paraId="6885901C" w14:textId="77777777" w:rsidR="004A2378" w:rsidRPr="004A2378" w:rsidRDefault="004A2378" w:rsidP="004A2378">
      <w:pPr>
        <w:rPr>
          <w:position w:val="1"/>
        </w:rPr>
        <w:sectPr w:rsidR="004A2378" w:rsidRPr="004A2378" w:rsidSect="00ED7F32">
          <w:headerReference w:type="default" r:id="rId33"/>
          <w:footerReference w:type="default" r:id="rId34"/>
          <w:type w:val="continuous"/>
          <w:pgSz w:w="11910" w:h="16840"/>
          <w:pgMar w:top="1417" w:right="1417" w:bottom="1417" w:left="1417" w:header="706" w:footer="590" w:gutter="0"/>
          <w:cols w:space="720"/>
        </w:sectPr>
      </w:pPr>
    </w:p>
    <w:p w14:paraId="66F6624E" w14:textId="77777777" w:rsidR="00612506" w:rsidRDefault="00612506" w:rsidP="002B5F78">
      <w:pPr>
        <w:rPr>
          <w:b/>
          <w:bCs/>
        </w:rPr>
      </w:pPr>
    </w:p>
    <w:p w14:paraId="152625E7" w14:textId="77777777" w:rsidR="00612506" w:rsidRDefault="00612506" w:rsidP="002B5F78">
      <w:pPr>
        <w:rPr>
          <w:b/>
          <w:bCs/>
        </w:rPr>
      </w:pPr>
    </w:p>
    <w:p w14:paraId="7388C10B" w14:textId="77777777" w:rsidR="00612506" w:rsidRDefault="00612506" w:rsidP="002B5F78">
      <w:pPr>
        <w:rPr>
          <w:b/>
          <w:bCs/>
        </w:rPr>
      </w:pPr>
    </w:p>
    <w:p w14:paraId="6062B0B1" w14:textId="77777777" w:rsidR="00612506" w:rsidRDefault="00612506" w:rsidP="00DA1DE6">
      <w:pPr>
        <w:ind w:firstLine="0"/>
        <w:rPr>
          <w:b/>
          <w:bCs/>
        </w:rPr>
      </w:pPr>
    </w:p>
    <w:p w14:paraId="45214D25" w14:textId="77777777" w:rsidR="009A4AA8" w:rsidRDefault="009A4AA8" w:rsidP="00612506">
      <w:pPr>
        <w:pStyle w:val="Citationintense"/>
        <w:framePr w:wrap="auto" w:vAnchor="margin" w:yAlign="inline"/>
        <w:ind w:left="0" w:firstLine="0"/>
      </w:pPr>
    </w:p>
    <w:p w14:paraId="29994BED" w14:textId="77777777" w:rsidR="004A2378" w:rsidRPr="00C518E1" w:rsidRDefault="004A2378" w:rsidP="0008376E">
      <w:pPr>
        <w:pStyle w:val="Titre1"/>
        <w:numPr>
          <w:ilvl w:val="0"/>
          <w:numId w:val="20"/>
        </w:numPr>
      </w:pPr>
      <w:bookmarkStart w:id="105" w:name="_Toc200825449"/>
      <w:r w:rsidRPr="002C7E4A">
        <w:lastRenderedPageBreak/>
        <w:t>La structure organisationnelle de la cimenterie Hamma Bouziane</w:t>
      </w:r>
      <w:bookmarkEnd w:id="105"/>
    </w:p>
    <w:p w14:paraId="79028183" w14:textId="77777777" w:rsidR="004A2378" w:rsidRDefault="004A2378" w:rsidP="002B5F78">
      <w:r w:rsidRPr="002B5F78">
        <w:t xml:space="preserve">La figure suivante représente la structure organisationnelle de la Société Cimenterie Hama Bouziane </w:t>
      </w:r>
    </w:p>
    <w:p w14:paraId="702F6431" w14:textId="77777777" w:rsidR="002B5F78" w:rsidRDefault="002B5F78" w:rsidP="002B5F78"/>
    <w:p w14:paraId="65239154" w14:textId="77777777" w:rsidR="002B5F78" w:rsidRDefault="002B5F78" w:rsidP="002B5F78"/>
    <w:p w14:paraId="208B2227" w14:textId="77777777" w:rsidR="002B5F78" w:rsidRDefault="002B5F78" w:rsidP="002B5F78"/>
    <w:p w14:paraId="14A9F575" w14:textId="77777777" w:rsidR="002B5F78" w:rsidRDefault="002B5F78" w:rsidP="002B5F78"/>
    <w:p w14:paraId="573A4153" w14:textId="77777777" w:rsidR="002B5F78" w:rsidRDefault="002B5F78" w:rsidP="002B5F78"/>
    <w:p w14:paraId="70E8F35A" w14:textId="77777777" w:rsidR="002B5F78" w:rsidRDefault="002B5F78" w:rsidP="002B5F78"/>
    <w:p w14:paraId="33CCBA9C" w14:textId="77777777" w:rsidR="002B5F78" w:rsidRDefault="002B5F78" w:rsidP="002B5F78"/>
    <w:p w14:paraId="501FB056" w14:textId="77777777" w:rsidR="002B5F78" w:rsidRDefault="002B5F78" w:rsidP="002B5F78"/>
    <w:p w14:paraId="6ABCBFE3" w14:textId="77777777" w:rsidR="002B5F78" w:rsidRDefault="002B5F78" w:rsidP="002B5F78"/>
    <w:p w14:paraId="661A4FD7" w14:textId="77777777" w:rsidR="002B5F78" w:rsidRDefault="002B5F78" w:rsidP="002B5F78"/>
    <w:p w14:paraId="1A75C5EC" w14:textId="77777777" w:rsidR="002B5F78" w:rsidRPr="002B5F78" w:rsidRDefault="002B5F78" w:rsidP="002B5F78"/>
    <w:p w14:paraId="3336A7E8" w14:textId="77777777" w:rsidR="004A2378" w:rsidRPr="004A2378" w:rsidRDefault="004A2378" w:rsidP="004A2378">
      <w:pPr>
        <w:sectPr w:rsidR="004A2378" w:rsidRPr="004A2378" w:rsidSect="00ED7F32">
          <w:type w:val="continuous"/>
          <w:pgSz w:w="11910" w:h="16840"/>
          <w:pgMar w:top="1417" w:right="1417" w:bottom="1417" w:left="1417" w:header="706" w:footer="590" w:gutter="0"/>
          <w:cols w:space="720"/>
        </w:sectPr>
      </w:pPr>
    </w:p>
    <w:p w14:paraId="52D43976" w14:textId="77777777" w:rsidR="002B5F78" w:rsidRPr="00612506" w:rsidRDefault="00612506" w:rsidP="00612506">
      <w:pPr>
        <w:pStyle w:val="Lgende"/>
        <w:rPr>
          <w:b/>
          <w:bCs/>
          <w:i w:val="0"/>
          <w:iCs w:val="0"/>
          <w:color w:val="000000" w:themeColor="text1"/>
          <w:sz w:val="24"/>
          <w:szCs w:val="24"/>
        </w:rPr>
      </w:pPr>
      <w:bookmarkStart w:id="106" w:name="_Toc200731388"/>
      <w:r w:rsidRPr="00612506">
        <w:rPr>
          <w:b/>
          <w:bCs/>
          <w:i w:val="0"/>
          <w:iCs w:val="0"/>
          <w:color w:val="000000" w:themeColor="text1"/>
          <w:sz w:val="24"/>
          <w:szCs w:val="24"/>
        </w:rPr>
        <w:lastRenderedPageBreak/>
        <w:t xml:space="preserve">Figure </w:t>
      </w:r>
      <w:r w:rsidRPr="00612506">
        <w:rPr>
          <w:b/>
          <w:bCs/>
          <w:i w:val="0"/>
          <w:iCs w:val="0"/>
          <w:color w:val="000000" w:themeColor="text1"/>
          <w:sz w:val="24"/>
          <w:szCs w:val="24"/>
        </w:rPr>
        <w:fldChar w:fldCharType="begin"/>
      </w:r>
      <w:r w:rsidRPr="00612506">
        <w:rPr>
          <w:b/>
          <w:bCs/>
          <w:i w:val="0"/>
          <w:iCs w:val="0"/>
          <w:color w:val="000000" w:themeColor="text1"/>
          <w:sz w:val="24"/>
          <w:szCs w:val="24"/>
        </w:rPr>
        <w:instrText xml:space="preserve"> SEQ Figure \* ARABIC </w:instrText>
      </w:r>
      <w:r w:rsidRPr="00612506">
        <w:rPr>
          <w:b/>
          <w:bCs/>
          <w:i w:val="0"/>
          <w:iCs w:val="0"/>
          <w:color w:val="000000" w:themeColor="text1"/>
          <w:sz w:val="24"/>
          <w:szCs w:val="24"/>
        </w:rPr>
        <w:fldChar w:fldCharType="separate"/>
      </w:r>
      <w:r w:rsidR="00B55438">
        <w:rPr>
          <w:b/>
          <w:bCs/>
          <w:i w:val="0"/>
          <w:iCs w:val="0"/>
          <w:noProof/>
          <w:color w:val="000000" w:themeColor="text1"/>
          <w:sz w:val="24"/>
          <w:szCs w:val="24"/>
        </w:rPr>
        <w:t>9</w:t>
      </w:r>
      <w:r w:rsidRPr="00612506">
        <w:rPr>
          <w:b/>
          <w:bCs/>
          <w:i w:val="0"/>
          <w:iCs w:val="0"/>
          <w:color w:val="000000" w:themeColor="text1"/>
          <w:sz w:val="24"/>
          <w:szCs w:val="24"/>
        </w:rPr>
        <w:fldChar w:fldCharType="end"/>
      </w:r>
      <w:r w:rsidRPr="00612506">
        <w:rPr>
          <w:b/>
          <w:bCs/>
          <w:i w:val="0"/>
          <w:iCs w:val="0"/>
          <w:color w:val="000000" w:themeColor="text1"/>
          <w:sz w:val="24"/>
          <w:szCs w:val="24"/>
        </w:rPr>
        <w:t xml:space="preserve"> </w:t>
      </w:r>
      <w:r w:rsidR="002B5F78" w:rsidRPr="00612506">
        <w:rPr>
          <w:b/>
          <w:bCs/>
          <w:i w:val="0"/>
          <w:iCs w:val="0"/>
          <w:color w:val="000000" w:themeColor="text1"/>
          <w:sz w:val="24"/>
          <w:szCs w:val="24"/>
        </w:rPr>
        <w:t xml:space="preserve"> : </w:t>
      </w:r>
      <w:r w:rsidR="002B5F78" w:rsidRPr="00612506">
        <w:rPr>
          <w:i w:val="0"/>
          <w:iCs w:val="0"/>
          <w:color w:val="000000" w:themeColor="text1"/>
          <w:sz w:val="24"/>
          <w:szCs w:val="24"/>
        </w:rPr>
        <w:t>La structure organisationnelle de la Cimenterie Hama Bouziane</w:t>
      </w:r>
      <w:bookmarkEnd w:id="106"/>
    </w:p>
    <w:p w14:paraId="32AD36F7" w14:textId="77777777" w:rsidR="004A2378" w:rsidRDefault="004A2378" w:rsidP="002B5F78">
      <w:pPr>
        <w:ind w:left="-709"/>
        <w:rPr>
          <w:b/>
        </w:rPr>
      </w:pPr>
      <w:r w:rsidRPr="004A2378">
        <w:rPr>
          <w:noProof/>
          <w:sz w:val="36"/>
          <w:szCs w:val="36"/>
          <w:lang w:eastAsia="fr-FR"/>
        </w:rPr>
        <w:drawing>
          <wp:inline distT="0" distB="0" distL="0" distR="0" wp14:anchorId="52C20F0A" wp14:editId="79C7D11D">
            <wp:extent cx="9467850" cy="4774019"/>
            <wp:effectExtent l="12700" t="0" r="6350" b="0"/>
            <wp:docPr id="106"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r w:rsidRPr="002B5F78">
        <w:t>Source : Service Utilisateurs, Cimenterie Hamma Bouziane</w:t>
      </w:r>
    </w:p>
    <w:p w14:paraId="3A226611" w14:textId="77777777" w:rsidR="002B5F78" w:rsidRDefault="002B5F78" w:rsidP="002B5F78">
      <w:pPr>
        <w:rPr>
          <w:b/>
        </w:rPr>
        <w:sectPr w:rsidR="002B5F78" w:rsidSect="00324287">
          <w:headerReference w:type="default" r:id="rId40"/>
          <w:footerReference w:type="default" r:id="rId41"/>
          <w:type w:val="continuous"/>
          <w:pgSz w:w="16840" w:h="11910" w:orient="landscape"/>
          <w:pgMar w:top="1417" w:right="1417" w:bottom="1417" w:left="1417" w:header="706" w:footer="592" w:gutter="0"/>
          <w:cols w:space="720"/>
          <w:docGrid w:linePitch="326"/>
        </w:sectPr>
      </w:pPr>
    </w:p>
    <w:tbl>
      <w:tblPr>
        <w:tblStyle w:val="TableNormal"/>
        <w:tblW w:w="0" w:type="auto"/>
        <w:tblInd w:w="141" w:type="dxa"/>
        <w:tblLayout w:type="fixed"/>
        <w:tblLook w:val="01E0" w:firstRow="1" w:lastRow="1" w:firstColumn="1" w:lastColumn="1" w:noHBand="0" w:noVBand="0"/>
      </w:tblPr>
      <w:tblGrid>
        <w:gridCol w:w="8885"/>
        <w:gridCol w:w="303"/>
      </w:tblGrid>
      <w:tr w:rsidR="004A2378" w:rsidRPr="002B5F78" w14:paraId="669E9105" w14:textId="77777777">
        <w:trPr>
          <w:trHeight w:val="752"/>
        </w:trPr>
        <w:tc>
          <w:tcPr>
            <w:tcW w:w="8885" w:type="dxa"/>
          </w:tcPr>
          <w:p w14:paraId="54B266D4" w14:textId="77777777" w:rsidR="004A2378" w:rsidRPr="002B5F78" w:rsidRDefault="004A2378" w:rsidP="002B5F78">
            <w:pPr>
              <w:pStyle w:val="Corpsdetexte"/>
              <w:rPr>
                <w:rFonts w:asciiTheme="majorBidi" w:hAnsiTheme="majorBidi" w:cstheme="majorBidi"/>
                <w:sz w:val="24"/>
                <w:szCs w:val="24"/>
                <w:lang w:val="fr-FR"/>
              </w:rPr>
            </w:pPr>
          </w:p>
          <w:p w14:paraId="5B1FA5E3" w14:textId="77777777" w:rsidR="004A2378" w:rsidRPr="002B5F78" w:rsidRDefault="004A2378" w:rsidP="002B5F78">
            <w:pPr>
              <w:pStyle w:val="Corpsdetexte"/>
              <w:rPr>
                <w:rFonts w:asciiTheme="majorBidi" w:hAnsiTheme="majorBidi" w:cstheme="majorBidi"/>
                <w:sz w:val="24"/>
                <w:szCs w:val="24"/>
                <w:lang w:val="fr-FR"/>
              </w:rPr>
            </w:pPr>
            <w:r w:rsidRPr="002B5F78">
              <w:rPr>
                <w:rFonts w:asciiTheme="majorBidi" w:hAnsiTheme="majorBidi" w:cstheme="majorBidi"/>
                <w:sz w:val="24"/>
                <w:szCs w:val="24"/>
                <w:lang w:val="fr-FR"/>
              </w:rPr>
              <w:t>De la figure</w:t>
            </w:r>
            <w:r w:rsidR="009645CF">
              <w:rPr>
                <w:rFonts w:asciiTheme="majorBidi" w:hAnsiTheme="majorBidi" w:cstheme="majorBidi"/>
                <w:sz w:val="24"/>
                <w:szCs w:val="24"/>
                <w:lang w:val="fr-FR"/>
              </w:rPr>
              <w:t xml:space="preserve"> 9 </w:t>
            </w:r>
            <w:r w:rsidRPr="002B5F78">
              <w:rPr>
                <w:rFonts w:asciiTheme="majorBidi" w:hAnsiTheme="majorBidi" w:cstheme="majorBidi"/>
                <w:sz w:val="24"/>
                <w:szCs w:val="24"/>
                <w:lang w:val="fr-FR"/>
              </w:rPr>
              <w:t>, il ressort clairement que la structure organisationnelle de l’entreprise a été établie selon la structure fonctionnelle, et se compose de</w:t>
            </w:r>
            <w:r w:rsidRPr="002B5F78">
              <w:rPr>
                <w:rFonts w:asciiTheme="majorBidi" w:hAnsiTheme="majorBidi" w:cstheme="majorBidi"/>
                <w:sz w:val="24"/>
                <w:szCs w:val="24"/>
                <w:rtl/>
              </w:rPr>
              <w:t xml:space="preserve"> :</w:t>
            </w:r>
          </w:p>
          <w:p w14:paraId="682BCB41" w14:textId="77777777" w:rsidR="004A2378" w:rsidRPr="002B5F78" w:rsidRDefault="004A2378" w:rsidP="002B5F78">
            <w:pPr>
              <w:pStyle w:val="Corpsdetexte"/>
              <w:rPr>
                <w:rFonts w:asciiTheme="majorBidi" w:hAnsiTheme="majorBidi" w:cstheme="majorBidi"/>
                <w:sz w:val="24"/>
                <w:szCs w:val="24"/>
                <w:lang w:val="fr-FR"/>
              </w:rPr>
            </w:pPr>
          </w:p>
        </w:tc>
        <w:tc>
          <w:tcPr>
            <w:tcW w:w="303" w:type="dxa"/>
          </w:tcPr>
          <w:p w14:paraId="73217BFD" w14:textId="77777777" w:rsidR="004A2378" w:rsidRPr="002B5F78" w:rsidRDefault="004A2378" w:rsidP="002B5F78">
            <w:pPr>
              <w:pStyle w:val="Corpsdetexte"/>
              <w:rPr>
                <w:rFonts w:asciiTheme="majorBidi" w:hAnsiTheme="majorBidi" w:cstheme="majorBidi"/>
                <w:sz w:val="24"/>
                <w:szCs w:val="24"/>
                <w:lang w:val="fr-FR"/>
              </w:rPr>
            </w:pPr>
          </w:p>
        </w:tc>
      </w:tr>
    </w:tbl>
    <w:p w14:paraId="6C2E4D3F" w14:textId="77777777" w:rsidR="004A2378" w:rsidRPr="004A2378" w:rsidRDefault="004A2378" w:rsidP="006F6589">
      <w:pPr>
        <w:pStyle w:val="Titre1"/>
        <w:numPr>
          <w:ilvl w:val="0"/>
          <w:numId w:val="25"/>
        </w:numPr>
      </w:pPr>
      <w:bookmarkStart w:id="107" w:name="_Toc200825450"/>
      <w:r w:rsidRPr="004A2378">
        <w:t>Analyse de l’organigramme :</w:t>
      </w:r>
      <w:bookmarkEnd w:id="107"/>
    </w:p>
    <w:p w14:paraId="47566153" w14:textId="77777777" w:rsidR="004A2378" w:rsidRPr="004A2378" w:rsidRDefault="004A2378" w:rsidP="004A2378">
      <w:r w:rsidRPr="004A2378">
        <w:t xml:space="preserve">L’organigramme (figure </w:t>
      </w:r>
      <w:r w:rsidR="009645CF">
        <w:t>9</w:t>
      </w:r>
      <w:r w:rsidRPr="004A2378">
        <w:t>) montre que la structure de l’entreprise repose sur</w:t>
      </w:r>
      <w:r w:rsidRPr="004A2378">
        <w:rPr>
          <w:rStyle w:val="apple-converted-space"/>
          <w:rFonts w:cstheme="majorBidi"/>
          <w:color w:val="222222"/>
        </w:rPr>
        <w:t> </w:t>
      </w:r>
      <w:r w:rsidRPr="004A2378">
        <w:rPr>
          <w:rStyle w:val="lev"/>
          <w:rFonts w:cstheme="majorBidi"/>
          <w:color w:val="222222"/>
        </w:rPr>
        <w:t>une organisation fonctionnelle</w:t>
      </w:r>
      <w:r w:rsidRPr="004A2378">
        <w:t>, structurée comme suit :</w:t>
      </w:r>
    </w:p>
    <w:p w14:paraId="57E0754F" w14:textId="77777777" w:rsidR="004A2378" w:rsidRPr="004A2378" w:rsidRDefault="004A2378" w:rsidP="004A2378">
      <w:r w:rsidRPr="004A2378">
        <w:rPr>
          <w:rStyle w:val="lev"/>
          <w:rFonts w:cstheme="majorBidi"/>
          <w:color w:val="222222"/>
        </w:rPr>
        <w:t>Directeur de l’unité</w:t>
      </w:r>
    </w:p>
    <w:p w14:paraId="59012E77" w14:textId="77777777" w:rsidR="004A2378" w:rsidRPr="004A2378" w:rsidRDefault="004A2378" w:rsidP="006F6589">
      <w:pPr>
        <w:pStyle w:val="Paragraphedeliste"/>
        <w:numPr>
          <w:ilvl w:val="0"/>
          <w:numId w:val="26"/>
        </w:numPr>
      </w:pPr>
      <w:r w:rsidRPr="004A2378">
        <w:t>Supervise la coordination générale entre les différentes directions.</w:t>
      </w:r>
    </w:p>
    <w:p w14:paraId="1D60721C" w14:textId="77777777" w:rsidR="004A2378" w:rsidRPr="004A2378" w:rsidRDefault="004A2378" w:rsidP="006F6589">
      <w:pPr>
        <w:pStyle w:val="Paragraphedeliste"/>
        <w:numPr>
          <w:ilvl w:val="0"/>
          <w:numId w:val="26"/>
        </w:numPr>
      </w:pPr>
      <w:r w:rsidRPr="004A2378">
        <w:t>Définit la politique qualité et veille à la mise en œuvre des moyens nécessaires à sa réalisation.</w:t>
      </w:r>
    </w:p>
    <w:p w14:paraId="18065EB6" w14:textId="77777777" w:rsidR="004A2378" w:rsidRPr="004A2378" w:rsidRDefault="004A2378" w:rsidP="004A2378">
      <w:r w:rsidRPr="004A2378">
        <w:rPr>
          <w:rStyle w:val="lev"/>
          <w:rFonts w:cstheme="majorBidi"/>
          <w:color w:val="222222"/>
        </w:rPr>
        <w:t>Responsable du système de management de la qualité</w:t>
      </w:r>
    </w:p>
    <w:p w14:paraId="476C2AFB" w14:textId="77777777" w:rsidR="004A2378" w:rsidRPr="004A2378" w:rsidRDefault="004A2378" w:rsidP="006F6589">
      <w:pPr>
        <w:pStyle w:val="Paragraphedeliste"/>
        <w:numPr>
          <w:ilvl w:val="0"/>
          <w:numId w:val="27"/>
        </w:numPr>
      </w:pPr>
      <w:r w:rsidRPr="004A2378">
        <w:t>Met en place et applique le système qualité.</w:t>
      </w:r>
    </w:p>
    <w:p w14:paraId="1BB9C83C" w14:textId="77777777" w:rsidR="004A2378" w:rsidRPr="004A2378" w:rsidRDefault="004A2378" w:rsidP="006F6589">
      <w:pPr>
        <w:pStyle w:val="Paragraphedeliste"/>
        <w:numPr>
          <w:ilvl w:val="0"/>
          <w:numId w:val="27"/>
        </w:numPr>
      </w:pPr>
      <w:r w:rsidRPr="004A2378">
        <w:t>Assure son maintien et son amélioration à travers des audits et des actions correctives et préventives.</w:t>
      </w:r>
    </w:p>
    <w:p w14:paraId="41437299" w14:textId="77777777" w:rsidR="004A2378" w:rsidRPr="004A2378" w:rsidRDefault="004A2378" w:rsidP="006F6589">
      <w:pPr>
        <w:pStyle w:val="Paragraphedeliste"/>
        <w:numPr>
          <w:ilvl w:val="0"/>
          <w:numId w:val="27"/>
        </w:numPr>
      </w:pPr>
      <w:r w:rsidRPr="004A2378">
        <w:t>Représente l’entreprise dans les questions relatives à la qualité à l’extérieur.</w:t>
      </w:r>
    </w:p>
    <w:p w14:paraId="53903863" w14:textId="77777777" w:rsidR="004A2378" w:rsidRPr="004A2378" w:rsidRDefault="004A2378" w:rsidP="004A2378">
      <w:r w:rsidRPr="004A2378">
        <w:rPr>
          <w:rStyle w:val="lev"/>
          <w:rFonts w:cstheme="majorBidi"/>
          <w:color w:val="222222"/>
        </w:rPr>
        <w:t>Directeur des finances et du budget</w:t>
      </w:r>
    </w:p>
    <w:p w14:paraId="5ED021E1" w14:textId="77777777" w:rsidR="004A2378" w:rsidRPr="004A2378" w:rsidRDefault="004A2378" w:rsidP="006F6589">
      <w:pPr>
        <w:pStyle w:val="Paragraphedeliste"/>
        <w:numPr>
          <w:ilvl w:val="0"/>
          <w:numId w:val="28"/>
        </w:numPr>
      </w:pPr>
      <w:r w:rsidRPr="004A2378">
        <w:t>Applique la politique financière de l’entreprise.</w:t>
      </w:r>
    </w:p>
    <w:p w14:paraId="71B08E80" w14:textId="77777777" w:rsidR="004A2378" w:rsidRPr="004A2378" w:rsidRDefault="004A2378" w:rsidP="006F6589">
      <w:pPr>
        <w:pStyle w:val="Paragraphedeliste"/>
        <w:numPr>
          <w:ilvl w:val="0"/>
          <w:numId w:val="28"/>
        </w:numPr>
      </w:pPr>
      <w:r w:rsidRPr="004A2378">
        <w:t>Gère le budget global.</w:t>
      </w:r>
    </w:p>
    <w:p w14:paraId="1D57B592" w14:textId="77777777" w:rsidR="004A2378" w:rsidRPr="004A2378" w:rsidRDefault="004A2378" w:rsidP="004A2378">
      <w:r w:rsidRPr="004A2378">
        <w:rPr>
          <w:rStyle w:val="lev"/>
          <w:rFonts w:cstheme="majorBidi"/>
          <w:color w:val="222222"/>
        </w:rPr>
        <w:t>Directeur des ressources humaines</w:t>
      </w:r>
    </w:p>
    <w:p w14:paraId="48DD5943" w14:textId="77777777" w:rsidR="004A2378" w:rsidRPr="004A2378" w:rsidRDefault="004A2378" w:rsidP="006F6589">
      <w:pPr>
        <w:pStyle w:val="Paragraphedeliste"/>
        <w:numPr>
          <w:ilvl w:val="0"/>
          <w:numId w:val="29"/>
        </w:numPr>
      </w:pPr>
      <w:r w:rsidRPr="004A2378">
        <w:t>Met en œuvre la politique de gestion du personnel.</w:t>
      </w:r>
    </w:p>
    <w:p w14:paraId="6EB63428" w14:textId="77777777" w:rsidR="004A2378" w:rsidRPr="004A2378" w:rsidRDefault="004A2378" w:rsidP="006F6589">
      <w:pPr>
        <w:pStyle w:val="Paragraphedeliste"/>
        <w:numPr>
          <w:ilvl w:val="0"/>
          <w:numId w:val="29"/>
        </w:numPr>
      </w:pPr>
      <w:r w:rsidRPr="004A2378">
        <w:t>Suit les plans de formation au sein de l’entreprise.</w:t>
      </w:r>
    </w:p>
    <w:p w14:paraId="5EFBD40C" w14:textId="77777777" w:rsidR="004A2378" w:rsidRPr="004A2378" w:rsidRDefault="004A2378" w:rsidP="004A2378">
      <w:r w:rsidRPr="004A2378">
        <w:rPr>
          <w:rStyle w:val="lev"/>
          <w:rFonts w:cstheme="majorBidi"/>
          <w:color w:val="222222"/>
        </w:rPr>
        <w:t>Directeur du développement et de l’innovation</w:t>
      </w:r>
    </w:p>
    <w:p w14:paraId="7E02B163" w14:textId="77777777" w:rsidR="004A2378" w:rsidRPr="004A2378" w:rsidRDefault="004A2378" w:rsidP="006F6589">
      <w:pPr>
        <w:pStyle w:val="Paragraphedeliste"/>
        <w:numPr>
          <w:ilvl w:val="0"/>
          <w:numId w:val="30"/>
        </w:numPr>
      </w:pPr>
      <w:r w:rsidRPr="004A2378">
        <w:t>Coordonne les programmes d’investissement.</w:t>
      </w:r>
    </w:p>
    <w:p w14:paraId="485C2BC9" w14:textId="77777777" w:rsidR="004A2378" w:rsidRPr="004A2378" w:rsidRDefault="004A2378" w:rsidP="006F6589">
      <w:pPr>
        <w:pStyle w:val="Paragraphedeliste"/>
        <w:numPr>
          <w:ilvl w:val="0"/>
          <w:numId w:val="30"/>
        </w:numPr>
      </w:pPr>
      <w:r w:rsidRPr="004A2378">
        <w:t>Supervise les projets de modernisation.</w:t>
      </w:r>
    </w:p>
    <w:p w14:paraId="13088B93" w14:textId="77777777" w:rsidR="004A2378" w:rsidRPr="004A2378" w:rsidRDefault="004A2378" w:rsidP="004A2378">
      <w:r w:rsidRPr="004A2378">
        <w:rPr>
          <w:rStyle w:val="lev"/>
          <w:rFonts w:cstheme="majorBidi"/>
          <w:color w:val="222222"/>
        </w:rPr>
        <w:t>Directeur de l’approvisionnement et du marketing</w:t>
      </w:r>
    </w:p>
    <w:p w14:paraId="49DF39CE" w14:textId="77777777" w:rsidR="004A2378" w:rsidRPr="004A2378" w:rsidRDefault="004A2378" w:rsidP="006F6589">
      <w:pPr>
        <w:pStyle w:val="Paragraphedeliste"/>
        <w:numPr>
          <w:ilvl w:val="0"/>
          <w:numId w:val="31"/>
        </w:numPr>
      </w:pPr>
      <w:r w:rsidRPr="004A2378">
        <w:lastRenderedPageBreak/>
        <w:t>Gère l’approvisionnement en matières premières.</w:t>
      </w:r>
    </w:p>
    <w:p w14:paraId="13B95E8B" w14:textId="77777777" w:rsidR="004A2378" w:rsidRPr="004A2378" w:rsidRDefault="004A2378" w:rsidP="006F6589">
      <w:pPr>
        <w:pStyle w:val="Paragraphedeliste"/>
        <w:numPr>
          <w:ilvl w:val="0"/>
          <w:numId w:val="31"/>
        </w:numPr>
      </w:pPr>
      <w:r w:rsidRPr="004A2378">
        <w:t>Organise les échanges entre les différentes unités.</w:t>
      </w:r>
    </w:p>
    <w:p w14:paraId="496CB1A5" w14:textId="77777777" w:rsidR="004A2378" w:rsidRPr="004A2378" w:rsidRDefault="004A2378" w:rsidP="004A2378">
      <w:r w:rsidRPr="004A2378">
        <w:rPr>
          <w:rStyle w:val="lev"/>
          <w:rFonts w:cstheme="majorBidi"/>
          <w:color w:val="222222"/>
        </w:rPr>
        <w:t>Directeur d’unité (exploitation)</w:t>
      </w:r>
    </w:p>
    <w:p w14:paraId="69E7D4CA" w14:textId="77777777" w:rsidR="004A2378" w:rsidRPr="004A2378" w:rsidRDefault="004A2378" w:rsidP="006F6589">
      <w:pPr>
        <w:pStyle w:val="Paragraphedeliste"/>
        <w:numPr>
          <w:ilvl w:val="0"/>
          <w:numId w:val="32"/>
        </w:numPr>
      </w:pPr>
      <w:r w:rsidRPr="004A2378">
        <w:t>Coordonne les différentes divisions de production pour une exploitation optimale.</w:t>
      </w:r>
    </w:p>
    <w:p w14:paraId="7DDB3F04" w14:textId="77777777" w:rsidR="004A2378" w:rsidRPr="004A2378" w:rsidRDefault="004A2378" w:rsidP="004A2378">
      <w:r w:rsidRPr="004A2378">
        <w:rPr>
          <w:rStyle w:val="lev"/>
          <w:rFonts w:cstheme="majorBidi"/>
          <w:color w:val="222222"/>
        </w:rPr>
        <w:t>Directeur technique</w:t>
      </w:r>
    </w:p>
    <w:p w14:paraId="5F0D8366" w14:textId="77777777" w:rsidR="004A2378" w:rsidRPr="004A2378" w:rsidRDefault="004A2378" w:rsidP="006F6589">
      <w:pPr>
        <w:pStyle w:val="Paragraphedeliste"/>
        <w:numPr>
          <w:ilvl w:val="0"/>
          <w:numId w:val="32"/>
        </w:numPr>
      </w:pPr>
      <w:r w:rsidRPr="004A2378">
        <w:t>Coordonne les services techniques sous la supervis</w:t>
      </w:r>
      <w:r w:rsidR="00497FC6">
        <w:t>ion de la direction de l’unité.</w:t>
      </w:r>
    </w:p>
    <w:p w14:paraId="2476BF24" w14:textId="77777777" w:rsidR="004A2378" w:rsidRPr="004A2378" w:rsidRDefault="004A2378" w:rsidP="004A2378">
      <w:pPr>
        <w:rPr>
          <w:b/>
          <w:bCs/>
          <w:szCs w:val="24"/>
        </w:rPr>
      </w:pPr>
      <w:r w:rsidRPr="004A2378">
        <w:rPr>
          <w:b/>
          <w:bCs/>
          <w:szCs w:val="24"/>
        </w:rPr>
        <w:t>Principales divisions :</w:t>
      </w:r>
    </w:p>
    <w:p w14:paraId="7A8F8ECF" w14:textId="77777777" w:rsidR="004A2378" w:rsidRPr="00C518E1" w:rsidRDefault="004A2378" w:rsidP="004A2378">
      <w:pPr>
        <w:rPr>
          <w:szCs w:val="24"/>
        </w:rPr>
      </w:pPr>
      <w:r w:rsidRPr="00C518E1">
        <w:rPr>
          <w:rStyle w:val="lev"/>
          <w:rFonts w:cstheme="majorBidi"/>
          <w:color w:val="222222"/>
          <w:szCs w:val="24"/>
        </w:rPr>
        <w:t>Division des finances et de la comptabilité</w:t>
      </w:r>
      <w:r w:rsidRPr="00C518E1">
        <w:rPr>
          <w:rStyle w:val="apple-converted-space"/>
          <w:rFonts w:cstheme="majorBidi"/>
          <w:color w:val="222222"/>
          <w:szCs w:val="24"/>
        </w:rPr>
        <w:t> </w:t>
      </w:r>
      <w:r w:rsidRPr="00C518E1">
        <w:rPr>
          <w:szCs w:val="24"/>
        </w:rPr>
        <w:t>:</w:t>
      </w:r>
    </w:p>
    <w:p w14:paraId="70668705" w14:textId="77777777" w:rsidR="004A2378" w:rsidRPr="00C518E1" w:rsidRDefault="004A2378" w:rsidP="006F6589">
      <w:pPr>
        <w:pStyle w:val="Paragraphedeliste"/>
        <w:numPr>
          <w:ilvl w:val="0"/>
          <w:numId w:val="32"/>
        </w:numPr>
        <w:rPr>
          <w:szCs w:val="24"/>
        </w:rPr>
      </w:pPr>
      <w:r w:rsidRPr="00C518E1">
        <w:rPr>
          <w:szCs w:val="24"/>
        </w:rPr>
        <w:t>Comptabilité générale, analytique, et budget.</w:t>
      </w:r>
    </w:p>
    <w:p w14:paraId="2856B358" w14:textId="77777777" w:rsidR="004A2378" w:rsidRPr="00C518E1" w:rsidRDefault="004A2378" w:rsidP="004A2378">
      <w:pPr>
        <w:rPr>
          <w:szCs w:val="24"/>
        </w:rPr>
      </w:pPr>
      <w:r w:rsidRPr="00C518E1">
        <w:rPr>
          <w:rStyle w:val="lev"/>
          <w:rFonts w:cstheme="majorBidi"/>
          <w:color w:val="222222"/>
          <w:szCs w:val="24"/>
        </w:rPr>
        <w:t>Division des ressources humaines</w:t>
      </w:r>
      <w:r w:rsidRPr="00C518E1">
        <w:rPr>
          <w:rStyle w:val="apple-converted-space"/>
          <w:rFonts w:cstheme="majorBidi"/>
          <w:color w:val="222222"/>
          <w:szCs w:val="24"/>
        </w:rPr>
        <w:t> </w:t>
      </w:r>
      <w:r w:rsidRPr="00C518E1">
        <w:rPr>
          <w:szCs w:val="24"/>
        </w:rPr>
        <w:t>:</w:t>
      </w:r>
    </w:p>
    <w:p w14:paraId="212AF96F" w14:textId="77777777" w:rsidR="004A2378" w:rsidRPr="00C518E1" w:rsidRDefault="004A2378" w:rsidP="006F6589">
      <w:pPr>
        <w:pStyle w:val="Paragraphedeliste"/>
        <w:numPr>
          <w:ilvl w:val="0"/>
          <w:numId w:val="32"/>
        </w:numPr>
        <w:rPr>
          <w:szCs w:val="24"/>
        </w:rPr>
      </w:pPr>
      <w:r w:rsidRPr="00C518E1">
        <w:rPr>
          <w:szCs w:val="24"/>
        </w:rPr>
        <w:t>Gestion des carrières, formation, services sociaux.</w:t>
      </w:r>
    </w:p>
    <w:p w14:paraId="08AFCF39" w14:textId="77777777" w:rsidR="004A2378" w:rsidRPr="00C518E1" w:rsidRDefault="004A2378" w:rsidP="004A2378">
      <w:pPr>
        <w:rPr>
          <w:szCs w:val="24"/>
        </w:rPr>
      </w:pPr>
      <w:r w:rsidRPr="00C518E1">
        <w:rPr>
          <w:rStyle w:val="lev"/>
          <w:rFonts w:cstheme="majorBidi"/>
          <w:color w:val="222222"/>
          <w:szCs w:val="24"/>
        </w:rPr>
        <w:t>Division du marketing</w:t>
      </w:r>
      <w:r w:rsidRPr="00C518E1">
        <w:rPr>
          <w:rStyle w:val="apple-converted-space"/>
          <w:rFonts w:cstheme="majorBidi"/>
          <w:color w:val="222222"/>
          <w:szCs w:val="24"/>
        </w:rPr>
        <w:t> </w:t>
      </w:r>
      <w:r w:rsidRPr="00C518E1">
        <w:rPr>
          <w:szCs w:val="24"/>
        </w:rPr>
        <w:t>:</w:t>
      </w:r>
    </w:p>
    <w:p w14:paraId="5BAD8483" w14:textId="77777777" w:rsidR="004A2378" w:rsidRPr="00C518E1" w:rsidRDefault="004A2378" w:rsidP="006F6589">
      <w:pPr>
        <w:pStyle w:val="Paragraphedeliste"/>
        <w:numPr>
          <w:ilvl w:val="0"/>
          <w:numId w:val="32"/>
        </w:numPr>
        <w:rPr>
          <w:szCs w:val="24"/>
        </w:rPr>
      </w:pPr>
      <w:r w:rsidRPr="00C518E1">
        <w:rPr>
          <w:szCs w:val="24"/>
        </w:rPr>
        <w:t>Facturation et vente.</w:t>
      </w:r>
    </w:p>
    <w:p w14:paraId="2AC18862" w14:textId="77777777" w:rsidR="004A2378" w:rsidRPr="00C518E1" w:rsidRDefault="004A2378" w:rsidP="004A2378">
      <w:pPr>
        <w:rPr>
          <w:szCs w:val="24"/>
        </w:rPr>
      </w:pPr>
      <w:r w:rsidRPr="00C518E1">
        <w:rPr>
          <w:rStyle w:val="lev"/>
          <w:rFonts w:cstheme="majorBidi"/>
          <w:color w:val="222222"/>
          <w:szCs w:val="24"/>
        </w:rPr>
        <w:t>Division des achats</w:t>
      </w:r>
      <w:r w:rsidRPr="00C518E1">
        <w:rPr>
          <w:rStyle w:val="apple-converted-space"/>
          <w:rFonts w:cstheme="majorBidi"/>
          <w:color w:val="222222"/>
          <w:szCs w:val="24"/>
        </w:rPr>
        <w:t> </w:t>
      </w:r>
      <w:r w:rsidRPr="00C518E1">
        <w:rPr>
          <w:szCs w:val="24"/>
        </w:rPr>
        <w:t>:</w:t>
      </w:r>
    </w:p>
    <w:p w14:paraId="5D99D591" w14:textId="77777777" w:rsidR="004A2378" w:rsidRPr="00C518E1" w:rsidRDefault="004A2378" w:rsidP="006F6589">
      <w:pPr>
        <w:pStyle w:val="Paragraphedeliste"/>
        <w:numPr>
          <w:ilvl w:val="0"/>
          <w:numId w:val="32"/>
        </w:numPr>
        <w:rPr>
          <w:szCs w:val="24"/>
        </w:rPr>
      </w:pPr>
      <w:r w:rsidRPr="00C518E1">
        <w:rPr>
          <w:szCs w:val="24"/>
        </w:rPr>
        <w:t>Achats locaux (fer, plâtre, sacs, etc.) et internationaux (pièces de rechange).</w:t>
      </w:r>
    </w:p>
    <w:p w14:paraId="71A2FDD4" w14:textId="77777777" w:rsidR="004A2378" w:rsidRPr="00C518E1" w:rsidRDefault="004A2378" w:rsidP="004A2378">
      <w:pPr>
        <w:rPr>
          <w:szCs w:val="24"/>
        </w:rPr>
      </w:pPr>
      <w:r w:rsidRPr="00C518E1">
        <w:rPr>
          <w:rStyle w:val="lev"/>
          <w:rFonts w:cstheme="majorBidi"/>
          <w:color w:val="222222"/>
          <w:szCs w:val="24"/>
        </w:rPr>
        <w:t>Division du développement</w:t>
      </w:r>
      <w:r w:rsidRPr="00C518E1">
        <w:rPr>
          <w:rStyle w:val="apple-converted-space"/>
          <w:rFonts w:cstheme="majorBidi"/>
          <w:color w:val="222222"/>
          <w:szCs w:val="24"/>
        </w:rPr>
        <w:t> </w:t>
      </w:r>
      <w:r w:rsidRPr="00C518E1">
        <w:rPr>
          <w:szCs w:val="24"/>
        </w:rPr>
        <w:t>:</w:t>
      </w:r>
    </w:p>
    <w:p w14:paraId="14F0AC46" w14:textId="77777777" w:rsidR="004A2378" w:rsidRPr="00C518E1" w:rsidRDefault="004A2378" w:rsidP="006F6589">
      <w:pPr>
        <w:pStyle w:val="Paragraphedeliste"/>
        <w:numPr>
          <w:ilvl w:val="0"/>
          <w:numId w:val="32"/>
        </w:numPr>
        <w:rPr>
          <w:szCs w:val="24"/>
        </w:rPr>
      </w:pPr>
      <w:r w:rsidRPr="00C518E1">
        <w:rPr>
          <w:szCs w:val="24"/>
        </w:rPr>
        <w:t>Amélioration du produit et du processus de production.</w:t>
      </w:r>
    </w:p>
    <w:p w14:paraId="700DAF73" w14:textId="77777777" w:rsidR="004A2378" w:rsidRPr="00C518E1" w:rsidRDefault="004A2378" w:rsidP="004A2378">
      <w:pPr>
        <w:rPr>
          <w:szCs w:val="24"/>
        </w:rPr>
      </w:pPr>
      <w:r w:rsidRPr="00C518E1">
        <w:rPr>
          <w:rStyle w:val="lev"/>
          <w:rFonts w:cstheme="majorBidi"/>
          <w:color w:val="222222"/>
          <w:szCs w:val="24"/>
        </w:rPr>
        <w:t>Division électricité et équipements</w:t>
      </w:r>
      <w:r w:rsidRPr="00C518E1">
        <w:rPr>
          <w:rStyle w:val="apple-converted-space"/>
          <w:rFonts w:cstheme="majorBidi"/>
          <w:color w:val="222222"/>
          <w:szCs w:val="24"/>
        </w:rPr>
        <w:t> </w:t>
      </w:r>
      <w:r w:rsidRPr="00C518E1">
        <w:rPr>
          <w:szCs w:val="24"/>
        </w:rPr>
        <w:t>:</w:t>
      </w:r>
    </w:p>
    <w:p w14:paraId="5810CD8E" w14:textId="77777777" w:rsidR="004A2378" w:rsidRPr="00C518E1" w:rsidRDefault="004A2378" w:rsidP="006F6589">
      <w:pPr>
        <w:pStyle w:val="Paragraphedeliste"/>
        <w:numPr>
          <w:ilvl w:val="0"/>
          <w:numId w:val="32"/>
        </w:numPr>
        <w:rPr>
          <w:szCs w:val="24"/>
        </w:rPr>
      </w:pPr>
      <w:r w:rsidRPr="00C518E1">
        <w:rPr>
          <w:szCs w:val="24"/>
        </w:rPr>
        <w:t>Maintenance électrique et mécanique.</w:t>
      </w:r>
    </w:p>
    <w:p w14:paraId="17AAA751" w14:textId="77777777" w:rsidR="004A2378" w:rsidRPr="00C518E1" w:rsidRDefault="004A2378" w:rsidP="004A2378">
      <w:pPr>
        <w:rPr>
          <w:szCs w:val="24"/>
        </w:rPr>
      </w:pPr>
      <w:r w:rsidRPr="00C518E1">
        <w:rPr>
          <w:rStyle w:val="lev"/>
          <w:rFonts w:cstheme="majorBidi"/>
          <w:color w:val="222222"/>
          <w:szCs w:val="24"/>
        </w:rPr>
        <w:t>Division mécanique</w:t>
      </w:r>
      <w:r w:rsidRPr="00C518E1">
        <w:rPr>
          <w:rStyle w:val="apple-converted-space"/>
          <w:rFonts w:cstheme="majorBidi"/>
          <w:color w:val="222222"/>
          <w:szCs w:val="24"/>
        </w:rPr>
        <w:t> </w:t>
      </w:r>
      <w:r w:rsidRPr="00C518E1">
        <w:rPr>
          <w:szCs w:val="24"/>
        </w:rPr>
        <w:t>:</w:t>
      </w:r>
    </w:p>
    <w:p w14:paraId="08E18307" w14:textId="77777777" w:rsidR="004A2378" w:rsidRPr="00C518E1" w:rsidRDefault="004A2378" w:rsidP="006F6589">
      <w:pPr>
        <w:pStyle w:val="Paragraphedeliste"/>
        <w:numPr>
          <w:ilvl w:val="0"/>
          <w:numId w:val="32"/>
        </w:numPr>
        <w:rPr>
          <w:szCs w:val="24"/>
        </w:rPr>
      </w:pPr>
      <w:r w:rsidRPr="00C518E1">
        <w:rPr>
          <w:szCs w:val="24"/>
        </w:rPr>
        <w:t>Broyage, cuisson, fabrication du ciment, et maintenance.</w:t>
      </w:r>
    </w:p>
    <w:p w14:paraId="4E6C6AA6" w14:textId="77777777" w:rsidR="004A2378" w:rsidRPr="00C518E1" w:rsidRDefault="004A2378" w:rsidP="004A2378">
      <w:pPr>
        <w:rPr>
          <w:szCs w:val="24"/>
        </w:rPr>
      </w:pPr>
      <w:r w:rsidRPr="00C518E1">
        <w:rPr>
          <w:rStyle w:val="lev"/>
          <w:rFonts w:cstheme="majorBidi"/>
          <w:color w:val="222222"/>
          <w:szCs w:val="24"/>
        </w:rPr>
        <w:lastRenderedPageBreak/>
        <w:t>Division matières premières</w:t>
      </w:r>
      <w:r w:rsidRPr="00C518E1">
        <w:rPr>
          <w:rStyle w:val="apple-converted-space"/>
          <w:rFonts w:cstheme="majorBidi"/>
          <w:color w:val="222222"/>
          <w:szCs w:val="24"/>
        </w:rPr>
        <w:t> </w:t>
      </w:r>
      <w:r w:rsidRPr="00C518E1">
        <w:rPr>
          <w:szCs w:val="24"/>
        </w:rPr>
        <w:t>:</w:t>
      </w:r>
    </w:p>
    <w:p w14:paraId="30444A9B" w14:textId="77777777" w:rsidR="004A2378" w:rsidRPr="00C518E1" w:rsidRDefault="004A2378" w:rsidP="004A2378">
      <w:pPr>
        <w:rPr>
          <w:szCs w:val="24"/>
        </w:rPr>
      </w:pPr>
      <w:r w:rsidRPr="00C518E1">
        <w:rPr>
          <w:szCs w:val="24"/>
        </w:rPr>
        <w:t>Gestion des carrières (extraction, concassage, maintenance).</w:t>
      </w:r>
    </w:p>
    <w:p w14:paraId="46EEF027" w14:textId="77777777" w:rsidR="004A2378" w:rsidRPr="00C518E1" w:rsidRDefault="004A2378" w:rsidP="004A2378">
      <w:pPr>
        <w:rPr>
          <w:szCs w:val="24"/>
        </w:rPr>
      </w:pPr>
      <w:r w:rsidRPr="00C518E1">
        <w:rPr>
          <w:rStyle w:val="lev"/>
          <w:rFonts w:cstheme="majorBidi"/>
          <w:color w:val="222222"/>
          <w:szCs w:val="24"/>
        </w:rPr>
        <w:t>Division de la production</w:t>
      </w:r>
      <w:r w:rsidRPr="00C518E1">
        <w:rPr>
          <w:rStyle w:val="apple-converted-space"/>
          <w:rFonts w:cstheme="majorBidi"/>
          <w:color w:val="222222"/>
          <w:szCs w:val="24"/>
        </w:rPr>
        <w:t> </w:t>
      </w:r>
      <w:r w:rsidRPr="00C518E1">
        <w:rPr>
          <w:szCs w:val="24"/>
        </w:rPr>
        <w:t>:</w:t>
      </w:r>
    </w:p>
    <w:p w14:paraId="577FEBD2" w14:textId="77777777" w:rsidR="004A2378" w:rsidRPr="00C518E1" w:rsidRDefault="004A2378" w:rsidP="006F6589">
      <w:pPr>
        <w:pStyle w:val="Paragraphedeliste"/>
        <w:numPr>
          <w:ilvl w:val="0"/>
          <w:numId w:val="32"/>
        </w:numPr>
        <w:rPr>
          <w:szCs w:val="24"/>
        </w:rPr>
      </w:pPr>
      <w:r w:rsidRPr="00C518E1">
        <w:rPr>
          <w:szCs w:val="24"/>
        </w:rPr>
        <w:t>Suivi des opérations de fabrication, traitement et expédition.</w:t>
      </w:r>
    </w:p>
    <w:p w14:paraId="6186C774" w14:textId="77777777" w:rsidR="004A2378" w:rsidRPr="00C518E1" w:rsidRDefault="004A2378" w:rsidP="004A2378">
      <w:pPr>
        <w:rPr>
          <w:szCs w:val="24"/>
        </w:rPr>
      </w:pPr>
      <w:r w:rsidRPr="00C518E1">
        <w:rPr>
          <w:rStyle w:val="lev"/>
          <w:rFonts w:cstheme="majorBidi"/>
          <w:color w:val="222222"/>
          <w:szCs w:val="24"/>
        </w:rPr>
        <w:t>Division des études et méthodes</w:t>
      </w:r>
      <w:r w:rsidRPr="00C518E1">
        <w:rPr>
          <w:rStyle w:val="apple-converted-space"/>
          <w:rFonts w:cstheme="majorBidi"/>
          <w:color w:val="222222"/>
          <w:szCs w:val="24"/>
        </w:rPr>
        <w:t> </w:t>
      </w:r>
      <w:r w:rsidRPr="00C518E1">
        <w:rPr>
          <w:szCs w:val="24"/>
        </w:rPr>
        <w:t>:</w:t>
      </w:r>
    </w:p>
    <w:p w14:paraId="0A9EAA20" w14:textId="77777777" w:rsidR="004A2378" w:rsidRPr="00C518E1" w:rsidRDefault="004A2378" w:rsidP="006F6589">
      <w:pPr>
        <w:pStyle w:val="Paragraphedeliste"/>
        <w:numPr>
          <w:ilvl w:val="0"/>
          <w:numId w:val="32"/>
        </w:numPr>
        <w:rPr>
          <w:szCs w:val="24"/>
        </w:rPr>
      </w:pPr>
      <w:r w:rsidRPr="00C518E1">
        <w:rPr>
          <w:szCs w:val="24"/>
        </w:rPr>
        <w:t>Conception, organisation de l’usine, gestion des stocks.</w:t>
      </w:r>
    </w:p>
    <w:p w14:paraId="03F14035" w14:textId="77777777" w:rsidR="004A2378" w:rsidRPr="00FC012A" w:rsidRDefault="004A2378" w:rsidP="000B457B">
      <w:pPr>
        <w:pStyle w:val="Titre1"/>
        <w:numPr>
          <w:ilvl w:val="0"/>
          <w:numId w:val="55"/>
        </w:numPr>
        <w:rPr>
          <w:rFonts w:eastAsia="Times New Roman"/>
          <w:lang w:eastAsia="fr-FR"/>
        </w:rPr>
      </w:pPr>
      <w:bookmarkStart w:id="108" w:name="_Toc200825452"/>
      <w:r w:rsidRPr="00FC012A">
        <w:rPr>
          <w:rFonts w:eastAsia="Times New Roman"/>
          <w:lang w:eastAsia="fr-FR"/>
        </w:rPr>
        <w:t>Service HSE (Hy</w:t>
      </w:r>
      <w:r w:rsidR="005B6E1B" w:rsidRPr="00FC012A">
        <w:rPr>
          <w:rFonts w:eastAsia="Times New Roman"/>
          <w:lang w:eastAsia="fr-FR"/>
        </w:rPr>
        <w:t>giène, Sécurité, Environnement)</w:t>
      </w:r>
      <w:bookmarkEnd w:id="108"/>
    </w:p>
    <w:p w14:paraId="5938D5AB" w14:textId="77777777" w:rsidR="004A2378" w:rsidRPr="004A2378" w:rsidRDefault="004A2378" w:rsidP="005B6E1B">
      <w:pPr>
        <w:rPr>
          <w:rFonts w:eastAsia="Times New Roman"/>
          <w:lang w:eastAsia="fr-FR"/>
        </w:rPr>
      </w:pPr>
      <w:r w:rsidRPr="004A2378">
        <w:rPr>
          <w:rFonts w:eastAsia="Times New Roman"/>
          <w:lang w:eastAsia="fr-FR"/>
        </w:rPr>
        <w:t>La Société des Ciments de Hamma Bouziane (SCHB), filiale du Groupe GICA, dispose d’un service HSE structuré et opérationnel, chargé de la mise en œuvre de la politique de prévention des risques et de protection de l’environnement. Ses principale</w:t>
      </w:r>
      <w:r w:rsidR="005B6E1B">
        <w:rPr>
          <w:rFonts w:eastAsia="Times New Roman"/>
          <w:lang w:eastAsia="fr-FR"/>
        </w:rPr>
        <w:t>s missions sont les suivantes :</w:t>
      </w:r>
    </w:p>
    <w:p w14:paraId="7469E599" w14:textId="77777777" w:rsidR="004A2378" w:rsidRPr="004A2378" w:rsidRDefault="004A2378" w:rsidP="005B6E1B">
      <w:pPr>
        <w:rPr>
          <w:rFonts w:eastAsia="Times New Roman"/>
          <w:lang w:eastAsia="fr-FR"/>
        </w:rPr>
      </w:pPr>
      <w:r w:rsidRPr="004A2378">
        <w:rPr>
          <w:rFonts w:eastAsia="Times New Roman"/>
          <w:b/>
          <w:bCs/>
          <w:lang w:eastAsia="fr-FR"/>
        </w:rPr>
        <w:t>Évaluation des risques industriels</w:t>
      </w:r>
      <w:r w:rsidRPr="004A2378">
        <w:rPr>
          <w:rFonts w:eastAsia="Times New Roman"/>
          <w:lang w:eastAsia="fr-FR"/>
        </w:rPr>
        <w:t xml:space="preserve"> : identification, analyse et hiérarchisation des dangers potentiels liés aux activités de production, en vue </w:t>
      </w:r>
      <w:r w:rsidR="005B6E1B">
        <w:rPr>
          <w:rFonts w:eastAsia="Times New Roman"/>
          <w:lang w:eastAsia="fr-FR"/>
        </w:rPr>
        <w:t>de leur prévention et maîtrise.</w:t>
      </w:r>
    </w:p>
    <w:p w14:paraId="1D9A0EAD" w14:textId="77777777" w:rsidR="004A2378" w:rsidRPr="004A2378" w:rsidRDefault="004A2378" w:rsidP="005B6E1B">
      <w:pPr>
        <w:rPr>
          <w:rFonts w:eastAsia="Times New Roman"/>
          <w:lang w:eastAsia="fr-FR"/>
        </w:rPr>
      </w:pPr>
      <w:r w:rsidRPr="004A2378">
        <w:rPr>
          <w:rFonts w:eastAsia="Times New Roman"/>
          <w:b/>
          <w:bCs/>
          <w:lang w:eastAsia="fr-FR"/>
        </w:rPr>
        <w:t>Formation du personnel</w:t>
      </w:r>
      <w:r w:rsidRPr="004A2378">
        <w:rPr>
          <w:rFonts w:eastAsia="Times New Roman"/>
          <w:lang w:eastAsia="fr-FR"/>
        </w:rPr>
        <w:t xml:space="preserve"> : sensibilisation continue des employés aux bonnes pratiques en matière de sécurité, d’hygiène et de respect de l’environnement, conformément </w:t>
      </w:r>
      <w:r w:rsidR="005B6E1B">
        <w:rPr>
          <w:rFonts w:eastAsia="Times New Roman"/>
          <w:lang w:eastAsia="fr-FR"/>
        </w:rPr>
        <w:t>à la réglementation en vigueur.</w:t>
      </w:r>
    </w:p>
    <w:p w14:paraId="3A31D27F" w14:textId="77777777" w:rsidR="004A2378" w:rsidRPr="004A2378" w:rsidRDefault="004A2378" w:rsidP="005B6E1B">
      <w:pPr>
        <w:rPr>
          <w:rFonts w:eastAsia="Times New Roman"/>
          <w:lang w:eastAsia="fr-FR"/>
        </w:rPr>
      </w:pPr>
      <w:r w:rsidRPr="004A2378">
        <w:rPr>
          <w:rFonts w:eastAsia="Times New Roman"/>
          <w:b/>
          <w:bCs/>
          <w:lang w:eastAsia="fr-FR"/>
        </w:rPr>
        <w:t>Audits internes réguliers</w:t>
      </w:r>
      <w:r w:rsidRPr="004A2378">
        <w:rPr>
          <w:rFonts w:eastAsia="Times New Roman"/>
          <w:lang w:eastAsia="fr-FR"/>
        </w:rPr>
        <w:t xml:space="preserve"> : contrôle périodique des installations et des procédures pour assurer </w:t>
      </w:r>
      <w:r w:rsidR="005B6E1B">
        <w:rPr>
          <w:rFonts w:eastAsia="Times New Roman"/>
          <w:lang w:eastAsia="fr-FR"/>
        </w:rPr>
        <w:t>leur conformité aux normes HSE.</w:t>
      </w:r>
    </w:p>
    <w:p w14:paraId="24652F33" w14:textId="77777777" w:rsidR="004A2378" w:rsidRPr="004A2378" w:rsidRDefault="004A2378" w:rsidP="005B6E1B">
      <w:pPr>
        <w:rPr>
          <w:rFonts w:eastAsia="Times New Roman"/>
          <w:lang w:eastAsia="fr-FR"/>
        </w:rPr>
      </w:pPr>
      <w:r w:rsidRPr="004A2378">
        <w:rPr>
          <w:rFonts w:eastAsia="Times New Roman"/>
          <w:b/>
          <w:bCs/>
          <w:lang w:eastAsia="fr-FR"/>
        </w:rPr>
        <w:t>Élaboration des Rapports d’Impact Environnemental (RIE)</w:t>
      </w:r>
      <w:r w:rsidRPr="004A2378">
        <w:rPr>
          <w:rFonts w:eastAsia="Times New Roman"/>
          <w:lang w:eastAsia="fr-FR"/>
        </w:rPr>
        <w:t xml:space="preserve"> : analyse des effets potentiels des activités industrielles sur l’environnement, dans une démarche de transparence </w:t>
      </w:r>
      <w:r w:rsidR="005B6E1B">
        <w:rPr>
          <w:rFonts w:eastAsia="Times New Roman"/>
          <w:lang w:eastAsia="fr-FR"/>
        </w:rPr>
        <w:t>et de responsabilité sociétale.</w:t>
      </w:r>
    </w:p>
    <w:p w14:paraId="58D081EE" w14:textId="77777777" w:rsidR="004A2378" w:rsidRPr="004A2378" w:rsidRDefault="004A2378" w:rsidP="005B6E1B">
      <w:pPr>
        <w:rPr>
          <w:rFonts w:eastAsia="Times New Roman"/>
          <w:lang w:eastAsia="fr-FR"/>
        </w:rPr>
      </w:pPr>
      <w:r w:rsidRPr="004A2378">
        <w:rPr>
          <w:rFonts w:eastAsia="Times New Roman"/>
          <w:lang w:eastAsia="fr-FR"/>
        </w:rPr>
        <w:t xml:space="preserve">En outre, le service HSE de la SCHB collabore étroitement avec les services techniques de la Direction Générale du Groupe GICA pour le suivi et le </w:t>
      </w:r>
      <w:proofErr w:type="spellStart"/>
      <w:r w:rsidRPr="004A2378">
        <w:rPr>
          <w:rFonts w:eastAsia="Times New Roman"/>
          <w:lang w:eastAsia="fr-FR"/>
        </w:rPr>
        <w:t>reporting</w:t>
      </w:r>
      <w:proofErr w:type="spellEnd"/>
      <w:r w:rsidRPr="004A2378">
        <w:rPr>
          <w:rFonts w:eastAsia="Times New Roman"/>
          <w:lang w:eastAsia="fr-FR"/>
        </w:rPr>
        <w:t xml:space="preserve"> des indicateurs </w:t>
      </w:r>
      <w:r w:rsidRPr="004A2378">
        <w:rPr>
          <w:rFonts w:eastAsia="Times New Roman"/>
          <w:lang w:eastAsia="fr-FR"/>
        </w:rPr>
        <w:lastRenderedPageBreak/>
        <w:t>environnementaux à l’échelle nationale, dans le cadre de la stratégie globale de d</w:t>
      </w:r>
      <w:r w:rsidR="005B6E1B">
        <w:rPr>
          <w:rFonts w:eastAsia="Times New Roman"/>
          <w:lang w:eastAsia="fr-FR"/>
        </w:rPr>
        <w:t>éveloppement durable du groupe.</w:t>
      </w:r>
      <w:r w:rsidR="003505FB">
        <w:rPr>
          <w:rStyle w:val="Appelnotedebasdep"/>
          <w:rFonts w:eastAsia="Times New Roman"/>
          <w:lang w:eastAsia="fr-FR"/>
        </w:rPr>
        <w:footnoteReference w:id="116"/>
      </w:r>
    </w:p>
    <w:p w14:paraId="52156F76" w14:textId="77777777" w:rsidR="004A2378" w:rsidRPr="00FC012A" w:rsidRDefault="004A2378" w:rsidP="000B457B">
      <w:pPr>
        <w:pStyle w:val="Titre1"/>
        <w:numPr>
          <w:ilvl w:val="0"/>
          <w:numId w:val="55"/>
        </w:numPr>
        <w:rPr>
          <w:rFonts w:eastAsia="Times New Roman"/>
          <w:lang w:eastAsia="fr-FR"/>
        </w:rPr>
      </w:pPr>
      <w:bookmarkStart w:id="109" w:name="_Toc200825453"/>
      <w:r w:rsidRPr="00FC012A">
        <w:rPr>
          <w:rFonts w:eastAsia="Times New Roman"/>
          <w:lang w:eastAsia="fr-FR"/>
        </w:rPr>
        <w:t>Communicatio</w:t>
      </w:r>
      <w:r w:rsidR="005B6E1B" w:rsidRPr="00FC012A">
        <w:rPr>
          <w:rFonts w:eastAsia="Times New Roman"/>
          <w:lang w:eastAsia="fr-FR"/>
        </w:rPr>
        <w:t>n externe et présence numérique</w:t>
      </w:r>
      <w:bookmarkEnd w:id="109"/>
    </w:p>
    <w:p w14:paraId="1B61E034" w14:textId="77777777" w:rsidR="004A2378" w:rsidRPr="004A2378" w:rsidRDefault="004A2378" w:rsidP="004A2378">
      <w:r w:rsidRPr="004A2378">
        <w:t>La Société des Ciments de Hamma Bouziane (SCHB), filiale du Groupe industriel des ciments d’Algérie (GICA), déploie une stratégie de communication externe structurée autour de plusieurs axes complémentaires, visant à renforcer son image institutionnelle, à améliorer sa visibilité numérique et à consolider ses liens avec les parties prenantes locales. Cette démarche s’inscrit dans une logique de transparence, de responsabilité sociétale et de promotion du développement durable.</w:t>
      </w:r>
    </w:p>
    <w:p w14:paraId="14E2F8AB" w14:textId="77777777" w:rsidR="004A2378" w:rsidRPr="003505FB" w:rsidRDefault="004A2378" w:rsidP="000B457B">
      <w:pPr>
        <w:pStyle w:val="Titre2"/>
        <w:numPr>
          <w:ilvl w:val="1"/>
          <w:numId w:val="55"/>
        </w:numPr>
      </w:pPr>
      <w:r w:rsidRPr="003505FB">
        <w:t xml:space="preserve"> </w:t>
      </w:r>
      <w:bookmarkStart w:id="110" w:name="_Toc200825454"/>
      <w:r w:rsidRPr="003505FB">
        <w:t>Communication institutionnelle</w:t>
      </w:r>
      <w:bookmarkEnd w:id="110"/>
    </w:p>
    <w:p w14:paraId="626A806D" w14:textId="77777777" w:rsidR="004A2378" w:rsidRPr="004A2378" w:rsidRDefault="004A2378" w:rsidP="004A2378">
      <w:r w:rsidRPr="004A2378">
        <w:t>La SCHB adopte une communication institutionnelle formelle à travers la publication de</w:t>
      </w:r>
      <w:r w:rsidRPr="004A2378">
        <w:rPr>
          <w:rStyle w:val="apple-converted-space"/>
          <w:rFonts w:cstheme="majorBidi"/>
          <w:color w:val="222222"/>
        </w:rPr>
        <w:t> </w:t>
      </w:r>
      <w:r w:rsidRPr="004A2378">
        <w:rPr>
          <w:rStyle w:val="lev"/>
          <w:rFonts w:cstheme="majorBidi"/>
          <w:color w:val="222222"/>
        </w:rPr>
        <w:t>rapports d’activités annuels</w:t>
      </w:r>
      <w:r w:rsidRPr="004A2378">
        <w:t>, la participation à des</w:t>
      </w:r>
      <w:r w:rsidRPr="004A2378">
        <w:rPr>
          <w:rStyle w:val="apple-converted-space"/>
          <w:rFonts w:cstheme="majorBidi"/>
          <w:color w:val="222222"/>
        </w:rPr>
        <w:t> </w:t>
      </w:r>
      <w:r w:rsidRPr="004A2378">
        <w:rPr>
          <w:rStyle w:val="lev"/>
          <w:rFonts w:cstheme="majorBidi"/>
          <w:color w:val="222222"/>
        </w:rPr>
        <w:t>salons professionnels</w:t>
      </w:r>
      <w:r w:rsidRPr="004A2378">
        <w:rPr>
          <w:rStyle w:val="apple-converted-space"/>
          <w:rFonts w:cstheme="majorBidi"/>
          <w:color w:val="222222"/>
        </w:rPr>
        <w:t> </w:t>
      </w:r>
      <w:r w:rsidRPr="004A2378">
        <w:t>(notamment</w:t>
      </w:r>
      <w:r w:rsidRPr="004A2378">
        <w:rPr>
          <w:rStyle w:val="apple-converted-space"/>
          <w:rFonts w:cstheme="majorBidi"/>
          <w:color w:val="222222"/>
        </w:rPr>
        <w:t> </w:t>
      </w:r>
      <w:r w:rsidRPr="004A2378">
        <w:rPr>
          <w:rStyle w:val="Accentuation"/>
          <w:rFonts w:cstheme="majorBidi"/>
          <w:color w:val="222222"/>
        </w:rPr>
        <w:t>BATIMATEC</w:t>
      </w:r>
      <w:r w:rsidRPr="004A2378">
        <w:rPr>
          <w:rStyle w:val="apple-converted-space"/>
          <w:rFonts w:cstheme="majorBidi"/>
          <w:color w:val="222222"/>
        </w:rPr>
        <w:t> </w:t>
      </w:r>
      <w:r w:rsidRPr="004A2378">
        <w:t>à Alger), et la diffusion de</w:t>
      </w:r>
      <w:r w:rsidRPr="004A2378">
        <w:rPr>
          <w:rStyle w:val="apple-converted-space"/>
          <w:rFonts w:cstheme="majorBidi"/>
          <w:color w:val="222222"/>
        </w:rPr>
        <w:t> </w:t>
      </w:r>
      <w:r w:rsidRPr="004A2378">
        <w:rPr>
          <w:rStyle w:val="lev"/>
          <w:rFonts w:cstheme="majorBidi"/>
          <w:color w:val="222222"/>
        </w:rPr>
        <w:t>communiqués de presse</w:t>
      </w:r>
      <w:r w:rsidRPr="004A2378">
        <w:rPr>
          <w:rStyle w:val="apple-converted-space"/>
          <w:rFonts w:cstheme="majorBidi"/>
          <w:color w:val="222222"/>
        </w:rPr>
        <w:t> </w:t>
      </w:r>
      <w:r w:rsidRPr="004A2378">
        <w:t>via les journaux régionaux. Ces actions visent à informer les parties prenantes (clients, autorités, partenaires) des performances de l’entreprise et de ses engagements.</w:t>
      </w:r>
    </w:p>
    <w:p w14:paraId="2ACDBA4E" w14:textId="77777777" w:rsidR="004A2378" w:rsidRPr="004A2378" w:rsidRDefault="004A2378" w:rsidP="004A2378">
      <w:r w:rsidRPr="004A2378">
        <w:t>À titre d’exemple, la participation de la SCHB à BATIMATEC a permis de mettre en lumière ses innovations technologiques, tandis qu’un communiqué diffusé en 2022 annonçait sa certification ISO 14001 pour son système de management environnemental. Ces canaux contribuent à asseoir la réputation de l’entreprise en tant qu’acteur industriel engagé.</w:t>
      </w:r>
    </w:p>
    <w:p w14:paraId="3170FA9C" w14:textId="77777777" w:rsidR="004A2378" w:rsidRPr="003505FB" w:rsidRDefault="004A2378" w:rsidP="000B457B">
      <w:pPr>
        <w:pStyle w:val="Titre2"/>
        <w:numPr>
          <w:ilvl w:val="1"/>
          <w:numId w:val="55"/>
        </w:numPr>
      </w:pPr>
      <w:bookmarkStart w:id="111" w:name="_Toc200825455"/>
      <w:r w:rsidRPr="003505FB">
        <w:t>Présence sur les réseaux sociaux</w:t>
      </w:r>
      <w:bookmarkEnd w:id="111"/>
    </w:p>
    <w:p w14:paraId="564AF5F5" w14:textId="77777777" w:rsidR="004A2378" w:rsidRPr="004A2378" w:rsidRDefault="004A2378" w:rsidP="004A2378">
      <w:r w:rsidRPr="004A2378">
        <w:t>La SCHB est présente à travers les</w:t>
      </w:r>
      <w:r w:rsidRPr="004A2378">
        <w:rPr>
          <w:rStyle w:val="apple-converted-space"/>
          <w:rFonts w:cstheme="majorBidi"/>
          <w:color w:val="222222"/>
        </w:rPr>
        <w:t> </w:t>
      </w:r>
      <w:r w:rsidRPr="004A2378">
        <w:rPr>
          <w:rStyle w:val="lev"/>
          <w:rFonts w:cstheme="majorBidi"/>
          <w:color w:val="222222"/>
        </w:rPr>
        <w:t>pages officielles du Groupe GICA</w:t>
      </w:r>
      <w:r w:rsidRPr="004A2378">
        <w:rPr>
          <w:rStyle w:val="apple-converted-space"/>
          <w:rFonts w:cstheme="majorBidi"/>
          <w:color w:val="222222"/>
        </w:rPr>
        <w:t> </w:t>
      </w:r>
      <w:r w:rsidRPr="004A2378">
        <w:t>sur Facebook, LinkedIn et YouTube, qui constituent des vecteurs essentiels de sa stratégie de communication numérique. Ces plateformes permettent la diffusion :</w:t>
      </w:r>
    </w:p>
    <w:p w14:paraId="14CA9631" w14:textId="77777777" w:rsidR="004A2378" w:rsidRPr="004A2378" w:rsidRDefault="003914A2" w:rsidP="006F6589">
      <w:pPr>
        <w:pStyle w:val="Paragraphedeliste"/>
        <w:numPr>
          <w:ilvl w:val="0"/>
          <w:numId w:val="16"/>
        </w:numPr>
      </w:pPr>
      <w:r w:rsidRPr="004A2378">
        <w:t>D’informations</w:t>
      </w:r>
      <w:r w:rsidR="004A2378" w:rsidRPr="004A2378">
        <w:t xml:space="preserve"> sur les produits et procédés industriels ;</w:t>
      </w:r>
    </w:p>
    <w:p w14:paraId="3AF095A4" w14:textId="77777777" w:rsidR="004A2378" w:rsidRPr="004A2378" w:rsidRDefault="003914A2" w:rsidP="006F6589">
      <w:pPr>
        <w:pStyle w:val="Paragraphedeliste"/>
        <w:numPr>
          <w:ilvl w:val="0"/>
          <w:numId w:val="16"/>
        </w:numPr>
      </w:pPr>
      <w:r w:rsidRPr="004A2378">
        <w:t>De</w:t>
      </w:r>
      <w:r w:rsidR="004A2378" w:rsidRPr="004A2378">
        <w:t xml:space="preserve"> publications relatives aux</w:t>
      </w:r>
      <w:r w:rsidR="004A2378" w:rsidRPr="003914A2">
        <w:rPr>
          <w:rStyle w:val="apple-converted-space"/>
          <w:rFonts w:cstheme="majorBidi"/>
          <w:color w:val="222222"/>
        </w:rPr>
        <w:t> </w:t>
      </w:r>
      <w:r w:rsidR="004A2378" w:rsidRPr="003914A2">
        <w:rPr>
          <w:rStyle w:val="lev"/>
          <w:rFonts w:cstheme="majorBidi"/>
          <w:color w:val="222222"/>
        </w:rPr>
        <w:t>recrutements</w:t>
      </w:r>
      <w:r w:rsidR="004A2378" w:rsidRPr="003914A2">
        <w:rPr>
          <w:rStyle w:val="apple-converted-space"/>
          <w:rFonts w:cstheme="majorBidi"/>
          <w:color w:val="222222"/>
        </w:rPr>
        <w:t> </w:t>
      </w:r>
      <w:r w:rsidR="004A2378" w:rsidRPr="004A2378">
        <w:t>et opportunités de carrière ;</w:t>
      </w:r>
    </w:p>
    <w:p w14:paraId="3AA98520" w14:textId="77777777" w:rsidR="004A2378" w:rsidRPr="004A2378" w:rsidRDefault="003914A2" w:rsidP="006F6589">
      <w:pPr>
        <w:pStyle w:val="Paragraphedeliste"/>
        <w:numPr>
          <w:ilvl w:val="0"/>
          <w:numId w:val="16"/>
        </w:numPr>
      </w:pPr>
      <w:r w:rsidRPr="004A2378">
        <w:lastRenderedPageBreak/>
        <w:t>De</w:t>
      </w:r>
      <w:r w:rsidR="004A2378" w:rsidRPr="003914A2">
        <w:rPr>
          <w:rStyle w:val="apple-converted-space"/>
          <w:rFonts w:cstheme="majorBidi"/>
          <w:color w:val="222222"/>
        </w:rPr>
        <w:t> </w:t>
      </w:r>
      <w:r w:rsidR="004A2378" w:rsidRPr="003914A2">
        <w:rPr>
          <w:rStyle w:val="lev"/>
          <w:rFonts w:cstheme="majorBidi"/>
          <w:color w:val="222222"/>
        </w:rPr>
        <w:t>campagnes de sensibilisation</w:t>
      </w:r>
      <w:r w:rsidR="004A2378" w:rsidRPr="003914A2">
        <w:rPr>
          <w:rStyle w:val="apple-converted-space"/>
          <w:rFonts w:cstheme="majorBidi"/>
          <w:color w:val="222222"/>
        </w:rPr>
        <w:t> </w:t>
      </w:r>
      <w:r w:rsidR="004A2378" w:rsidRPr="004A2378">
        <w:t>environnementale ou sécuritaire.</w:t>
      </w:r>
    </w:p>
    <w:p w14:paraId="14650095" w14:textId="77777777" w:rsidR="004A2378" w:rsidRPr="004A2378" w:rsidRDefault="004A2378" w:rsidP="003505FB">
      <w:r w:rsidRPr="004A2378">
        <w:t>Par exemple, une</w:t>
      </w:r>
      <w:r w:rsidRPr="004A2378">
        <w:rPr>
          <w:rStyle w:val="apple-converted-space"/>
          <w:rFonts w:cstheme="majorBidi"/>
          <w:color w:val="222222"/>
        </w:rPr>
        <w:t> </w:t>
      </w:r>
      <w:r w:rsidRPr="004A2378">
        <w:rPr>
          <w:rStyle w:val="lev"/>
          <w:rFonts w:cstheme="majorBidi"/>
          <w:color w:val="222222"/>
        </w:rPr>
        <w:t>vidéo diffusée en mai 2023 sur la page Facebook du Groupe GICA</w:t>
      </w:r>
      <w:r w:rsidRPr="004A2378">
        <w:rPr>
          <w:rStyle w:val="apple-converted-space"/>
          <w:rFonts w:cstheme="majorBidi"/>
          <w:color w:val="222222"/>
        </w:rPr>
        <w:t> </w:t>
      </w:r>
      <w:r w:rsidRPr="004A2378">
        <w:t>présentait les efforts de la SCHB en matière de tri des déchets industriels, dans le cadre de sa démarche d’économie circulaire. Sur LinkedIn, la publication en février 2024 d’un article sur l’intégration de jeunes ingénieurs témoignait de la politique d’insertion professionnelle du groupe. Quant à YouTube, la chaîne officielle propose des reportages documentaires sur les processus de production ou les projets environnementaux, renforçant l</w:t>
      </w:r>
      <w:r w:rsidR="003505FB">
        <w:t>a transparence de l’entreprise.</w:t>
      </w:r>
    </w:p>
    <w:p w14:paraId="01D41373" w14:textId="77777777" w:rsidR="004A2378" w:rsidRPr="004A2378" w:rsidRDefault="004A2378" w:rsidP="000B457B">
      <w:pPr>
        <w:pStyle w:val="Titre2"/>
        <w:numPr>
          <w:ilvl w:val="1"/>
          <w:numId w:val="55"/>
        </w:numPr>
      </w:pPr>
      <w:bookmarkStart w:id="112" w:name="_Toc200825456"/>
      <w:r w:rsidRPr="004A2378">
        <w:t>Relations avec les parties prenantes locales</w:t>
      </w:r>
      <w:bookmarkEnd w:id="112"/>
    </w:p>
    <w:p w14:paraId="3FFAC28C" w14:textId="77777777" w:rsidR="004A2378" w:rsidRPr="004A2378" w:rsidRDefault="004A2378" w:rsidP="004A2378">
      <w:r w:rsidRPr="004A2378">
        <w:t>La SCHB développe également des relations de proximité avec la communauté locale de Constantine, en mettant en place des actions de sensibilisation, des projets éducatifs et des opérations à vocation sociale ou environnementale.</w:t>
      </w:r>
    </w:p>
    <w:p w14:paraId="12064F4E" w14:textId="77777777" w:rsidR="004A2378" w:rsidRPr="004A2378" w:rsidRDefault="004A2378" w:rsidP="004A2378">
      <w:r w:rsidRPr="004A2378">
        <w:t>En</w:t>
      </w:r>
      <w:r w:rsidRPr="004A2378">
        <w:rPr>
          <w:rStyle w:val="apple-converted-space"/>
          <w:rFonts w:cstheme="majorBidi"/>
          <w:color w:val="222222"/>
        </w:rPr>
        <w:t> </w:t>
      </w:r>
      <w:r w:rsidRPr="004A2378">
        <w:rPr>
          <w:rStyle w:val="lev"/>
          <w:rFonts w:cstheme="majorBidi"/>
          <w:color w:val="222222"/>
        </w:rPr>
        <w:t>avril 2022</w:t>
      </w:r>
      <w:r w:rsidRPr="004A2378">
        <w:t>, des ateliers de sensibilisation à l’environnement ont été organisés dans les écoles primaires de la commune de Hamma Bouziane, avec distribution de kits pédagogiques à plus de 200 élèves.</w:t>
      </w:r>
    </w:p>
    <w:p w14:paraId="171D10AC" w14:textId="77777777" w:rsidR="004A2378" w:rsidRPr="004A2378" w:rsidRDefault="004A2378" w:rsidP="004A2378">
      <w:r w:rsidRPr="004A2378">
        <w:t>En</w:t>
      </w:r>
      <w:r w:rsidRPr="004A2378">
        <w:rPr>
          <w:rStyle w:val="apple-converted-space"/>
          <w:rFonts w:cstheme="majorBidi"/>
          <w:color w:val="222222"/>
        </w:rPr>
        <w:t> </w:t>
      </w:r>
      <w:r w:rsidRPr="004A2378">
        <w:rPr>
          <w:rStyle w:val="lev"/>
          <w:rFonts w:cstheme="majorBidi"/>
          <w:color w:val="222222"/>
        </w:rPr>
        <w:t>décembre 2023</w:t>
      </w:r>
      <w:r w:rsidRPr="004A2378">
        <w:t>, la SCHB a sponsorisé un club de sport scolaire local, dans une logique de soutien aux initiatives culturelles et sportives.</w:t>
      </w:r>
    </w:p>
    <w:p w14:paraId="511545D7" w14:textId="77777777" w:rsidR="004A2378" w:rsidRPr="004A2378" w:rsidRDefault="004A2378" w:rsidP="004A2378">
      <w:r w:rsidRPr="004A2378">
        <w:t>En</w:t>
      </w:r>
      <w:r w:rsidRPr="004A2378">
        <w:rPr>
          <w:rStyle w:val="apple-converted-space"/>
          <w:rFonts w:cstheme="majorBidi"/>
          <w:color w:val="222222"/>
        </w:rPr>
        <w:t> </w:t>
      </w:r>
      <w:r w:rsidRPr="004A2378">
        <w:rPr>
          <w:rStyle w:val="lev"/>
          <w:rFonts w:cstheme="majorBidi"/>
          <w:color w:val="222222"/>
        </w:rPr>
        <w:t>mars 2024</w:t>
      </w:r>
      <w:r w:rsidRPr="004A2378">
        <w:t>, une campagne de</w:t>
      </w:r>
      <w:r w:rsidRPr="004A2378">
        <w:rPr>
          <w:rStyle w:val="apple-converted-space"/>
          <w:rFonts w:cstheme="majorBidi"/>
          <w:color w:val="222222"/>
        </w:rPr>
        <w:t> </w:t>
      </w:r>
      <w:r w:rsidRPr="004A2378">
        <w:rPr>
          <w:rStyle w:val="lev"/>
          <w:rFonts w:cstheme="majorBidi"/>
          <w:color w:val="222222"/>
        </w:rPr>
        <w:t>reboisement</w:t>
      </w:r>
      <w:r w:rsidRPr="004A2378">
        <w:rPr>
          <w:rStyle w:val="apple-converted-space"/>
          <w:rFonts w:cstheme="majorBidi"/>
          <w:color w:val="222222"/>
        </w:rPr>
        <w:t> </w:t>
      </w:r>
      <w:r w:rsidRPr="004A2378">
        <w:t>a été menée en partenariat avec l’association</w:t>
      </w:r>
      <w:r w:rsidRPr="004A2378">
        <w:rPr>
          <w:rStyle w:val="apple-converted-space"/>
          <w:rFonts w:cstheme="majorBidi"/>
          <w:color w:val="222222"/>
        </w:rPr>
        <w:t> </w:t>
      </w:r>
      <w:r w:rsidRPr="004A2378">
        <w:rPr>
          <w:rStyle w:val="Accentuation"/>
          <w:rFonts w:cstheme="majorBidi"/>
          <w:color w:val="222222"/>
        </w:rPr>
        <w:t>El-Khadra pour l’environnement</w:t>
      </w:r>
      <w:r w:rsidRPr="004A2378">
        <w:t>, ayant permis la plantation de plus de 300 arbustes autour du périmètre de l’usine.</w:t>
      </w:r>
    </w:p>
    <w:p w14:paraId="38251B27" w14:textId="77777777" w:rsidR="004A2378" w:rsidRPr="004A2378" w:rsidRDefault="004A2378" w:rsidP="00F15548">
      <w:r w:rsidRPr="004A2378">
        <w:t>Ces actions illustrent l'engagement de la SCHB dans une démarche de</w:t>
      </w:r>
      <w:r w:rsidRPr="004A2378">
        <w:rPr>
          <w:rStyle w:val="apple-converted-space"/>
          <w:rFonts w:cstheme="majorBidi"/>
          <w:color w:val="222222"/>
        </w:rPr>
        <w:t> </w:t>
      </w:r>
      <w:r w:rsidRPr="004A2378">
        <w:rPr>
          <w:rStyle w:val="lev"/>
          <w:rFonts w:cstheme="majorBidi"/>
          <w:color w:val="222222"/>
        </w:rPr>
        <w:t>responsabilité sociétale d'entreprise (RSE)</w:t>
      </w:r>
      <w:r w:rsidRPr="004A2378">
        <w:t>, centrée sur la valorisation du territoire, la préservation de l’environnem</w:t>
      </w:r>
      <w:r w:rsidR="00F15548">
        <w:t>ent et le développement humain.</w:t>
      </w:r>
    </w:p>
    <w:p w14:paraId="028F7D0A" w14:textId="77777777" w:rsidR="004A2378" w:rsidRPr="004A2378" w:rsidRDefault="004A2378" w:rsidP="004A2378">
      <w:r w:rsidRPr="004A2378">
        <w:t>Bibliographie indicative</w:t>
      </w:r>
    </w:p>
    <w:p w14:paraId="55BCA240" w14:textId="77777777" w:rsidR="004A2378" w:rsidRPr="004A2378" w:rsidRDefault="004A2378" w:rsidP="004A2378">
      <w:r w:rsidRPr="004A2378">
        <w:t>Groupe GICA – Page Facebook officielle.</w:t>
      </w:r>
      <w:r w:rsidRPr="004A2378">
        <w:rPr>
          <w:rStyle w:val="apple-converted-space"/>
          <w:rFonts w:cstheme="majorBidi"/>
          <w:color w:val="222222"/>
        </w:rPr>
        <w:t> </w:t>
      </w:r>
      <w:hyperlink r:id="rId42" w:tgtFrame="_blank" w:history="1">
        <w:r w:rsidRPr="004A2378">
          <w:rPr>
            <w:rStyle w:val="Lienhypertexte"/>
            <w:rFonts w:cstheme="majorBidi"/>
            <w:color w:val="1155CC"/>
          </w:rPr>
          <w:t>https://www.facebook.com/GroupeGICA</w:t>
        </w:r>
      </w:hyperlink>
      <w:r w:rsidRPr="004A2378">
        <w:rPr>
          <w:rStyle w:val="apple-converted-space"/>
          <w:rFonts w:cstheme="majorBidi"/>
          <w:color w:val="222222"/>
        </w:rPr>
        <w:t> </w:t>
      </w:r>
      <w:r w:rsidRPr="004A2378">
        <w:t>(consulté en mai 2024).</w:t>
      </w:r>
    </w:p>
    <w:p w14:paraId="40A9653E" w14:textId="77777777" w:rsidR="004A2378" w:rsidRPr="004A2378" w:rsidRDefault="004A2378" w:rsidP="004A2378">
      <w:r w:rsidRPr="004A2378">
        <w:t>Groupe GICA – Chaîne YouTube officielle.</w:t>
      </w:r>
      <w:r w:rsidRPr="004A2378">
        <w:rPr>
          <w:rStyle w:val="apple-converted-space"/>
          <w:rFonts w:cstheme="majorBidi"/>
          <w:color w:val="222222"/>
        </w:rPr>
        <w:t> </w:t>
      </w:r>
      <w:hyperlink r:id="rId43" w:tgtFrame="_blank" w:history="1">
        <w:r w:rsidRPr="004A2378">
          <w:rPr>
            <w:rStyle w:val="Lienhypertexte"/>
            <w:rFonts w:cstheme="majorBidi"/>
            <w:color w:val="1155CC"/>
          </w:rPr>
          <w:t>https://www.youtube.com/@GroupeGICA</w:t>
        </w:r>
      </w:hyperlink>
    </w:p>
    <w:p w14:paraId="3D9DCCE5" w14:textId="77777777" w:rsidR="004A2378" w:rsidRPr="004A2378" w:rsidRDefault="004A2378" w:rsidP="004A2378">
      <w:r w:rsidRPr="004A2378">
        <w:lastRenderedPageBreak/>
        <w:t>Rapport annuel d’activités du Groupe GICA (2022) – disponible sur le site institutionnel :</w:t>
      </w:r>
      <w:r w:rsidRPr="004A2378">
        <w:rPr>
          <w:rStyle w:val="apple-converted-space"/>
          <w:rFonts w:cstheme="majorBidi"/>
          <w:color w:val="222222"/>
        </w:rPr>
        <w:t> </w:t>
      </w:r>
      <w:hyperlink r:id="rId44" w:tgtFrame="_blank" w:history="1">
        <w:r w:rsidRPr="004A2378">
          <w:rPr>
            <w:rStyle w:val="Lienhypertexte"/>
            <w:rFonts w:cstheme="majorBidi"/>
            <w:color w:val="1155CC"/>
          </w:rPr>
          <w:t>www.groupegica.dz</w:t>
        </w:r>
      </w:hyperlink>
    </w:p>
    <w:p w14:paraId="69CA5112" w14:textId="77777777" w:rsidR="004A2378" w:rsidRPr="004A2378" w:rsidRDefault="004A2378" w:rsidP="004A2378">
      <w:r w:rsidRPr="004A2378">
        <w:t>Participation de GICA au Salon BATIMATEC 2023 – article</w:t>
      </w:r>
      <w:r w:rsidRPr="004A2378">
        <w:rPr>
          <w:rStyle w:val="apple-converted-space"/>
          <w:rFonts w:cstheme="majorBidi"/>
          <w:color w:val="222222"/>
        </w:rPr>
        <w:t> </w:t>
      </w:r>
      <w:r w:rsidRPr="004A2378">
        <w:rPr>
          <w:rStyle w:val="Accentuation"/>
          <w:rFonts w:cstheme="majorBidi"/>
          <w:color w:val="222222"/>
        </w:rPr>
        <w:t>L’Est Républicain</w:t>
      </w:r>
      <w:r w:rsidRPr="004A2378">
        <w:t>, édition du 8 mai 2023.</w:t>
      </w:r>
    </w:p>
    <w:p w14:paraId="1194FE40" w14:textId="77777777" w:rsidR="00F15548" w:rsidRPr="004A2378" w:rsidRDefault="004A2378" w:rsidP="003505FB">
      <w:r w:rsidRPr="004A2378">
        <w:t>Témoignages internes recueillis auprès du service HSE et du service commun</w:t>
      </w:r>
      <w:r w:rsidR="003505FB">
        <w:t>ication de la SCHB (juin 2025).</w:t>
      </w:r>
    </w:p>
    <w:p w14:paraId="1BEAA782" w14:textId="77777777" w:rsidR="004A2378" w:rsidRPr="00F15548" w:rsidRDefault="004A2378" w:rsidP="00F15548"/>
    <w:p w14:paraId="1428D9EE" w14:textId="77777777" w:rsidR="004A2378" w:rsidRDefault="004A2378" w:rsidP="00F577B6">
      <w:pPr>
        <w:rPr>
          <w:position w:val="1"/>
        </w:rPr>
      </w:pPr>
    </w:p>
    <w:p w14:paraId="7E3D3FAC" w14:textId="77777777" w:rsidR="002C7E4A" w:rsidRDefault="002C7E4A" w:rsidP="00F577B6">
      <w:pPr>
        <w:rPr>
          <w:position w:val="1"/>
        </w:rPr>
      </w:pPr>
    </w:p>
    <w:p w14:paraId="0EC09CE1" w14:textId="77777777" w:rsidR="002C7E4A" w:rsidRDefault="002C7E4A" w:rsidP="00F577B6">
      <w:pPr>
        <w:rPr>
          <w:position w:val="1"/>
        </w:rPr>
      </w:pPr>
    </w:p>
    <w:p w14:paraId="0E4F0CBA" w14:textId="77777777" w:rsidR="002C7E4A" w:rsidRDefault="002C7E4A" w:rsidP="00F577B6">
      <w:pPr>
        <w:rPr>
          <w:position w:val="1"/>
        </w:rPr>
      </w:pPr>
    </w:p>
    <w:p w14:paraId="09A7FCC3" w14:textId="77777777" w:rsidR="002C7E4A" w:rsidRDefault="002C7E4A" w:rsidP="00F577B6">
      <w:pPr>
        <w:rPr>
          <w:position w:val="1"/>
        </w:rPr>
      </w:pPr>
    </w:p>
    <w:p w14:paraId="0C98795E" w14:textId="77777777" w:rsidR="002C7E4A" w:rsidRDefault="002C7E4A" w:rsidP="00F577B6">
      <w:pPr>
        <w:rPr>
          <w:position w:val="1"/>
        </w:rPr>
      </w:pPr>
    </w:p>
    <w:p w14:paraId="5074CB49" w14:textId="77777777" w:rsidR="002C7E4A" w:rsidRDefault="002C7E4A" w:rsidP="00F577B6">
      <w:pPr>
        <w:rPr>
          <w:position w:val="1"/>
        </w:rPr>
      </w:pPr>
    </w:p>
    <w:p w14:paraId="2BA79BF1" w14:textId="77777777" w:rsidR="002C7E4A" w:rsidRDefault="002C7E4A" w:rsidP="00F577B6">
      <w:pPr>
        <w:rPr>
          <w:position w:val="1"/>
        </w:rPr>
      </w:pPr>
    </w:p>
    <w:p w14:paraId="58164005" w14:textId="77777777" w:rsidR="002C7E4A" w:rsidRDefault="002C7E4A" w:rsidP="00F577B6">
      <w:pPr>
        <w:rPr>
          <w:position w:val="1"/>
        </w:rPr>
      </w:pPr>
    </w:p>
    <w:p w14:paraId="68A2E6FE" w14:textId="77777777" w:rsidR="002C7E4A" w:rsidRDefault="002C7E4A" w:rsidP="00F577B6">
      <w:pPr>
        <w:rPr>
          <w:position w:val="1"/>
        </w:rPr>
      </w:pPr>
    </w:p>
    <w:p w14:paraId="4C847CAF" w14:textId="77777777" w:rsidR="00F15548" w:rsidRDefault="00F15548" w:rsidP="00F577B6">
      <w:pPr>
        <w:rPr>
          <w:position w:val="1"/>
        </w:rPr>
      </w:pPr>
    </w:p>
    <w:p w14:paraId="11B01A52" w14:textId="77777777" w:rsidR="00F15548" w:rsidRDefault="00F15548" w:rsidP="00F577B6">
      <w:pPr>
        <w:rPr>
          <w:position w:val="1"/>
        </w:rPr>
      </w:pPr>
    </w:p>
    <w:p w14:paraId="2BEE7FFA" w14:textId="77777777" w:rsidR="00F15548" w:rsidRDefault="00F15548" w:rsidP="00F577B6">
      <w:pPr>
        <w:rPr>
          <w:position w:val="1"/>
        </w:rPr>
      </w:pPr>
    </w:p>
    <w:p w14:paraId="77B05888" w14:textId="77777777" w:rsidR="009645CF" w:rsidRDefault="009645CF" w:rsidP="003505FB">
      <w:pPr>
        <w:ind w:firstLine="0"/>
        <w:rPr>
          <w:rFonts w:ascii="Times New Roman" w:eastAsia="Times New Roman" w:hAnsi="Times New Roman" w:cs="Times New Roman"/>
          <w:b/>
          <w:bCs/>
          <w:sz w:val="28"/>
          <w:szCs w:val="24"/>
          <w:lang w:eastAsia="fr-FR"/>
        </w:rPr>
      </w:pPr>
    </w:p>
    <w:p w14:paraId="43415AE2" w14:textId="77777777" w:rsidR="00612506" w:rsidRDefault="00612506" w:rsidP="003505FB">
      <w:pPr>
        <w:ind w:firstLine="0"/>
        <w:rPr>
          <w:rFonts w:ascii="Times New Roman" w:eastAsia="Times New Roman" w:hAnsi="Times New Roman" w:cs="Times New Roman"/>
          <w:b/>
          <w:bCs/>
          <w:sz w:val="28"/>
          <w:szCs w:val="24"/>
          <w:lang w:eastAsia="fr-FR"/>
        </w:rPr>
      </w:pPr>
    </w:p>
    <w:p w14:paraId="3D486525" w14:textId="77777777" w:rsidR="00F577B6" w:rsidRPr="00F577B6" w:rsidRDefault="00F577B6" w:rsidP="002C7E4A">
      <w:pPr>
        <w:pStyle w:val="Citationintense"/>
        <w:framePr w:wrap="auto" w:vAnchor="margin" w:yAlign="inline"/>
        <w:ind w:left="0" w:firstLine="0"/>
        <w:rPr>
          <w:lang w:eastAsia="fr-FR"/>
        </w:rPr>
      </w:pPr>
      <w:bookmarkStart w:id="113" w:name="_Toc200825457"/>
      <w:r w:rsidRPr="002C7E4A">
        <w:rPr>
          <w:lang w:eastAsia="fr-FR"/>
        </w:rPr>
        <w:lastRenderedPageBreak/>
        <w:t xml:space="preserve">Section </w:t>
      </w:r>
      <w:r w:rsidR="002C7E4A" w:rsidRPr="002C7E4A">
        <w:rPr>
          <w:lang w:eastAsia="fr-FR"/>
        </w:rPr>
        <w:t>03</w:t>
      </w:r>
      <w:r w:rsidRPr="002C7E4A">
        <w:rPr>
          <w:lang w:eastAsia="fr-FR"/>
        </w:rPr>
        <w:t>: Présentation générale d'études</w:t>
      </w:r>
      <w:bookmarkEnd w:id="113"/>
      <w:r w:rsidR="009849A5" w:rsidRPr="002C7E4A">
        <w:rPr>
          <w:lang w:eastAsia="fr-FR"/>
        </w:rPr>
        <w:t xml:space="preserve"> </w:t>
      </w:r>
    </w:p>
    <w:p w14:paraId="1D5D1C80" w14:textId="77777777" w:rsidR="00F577B6" w:rsidRPr="00612506" w:rsidRDefault="00F577B6" w:rsidP="000B457B">
      <w:pPr>
        <w:pStyle w:val="Titre1"/>
        <w:numPr>
          <w:ilvl w:val="0"/>
          <w:numId w:val="39"/>
        </w:numPr>
        <w:rPr>
          <w:rFonts w:eastAsia="Times New Roman"/>
          <w:lang w:eastAsia="fr-FR"/>
        </w:rPr>
      </w:pPr>
      <w:r w:rsidRPr="00612506">
        <w:rPr>
          <w:rFonts w:eastAsia="Times New Roman"/>
          <w:lang w:eastAsia="fr-FR"/>
        </w:rPr>
        <w:t xml:space="preserve"> </w:t>
      </w:r>
      <w:bookmarkStart w:id="114" w:name="_Toc200825458"/>
      <w:r w:rsidRPr="00612506">
        <w:rPr>
          <w:rFonts w:eastAsia="Times New Roman"/>
          <w:lang w:eastAsia="fr-FR"/>
        </w:rPr>
        <w:t>Méthodologie de l'étude sur le terrain</w:t>
      </w:r>
      <w:bookmarkEnd w:id="114"/>
    </w:p>
    <w:p w14:paraId="181B2F19" w14:textId="77777777" w:rsidR="00F577B6" w:rsidRPr="0098067F"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 xml:space="preserve">Après avoir défini la problématique de recherche, posé des hypothèses et défini les objectifs de l'étude dans le cadre théorique, vous tenterez, à travers cette étude de terrain de la Fondation </w:t>
      </w:r>
      <w:proofErr w:type="spellStart"/>
      <w:r w:rsidRPr="0098067F">
        <w:rPr>
          <w:rFonts w:ascii="Times New Roman" w:eastAsia="Times New Roman" w:hAnsi="Times New Roman" w:cs="Times New Roman"/>
          <w:lang w:eastAsia="fr-FR"/>
        </w:rPr>
        <w:t>Mantal</w:t>
      </w:r>
      <w:proofErr w:type="spellEnd"/>
      <w:r w:rsidRPr="0098067F">
        <w:rPr>
          <w:rFonts w:ascii="Times New Roman" w:eastAsia="Times New Roman" w:hAnsi="Times New Roman" w:cs="Times New Roman"/>
          <w:lang w:eastAsia="fr-FR"/>
        </w:rPr>
        <w:t>, de mettre en évidence les aspects liés à notre sujet d'étude. À l'instar de toute recherche scientifique nécessitant la définition d'un cadre méthodologique, celui-ci doit servir de base à l'organisation des idées et des informations pour la recherche de faits et l'obtention de résultats. Il permet également d'étudier le sujet de manière simple et claire. Par conséquent, vous tenterez, dans cette section, de décrire la communauté et l'échantillon étudiés, puis de déterminer les outils utilisés pour la collecte des données et les méthodes d'analyse employées.</w:t>
      </w:r>
    </w:p>
    <w:p w14:paraId="65EA8854" w14:textId="77777777" w:rsidR="00F577B6" w:rsidRPr="0098067F"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Première exigence : Communauté et échantillon de l'étude de terrain</w:t>
      </w:r>
    </w:p>
    <w:p w14:paraId="717CEBD5" w14:textId="77777777" w:rsidR="00F577B6" w:rsidRPr="0098067F"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L'étude sur le terrain a été divisée en :</w:t>
      </w:r>
    </w:p>
    <w:p w14:paraId="60704B1B" w14:textId="77777777" w:rsidR="00F577B6" w:rsidRPr="0098067F"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La première section : la population étudiée</w:t>
      </w:r>
    </w:p>
    <w:p w14:paraId="4EFE270B" w14:textId="77777777" w:rsidR="00F577B6" w:rsidRPr="0098067F" w:rsidRDefault="00F577B6" w:rsidP="0061250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La communauté d'étude se définit comme l'ensemble des éléments du phénomène étudié par le chercheur. Ainsi, la communauté d'étude regroupe l'ensemble des individus ou des éléments qui constituent le problème étudié. On l'appelle aussi population statistique, ce qui signifie que les éléments de la communauté étudiée, ainsi que les informations et données collectées, varient d'un cas à l'autre ou d'une étude à l'autre.</w:t>
      </w:r>
    </w:p>
    <w:p w14:paraId="072CC1D8" w14:textId="77777777" w:rsidR="00F577B6" w:rsidRPr="0098067F"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 xml:space="preserve">Etant donné que le phénomène étudié est lié à la formation comme mécanisme de soutien à la performance des employés de l’établissement </w:t>
      </w:r>
      <w:proofErr w:type="spellStart"/>
      <w:r w:rsidRPr="0098067F">
        <w:rPr>
          <w:rFonts w:ascii="Times New Roman" w:eastAsia="Times New Roman" w:hAnsi="Times New Roman" w:cs="Times New Roman"/>
          <w:lang w:eastAsia="fr-FR"/>
        </w:rPr>
        <w:t>Mantal</w:t>
      </w:r>
      <w:proofErr w:type="spellEnd"/>
      <w:r w:rsidRPr="0098067F">
        <w:rPr>
          <w:rFonts w:ascii="Times New Roman" w:eastAsia="Times New Roman" w:hAnsi="Times New Roman" w:cs="Times New Roman"/>
          <w:lang w:eastAsia="fr-FR"/>
        </w:rPr>
        <w:t xml:space="preserve"> Tlemcen, la population visée par cette étude est l’ensemble des travailleurs qui travaillent dans l’établissement </w:t>
      </w:r>
      <w:proofErr w:type="spellStart"/>
      <w:r w:rsidRPr="0098067F">
        <w:rPr>
          <w:rFonts w:ascii="Times New Roman" w:eastAsia="Times New Roman" w:hAnsi="Times New Roman" w:cs="Times New Roman"/>
          <w:lang w:eastAsia="fr-FR"/>
        </w:rPr>
        <w:t>Mantal</w:t>
      </w:r>
      <w:proofErr w:type="spellEnd"/>
      <w:r w:rsidRPr="0098067F">
        <w:rPr>
          <w:rFonts w:ascii="Times New Roman" w:eastAsia="Times New Roman" w:hAnsi="Times New Roman" w:cs="Times New Roman"/>
          <w:lang w:eastAsia="fr-FR"/>
        </w:rPr>
        <w:t>.</w:t>
      </w:r>
    </w:p>
    <w:p w14:paraId="5B151DB6" w14:textId="77777777" w:rsidR="00F577B6" w:rsidRPr="0098067F"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La deuxième section : l'échantillon d'étude</w:t>
      </w:r>
    </w:p>
    <w:p w14:paraId="5421A954" w14:textId="77777777" w:rsidR="00F577B6" w:rsidRPr="00F577B6" w:rsidRDefault="00F577B6" w:rsidP="00F577B6">
      <w:pPr>
        <w:rPr>
          <w:rFonts w:ascii="Times New Roman" w:eastAsia="Times New Roman" w:hAnsi="Times New Roman" w:cs="Times New Roman"/>
          <w:lang w:eastAsia="fr-FR"/>
        </w:rPr>
      </w:pPr>
      <w:r w:rsidRPr="0098067F">
        <w:rPr>
          <w:rFonts w:ascii="Times New Roman" w:eastAsia="Times New Roman" w:hAnsi="Times New Roman" w:cs="Times New Roman"/>
          <w:lang w:eastAsia="fr-FR"/>
        </w:rPr>
        <w:t xml:space="preserve">L'échantillon de l'étude a été choisi aléatoirement, d'autant plus qu'il est considéré comme l'un des axes clés de notre étude de terrain. Sur cette base, le questionnaire a été distribué aux cadres supérieurs (directeurs généraux), aux cadres intermédiaires (directeurs d'agence et chefs </w:t>
      </w:r>
      <w:r w:rsidRPr="0098067F">
        <w:rPr>
          <w:rFonts w:ascii="Times New Roman" w:eastAsia="Times New Roman" w:hAnsi="Times New Roman" w:cs="Times New Roman"/>
          <w:lang w:eastAsia="fr-FR"/>
        </w:rPr>
        <w:lastRenderedPageBreak/>
        <w:t>de service) et aux cadres dirigeants (superviseurs). Une liste de questionnaires a ensuite été distribuée aux trois cadres de l'institution, comme le montre la figure suivante.</w:t>
      </w:r>
      <w:r w:rsidR="00612506">
        <w:rPr>
          <w:rStyle w:val="Appelnotedebasdep"/>
          <w:rFonts w:ascii="Times New Roman" w:eastAsia="Times New Roman" w:hAnsi="Times New Roman" w:cs="Times New Roman"/>
          <w:lang w:eastAsia="fr-FR"/>
        </w:rPr>
        <w:footnoteReference w:id="117"/>
      </w:r>
    </w:p>
    <w:p w14:paraId="2A69F008" w14:textId="77777777" w:rsidR="00F577B6" w:rsidRPr="00F577B6" w:rsidRDefault="00F577B6" w:rsidP="00F577B6">
      <w:pPr>
        <w:rPr>
          <w:rFonts w:eastAsia="Times New Roman" w:cstheme="majorBidi"/>
          <w:color w:val="222222"/>
          <w:lang w:eastAsia="fr-FR"/>
        </w:rPr>
      </w:pPr>
      <w:r w:rsidRPr="00F577B6">
        <w:rPr>
          <w:rFonts w:eastAsia="Times New Roman" w:cstheme="majorBidi"/>
          <w:color w:val="222222"/>
          <w:lang w:eastAsia="fr-FR"/>
        </w:rPr>
        <w:t xml:space="preserve">Il ressort de la figure que seule… une liste de questionnaires distribués éligibles au traitement et à l'analyse a été récupérée, Abi </w:t>
      </w:r>
      <w:proofErr w:type="spellStart"/>
      <w:r w:rsidRPr="00F577B6">
        <w:rPr>
          <w:rFonts w:eastAsia="Times New Roman" w:cstheme="majorBidi"/>
          <w:color w:val="222222"/>
          <w:lang w:eastAsia="fr-FR"/>
        </w:rPr>
        <w:t>Hab</w:t>
      </w:r>
      <w:proofErr w:type="spellEnd"/>
      <w:r w:rsidRPr="00F577B6">
        <w:rPr>
          <w:rFonts w:eastAsia="Times New Roman" w:cstheme="majorBidi"/>
          <w:color w:val="222222"/>
          <w:lang w:eastAsia="fr-FR"/>
        </w:rPr>
        <w:t>… après exclusion… des listes de réponses incomplètes, c'est-à-dire des comptes rendus. Par ailleurs,… des listes de questionnaires distribués représentant… du total des questionnaires distribués n'ont pas été récupérées.</w:t>
      </w:r>
    </w:p>
    <w:p w14:paraId="3D2A27B1" w14:textId="77777777" w:rsidR="00F577B6" w:rsidRPr="00F577B6" w:rsidRDefault="00F577B6" w:rsidP="00F577B6">
      <w:pPr>
        <w:rPr>
          <w:rFonts w:eastAsia="Times New Roman" w:cstheme="majorBidi"/>
          <w:color w:val="222222"/>
          <w:lang w:eastAsia="fr-FR"/>
        </w:rPr>
      </w:pPr>
      <w:r w:rsidRPr="00F577B6">
        <w:rPr>
          <w:rFonts w:eastAsia="Times New Roman" w:cstheme="majorBidi"/>
          <w:b/>
          <w:bCs/>
          <w:color w:val="222222"/>
          <w:lang w:eastAsia="fr-FR"/>
        </w:rPr>
        <w:t>Deuxième exigence</w:t>
      </w:r>
      <w:r w:rsidRPr="00F577B6">
        <w:rPr>
          <w:rFonts w:eastAsia="Times New Roman" w:cstheme="majorBidi"/>
          <w:color w:val="222222"/>
          <w:lang w:eastAsia="fr-FR"/>
        </w:rPr>
        <w:t> : Outils utilisés pour la collecte de données</w:t>
      </w:r>
    </w:p>
    <w:p w14:paraId="15418167" w14:textId="77777777" w:rsidR="00F577B6" w:rsidRPr="00F577B6" w:rsidRDefault="00F577B6" w:rsidP="00F577B6">
      <w:pPr>
        <w:rPr>
          <w:rFonts w:eastAsia="Times New Roman" w:cstheme="majorBidi"/>
          <w:color w:val="222222"/>
          <w:lang w:eastAsia="fr-FR"/>
        </w:rPr>
      </w:pPr>
      <w:r w:rsidRPr="00F577B6">
        <w:rPr>
          <w:rFonts w:eastAsia="Times New Roman" w:cstheme="majorBidi"/>
          <w:color w:val="222222"/>
          <w:lang w:eastAsia="fr-FR"/>
        </w:rPr>
        <w:t>L'utilisation de toute méthode scientifique nécessite un ensemble d'outils et de méthodes appropriés permettant au chercheur d'accéder aux données nécessaires et de proposer une vérité ou un domaine d'étude. La nature et la spécificité du sujet étudié dictent le choix d'un ensemble d'outils pour faciliter la collecte de données. Dans ce sujet de recherche, deux outils de collecte de données seront utilisés. Le questionnaire sera utilisé principalement, et la collecte de données sera appuyée par des entretiens avec des responsables de l'institution… afin de recueillir de nouvelles données qui seront utilisées lors de l'élaboration du questionnaire.</w:t>
      </w:r>
    </w:p>
    <w:p w14:paraId="0D0E0691" w14:textId="77777777" w:rsidR="00F577B6" w:rsidRPr="00F577B6" w:rsidRDefault="00F577B6" w:rsidP="00F577B6">
      <w:pPr>
        <w:rPr>
          <w:rFonts w:eastAsia="Times New Roman" w:cstheme="majorBidi"/>
          <w:color w:val="222222"/>
          <w:lang w:eastAsia="fr-FR"/>
        </w:rPr>
      </w:pPr>
      <w:r w:rsidRPr="00F577B6">
        <w:rPr>
          <w:rFonts w:eastAsia="Times New Roman" w:cstheme="majorBidi"/>
          <w:b/>
          <w:bCs/>
          <w:color w:val="222222"/>
          <w:lang w:eastAsia="fr-FR"/>
        </w:rPr>
        <w:t>Première section</w:t>
      </w:r>
      <w:r w:rsidRPr="00F577B6">
        <w:rPr>
          <w:rFonts w:eastAsia="Times New Roman" w:cstheme="majorBidi"/>
          <w:color w:val="222222"/>
          <w:lang w:eastAsia="fr-FR"/>
        </w:rPr>
        <w:t> : Le questionnaire</w:t>
      </w:r>
    </w:p>
    <w:p w14:paraId="6E1E9A5A" w14:textId="77777777" w:rsidR="00F577B6" w:rsidRPr="00F577B6" w:rsidRDefault="00F577B6" w:rsidP="00F577B6">
      <w:pPr>
        <w:rPr>
          <w:rFonts w:eastAsia="Times New Roman" w:cstheme="majorBidi"/>
          <w:color w:val="222222"/>
          <w:lang w:eastAsia="fr-FR"/>
        </w:rPr>
      </w:pPr>
      <w:r w:rsidRPr="00F577B6">
        <w:rPr>
          <w:rFonts w:eastAsia="Times New Roman" w:cstheme="majorBidi"/>
          <w:color w:val="222222"/>
          <w:lang w:eastAsia="fr-FR"/>
        </w:rPr>
        <w:t>Un questionnaire est plus couramment utilisé qu'un questionnaire pour la collecte de données. Il s'agit d'un formulaire qui comprend un ensemble de questions adressées aux individus ou à l'institution étudiée, dans le but d'obtenir des données et des résultats liés au sujet à étudier.</w:t>
      </w:r>
    </w:p>
    <w:p w14:paraId="271458F2" w14:textId="77777777" w:rsidR="00F577B6" w:rsidRDefault="00F577B6" w:rsidP="00F577B6">
      <w:r>
        <w:t>Nous avons largement utilisé cet outil pour préparer le questionnaire en fonction de la problématique de notre sujet de recherche et de ses hypothèses. Il figurait au début du questionnaire et a été correctement répondu. Il comprenait également un ensemble de questions organisées selon un ordre scientifique, conformément au plan et à la méthodologie du sujet.</w:t>
      </w:r>
    </w:p>
    <w:p w14:paraId="52A50545" w14:textId="77777777" w:rsidR="00F577B6" w:rsidRDefault="00F577B6" w:rsidP="00F577B6">
      <w:pPr>
        <w:rPr>
          <w:b/>
          <w:bCs/>
        </w:rPr>
      </w:pPr>
    </w:p>
    <w:p w14:paraId="1FC7FB3D" w14:textId="77777777" w:rsidR="00F577B6" w:rsidRDefault="00F577B6" w:rsidP="00612506">
      <w:pPr>
        <w:ind w:firstLine="0"/>
        <w:rPr>
          <w:b/>
          <w:bCs/>
        </w:rPr>
      </w:pPr>
    </w:p>
    <w:p w14:paraId="55FE1E76" w14:textId="77777777" w:rsidR="00F577B6" w:rsidRPr="00F577B6" w:rsidRDefault="00F577B6" w:rsidP="00F577B6">
      <w:pPr>
        <w:rPr>
          <w:b/>
          <w:bCs/>
        </w:rPr>
      </w:pPr>
      <w:r w:rsidRPr="00F577B6">
        <w:rPr>
          <w:b/>
          <w:bCs/>
        </w:rPr>
        <w:lastRenderedPageBreak/>
        <w:t>Deuxième partie : L'entretien</w:t>
      </w:r>
    </w:p>
    <w:p w14:paraId="10E383C4" w14:textId="77777777" w:rsidR="006D73CB" w:rsidRDefault="00F577B6" w:rsidP="006D73CB">
      <w:r>
        <w:t>Il s'agit d'une interaction verbale entre deux ou plusieurs personnes, lors d'une conversation en face à face ou par d'autres moyens tels que le téléphone ou la communication par satellite. Le chercheur joue le rôle d'intervieweur, c'est-à-dire qu'il adresse des questions et des demandes à son interlocuteur, qui répond à son tour</w:t>
      </w:r>
      <w:r w:rsidR="006D73CB">
        <w:t xml:space="preserve"> aux questions et aux demandes</w:t>
      </w:r>
    </w:p>
    <w:p w14:paraId="0342A317" w14:textId="77777777" w:rsidR="00F577B6" w:rsidRPr="006D73CB" w:rsidRDefault="003505FB" w:rsidP="006D73CB">
      <w:r w:rsidRPr="00F577B6">
        <w:rPr>
          <w:b/>
          <w:bCs/>
        </w:rPr>
        <w:t>L’introduction</w:t>
      </w:r>
      <w:r w:rsidR="00F577B6" w:rsidRPr="00F577B6">
        <w:rPr>
          <w:b/>
          <w:bCs/>
        </w:rPr>
        <w:t>.</w:t>
      </w:r>
    </w:p>
    <w:p w14:paraId="2E775544" w14:textId="77777777" w:rsidR="006D73CB" w:rsidRDefault="00F577B6" w:rsidP="006D73CB">
      <w:r>
        <w:t>Les entretiens présentent de nombreux avantages, notamment la possibilité de clarifier certains points et de reposer les questions et les demandes de renseignements. Ils incluent également des indicateurs qui renforcent les réponses, comme le ton de la voix, les expressions faciales et la gestuelle. Cependant, ils nécessitent des enquêteurs formés, car un nombre relativement important de personnes doivent être interrogées. Dans notre recherche, nous avons utilisé des entretiens en posant une série de questions à des responsables ayant une connaissance suffisante du sujet étudié. Cette méthode visait à établir les faits et à tirer des conclusions. Elle nous a permis d'interpréter les résultats de l'enquête, d'éviter les idées préconçues et la subjectivité, et de présenter des résultats significatifs. Cette méthode nous a également permis de comparer les résultats de l'enquête avec ceux de l'entretien.</w:t>
      </w:r>
      <w:r w:rsidR="00612506">
        <w:t xml:space="preserve"> </w:t>
      </w:r>
      <w:r w:rsidR="00612506">
        <w:rPr>
          <w:rStyle w:val="Appelnotedebasdep"/>
        </w:rPr>
        <w:footnoteReference w:id="118"/>
      </w:r>
    </w:p>
    <w:p w14:paraId="330ED61E" w14:textId="77777777" w:rsidR="006D73CB" w:rsidRDefault="006D73CB" w:rsidP="006D73CB">
      <w:pPr>
        <w:sectPr w:rsidR="006D73CB" w:rsidSect="00ED7F32">
          <w:headerReference w:type="default" r:id="rId45"/>
          <w:type w:val="continuous"/>
          <w:pgSz w:w="11906" w:h="16838"/>
          <w:pgMar w:top="1417" w:right="1417" w:bottom="1417" w:left="1417" w:header="708" w:footer="708" w:gutter="0"/>
          <w:cols w:space="708"/>
          <w:docGrid w:linePitch="360"/>
        </w:sectPr>
      </w:pPr>
    </w:p>
    <w:p w14:paraId="5B390128" w14:textId="77777777" w:rsidR="00612506" w:rsidRDefault="00612506" w:rsidP="006D73CB">
      <w:pPr>
        <w:ind w:firstLine="0"/>
        <w:rPr>
          <w:b/>
          <w:bCs/>
          <w:sz w:val="72"/>
          <w:szCs w:val="56"/>
        </w:rPr>
      </w:pPr>
    </w:p>
    <w:p w14:paraId="34EE4794" w14:textId="77777777" w:rsidR="00612506" w:rsidRDefault="00612506" w:rsidP="003505FB">
      <w:pPr>
        <w:jc w:val="center"/>
        <w:rPr>
          <w:b/>
          <w:bCs/>
          <w:sz w:val="72"/>
          <w:szCs w:val="56"/>
        </w:rPr>
      </w:pPr>
    </w:p>
    <w:p w14:paraId="343CCFC2" w14:textId="77777777" w:rsidR="003505FB" w:rsidRDefault="003505FB" w:rsidP="003505FB">
      <w:pPr>
        <w:jc w:val="center"/>
        <w:rPr>
          <w:b/>
          <w:bCs/>
          <w:sz w:val="72"/>
          <w:szCs w:val="56"/>
        </w:rPr>
      </w:pPr>
      <w:r w:rsidRPr="002C7E4A">
        <w:rPr>
          <w:b/>
          <w:bCs/>
          <w:sz w:val="72"/>
          <w:szCs w:val="56"/>
        </w:rPr>
        <w:t>Chapitre 3 :</w:t>
      </w:r>
      <w:r w:rsidRPr="003505FB">
        <w:rPr>
          <w:b/>
          <w:bCs/>
          <w:sz w:val="72"/>
          <w:szCs w:val="56"/>
        </w:rPr>
        <w:t xml:space="preserve"> </w:t>
      </w:r>
    </w:p>
    <w:p w14:paraId="1BFB1AE6" w14:textId="77777777" w:rsidR="003505FB" w:rsidRDefault="003505FB" w:rsidP="003505FB">
      <w:pPr>
        <w:jc w:val="center"/>
        <w:rPr>
          <w:b/>
          <w:bCs/>
          <w:sz w:val="72"/>
          <w:szCs w:val="56"/>
        </w:rPr>
      </w:pPr>
      <w:r w:rsidRPr="003505FB">
        <w:rPr>
          <w:b/>
          <w:bCs/>
          <w:sz w:val="72"/>
          <w:szCs w:val="56"/>
        </w:rPr>
        <w:t xml:space="preserve">Méthodes et outils </w:t>
      </w:r>
    </w:p>
    <w:p w14:paraId="0B439FBB" w14:textId="77777777" w:rsidR="003505FB" w:rsidRDefault="003505FB" w:rsidP="003505FB">
      <w:pPr>
        <w:jc w:val="center"/>
        <w:rPr>
          <w:b/>
          <w:bCs/>
          <w:sz w:val="72"/>
          <w:szCs w:val="56"/>
        </w:rPr>
      </w:pPr>
      <w:r w:rsidRPr="003505FB">
        <w:rPr>
          <w:b/>
          <w:bCs/>
          <w:sz w:val="72"/>
          <w:szCs w:val="56"/>
        </w:rPr>
        <w:t>d’analyse statistique</w:t>
      </w:r>
    </w:p>
    <w:p w14:paraId="3C5388EC" w14:textId="77777777" w:rsidR="006D73CB" w:rsidRDefault="006D73CB" w:rsidP="006D73CB">
      <w:pPr>
        <w:rPr>
          <w:b/>
          <w:bCs/>
          <w:sz w:val="72"/>
          <w:szCs w:val="56"/>
        </w:rPr>
        <w:sectPr w:rsidR="006D73CB" w:rsidSect="006D73CB">
          <w:headerReference w:type="default" r:id="rId46"/>
          <w:footerReference w:type="default" r:id="rId47"/>
          <w:pgSz w:w="11906" w:h="16838"/>
          <w:pgMar w:top="1417" w:right="1417" w:bottom="1417" w:left="1417" w:header="708" w:footer="708" w:gutter="0"/>
          <w:cols w:space="708"/>
          <w:docGrid w:linePitch="360"/>
        </w:sectPr>
      </w:pPr>
    </w:p>
    <w:p w14:paraId="6BB8A437" w14:textId="77777777" w:rsidR="00F577B6" w:rsidRPr="003505FB" w:rsidRDefault="003505FB" w:rsidP="00FF60D3">
      <w:pPr>
        <w:pStyle w:val="Citation"/>
      </w:pPr>
      <w:r>
        <w:lastRenderedPageBreak/>
        <w:t xml:space="preserve"> </w:t>
      </w:r>
      <w:bookmarkStart w:id="115" w:name="_Toc200731542"/>
      <w:bookmarkStart w:id="116" w:name="_Toc200825459"/>
      <w:r w:rsidR="006D73CB">
        <w:t xml:space="preserve">Chapitre </w:t>
      </w:r>
      <w:r w:rsidR="00FF60D3">
        <w:t>04</w:t>
      </w:r>
      <w:r w:rsidR="00F577B6" w:rsidRPr="003505FB">
        <w:t> : Méthodes et outils d’analyse statistique</w:t>
      </w:r>
      <w:bookmarkEnd w:id="115"/>
      <w:bookmarkEnd w:id="116"/>
    </w:p>
    <w:p w14:paraId="2580D40F"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lang w:eastAsia="fr-FR"/>
        </w:rPr>
        <w:t>Peut être classée comme suit :</w:t>
      </w:r>
    </w:p>
    <w:p w14:paraId="5A540383" w14:textId="77777777" w:rsidR="00F577B6" w:rsidRPr="0077731B" w:rsidRDefault="00F577B6" w:rsidP="006D73CB">
      <w:pPr>
        <w:pStyle w:val="Citationintense"/>
        <w:framePr w:wrap="auto" w:vAnchor="margin" w:yAlign="inline"/>
        <w:ind w:left="0" w:firstLine="0"/>
        <w:rPr>
          <w:lang w:eastAsia="fr-FR"/>
        </w:rPr>
      </w:pPr>
      <w:bookmarkStart w:id="117" w:name="_Toc200825460"/>
      <w:r w:rsidRPr="0077731B">
        <w:rPr>
          <w:lang w:eastAsia="fr-FR"/>
        </w:rPr>
        <w:t xml:space="preserve">Section </w:t>
      </w:r>
      <w:r w:rsidR="0077731B" w:rsidRPr="0077731B">
        <w:rPr>
          <w:lang w:eastAsia="fr-FR"/>
        </w:rPr>
        <w:t>0</w:t>
      </w:r>
      <w:r w:rsidRPr="0077731B">
        <w:rPr>
          <w:lang w:eastAsia="fr-FR"/>
        </w:rPr>
        <w:t>1 : Variables de l’étude</w:t>
      </w:r>
      <w:bookmarkEnd w:id="117"/>
    </w:p>
    <w:p w14:paraId="64179E0A"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lang w:eastAsia="fr-FR"/>
        </w:rPr>
        <w:t>L’étude comprend des variables primaires et secondaires. Afin d’identifier les variables indépendantes et dépendantes, une définition opérationnelle doit être donnée pour chaque variable :</w:t>
      </w:r>
    </w:p>
    <w:p w14:paraId="7916E396"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rtl/>
          <w:lang w:eastAsia="fr-FR"/>
        </w:rPr>
        <w:t>1-1</w:t>
      </w:r>
      <w:r w:rsidRPr="00152406">
        <w:rPr>
          <w:rFonts w:eastAsia="Times New Roman" w:cstheme="majorBidi"/>
          <w:color w:val="222222"/>
          <w:lang w:eastAsia="fr-FR"/>
        </w:rPr>
        <w:t xml:space="preserve"> La</w:t>
      </w:r>
      <w:r w:rsidR="00152406">
        <w:rPr>
          <w:rFonts w:eastAsia="Times New Roman" w:cstheme="majorBidi"/>
          <w:color w:val="222222"/>
          <w:lang w:eastAsia="fr-FR"/>
        </w:rPr>
        <w:t xml:space="preserve"> variable indépendante primaire :</w:t>
      </w:r>
      <w:r w:rsidRPr="00152406">
        <w:rPr>
          <w:rFonts w:eastAsia="Times New Roman" w:cstheme="majorBidi"/>
          <w:color w:val="222222"/>
          <w:lang w:eastAsia="fr-FR"/>
        </w:rPr>
        <w:t xml:space="preserve"> représentée par le </w:t>
      </w:r>
      <w:r w:rsidR="00152406" w:rsidRPr="00152406">
        <w:rPr>
          <w:rFonts w:eastAsia="Times New Roman" w:cstheme="majorBidi"/>
          <w:color w:val="222222"/>
          <w:lang w:eastAsia="fr-FR"/>
        </w:rPr>
        <w:t>greenwashing</w:t>
      </w:r>
      <w:r w:rsidR="00152406" w:rsidRPr="00152406">
        <w:rPr>
          <w:rFonts w:eastAsia="Times New Roman" w:cstheme="majorBidi"/>
          <w:color w:val="222222"/>
          <w:rtl/>
          <w:lang w:eastAsia="fr-FR"/>
        </w:rPr>
        <w:t>،</w:t>
      </w:r>
      <w:r w:rsidRPr="00152406">
        <w:rPr>
          <w:rFonts w:eastAsia="Times New Roman" w:cstheme="majorBidi"/>
          <w:color w:val="222222"/>
          <w:lang w:eastAsia="fr-FR"/>
        </w:rPr>
        <w:t xml:space="preserve"> a été exprimée selon trois axes dans le questionnaire de notre étude.</w:t>
      </w:r>
    </w:p>
    <w:p w14:paraId="7E25D84A"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lang w:eastAsia="fr-FR"/>
        </w:rPr>
        <w:t>La première variable indépendante secondaire, représentée par la confiance verte, a été exprimée en paragraphes (…) dans le questionnaire de l’étude.</w:t>
      </w:r>
    </w:p>
    <w:p w14:paraId="0CE7972E"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lang w:eastAsia="fr-FR"/>
        </w:rPr>
        <w:t>La deuxième variable indépendante secondaire, représentée par la perception des risques environnementaux, a été exprimée en paragraphes (…) dans le questionnaire de l’étude.</w:t>
      </w:r>
    </w:p>
    <w:p w14:paraId="2B9F82C6"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lang w:eastAsia="fr-FR"/>
        </w:rPr>
        <w:t>La troisième variable indépendante secondaire, représentée par la crédibilité perçue , a été exprimée en paragraphes (…) dans le questionnaire de l’étude.</w:t>
      </w:r>
    </w:p>
    <w:p w14:paraId="2168AF36" w14:textId="77777777" w:rsidR="00F577B6" w:rsidRPr="006D73CB" w:rsidRDefault="00F577B6" w:rsidP="006D73CB">
      <w:pPr>
        <w:rPr>
          <w:lang w:eastAsia="fr-FR"/>
        </w:rPr>
      </w:pPr>
      <w:r w:rsidRPr="00152406">
        <w:rPr>
          <w:rtl/>
          <w:lang w:eastAsia="fr-FR"/>
        </w:rPr>
        <w:t>2-1</w:t>
      </w:r>
      <w:r w:rsidR="00152406">
        <w:rPr>
          <w:lang w:eastAsia="fr-FR"/>
        </w:rPr>
        <w:t xml:space="preserve"> La variable dépendante:</w:t>
      </w:r>
      <w:r w:rsidRPr="00152406">
        <w:rPr>
          <w:lang w:eastAsia="fr-FR"/>
        </w:rPr>
        <w:t xml:space="preserve"> représentée par l'image de marque exprimée dans la deuxième partie du questionnaire, est composée de (...) paragraphes centrés sur trois indicateurs </w:t>
      </w:r>
      <w:r w:rsidR="00152406" w:rsidRPr="00152406">
        <w:rPr>
          <w:lang w:eastAsia="fr-FR"/>
        </w:rPr>
        <w:t>fondamentaux:</w:t>
      </w:r>
    </w:p>
    <w:p w14:paraId="481676D2" w14:textId="77777777" w:rsidR="00F577B6" w:rsidRPr="00152406" w:rsidRDefault="00F577B6" w:rsidP="00F577B6">
      <w:pPr>
        <w:rPr>
          <w:rFonts w:eastAsia="Times New Roman" w:cstheme="majorBidi"/>
          <w:color w:val="222222"/>
          <w:lang w:eastAsia="fr-FR"/>
        </w:rPr>
      </w:pPr>
      <w:r w:rsidRPr="00152406">
        <w:rPr>
          <w:rFonts w:eastAsia="Times New Roman" w:cstheme="majorBidi"/>
          <w:color w:val="222222"/>
          <w:lang w:eastAsia="fr-FR"/>
        </w:rPr>
        <w:t>Outre les variables personnelles (sexe, âge, niveau d'études, Êtes-vous client ou voisin de l'usine GICA , Depuis combien de temps connaissez-vous GICA ?),</w:t>
      </w:r>
    </w:p>
    <w:p w14:paraId="20D925B7" w14:textId="77777777" w:rsidR="00F577B6" w:rsidRPr="00152406" w:rsidRDefault="00F577B6" w:rsidP="00152406">
      <w:pPr>
        <w:rPr>
          <w:rFonts w:eastAsia="Times New Roman" w:cstheme="majorBidi"/>
          <w:color w:val="222222"/>
          <w:lang w:eastAsia="fr-FR"/>
        </w:rPr>
      </w:pPr>
      <w:r w:rsidRPr="00152406">
        <w:rPr>
          <w:rFonts w:eastAsia="Times New Roman" w:cstheme="majorBidi"/>
          <w:color w:val="222222"/>
          <w:lang w:eastAsia="fr-FR"/>
        </w:rPr>
        <w:t xml:space="preserve"> </w:t>
      </w:r>
      <w:r w:rsidR="00152406" w:rsidRPr="00152406">
        <w:rPr>
          <w:rFonts w:eastAsia="Times New Roman" w:cstheme="majorBidi"/>
          <w:color w:val="222222"/>
          <w:lang w:eastAsia="fr-FR"/>
        </w:rPr>
        <w:t>Nous</w:t>
      </w:r>
      <w:r w:rsidRPr="00152406">
        <w:rPr>
          <w:rFonts w:eastAsia="Times New Roman" w:cstheme="majorBidi"/>
          <w:color w:val="222222"/>
          <w:lang w:eastAsia="fr-FR"/>
        </w:rPr>
        <w:t xml:space="preserve"> pouvons coder les variables de recherche et définir leurs expressions correspondantes, comme indiqué dans le tableau suivant.</w:t>
      </w:r>
    </w:p>
    <w:p w14:paraId="4588A5A3" w14:textId="77777777" w:rsidR="00612506" w:rsidRDefault="00612506" w:rsidP="00152406">
      <w:pPr>
        <w:jc w:val="center"/>
        <w:rPr>
          <w:rFonts w:eastAsia="Times New Roman" w:cstheme="majorBidi"/>
          <w:color w:val="222222"/>
          <w:lang w:eastAsia="fr-FR"/>
        </w:rPr>
      </w:pPr>
    </w:p>
    <w:p w14:paraId="264734FC" w14:textId="77777777" w:rsidR="00612506" w:rsidRDefault="00612506" w:rsidP="00152406">
      <w:pPr>
        <w:jc w:val="center"/>
        <w:rPr>
          <w:rFonts w:eastAsia="Times New Roman" w:cstheme="majorBidi"/>
          <w:color w:val="222222"/>
          <w:lang w:eastAsia="fr-FR"/>
        </w:rPr>
      </w:pPr>
    </w:p>
    <w:p w14:paraId="14C86810" w14:textId="77777777" w:rsidR="006D73CB" w:rsidRDefault="006D73CB" w:rsidP="00152406">
      <w:pPr>
        <w:jc w:val="center"/>
        <w:rPr>
          <w:rFonts w:eastAsia="Times New Roman" w:cstheme="majorBidi"/>
          <w:color w:val="222222"/>
          <w:lang w:eastAsia="fr-FR"/>
        </w:rPr>
      </w:pPr>
    </w:p>
    <w:p w14:paraId="674CF059" w14:textId="77777777" w:rsidR="00F577B6" w:rsidRPr="00063796" w:rsidRDefault="00063796" w:rsidP="00063796">
      <w:pPr>
        <w:pStyle w:val="Lgende"/>
        <w:jc w:val="center"/>
        <w:rPr>
          <w:rFonts w:eastAsia="Times New Roman" w:cstheme="majorBidi"/>
          <w:b/>
          <w:bCs/>
          <w:i w:val="0"/>
          <w:iCs w:val="0"/>
          <w:color w:val="000000" w:themeColor="text1"/>
          <w:sz w:val="24"/>
          <w:szCs w:val="24"/>
          <w:lang w:eastAsia="fr-FR"/>
        </w:rPr>
      </w:pPr>
      <w:bookmarkStart w:id="118" w:name="_Toc200731397"/>
      <w:r w:rsidRPr="00063796">
        <w:rPr>
          <w:rFonts w:cstheme="majorBidi"/>
          <w:b/>
          <w:bCs/>
          <w:i w:val="0"/>
          <w:iCs w:val="0"/>
          <w:color w:val="000000" w:themeColor="text1"/>
          <w:sz w:val="24"/>
          <w:szCs w:val="24"/>
        </w:rPr>
        <w:lastRenderedPageBreak/>
        <w:t xml:space="preserve">Tableau  </w:t>
      </w:r>
      <w:r w:rsidRPr="00063796">
        <w:rPr>
          <w:rFonts w:eastAsia="Times New Roman" w:cstheme="majorBidi"/>
          <w:b/>
          <w:bCs/>
          <w:i w:val="0"/>
          <w:iCs w:val="0"/>
          <w:color w:val="000000" w:themeColor="text1"/>
          <w:sz w:val="24"/>
          <w:szCs w:val="24"/>
          <w:lang w:eastAsia="fr-FR"/>
        </w:rPr>
        <w:fldChar w:fldCharType="begin"/>
      </w:r>
      <w:r w:rsidRPr="00063796">
        <w:rPr>
          <w:rFonts w:eastAsia="Times New Roman" w:cstheme="majorBidi"/>
          <w:b/>
          <w:bCs/>
          <w:i w:val="0"/>
          <w:iCs w:val="0"/>
          <w:color w:val="000000" w:themeColor="text1"/>
          <w:sz w:val="24"/>
          <w:szCs w:val="24"/>
          <w:lang w:eastAsia="fr-FR"/>
        </w:rPr>
        <w:instrText xml:space="preserve"> SEQ Tableau_ \* ARABIC </w:instrText>
      </w:r>
      <w:r w:rsidRPr="00063796">
        <w:rPr>
          <w:rFonts w:eastAsia="Times New Roman" w:cstheme="majorBidi"/>
          <w:b/>
          <w:bCs/>
          <w:i w:val="0"/>
          <w:iCs w:val="0"/>
          <w:color w:val="000000" w:themeColor="text1"/>
          <w:sz w:val="24"/>
          <w:szCs w:val="24"/>
          <w:lang w:eastAsia="fr-FR"/>
        </w:rPr>
        <w:fldChar w:fldCharType="separate"/>
      </w:r>
      <w:r w:rsidR="00B55438">
        <w:rPr>
          <w:rFonts w:eastAsia="Times New Roman" w:cstheme="majorBidi"/>
          <w:b/>
          <w:bCs/>
          <w:i w:val="0"/>
          <w:iCs w:val="0"/>
          <w:noProof/>
          <w:color w:val="000000" w:themeColor="text1"/>
          <w:sz w:val="24"/>
          <w:szCs w:val="24"/>
          <w:lang w:eastAsia="fr-FR"/>
        </w:rPr>
        <w:t>4</w:t>
      </w:r>
      <w:r w:rsidRPr="00063796">
        <w:rPr>
          <w:rFonts w:eastAsia="Times New Roman" w:cstheme="majorBidi"/>
          <w:b/>
          <w:bCs/>
          <w:i w:val="0"/>
          <w:iCs w:val="0"/>
          <w:color w:val="000000" w:themeColor="text1"/>
          <w:sz w:val="24"/>
          <w:szCs w:val="24"/>
          <w:lang w:eastAsia="fr-FR"/>
        </w:rPr>
        <w:fldChar w:fldCharType="end"/>
      </w:r>
      <w:r w:rsidRPr="00063796">
        <w:rPr>
          <w:rFonts w:eastAsia="Times New Roman" w:cstheme="majorBidi"/>
          <w:b/>
          <w:bCs/>
          <w:i w:val="0"/>
          <w:iCs w:val="0"/>
          <w:color w:val="000000" w:themeColor="text1"/>
          <w:sz w:val="24"/>
          <w:szCs w:val="24"/>
          <w:lang w:eastAsia="fr-FR"/>
        </w:rPr>
        <w:t> </w:t>
      </w:r>
      <w:r w:rsidRPr="00063796">
        <w:rPr>
          <w:rFonts w:eastAsia="Times New Roman" w:cstheme="majorBidi"/>
          <w:i w:val="0"/>
          <w:iCs w:val="0"/>
          <w:color w:val="000000" w:themeColor="text1"/>
          <w:sz w:val="24"/>
          <w:szCs w:val="24"/>
          <w:lang w:eastAsia="fr-FR"/>
        </w:rPr>
        <w:t xml:space="preserve">: </w:t>
      </w:r>
      <w:r w:rsidR="00F577B6" w:rsidRPr="00063796">
        <w:rPr>
          <w:rFonts w:eastAsia="Times New Roman" w:cstheme="majorBidi"/>
          <w:i w:val="0"/>
          <w:iCs w:val="0"/>
          <w:color w:val="000000" w:themeColor="text1"/>
          <w:sz w:val="24"/>
          <w:szCs w:val="24"/>
          <w:lang w:eastAsia="fr-FR"/>
        </w:rPr>
        <w:t>Codage des variables de recherche</w:t>
      </w:r>
      <w:bookmarkEnd w:id="118"/>
    </w:p>
    <w:tbl>
      <w:tblPr>
        <w:tblStyle w:val="Grilledutableau"/>
        <w:tblW w:w="0" w:type="auto"/>
        <w:tblLook w:val="04A0" w:firstRow="1" w:lastRow="0" w:firstColumn="1" w:lastColumn="0" w:noHBand="0" w:noVBand="1"/>
      </w:tblPr>
      <w:tblGrid>
        <w:gridCol w:w="4528"/>
        <w:gridCol w:w="4528"/>
      </w:tblGrid>
      <w:tr w:rsidR="00F577B6" w:rsidRPr="00F577B6" w14:paraId="29986ACE" w14:textId="77777777" w:rsidTr="00F577B6">
        <w:trPr>
          <w:trHeight w:val="392"/>
        </w:trPr>
        <w:tc>
          <w:tcPr>
            <w:tcW w:w="4528" w:type="dxa"/>
          </w:tcPr>
          <w:p w14:paraId="0DAD6B90" w14:textId="77777777" w:rsidR="00F577B6" w:rsidRPr="00F577B6" w:rsidRDefault="00F577B6" w:rsidP="00F577B6">
            <w:pPr>
              <w:pStyle w:val="Sansinterligne"/>
              <w:spacing w:line="360" w:lineRule="auto"/>
              <w:jc w:val="center"/>
              <w:rPr>
                <w:rFonts w:asciiTheme="majorBidi" w:hAnsiTheme="majorBidi" w:cstheme="majorBidi"/>
                <w:b/>
                <w:bCs/>
                <w:lang w:eastAsia="fr-FR"/>
              </w:rPr>
            </w:pPr>
            <w:r w:rsidRPr="00F577B6">
              <w:rPr>
                <w:rFonts w:asciiTheme="majorBidi" w:hAnsiTheme="majorBidi" w:cstheme="majorBidi"/>
                <w:b/>
                <w:bCs/>
                <w:lang w:eastAsia="fr-FR"/>
              </w:rPr>
              <w:t>variables de recherche</w:t>
            </w:r>
          </w:p>
        </w:tc>
        <w:tc>
          <w:tcPr>
            <w:tcW w:w="4528" w:type="dxa"/>
          </w:tcPr>
          <w:p w14:paraId="510435FF" w14:textId="77777777" w:rsidR="00F577B6" w:rsidRPr="00F577B6" w:rsidRDefault="00F577B6" w:rsidP="00F577B6">
            <w:pPr>
              <w:pStyle w:val="Sansinterligne"/>
              <w:spacing w:line="360" w:lineRule="auto"/>
              <w:jc w:val="center"/>
              <w:rPr>
                <w:rFonts w:asciiTheme="majorBidi" w:hAnsiTheme="majorBidi" w:cstheme="majorBidi"/>
                <w:b/>
                <w:bCs/>
                <w:lang w:eastAsia="fr-FR"/>
              </w:rPr>
            </w:pPr>
            <w:r w:rsidRPr="00F577B6">
              <w:rPr>
                <w:rFonts w:asciiTheme="majorBidi" w:hAnsiTheme="majorBidi" w:cstheme="majorBidi"/>
                <w:b/>
                <w:bCs/>
                <w:lang w:eastAsia="fr-FR"/>
              </w:rPr>
              <w:t>Numéros de phrases correspondants</w:t>
            </w:r>
          </w:p>
        </w:tc>
      </w:tr>
      <w:tr w:rsidR="00F577B6" w:rsidRPr="00F577B6" w14:paraId="601E0784" w14:textId="77777777" w:rsidTr="00F577B6">
        <w:trPr>
          <w:trHeight w:val="396"/>
        </w:trPr>
        <w:tc>
          <w:tcPr>
            <w:tcW w:w="4528" w:type="dxa"/>
          </w:tcPr>
          <w:p w14:paraId="57461B47"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 xml:space="preserve">Informations générales  </w:t>
            </w:r>
          </w:p>
        </w:tc>
        <w:tc>
          <w:tcPr>
            <w:tcW w:w="4528" w:type="dxa"/>
          </w:tcPr>
          <w:p w14:paraId="379166B5"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Q1    -  Q5</w:t>
            </w:r>
          </w:p>
        </w:tc>
      </w:tr>
      <w:tr w:rsidR="00F577B6" w:rsidRPr="00F577B6" w14:paraId="0BADD15F" w14:textId="77777777" w:rsidTr="00F577B6">
        <w:trPr>
          <w:trHeight w:val="431"/>
        </w:trPr>
        <w:tc>
          <w:tcPr>
            <w:tcW w:w="4528" w:type="dxa"/>
          </w:tcPr>
          <w:p w14:paraId="7B134404"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la confiance verte</w:t>
            </w:r>
          </w:p>
        </w:tc>
        <w:tc>
          <w:tcPr>
            <w:tcW w:w="4528" w:type="dxa"/>
          </w:tcPr>
          <w:p w14:paraId="2D255154"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Q6   - Q9</w:t>
            </w:r>
          </w:p>
        </w:tc>
      </w:tr>
      <w:tr w:rsidR="00F577B6" w:rsidRPr="00F577B6" w14:paraId="0BD085F0" w14:textId="77777777" w:rsidTr="00F577B6">
        <w:trPr>
          <w:trHeight w:val="409"/>
        </w:trPr>
        <w:tc>
          <w:tcPr>
            <w:tcW w:w="4528" w:type="dxa"/>
          </w:tcPr>
          <w:p w14:paraId="2645D26D"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la perception des risques environnementaux</w:t>
            </w:r>
          </w:p>
        </w:tc>
        <w:tc>
          <w:tcPr>
            <w:tcW w:w="4528" w:type="dxa"/>
          </w:tcPr>
          <w:p w14:paraId="5FA659D1"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Q10   -  Q 13</w:t>
            </w:r>
          </w:p>
        </w:tc>
      </w:tr>
      <w:tr w:rsidR="00F577B6" w:rsidRPr="00F577B6" w14:paraId="2AF67D6C" w14:textId="77777777" w:rsidTr="00F577B6">
        <w:trPr>
          <w:trHeight w:val="572"/>
        </w:trPr>
        <w:tc>
          <w:tcPr>
            <w:tcW w:w="4528" w:type="dxa"/>
          </w:tcPr>
          <w:p w14:paraId="59AF07F3"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la crédibilité perçue</w:t>
            </w:r>
          </w:p>
        </w:tc>
        <w:tc>
          <w:tcPr>
            <w:tcW w:w="4528" w:type="dxa"/>
          </w:tcPr>
          <w:p w14:paraId="2AD0E539"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Q17    -  Q20</w:t>
            </w:r>
          </w:p>
        </w:tc>
      </w:tr>
      <w:tr w:rsidR="00F577B6" w:rsidRPr="00F577B6" w14:paraId="7E3AA60A" w14:textId="77777777" w:rsidTr="00F577B6">
        <w:trPr>
          <w:trHeight w:val="552"/>
        </w:trPr>
        <w:tc>
          <w:tcPr>
            <w:tcW w:w="4528" w:type="dxa"/>
          </w:tcPr>
          <w:p w14:paraId="4D36572C"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l'image de marque</w:t>
            </w:r>
          </w:p>
        </w:tc>
        <w:tc>
          <w:tcPr>
            <w:tcW w:w="4528" w:type="dxa"/>
          </w:tcPr>
          <w:p w14:paraId="38BB2301" w14:textId="77777777" w:rsidR="00F577B6" w:rsidRPr="00F577B6" w:rsidRDefault="00F577B6" w:rsidP="00F577B6">
            <w:pPr>
              <w:pStyle w:val="Sansinterligne"/>
              <w:spacing w:line="360" w:lineRule="auto"/>
              <w:rPr>
                <w:rFonts w:asciiTheme="majorBidi" w:hAnsiTheme="majorBidi" w:cstheme="majorBidi"/>
                <w:lang w:eastAsia="fr-FR"/>
              </w:rPr>
            </w:pPr>
            <w:r w:rsidRPr="00F577B6">
              <w:rPr>
                <w:rFonts w:asciiTheme="majorBidi" w:hAnsiTheme="majorBidi" w:cstheme="majorBidi"/>
                <w:lang w:eastAsia="fr-FR"/>
              </w:rPr>
              <w:t>Q21   -   Q32</w:t>
            </w:r>
          </w:p>
        </w:tc>
      </w:tr>
    </w:tbl>
    <w:p w14:paraId="2B00D52E" w14:textId="77777777" w:rsidR="00F577B6" w:rsidRDefault="00F577B6" w:rsidP="00F577B6">
      <w:pPr>
        <w:rPr>
          <w:rFonts w:ascii="Arial" w:eastAsia="Times New Roman" w:hAnsi="Arial" w:cs="Arial"/>
          <w:color w:val="222222"/>
          <w:lang w:eastAsia="fr-FR"/>
        </w:rPr>
      </w:pPr>
    </w:p>
    <w:p w14:paraId="59FF0FD0" w14:textId="77777777" w:rsidR="00F577B6" w:rsidRDefault="00F577B6" w:rsidP="00F577B6">
      <w:pPr>
        <w:rPr>
          <w:rFonts w:ascii="Arial" w:eastAsia="Times New Roman" w:hAnsi="Arial" w:cs="Arial"/>
          <w:color w:val="222222"/>
          <w:lang w:eastAsia="fr-FR"/>
        </w:rPr>
      </w:pPr>
      <w:r w:rsidRPr="00A2675A">
        <w:rPr>
          <w:rFonts w:ascii="Arial" w:eastAsia="Times New Roman" w:hAnsi="Arial" w:cs="Arial"/>
          <w:color w:val="222222"/>
          <w:lang w:eastAsia="fr-FR"/>
        </w:rPr>
        <w:t>.</w:t>
      </w:r>
    </w:p>
    <w:p w14:paraId="290E910E" w14:textId="77777777" w:rsidR="00F577B6" w:rsidRPr="00A2675A" w:rsidRDefault="00F577B6" w:rsidP="00F577B6">
      <w:pPr>
        <w:rPr>
          <w:rFonts w:ascii="Arial" w:eastAsia="Times New Roman" w:hAnsi="Arial" w:cs="Arial"/>
          <w:color w:val="222222"/>
          <w:lang w:eastAsia="fr-FR"/>
        </w:rPr>
      </w:pPr>
    </w:p>
    <w:p w14:paraId="2EDF8E8B" w14:textId="77777777" w:rsidR="00F577B6" w:rsidRPr="00A2675A" w:rsidRDefault="00F577B6" w:rsidP="00F577B6">
      <w:pPr>
        <w:rPr>
          <w:rFonts w:ascii="Arial" w:eastAsia="Times New Roman" w:hAnsi="Arial" w:cs="Arial"/>
          <w:color w:val="222222"/>
          <w:lang w:eastAsia="fr-FR"/>
        </w:rPr>
      </w:pPr>
    </w:p>
    <w:p w14:paraId="516C36C6" w14:textId="77777777" w:rsidR="00F577B6" w:rsidRDefault="00F577B6" w:rsidP="00F577B6">
      <w:pPr>
        <w:rPr>
          <w:noProof/>
          <w:lang w:eastAsia="fr-FR"/>
        </w:rPr>
      </w:pPr>
    </w:p>
    <w:p w14:paraId="3F7E2053" w14:textId="77777777" w:rsidR="00152406" w:rsidRDefault="00152406" w:rsidP="00F577B6">
      <w:pPr>
        <w:rPr>
          <w:noProof/>
          <w:lang w:eastAsia="fr-FR"/>
        </w:rPr>
      </w:pPr>
    </w:p>
    <w:p w14:paraId="64AAD42F" w14:textId="77777777" w:rsidR="00152406" w:rsidRPr="00A2675A" w:rsidRDefault="00152406" w:rsidP="00F577B6">
      <w:pPr>
        <w:rPr>
          <w:rFonts w:ascii="Times New Roman" w:eastAsia="Times New Roman" w:hAnsi="Times New Roman" w:cs="Times New Roman"/>
          <w:lang w:eastAsia="fr-FR"/>
        </w:rPr>
      </w:pPr>
    </w:p>
    <w:p w14:paraId="089B0C95" w14:textId="77777777" w:rsidR="00F577B6" w:rsidRDefault="00F577B6"/>
    <w:p w14:paraId="3F3E6D1F" w14:textId="77777777" w:rsidR="00612506" w:rsidRDefault="00612506" w:rsidP="0077731B">
      <w:pPr>
        <w:rPr>
          <w:b/>
          <w:bCs/>
        </w:rPr>
      </w:pPr>
    </w:p>
    <w:p w14:paraId="58ED128E" w14:textId="77777777" w:rsidR="00612506" w:rsidRDefault="00612506" w:rsidP="0077731B">
      <w:pPr>
        <w:rPr>
          <w:b/>
          <w:bCs/>
        </w:rPr>
      </w:pPr>
    </w:p>
    <w:p w14:paraId="19EDB8B1" w14:textId="77777777" w:rsidR="00612506" w:rsidRDefault="00612506" w:rsidP="0077731B">
      <w:pPr>
        <w:rPr>
          <w:b/>
          <w:bCs/>
        </w:rPr>
      </w:pPr>
    </w:p>
    <w:p w14:paraId="4FD30F61" w14:textId="77777777" w:rsidR="00612506" w:rsidRDefault="00612506" w:rsidP="0077731B">
      <w:pPr>
        <w:rPr>
          <w:b/>
          <w:bCs/>
        </w:rPr>
      </w:pPr>
    </w:p>
    <w:p w14:paraId="6F01D51A" w14:textId="77777777" w:rsidR="00612506" w:rsidRDefault="00612506" w:rsidP="0077731B">
      <w:pPr>
        <w:rPr>
          <w:b/>
          <w:bCs/>
        </w:rPr>
      </w:pPr>
    </w:p>
    <w:p w14:paraId="3459309F" w14:textId="77777777" w:rsidR="00612506" w:rsidRDefault="00612506" w:rsidP="0077731B">
      <w:pPr>
        <w:rPr>
          <w:b/>
          <w:bCs/>
        </w:rPr>
      </w:pPr>
    </w:p>
    <w:p w14:paraId="5CAB0612" w14:textId="77777777" w:rsidR="00612506" w:rsidRDefault="00612506" w:rsidP="0077731B">
      <w:pPr>
        <w:rPr>
          <w:b/>
          <w:bCs/>
        </w:rPr>
      </w:pPr>
    </w:p>
    <w:p w14:paraId="2814D73A" w14:textId="77777777" w:rsidR="006D73CB" w:rsidRDefault="006D73CB" w:rsidP="0077731B">
      <w:pPr>
        <w:rPr>
          <w:b/>
          <w:bCs/>
        </w:rPr>
      </w:pPr>
    </w:p>
    <w:p w14:paraId="42919B1F" w14:textId="77777777" w:rsidR="00F577B6" w:rsidRPr="00152406" w:rsidRDefault="00F577B6" w:rsidP="006D73CB">
      <w:pPr>
        <w:pStyle w:val="Citationintense"/>
        <w:framePr w:wrap="auto" w:vAnchor="margin" w:yAlign="inline"/>
        <w:ind w:left="0" w:firstLine="0"/>
      </w:pPr>
      <w:bookmarkStart w:id="119" w:name="_Toc200825461"/>
      <w:r w:rsidRPr="00152406">
        <w:lastRenderedPageBreak/>
        <w:t xml:space="preserve">Section </w:t>
      </w:r>
      <w:r w:rsidR="0077731B">
        <w:t>02</w:t>
      </w:r>
      <w:r w:rsidRPr="00152406">
        <w:t xml:space="preserve"> :</w:t>
      </w:r>
      <w:r w:rsidR="00152406">
        <w:t xml:space="preserve"> Méthodes d'analyse statistique</w:t>
      </w:r>
      <w:bookmarkEnd w:id="119"/>
    </w:p>
    <w:p w14:paraId="66F8BFF0" w14:textId="77777777" w:rsidR="00F577B6" w:rsidRDefault="00F577B6" w:rsidP="00152406">
      <w:r>
        <w:t>Étant donné que le but de la collecte de données est de les analyser et de les interpréter, après les avoir collectées, nous les transformons selon les é</w:t>
      </w:r>
      <w:r w:rsidR="00152406">
        <w:t>tapes scientifiques suivantes :</w:t>
      </w:r>
    </w:p>
    <w:p w14:paraId="6FE8458F" w14:textId="77777777" w:rsidR="00F577B6" w:rsidRDefault="00F577B6" w:rsidP="00152406">
      <w:r>
        <w:t xml:space="preserve">Unification des pondérations des phrases afin de traiter les données du questionnaire de manière uniforme. Il a été veillé à ce que les 46 phrases du questionnaire soient formulées de manière </w:t>
      </w:r>
      <w:r w:rsidR="00152406">
        <w:t>positive.</w:t>
      </w:r>
    </w:p>
    <w:p w14:paraId="3CC163F4" w14:textId="77777777" w:rsidR="00F577B6" w:rsidRDefault="00F577B6" w:rsidP="00152406">
      <w:r>
        <w:t>Transcrire des informations et des données, les convertir de formes qualitatives à quantitatives et les saisir dans u</w:t>
      </w:r>
      <w:r w:rsidR="00152406">
        <w:t>n programme multimédia spécial.</w:t>
      </w:r>
    </w:p>
    <w:p w14:paraId="62245BC9" w14:textId="77777777" w:rsidR="00F577B6" w:rsidRDefault="00F577B6" w:rsidP="00152406">
      <w:r>
        <w:t>Ce qui suit (</w:t>
      </w:r>
      <w:r w:rsidR="00152406">
        <w:t>SPSS Version 2</w:t>
      </w:r>
      <w:r w:rsidR="00AC729A">
        <w:t>7</w:t>
      </w:r>
      <w:r w:rsidR="00152406">
        <w:t>).</w:t>
      </w:r>
    </w:p>
    <w:p w14:paraId="27E20730" w14:textId="77777777" w:rsidR="00F577B6" w:rsidRDefault="00F577B6" w:rsidP="00152406">
      <w:r>
        <w:t>Tabulation et organisation des don</w:t>
      </w:r>
      <w:r w:rsidR="00152406">
        <w:t>nées dans des tableaux simples.</w:t>
      </w:r>
    </w:p>
    <w:p w14:paraId="253A75C2" w14:textId="77777777" w:rsidR="00F577B6" w:rsidRDefault="00F577B6" w:rsidP="00152406">
      <w:r>
        <w:t>Analyser et interpréter les données tabulaires et lier leurs composants en fonction de l'analyse du contenu de</w:t>
      </w:r>
      <w:r w:rsidR="00152406">
        <w:t>s données en liant le résultat.</w:t>
      </w:r>
    </w:p>
    <w:p w14:paraId="4EC46B97" w14:textId="77777777" w:rsidR="00F577B6" w:rsidRDefault="00F577B6" w:rsidP="00F577B6">
      <w:r>
        <w:t>Par la raison et l'analyse des éléments selon les dimensions apparentes et cachées.</w:t>
      </w:r>
    </w:p>
    <w:p w14:paraId="60607112" w14:textId="77777777" w:rsidR="00F577B6" w:rsidRDefault="00F577B6" w:rsidP="00F577B6">
      <w:r>
        <w:t>Après la collecte, le tri et le codage des données, celles-ci ont été traitées afin de les analyser, de tester les hypothèses de l'étude et d'atteindre ses objectifs. De nombreuses méthodes statistiques appropriées ont été utilisées avec SPSS, dont les suivantes :</w:t>
      </w:r>
    </w:p>
    <w:p w14:paraId="6EDEAAFC" w14:textId="77777777" w:rsidR="00F577B6" w:rsidRDefault="00F577B6" w:rsidP="00F577B6">
      <w:r>
        <w:t>1. Coefficient alpha de Cronbach pour mesurer la cohérence des énoncés du questionnaire. Ce coefficient est considéré comme acceptable si son pourcentage est supérieur à 60 %. Plus ce pourcentage est élevé, plus le questionnaire est stable.</w:t>
      </w:r>
    </w:p>
    <w:p w14:paraId="6F527184" w14:textId="77777777" w:rsidR="00F577B6" w:rsidRDefault="00F577B6" w:rsidP="00F577B6">
      <w:r>
        <w:t>2 Méthode d'analyse statistique descriptive, où j'ai utilisé chacun des éléments suivants :</w:t>
      </w:r>
    </w:p>
    <w:p w14:paraId="48D9CB6A" w14:textId="77777777" w:rsidR="00F577B6" w:rsidRDefault="00F577B6" w:rsidP="00F577B6">
      <w:r>
        <w:t>Fréquences et pourcentages pour identifier les caractéristiques personnelles et fonctionnelles des individus de l'échantillon d'étude, et pour déterminer les réponses de ses membres aux phrases des axes principaux incluses dans l'outil d'étude.</w:t>
      </w:r>
    </w:p>
    <w:p w14:paraId="665D8217" w14:textId="77777777" w:rsidR="00F577B6" w:rsidRDefault="00F577B6" w:rsidP="00F577B6">
      <w:r>
        <w:t>Moyenne pondérée : Pour connaître l'étendue des réponses élevées ou faibles des individus étudiés</w:t>
      </w:r>
    </w:p>
    <w:p w14:paraId="2C548B5E" w14:textId="77777777" w:rsidR="00F577B6" w:rsidRDefault="00F577B6" w:rsidP="00F577B6">
      <w:r>
        <w:lastRenderedPageBreak/>
        <w:t>Chaque énoncé représente les variables de base de l’étude, en notant qu’il est utile d’organiser les énoncés en fonction de la moyenne arithmétique pondérée la plus élevée.</w:t>
      </w:r>
    </w:p>
    <w:p w14:paraId="427354EA" w14:textId="77777777" w:rsidR="0077731B" w:rsidRDefault="00F577B6" w:rsidP="0077731B">
      <w:r>
        <w:t>La moyenne arithmétique (</w:t>
      </w:r>
      <w:proofErr w:type="spellStart"/>
      <w:r>
        <w:t>Mean</w:t>
      </w:r>
      <w:proofErr w:type="spellEnd"/>
      <w:r>
        <w:t>) est utilisée pour déterminer dans quelle mesure les réponses des individus étudiés aux axes principaux sont élevées ou faibles (la moyenne des moyennes des phrases, en notant qu'elle est utile pour organiser les axes en fonction de la moyenne arithmétique la plus élevée).</w:t>
      </w:r>
    </w:p>
    <w:p w14:paraId="5D8D5E96" w14:textId="77777777" w:rsidR="00F577B6" w:rsidRPr="0077731B" w:rsidRDefault="00EB52F7" w:rsidP="0077731B">
      <w:pPr>
        <w:rPr>
          <w:b/>
          <w:bCs/>
          <w:sz w:val="28"/>
          <w:szCs w:val="24"/>
        </w:rPr>
      </w:pPr>
      <w:r>
        <w:rPr>
          <w:rFonts w:ascii="Calibri" w:cs="Calibri"/>
          <w:noProof/>
        </w:rPr>
        <mc:AlternateContent>
          <mc:Choice Requires="wps">
            <w:drawing>
              <wp:anchor distT="0" distB="0" distL="0" distR="0" simplePos="0" relativeHeight="251681792" behindDoc="1" locked="0" layoutInCell="1" allowOverlap="1" wp14:anchorId="01AE479D" wp14:editId="15FE121A">
                <wp:simplePos x="0" y="0"/>
                <wp:positionH relativeFrom="page">
                  <wp:posOffset>798286</wp:posOffset>
                </wp:positionH>
                <wp:positionV relativeFrom="page">
                  <wp:posOffset>3439886</wp:posOffset>
                </wp:positionV>
                <wp:extent cx="6299200" cy="3933371"/>
                <wp:effectExtent l="0" t="0" r="0" b="3810"/>
                <wp:wrapNone/>
                <wp:docPr id="12"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200" cy="3933371"/>
                        </a:xfrm>
                        <a:custGeom>
                          <a:avLst/>
                          <a:gdLst/>
                          <a:ahLst/>
                          <a:cxnLst/>
                          <a:rect l="l" t="t" r="r" b="b"/>
                          <a:pathLst>
                            <a:path w="6952615" h="10084435">
                              <a:moveTo>
                                <a:pt x="6886956" y="65532"/>
                              </a:moveTo>
                              <a:lnTo>
                                <a:pt x="6877812" y="65532"/>
                              </a:lnTo>
                              <a:lnTo>
                                <a:pt x="6877812" y="74676"/>
                              </a:lnTo>
                              <a:lnTo>
                                <a:pt x="6877812" y="10009327"/>
                              </a:lnTo>
                              <a:lnTo>
                                <a:pt x="74676" y="10009327"/>
                              </a:lnTo>
                              <a:lnTo>
                                <a:pt x="74676" y="74676"/>
                              </a:lnTo>
                              <a:lnTo>
                                <a:pt x="6877812" y="74676"/>
                              </a:lnTo>
                              <a:lnTo>
                                <a:pt x="6877812" y="65532"/>
                              </a:lnTo>
                              <a:lnTo>
                                <a:pt x="74676" y="65532"/>
                              </a:lnTo>
                              <a:lnTo>
                                <a:pt x="65532" y="65532"/>
                              </a:lnTo>
                              <a:lnTo>
                                <a:pt x="65532" y="74625"/>
                              </a:lnTo>
                              <a:lnTo>
                                <a:pt x="65532" y="10009327"/>
                              </a:lnTo>
                              <a:lnTo>
                                <a:pt x="65532" y="10018471"/>
                              </a:lnTo>
                              <a:lnTo>
                                <a:pt x="74676" y="10018471"/>
                              </a:lnTo>
                              <a:lnTo>
                                <a:pt x="6877812" y="10018471"/>
                              </a:lnTo>
                              <a:lnTo>
                                <a:pt x="6886956" y="10018471"/>
                              </a:lnTo>
                              <a:lnTo>
                                <a:pt x="6886956" y="10009327"/>
                              </a:lnTo>
                              <a:lnTo>
                                <a:pt x="6886956" y="74676"/>
                              </a:lnTo>
                              <a:lnTo>
                                <a:pt x="6886956" y="65532"/>
                              </a:lnTo>
                              <a:close/>
                            </a:path>
                            <a:path w="6952615" h="10084435">
                              <a:moveTo>
                                <a:pt x="6934200" y="18288"/>
                              </a:moveTo>
                              <a:lnTo>
                                <a:pt x="6896100" y="18288"/>
                              </a:lnTo>
                              <a:lnTo>
                                <a:pt x="6896100" y="56388"/>
                              </a:lnTo>
                              <a:lnTo>
                                <a:pt x="6896100" y="74625"/>
                              </a:lnTo>
                              <a:lnTo>
                                <a:pt x="6896100" y="10009327"/>
                              </a:lnTo>
                              <a:lnTo>
                                <a:pt x="6896100" y="10027615"/>
                              </a:lnTo>
                              <a:lnTo>
                                <a:pt x="6877812" y="10027615"/>
                              </a:lnTo>
                              <a:lnTo>
                                <a:pt x="74676" y="10027615"/>
                              </a:lnTo>
                              <a:lnTo>
                                <a:pt x="56388" y="10027615"/>
                              </a:lnTo>
                              <a:lnTo>
                                <a:pt x="56388" y="10009327"/>
                              </a:lnTo>
                              <a:lnTo>
                                <a:pt x="56388" y="74676"/>
                              </a:lnTo>
                              <a:lnTo>
                                <a:pt x="56388" y="56388"/>
                              </a:lnTo>
                              <a:lnTo>
                                <a:pt x="74676" y="56388"/>
                              </a:lnTo>
                              <a:lnTo>
                                <a:pt x="6877812" y="56388"/>
                              </a:lnTo>
                              <a:lnTo>
                                <a:pt x="6896100" y="56388"/>
                              </a:lnTo>
                              <a:lnTo>
                                <a:pt x="6896100" y="18288"/>
                              </a:lnTo>
                              <a:lnTo>
                                <a:pt x="6877812" y="18288"/>
                              </a:lnTo>
                              <a:lnTo>
                                <a:pt x="74676" y="18288"/>
                              </a:lnTo>
                              <a:lnTo>
                                <a:pt x="56388" y="18288"/>
                              </a:lnTo>
                              <a:lnTo>
                                <a:pt x="18288" y="18288"/>
                              </a:lnTo>
                              <a:lnTo>
                                <a:pt x="18288" y="56388"/>
                              </a:lnTo>
                              <a:lnTo>
                                <a:pt x="18288" y="10065715"/>
                              </a:lnTo>
                              <a:lnTo>
                                <a:pt x="56388" y="10065715"/>
                              </a:lnTo>
                              <a:lnTo>
                                <a:pt x="74676" y="10065715"/>
                              </a:lnTo>
                              <a:lnTo>
                                <a:pt x="6877812" y="10065715"/>
                              </a:lnTo>
                              <a:lnTo>
                                <a:pt x="6896100" y="10065715"/>
                              </a:lnTo>
                              <a:lnTo>
                                <a:pt x="6934200" y="10065715"/>
                              </a:lnTo>
                              <a:lnTo>
                                <a:pt x="6934200" y="10027615"/>
                              </a:lnTo>
                              <a:lnTo>
                                <a:pt x="6934200" y="10009327"/>
                              </a:lnTo>
                              <a:lnTo>
                                <a:pt x="6934200" y="74676"/>
                              </a:lnTo>
                              <a:lnTo>
                                <a:pt x="6934200" y="56388"/>
                              </a:lnTo>
                              <a:lnTo>
                                <a:pt x="6934200" y="18288"/>
                              </a:lnTo>
                              <a:close/>
                            </a:path>
                            <a:path w="6952615" h="10084435">
                              <a:moveTo>
                                <a:pt x="6952475" y="0"/>
                              </a:moveTo>
                              <a:lnTo>
                                <a:pt x="6943344" y="0"/>
                              </a:lnTo>
                              <a:lnTo>
                                <a:pt x="6943344" y="9144"/>
                              </a:lnTo>
                              <a:lnTo>
                                <a:pt x="6943344" y="74625"/>
                              </a:lnTo>
                              <a:lnTo>
                                <a:pt x="6943344" y="10009327"/>
                              </a:lnTo>
                              <a:lnTo>
                                <a:pt x="6943344" y="10074872"/>
                              </a:lnTo>
                              <a:lnTo>
                                <a:pt x="6877812" y="10074872"/>
                              </a:lnTo>
                              <a:lnTo>
                                <a:pt x="74676" y="10074872"/>
                              </a:lnTo>
                              <a:lnTo>
                                <a:pt x="9144" y="10074872"/>
                              </a:lnTo>
                              <a:lnTo>
                                <a:pt x="9144" y="10009327"/>
                              </a:lnTo>
                              <a:lnTo>
                                <a:pt x="9144" y="74676"/>
                              </a:lnTo>
                              <a:lnTo>
                                <a:pt x="9144" y="9144"/>
                              </a:lnTo>
                              <a:lnTo>
                                <a:pt x="74676" y="9144"/>
                              </a:lnTo>
                              <a:lnTo>
                                <a:pt x="6877812" y="9144"/>
                              </a:lnTo>
                              <a:lnTo>
                                <a:pt x="6943344" y="9144"/>
                              </a:lnTo>
                              <a:lnTo>
                                <a:pt x="6943344" y="0"/>
                              </a:lnTo>
                              <a:lnTo>
                                <a:pt x="6877812" y="0"/>
                              </a:lnTo>
                              <a:lnTo>
                                <a:pt x="74676" y="0"/>
                              </a:lnTo>
                              <a:lnTo>
                                <a:pt x="9144" y="0"/>
                              </a:lnTo>
                              <a:lnTo>
                                <a:pt x="0" y="0"/>
                              </a:lnTo>
                              <a:lnTo>
                                <a:pt x="0" y="9144"/>
                              </a:lnTo>
                              <a:lnTo>
                                <a:pt x="0" y="10084003"/>
                              </a:lnTo>
                              <a:lnTo>
                                <a:pt x="9144" y="10084003"/>
                              </a:lnTo>
                              <a:lnTo>
                                <a:pt x="74676" y="10084003"/>
                              </a:lnTo>
                              <a:lnTo>
                                <a:pt x="6877812" y="10084003"/>
                              </a:lnTo>
                              <a:lnTo>
                                <a:pt x="6943344" y="10084003"/>
                              </a:lnTo>
                              <a:lnTo>
                                <a:pt x="6952475" y="10084003"/>
                              </a:lnTo>
                              <a:lnTo>
                                <a:pt x="6952475" y="10074872"/>
                              </a:lnTo>
                              <a:lnTo>
                                <a:pt x="6952475" y="10009327"/>
                              </a:lnTo>
                              <a:lnTo>
                                <a:pt x="6952475" y="74676"/>
                              </a:lnTo>
                              <a:lnTo>
                                <a:pt x="6952475" y="9144"/>
                              </a:lnTo>
                              <a:lnTo>
                                <a:pt x="6952475"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540CE" id="Graphic 354" o:spid="_x0000_s1026" style="position:absolute;margin-left:62.85pt;margin-top:270.85pt;width:496pt;height:309.7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6952615,10084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" path="m6886956,65532r-9144,l6877812,74676r,9934651l74676,10009327r,-9934651l6877812,74676r,-9144l74676,65532r-9144,l65532,74625r,9934702l65532,10018471r9144,l6877812,10018471r9144,l6886956,10009327r,-9934651l6886956,65532xem6934200,18288r-38100,l6896100,56388r,18237l6896100,10009327r,18288l6877812,10027615r-6803136,l56388,10027615r,-18288l56388,74676r,-18288l74676,56388r6803136,l6896100,56388r,-38100l6877812,18288r-6803136,l56388,18288r-38100,l18288,56388r,10009327l56388,10065715r18288,l6877812,10065715r18288,l6934200,10065715r,-38100l6934200,10009327r,-9934651l6934200,56388r,-38100xem6952475,r-9131,l6943344,9144r,65481l6943344,10009327r,65545l6877812,10074872r-6803136,l9144,10074872r,-65545l9144,74676r,-65532l74676,9144r6803136,l6943344,9144r,-9144l6877812,,74676,,9144,,,,,9144,,10084003r9144,l74676,10084003r6803136,l6943344,10084003r9131,l6952475,10074872r,-65545l6952475,74676r,-65532l6952475,xe" fillcolor="black" stroked="f">
                <v:path arrowok="t"/>
                <w10:wrap anchorx="page" anchory="page"/>
              </v:shape>
            </w:pict>
          </mc:Fallback>
        </mc:AlternateContent>
      </w:r>
      <w:r w:rsidR="00F577B6" w:rsidRPr="0077731B">
        <w:rPr>
          <w:b/>
          <w:bCs/>
          <w:sz w:val="28"/>
          <w:szCs w:val="24"/>
        </w:rPr>
        <w:t>Modèle conceptuel : Impact du Greenwashing sur l'image de la marque GICA</w:t>
      </w:r>
    </w:p>
    <w:p w14:paraId="13728892" w14:textId="77777777" w:rsidR="00F577B6" w:rsidRPr="00D00ABD" w:rsidRDefault="00F577B6" w:rsidP="00F577B6">
      <w:pPr>
        <w:jc w:val="center"/>
      </w:pPr>
      <w:r>
        <w:rPr>
          <w:noProof/>
          <w:lang w:eastAsia="fr-FR"/>
        </w:rPr>
        <w:drawing>
          <wp:inline distT="0" distB="0" distL="0" distR="0" wp14:anchorId="4F092E89" wp14:editId="2E4B2C5D">
            <wp:extent cx="5531828" cy="3498215"/>
            <wp:effectExtent l="0" t="0" r="571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r="8565" b="7905"/>
                    <a:stretch/>
                  </pic:blipFill>
                  <pic:spPr bwMode="auto">
                    <a:xfrm>
                      <a:off x="0" y="0"/>
                      <a:ext cx="5549706" cy="350952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fr-FR"/>
        </w:rPr>
        <mc:AlternateContent>
          <mc:Choice Requires="wps">
            <w:drawing>
              <wp:anchor distT="0" distB="0" distL="114300" distR="114300" simplePos="0" relativeHeight="251669504" behindDoc="0" locked="0" layoutInCell="1" allowOverlap="1" wp14:anchorId="14F1C986" wp14:editId="1ACCD613">
                <wp:simplePos x="0" y="0"/>
                <wp:positionH relativeFrom="column">
                  <wp:posOffset>4343400</wp:posOffset>
                </wp:positionH>
                <wp:positionV relativeFrom="paragraph">
                  <wp:posOffset>5511800</wp:posOffset>
                </wp:positionV>
                <wp:extent cx="647700" cy="209550"/>
                <wp:effectExtent l="0" t="0" r="0" b="0"/>
                <wp:wrapNone/>
                <wp:docPr id="62"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06316" w14:textId="77777777" w:rsidR="00350FA5" w:rsidRPr="00D00ABD" w:rsidRDefault="00350FA5">
                            <w:pPr>
                              <w:rPr>
                                <w:b/>
                                <w:bCs/>
                              </w:rPr>
                            </w:pPr>
                            <w:r w:rsidRPr="00D00ABD">
                              <w:rPr>
                                <w:rFonts w:cstheme="majorBidi"/>
                                <w:b/>
                                <w:bCs/>
                                <w:color w:val="3B3838" w:themeColor="background2" w:themeShade="40"/>
                                <w:sz w:val="16"/>
                                <w:szCs w:val="16"/>
                              </w:rPr>
                              <w:t xml:space="preserve">IMAGE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1C986" id="Text Box 173" o:spid="_x0000_s1032" type="#_x0000_t202" style="position:absolute;left:0;text-align:left;margin-left:342pt;margin-top:434pt;width:51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" filled="f" stroked="f">
                <v:path arrowok="t"/>
                <v:textbox>
                  <w:txbxContent>
                    <w:p w14:paraId="68906316" w14:textId="77777777" w:rsidR="00350FA5" w:rsidRPr="00D00ABD" w:rsidRDefault="00350FA5">
                      <w:pPr>
                        <w:rPr>
                          <w:b/>
                          <w:bCs/>
                        </w:rPr>
                      </w:pPr>
                      <w:r w:rsidRPr="00D00ABD">
                        <w:rPr>
                          <w:rFonts w:cstheme="majorBidi"/>
                          <w:b/>
                          <w:bCs/>
                          <w:color w:val="3B3838" w:themeColor="background2" w:themeShade="40"/>
                          <w:sz w:val="16"/>
                          <w:szCs w:val="16"/>
                        </w:rPr>
                        <w:t xml:space="preserve">IMAGE </w:t>
                      </w:r>
                    </w:p>
                  </w:txbxContent>
                </v:textbox>
              </v:shape>
            </w:pict>
          </mc:Fallback>
        </mc:AlternateContent>
      </w:r>
    </w:p>
    <w:p w14:paraId="2BEE07FB" w14:textId="77777777" w:rsidR="0077731B" w:rsidRDefault="0077731B" w:rsidP="0077731B">
      <w:pPr>
        <w:rPr>
          <w:b/>
          <w:bCs/>
        </w:rPr>
      </w:pPr>
    </w:p>
    <w:p w14:paraId="65B4F1D6" w14:textId="77777777" w:rsidR="0077731B" w:rsidRDefault="0077731B" w:rsidP="0077731B">
      <w:pPr>
        <w:rPr>
          <w:b/>
          <w:bCs/>
        </w:rPr>
      </w:pPr>
    </w:p>
    <w:p w14:paraId="69AE8DC9" w14:textId="77777777" w:rsidR="0077731B" w:rsidRDefault="0077731B" w:rsidP="0077731B">
      <w:pPr>
        <w:rPr>
          <w:b/>
          <w:bCs/>
        </w:rPr>
      </w:pPr>
    </w:p>
    <w:p w14:paraId="68823933" w14:textId="77777777" w:rsidR="0077731B" w:rsidRDefault="0077731B" w:rsidP="0077731B">
      <w:pPr>
        <w:rPr>
          <w:b/>
          <w:bCs/>
        </w:rPr>
      </w:pPr>
    </w:p>
    <w:p w14:paraId="66D949EB" w14:textId="77777777" w:rsidR="0077731B" w:rsidRDefault="0077731B" w:rsidP="0077731B">
      <w:pPr>
        <w:rPr>
          <w:b/>
          <w:bCs/>
        </w:rPr>
      </w:pPr>
    </w:p>
    <w:p w14:paraId="38F5A7E5" w14:textId="77777777" w:rsidR="0077731B" w:rsidRDefault="0077731B" w:rsidP="00CE7403">
      <w:pPr>
        <w:ind w:firstLine="0"/>
        <w:rPr>
          <w:b/>
          <w:bCs/>
        </w:rPr>
      </w:pPr>
    </w:p>
    <w:p w14:paraId="4336C8C5" w14:textId="77777777" w:rsidR="00F577B6" w:rsidRDefault="00F577B6" w:rsidP="00152406">
      <w:r>
        <w:lastRenderedPageBreak/>
        <w:t>Étant donné que le but de la collecte de données est de les analyser et de les interpréter, après les avoir collectées, nous les transformons selon les étapes scientifiques sui</w:t>
      </w:r>
      <w:r w:rsidR="00152406">
        <w:t>vantes :</w:t>
      </w:r>
    </w:p>
    <w:p w14:paraId="27C0F978" w14:textId="77777777" w:rsidR="00F577B6" w:rsidRDefault="00F577B6" w:rsidP="00152406">
      <w:r>
        <w:t>Unification des pondérations des phrases afin de traiter les données du questionnaire de manière uniforme. Il a été veillé à ce que les 46 phrases du questionnaire soient</w:t>
      </w:r>
      <w:r w:rsidR="00152406">
        <w:t xml:space="preserve"> formulées de manière positive.</w:t>
      </w:r>
    </w:p>
    <w:p w14:paraId="312F4A82" w14:textId="77777777" w:rsidR="00F577B6" w:rsidRDefault="00F577B6" w:rsidP="0077731B">
      <w:r>
        <w:t>Transcrire des informations et des données, les convertir de formes qualitatives à quantitatives et les saisir dans un programme mult</w:t>
      </w:r>
      <w:r w:rsidR="0077731B">
        <w:t>imédia spécial.</w:t>
      </w:r>
    </w:p>
    <w:p w14:paraId="7E4A35DD" w14:textId="77777777" w:rsidR="00F577B6" w:rsidRDefault="00F577B6" w:rsidP="00152406">
      <w:r>
        <w:t>Ce qui suit (</w:t>
      </w:r>
      <w:r w:rsidR="00152406">
        <w:t>SPSS Version 21 et EXCEL 2007).</w:t>
      </w:r>
    </w:p>
    <w:p w14:paraId="00015AEC" w14:textId="77777777" w:rsidR="00F577B6" w:rsidRDefault="00F577B6" w:rsidP="00152406">
      <w:r>
        <w:t>Tabulation et organisation des don</w:t>
      </w:r>
      <w:r w:rsidR="00152406">
        <w:t>nées dans des tableaux simples.</w:t>
      </w:r>
    </w:p>
    <w:p w14:paraId="4F09B81F" w14:textId="77777777" w:rsidR="00F577B6" w:rsidRDefault="00F577B6" w:rsidP="00152406">
      <w:r>
        <w:t>Analyser et interpréter les données tabulaires et lier leurs composants en fonction de l'analyse du contenu de</w:t>
      </w:r>
      <w:r w:rsidR="00152406">
        <w:t>s données en liant le résultat.</w:t>
      </w:r>
    </w:p>
    <w:p w14:paraId="42E9536E" w14:textId="77777777" w:rsidR="00F577B6" w:rsidRDefault="00F577B6" w:rsidP="00152406">
      <w:r>
        <w:t>Par la raison et l'analyse des éléments selon les di</w:t>
      </w:r>
      <w:r w:rsidR="00152406">
        <w:t>mensions apparentes et cachées.</w:t>
      </w:r>
    </w:p>
    <w:p w14:paraId="0C328652" w14:textId="77777777" w:rsidR="00F577B6" w:rsidRDefault="00F577B6" w:rsidP="00152406">
      <w:r>
        <w:t xml:space="preserve">Après la collecte, le tri et le codage des données, celles-ci ont été traitées afin de les analyser, de tester les hypothèses de l'étude et d'atteindre ses objectifs. De nombreuses méthodes statistiques appropriées ont été utilisées </w:t>
      </w:r>
      <w:r w:rsidR="00152406">
        <w:t>avec SPSS, dont les suivantes :</w:t>
      </w:r>
    </w:p>
    <w:p w14:paraId="0957A5B9" w14:textId="77777777" w:rsidR="00F577B6" w:rsidRDefault="00F577B6" w:rsidP="00152406">
      <w:r>
        <w:t>1. Coefficient alpha de Cronbach pour mesurer la cohérence des énoncés du questionnaire. Ce coefficient est considéré comme acceptable si son pourcentage est supérieur à 60 %. Plus ce pourcentage est élevé, pl</w:t>
      </w:r>
      <w:r w:rsidR="00152406">
        <w:t>us le questionnaire est stable.</w:t>
      </w:r>
    </w:p>
    <w:p w14:paraId="027D6AF3" w14:textId="77777777" w:rsidR="00F577B6" w:rsidRDefault="00F577B6" w:rsidP="00152406">
      <w:r>
        <w:t xml:space="preserve">2 Méthode d'analyse statistique descriptive, où j'ai utilisé chacun </w:t>
      </w:r>
      <w:r w:rsidR="00152406">
        <w:t>des éléments suivants :</w:t>
      </w:r>
    </w:p>
    <w:p w14:paraId="207C9D5C" w14:textId="77777777" w:rsidR="00F577B6" w:rsidRDefault="00F577B6" w:rsidP="008155E4">
      <w:r>
        <w:t>Fréquences et pourcentages pour identifier les caractéristiques personnelles et fonctionnelles des individus de l'échantillon d'étude, et pour déterminer les réponses de ses membres aux phrases des axes principaux</w:t>
      </w:r>
      <w:r w:rsidR="008155E4">
        <w:t xml:space="preserve"> incluses dans l'outil d'étude.</w:t>
      </w:r>
    </w:p>
    <w:p w14:paraId="67AD84EC" w14:textId="77777777" w:rsidR="00F577B6" w:rsidRDefault="00F577B6" w:rsidP="0077731B">
      <w:r>
        <w:t>Moyenne pondérée : Pour connaître l'étendue des réponses élevées ou faibles des ind</w:t>
      </w:r>
      <w:r w:rsidR="0077731B">
        <w:t>ividus étudiés</w:t>
      </w:r>
    </w:p>
    <w:p w14:paraId="06D152EA" w14:textId="77777777" w:rsidR="00F577B6" w:rsidRDefault="00F577B6" w:rsidP="008155E4">
      <w:r>
        <w:t>Chaque énoncé représente les variables de base de l’étude, en notant qu’il est utile d’organiser les énoncés en fonction de la moyenne arithm</w:t>
      </w:r>
      <w:r w:rsidR="008155E4">
        <w:t>étique pondérée la plus élevée.</w:t>
      </w:r>
    </w:p>
    <w:p w14:paraId="2766942E" w14:textId="77777777" w:rsidR="00F577B6" w:rsidRDefault="00F577B6" w:rsidP="00F577B6">
      <w:r>
        <w:lastRenderedPageBreak/>
        <w:t>La moyenne arithmétique (</w:t>
      </w:r>
      <w:proofErr w:type="spellStart"/>
      <w:r>
        <w:t>Mean</w:t>
      </w:r>
      <w:proofErr w:type="spellEnd"/>
      <w:r>
        <w:t xml:space="preserve">) est utilisée pour déterminer dans quelle mesure les réponses des individus étudiés aux axes principaux sont élevées ou faibles (la moyenne des moyennes des phrases, en notant qu'elle est utile pour organiser les axes en fonction de </w:t>
      </w:r>
      <w:proofErr w:type="spellStart"/>
      <w:r>
        <w:t>lamoyenne</w:t>
      </w:r>
      <w:proofErr w:type="spellEnd"/>
      <w:r>
        <w:t xml:space="preserve"> arithmétique la plus élevée).</w:t>
      </w:r>
    </w:p>
    <w:p w14:paraId="254F72E4" w14:textId="77777777" w:rsidR="00F577B6" w:rsidRDefault="00F577B6" w:rsidP="00152406">
      <w:r>
        <w:t>Section trois : Analyse et interprétation des résultats de l'impact de greenwashi</w:t>
      </w:r>
      <w:r w:rsidR="00152406">
        <w:t>ng sur l’image de marque  .....</w:t>
      </w:r>
    </w:p>
    <w:p w14:paraId="73F767EC" w14:textId="77777777" w:rsidR="00F577B6" w:rsidRDefault="00F577B6" w:rsidP="00152406">
      <w:r>
        <w:t>La première exigence : mesurer la validité, la fiabilité et la</w:t>
      </w:r>
      <w:r w:rsidR="00152406">
        <w:t xml:space="preserve"> modération de l’outil d’étude.</w:t>
      </w:r>
    </w:p>
    <w:p w14:paraId="755AB36E" w14:textId="77777777" w:rsidR="00F577B6" w:rsidRDefault="00F577B6" w:rsidP="00152406">
      <w:r>
        <w:t>Afin de comprendre comment mesurer les variables de l’étude, plusieurs point</w:t>
      </w:r>
      <w:r w:rsidR="00152406">
        <w:t>s doivent être pris en compte :</w:t>
      </w:r>
    </w:p>
    <w:p w14:paraId="33A275FA" w14:textId="77777777" w:rsidR="00F577B6" w:rsidRPr="0077731B" w:rsidRDefault="00F577B6" w:rsidP="0077731B">
      <w:pPr>
        <w:rPr>
          <w:rFonts w:cstheme="majorBidi"/>
        </w:rPr>
      </w:pPr>
      <w:r w:rsidRPr="0077731B">
        <w:rPr>
          <w:rFonts w:cstheme="majorBidi"/>
        </w:rPr>
        <w:t>Première section</w:t>
      </w:r>
      <w:r w:rsidR="00152406" w:rsidRPr="0077731B">
        <w:rPr>
          <w:rFonts w:cstheme="majorBidi"/>
        </w:rPr>
        <w:t xml:space="preserve"> : Fiabilité de l'outil d'étude</w:t>
      </w:r>
    </w:p>
    <w:p w14:paraId="7A94CAC3" w14:textId="77777777" w:rsidR="00F577B6" w:rsidRDefault="00F577B6" w:rsidP="00152406">
      <w:r>
        <w:t>La validité du questionnaire garantit qu'il mesurera ce qu'il est censé mesurer et atteindra l'objectif pour lequel il a été conçu. La validité du questionnaire a été confir</w:t>
      </w:r>
      <w:r w:rsidR="00152406">
        <w:t>mée par les éléments suivants :</w:t>
      </w:r>
    </w:p>
    <w:p w14:paraId="39339DF7" w14:textId="77777777" w:rsidR="00F577B6" w:rsidRDefault="00F577B6" w:rsidP="00152406">
      <w:r>
        <w:t>1- Validité apparente : Afin de tester les hypothèses proposées, nous avons conçu un questionnaire qui a été soumis à deux spécialistes, l'un en gestion et l'autre en statistiques. Afin de garantir que l'outil intègre tous les aspects liés aux variables indépendantes et dépendantes, nous l'avons distribué aux décideurs, stratèges et responsables politiques des inst</w:t>
      </w:r>
      <w:r w:rsidR="00152406">
        <w:t xml:space="preserve">itutions de </w:t>
      </w:r>
      <w:proofErr w:type="spellStart"/>
      <w:r w:rsidR="00152406">
        <w:t>Mantal</w:t>
      </w:r>
      <w:proofErr w:type="spellEnd"/>
      <w:r w:rsidR="00152406">
        <w:t>.</w:t>
      </w:r>
    </w:p>
    <w:p w14:paraId="0C3FE1C7" w14:textId="77777777" w:rsidR="00F577B6" w:rsidRDefault="00F577B6" w:rsidP="00152406">
      <w:r>
        <w:t>Le questionnaire comprenait deux p</w:t>
      </w:r>
      <w:r w:rsidR="00152406">
        <w:t>arties principales comme suit :</w:t>
      </w:r>
    </w:p>
    <w:p w14:paraId="09C548FE" w14:textId="77777777" w:rsidR="00F577B6" w:rsidRDefault="00F577B6" w:rsidP="00152406">
      <w:r>
        <w:t>Première partie : Un ensemble de questions destinées à décrire les caractéristiques de l’échantillon étudié, y comp</w:t>
      </w:r>
      <w:r w:rsidR="00152406">
        <w:t>ris les variables personnelles.</w:t>
      </w:r>
    </w:p>
    <w:p w14:paraId="708DE680" w14:textId="77777777" w:rsidR="00F577B6" w:rsidRDefault="00F577B6" w:rsidP="00152406">
      <w:r>
        <w:t>Les caractéristiques fonctionnelles des membres de l’échantillon de l’étude sont représentées par le sexe, l’âge, la spécialisation scientifique, le type d’emp</w:t>
      </w:r>
      <w:r w:rsidR="00152406">
        <w:t>loi et les années d’expérience.</w:t>
      </w:r>
    </w:p>
    <w:p w14:paraId="0ED0BF7A" w14:textId="77777777" w:rsidR="00F577B6" w:rsidRDefault="00F577B6" w:rsidP="00152406">
      <w:r>
        <w:t>Deuxième partie : Elle se compose de (....) une phrase parmi les phrases liées à l'étude, disposées dans un ordre scientifique et systématiq</w:t>
      </w:r>
      <w:r w:rsidR="00152406">
        <w:t>ue et divisées à leur tour en :</w:t>
      </w:r>
    </w:p>
    <w:p w14:paraId="794E7246" w14:textId="77777777" w:rsidR="00F577B6" w:rsidRDefault="00F577B6" w:rsidP="00152406">
      <w:r>
        <w:t>De</w:t>
      </w:r>
      <w:r w:rsidR="00152406">
        <w:t>ux axes principaux comme suit :</w:t>
      </w:r>
    </w:p>
    <w:p w14:paraId="5182E828" w14:textId="77777777" w:rsidR="00F577B6" w:rsidRDefault="00F577B6" w:rsidP="00152406">
      <w:r>
        <w:lastRenderedPageBreak/>
        <w:t>Le premier axe mesure la variable de l'intelligence économique et de ses pratiques au sein d'une institution. Il comprend (.....) un</w:t>
      </w:r>
      <w:r w:rsidR="00152406">
        <w:t>e phrase divisée.</w:t>
      </w:r>
    </w:p>
    <w:p w14:paraId="261122C5" w14:textId="77777777" w:rsidR="00F577B6" w:rsidRDefault="00F577B6" w:rsidP="008155E4">
      <w:r>
        <w:t>Sur trois (...) domaines qui constituent les éléments structurants du conc</w:t>
      </w:r>
      <w:r w:rsidR="00152406">
        <w:t>ept d'intelligence économique :</w:t>
      </w:r>
    </w:p>
    <w:p w14:paraId="7A6FAA0B" w14:textId="77777777" w:rsidR="00F577B6" w:rsidRDefault="00F577B6" w:rsidP="000B457B">
      <w:pPr>
        <w:pStyle w:val="Paragraphedeliste"/>
        <w:numPr>
          <w:ilvl w:val="0"/>
          <w:numId w:val="33"/>
        </w:numPr>
      </w:pPr>
      <w:r>
        <w:t>Le premier champ : mesure une variab</w:t>
      </w:r>
      <w:r w:rsidR="00152406">
        <w:t>le et comprend (...) une phrase</w:t>
      </w:r>
    </w:p>
    <w:p w14:paraId="28DB56F7" w14:textId="77777777" w:rsidR="00F577B6" w:rsidRDefault="00F577B6" w:rsidP="000B457B">
      <w:pPr>
        <w:pStyle w:val="Paragraphedeliste"/>
        <w:numPr>
          <w:ilvl w:val="0"/>
          <w:numId w:val="33"/>
        </w:numPr>
      </w:pPr>
      <w:r>
        <w:t>Le deuxième champ : Il mesure une variable et comprend (.....</w:t>
      </w:r>
      <w:r w:rsidR="00152406">
        <w:t>) une phrase</w:t>
      </w:r>
    </w:p>
    <w:p w14:paraId="01A41C06" w14:textId="77777777" w:rsidR="00F577B6" w:rsidRDefault="00F577B6" w:rsidP="000B457B">
      <w:pPr>
        <w:pStyle w:val="Paragraphedeliste"/>
        <w:numPr>
          <w:ilvl w:val="0"/>
          <w:numId w:val="33"/>
        </w:numPr>
      </w:pPr>
      <w:r>
        <w:t>Le troisième champ : Il mesure une variable...</w:t>
      </w:r>
      <w:r w:rsidR="00152406">
        <w:t xml:space="preserve"> et comprend (.....) phrases...</w:t>
      </w:r>
    </w:p>
    <w:p w14:paraId="0FD3C0F0" w14:textId="77777777" w:rsidR="00F577B6" w:rsidRDefault="00F577B6" w:rsidP="000B457B">
      <w:pPr>
        <w:pStyle w:val="Paragraphedeliste"/>
        <w:numPr>
          <w:ilvl w:val="0"/>
          <w:numId w:val="33"/>
        </w:numPr>
      </w:pPr>
      <w:r>
        <w:t>Le deuxième axe : Il mesure l'avantage concurrentiel de l'institution.</w:t>
      </w:r>
      <w:r w:rsidR="00152406">
        <w:t>.. et comprend (.....) phrases.</w:t>
      </w:r>
    </w:p>
    <w:p w14:paraId="499D77DA" w14:textId="77777777" w:rsidR="00F577B6" w:rsidRDefault="00F577B6" w:rsidP="00F577B6"/>
    <w:p w14:paraId="390BC22C" w14:textId="77777777" w:rsidR="00152406" w:rsidRDefault="00152406" w:rsidP="00F577B6">
      <w:pPr>
        <w:pStyle w:val="NormalWeb"/>
        <w:spacing w:line="360" w:lineRule="auto"/>
        <w:jc w:val="both"/>
        <w:rPr>
          <w:rFonts w:asciiTheme="majorBidi" w:hAnsiTheme="majorBidi" w:cstheme="majorBidi"/>
          <w:sz w:val="28"/>
          <w:szCs w:val="28"/>
        </w:rPr>
      </w:pPr>
    </w:p>
    <w:p w14:paraId="1324D739" w14:textId="77777777" w:rsidR="00152406" w:rsidRDefault="00152406" w:rsidP="00F577B6">
      <w:pPr>
        <w:pStyle w:val="NormalWeb"/>
        <w:spacing w:line="360" w:lineRule="auto"/>
        <w:jc w:val="both"/>
        <w:rPr>
          <w:rFonts w:asciiTheme="majorBidi" w:hAnsiTheme="majorBidi" w:cstheme="majorBidi"/>
          <w:sz w:val="28"/>
          <w:szCs w:val="28"/>
        </w:rPr>
      </w:pPr>
    </w:p>
    <w:p w14:paraId="076152E4" w14:textId="77777777" w:rsidR="00152406" w:rsidRDefault="00152406" w:rsidP="00F577B6">
      <w:pPr>
        <w:pStyle w:val="NormalWeb"/>
        <w:spacing w:line="360" w:lineRule="auto"/>
        <w:jc w:val="both"/>
        <w:rPr>
          <w:rFonts w:asciiTheme="majorBidi" w:hAnsiTheme="majorBidi" w:cstheme="majorBidi"/>
          <w:sz w:val="28"/>
          <w:szCs w:val="28"/>
        </w:rPr>
      </w:pPr>
    </w:p>
    <w:p w14:paraId="3BB5BC9C" w14:textId="77777777" w:rsidR="00152406" w:rsidRDefault="00152406" w:rsidP="00F577B6">
      <w:pPr>
        <w:pStyle w:val="NormalWeb"/>
        <w:spacing w:line="360" w:lineRule="auto"/>
        <w:jc w:val="both"/>
        <w:rPr>
          <w:rFonts w:asciiTheme="majorBidi" w:hAnsiTheme="majorBidi" w:cstheme="majorBidi"/>
          <w:sz w:val="28"/>
          <w:szCs w:val="28"/>
        </w:rPr>
      </w:pPr>
    </w:p>
    <w:p w14:paraId="461186F6" w14:textId="77777777" w:rsidR="00152406" w:rsidRDefault="00152406" w:rsidP="00F577B6">
      <w:pPr>
        <w:pStyle w:val="NormalWeb"/>
        <w:spacing w:line="360" w:lineRule="auto"/>
        <w:jc w:val="both"/>
        <w:rPr>
          <w:rFonts w:asciiTheme="majorBidi" w:hAnsiTheme="majorBidi" w:cstheme="majorBidi"/>
          <w:sz w:val="28"/>
          <w:szCs w:val="28"/>
        </w:rPr>
      </w:pPr>
    </w:p>
    <w:p w14:paraId="2973607D" w14:textId="77777777" w:rsidR="0077731B" w:rsidRDefault="0077731B" w:rsidP="00F577B6">
      <w:pPr>
        <w:pStyle w:val="NormalWeb"/>
        <w:spacing w:line="360" w:lineRule="auto"/>
        <w:jc w:val="both"/>
        <w:rPr>
          <w:rFonts w:asciiTheme="majorBidi" w:hAnsiTheme="majorBidi" w:cstheme="majorBidi"/>
          <w:b/>
          <w:bCs/>
          <w:sz w:val="28"/>
          <w:szCs w:val="28"/>
        </w:rPr>
      </w:pPr>
    </w:p>
    <w:p w14:paraId="4A495C13" w14:textId="77777777" w:rsidR="00612506" w:rsidRDefault="00612506" w:rsidP="00F577B6">
      <w:pPr>
        <w:pStyle w:val="NormalWeb"/>
        <w:spacing w:line="360" w:lineRule="auto"/>
        <w:jc w:val="both"/>
        <w:rPr>
          <w:rFonts w:asciiTheme="majorBidi" w:hAnsiTheme="majorBidi" w:cstheme="majorBidi"/>
          <w:b/>
          <w:bCs/>
          <w:sz w:val="28"/>
          <w:szCs w:val="28"/>
        </w:rPr>
      </w:pPr>
    </w:p>
    <w:p w14:paraId="7B5E155F" w14:textId="77777777" w:rsidR="009E7A70" w:rsidRDefault="009E7A70" w:rsidP="008E4736">
      <w:pPr>
        <w:pStyle w:val="Citationintense"/>
        <w:framePr w:wrap="auto" w:vAnchor="margin" w:yAlign="inline"/>
        <w:ind w:left="0" w:firstLine="0"/>
      </w:pPr>
      <w:bookmarkStart w:id="120" w:name="_Toc200825462"/>
    </w:p>
    <w:p w14:paraId="6366E0DC" w14:textId="77777777" w:rsidR="009E7A70" w:rsidRDefault="009E7A70" w:rsidP="008E4736">
      <w:pPr>
        <w:pStyle w:val="Citationintense"/>
        <w:framePr w:wrap="auto" w:vAnchor="margin" w:yAlign="inline"/>
        <w:ind w:left="0" w:firstLine="0"/>
      </w:pPr>
    </w:p>
    <w:p w14:paraId="7CCD41CB" w14:textId="77777777" w:rsidR="009E7A70" w:rsidRDefault="009E7A70" w:rsidP="008E4736">
      <w:pPr>
        <w:pStyle w:val="Citationintense"/>
        <w:framePr w:wrap="auto" w:vAnchor="margin" w:yAlign="inline"/>
        <w:ind w:left="0" w:firstLine="0"/>
      </w:pPr>
    </w:p>
    <w:p w14:paraId="6961FBD5" w14:textId="77777777" w:rsidR="009E7A70" w:rsidRDefault="009E7A70" w:rsidP="008E4736">
      <w:pPr>
        <w:pStyle w:val="Citationintense"/>
        <w:framePr w:wrap="auto" w:vAnchor="margin" w:yAlign="inline"/>
        <w:ind w:left="0" w:firstLine="0"/>
      </w:pPr>
    </w:p>
    <w:p w14:paraId="6F071A94" w14:textId="77777777" w:rsidR="00F577B6" w:rsidRDefault="003929D2" w:rsidP="008E4736">
      <w:pPr>
        <w:pStyle w:val="Citationintense"/>
        <w:framePr w:wrap="auto" w:vAnchor="margin" w:yAlign="inline"/>
        <w:ind w:left="0" w:firstLine="0"/>
      </w:pPr>
      <w:r>
        <w:lastRenderedPageBreak/>
        <w:t xml:space="preserve">Section </w:t>
      </w:r>
      <w:r w:rsidR="008E4736">
        <w:t>03</w:t>
      </w:r>
      <w:r w:rsidR="00F577B6" w:rsidRPr="00BE3BDB">
        <w:t> : Analyse des données de l’étude</w:t>
      </w:r>
      <w:bookmarkEnd w:id="120"/>
    </w:p>
    <w:p w14:paraId="7E9397CC" w14:textId="77777777" w:rsidR="003929D2" w:rsidRPr="00BE3BDB" w:rsidRDefault="003929D2" w:rsidP="003929D2">
      <w:r>
        <w:rPr>
          <w:rFonts w:hint="cs"/>
          <w:rtl/>
        </w:rPr>
        <w:t xml:space="preserve">   </w:t>
      </w:r>
      <w:r w:rsidRPr="00BE3BDB">
        <w:t>L’objectif de cette partie est d’interpréter les résultats empiriques obtenus via l’analyse statistique menée avec le logiciel SPSS</w:t>
      </w:r>
      <w:r w:rsidR="009849A5">
        <w:t xml:space="preserve"> </w:t>
      </w:r>
      <w:r w:rsidR="009849A5" w:rsidRPr="00BE3BDB">
        <w:t>v 27</w:t>
      </w:r>
      <w:r w:rsidRPr="00BE3BDB">
        <w:t xml:space="preserve">. Il s’agit de tester les hypothèses formulées dans notre modèle de recherche, en examinant l’impact des déterminants du greenwashing – à savoir la </w:t>
      </w:r>
      <w:r w:rsidRPr="00BE3BDB">
        <w:rPr>
          <w:rStyle w:val="lev"/>
          <w:rFonts w:eastAsiaTheme="majorEastAsia"/>
        </w:rPr>
        <w:t>confiance verte</w:t>
      </w:r>
      <w:r w:rsidRPr="00BE3BDB">
        <w:t xml:space="preserve">, la </w:t>
      </w:r>
      <w:r w:rsidRPr="00BE3BDB">
        <w:rPr>
          <w:rStyle w:val="lev"/>
          <w:rFonts w:eastAsiaTheme="majorEastAsia"/>
        </w:rPr>
        <w:t>perception du risque environnemental</w:t>
      </w:r>
      <w:r w:rsidRPr="00BE3BDB">
        <w:t xml:space="preserve">, et la </w:t>
      </w:r>
      <w:r w:rsidRPr="00BE3BDB">
        <w:rPr>
          <w:rStyle w:val="lev"/>
          <w:rFonts w:eastAsiaTheme="majorEastAsia"/>
        </w:rPr>
        <w:t>crédibilité perçue</w:t>
      </w:r>
      <w:r w:rsidRPr="00BE3BDB">
        <w:t xml:space="preserve"> – sur l’image de marque de l’entreprise GICA.</w:t>
      </w:r>
    </w:p>
    <w:p w14:paraId="7F336D02" w14:textId="77777777" w:rsidR="00F577B6" w:rsidRPr="00BE3BDB" w:rsidRDefault="00F577B6" w:rsidP="008155E4">
      <w:r>
        <w:rPr>
          <w:rFonts w:hint="cs"/>
          <w:rtl/>
        </w:rPr>
        <w:t xml:space="preserve">   </w:t>
      </w:r>
      <w:r w:rsidRPr="00BE3BDB">
        <w:t>Dans cette section, nous discuterons de l’analyse de tous les résultats du questionnaire sondé par les membres de l’échantillon en utilisons les outils statistiques qui facilite cette analyse tel que : moyen arithmétique, écart type, pourcentage, alpha de</w:t>
      </w:r>
      <w:r>
        <w:rPr>
          <w:rFonts w:hint="cs"/>
          <w:rtl/>
        </w:rPr>
        <w:t xml:space="preserve"> </w:t>
      </w:r>
      <w:r w:rsidRPr="00BE3BDB">
        <w:t>Cronbach, test T</w:t>
      </w:r>
      <w:r>
        <w:rPr>
          <w:rFonts w:hint="cs"/>
          <w:rtl/>
        </w:rPr>
        <w:t xml:space="preserve"> </w:t>
      </w:r>
      <w:r>
        <w:t xml:space="preserve"> et le régression simple</w:t>
      </w:r>
      <w:r w:rsidRPr="00BE3BDB">
        <w:t xml:space="preserve"> « résultat de l’SPSS v 27»</w:t>
      </w:r>
      <w:r>
        <w:t>.</w:t>
      </w:r>
    </w:p>
    <w:p w14:paraId="72E9E853" w14:textId="77777777" w:rsidR="00F577B6" w:rsidRDefault="00F577B6" w:rsidP="000B457B">
      <w:pPr>
        <w:pStyle w:val="Titre1"/>
        <w:numPr>
          <w:ilvl w:val="0"/>
          <w:numId w:val="34"/>
        </w:numPr>
      </w:pPr>
      <w:bookmarkStart w:id="121" w:name="_Toc200825463"/>
      <w:r w:rsidRPr="00BE3BDB">
        <w:t>Les données générales des individus :</w:t>
      </w:r>
      <w:bookmarkEnd w:id="121"/>
    </w:p>
    <w:p w14:paraId="1282A913" w14:textId="77777777" w:rsidR="009849A5" w:rsidRPr="00063796" w:rsidRDefault="009849A5" w:rsidP="000B457B">
      <w:pPr>
        <w:pStyle w:val="Lgende"/>
        <w:numPr>
          <w:ilvl w:val="0"/>
          <w:numId w:val="34"/>
        </w:numPr>
        <w:jc w:val="center"/>
        <w:rPr>
          <w:rFonts w:cstheme="majorBidi"/>
          <w:i w:val="0"/>
          <w:iCs w:val="0"/>
          <w:color w:val="000000" w:themeColor="text1"/>
          <w:sz w:val="24"/>
          <w:szCs w:val="24"/>
        </w:rPr>
      </w:pPr>
      <w:bookmarkStart w:id="122" w:name="_Toc200731398"/>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5</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 </w:t>
      </w:r>
      <w:r w:rsidRPr="00063796">
        <w:rPr>
          <w:rFonts w:cstheme="majorBidi"/>
          <w:i w:val="0"/>
          <w:iCs w:val="0"/>
          <w:color w:val="000000" w:themeColor="text1"/>
          <w:sz w:val="24"/>
          <w:szCs w:val="24"/>
        </w:rPr>
        <w:t xml:space="preserve">Echelle de </w:t>
      </w:r>
      <w:proofErr w:type="spellStart"/>
      <w:r w:rsidRPr="00063796">
        <w:rPr>
          <w:rFonts w:cstheme="majorBidi"/>
          <w:i w:val="0"/>
          <w:iCs w:val="0"/>
          <w:color w:val="000000" w:themeColor="text1"/>
          <w:sz w:val="24"/>
          <w:szCs w:val="24"/>
        </w:rPr>
        <w:t>likert</w:t>
      </w:r>
      <w:bookmarkEnd w:id="122"/>
      <w:proofErr w:type="spellEnd"/>
    </w:p>
    <w:tbl>
      <w:tblPr>
        <w:tblStyle w:val="Grilledutableau"/>
        <w:tblW w:w="9969" w:type="dxa"/>
        <w:tblLook w:val="04A0" w:firstRow="1" w:lastRow="0" w:firstColumn="1" w:lastColumn="0" w:noHBand="0" w:noVBand="1"/>
      </w:tblPr>
      <w:tblGrid>
        <w:gridCol w:w="1765"/>
        <w:gridCol w:w="1645"/>
        <w:gridCol w:w="1645"/>
        <w:gridCol w:w="1630"/>
        <w:gridCol w:w="1642"/>
        <w:gridCol w:w="1642"/>
      </w:tblGrid>
      <w:tr w:rsidR="009849A5" w:rsidRPr="00BE3BDB" w14:paraId="20A455B7" w14:textId="77777777" w:rsidTr="00FB0F4A">
        <w:trPr>
          <w:trHeight w:val="972"/>
        </w:trPr>
        <w:tc>
          <w:tcPr>
            <w:tcW w:w="1765" w:type="dxa"/>
          </w:tcPr>
          <w:p w14:paraId="399CE730" w14:textId="77777777" w:rsidR="009849A5" w:rsidRPr="00152406" w:rsidRDefault="009849A5" w:rsidP="00FB0F4A">
            <w:pPr>
              <w:pStyle w:val="Sansinterligne"/>
              <w:spacing w:line="360" w:lineRule="auto"/>
              <w:jc w:val="center"/>
              <w:rPr>
                <w:rFonts w:asciiTheme="majorBidi" w:hAnsiTheme="majorBidi" w:cstheme="majorBidi"/>
                <w:b/>
                <w:bCs/>
              </w:rPr>
            </w:pPr>
            <w:r w:rsidRPr="00152406">
              <w:rPr>
                <w:rFonts w:asciiTheme="majorBidi" w:hAnsiTheme="majorBidi" w:cstheme="majorBidi"/>
                <w:b/>
                <w:bCs/>
              </w:rPr>
              <w:t>Classification</w:t>
            </w:r>
          </w:p>
        </w:tc>
        <w:tc>
          <w:tcPr>
            <w:tcW w:w="1645" w:type="dxa"/>
          </w:tcPr>
          <w:p w14:paraId="535DF97F" w14:textId="77777777" w:rsidR="009849A5" w:rsidRPr="00152406" w:rsidRDefault="009849A5" w:rsidP="00FB0F4A">
            <w:pPr>
              <w:pStyle w:val="Sansinterligne"/>
              <w:spacing w:line="360" w:lineRule="auto"/>
              <w:jc w:val="center"/>
              <w:rPr>
                <w:rFonts w:asciiTheme="majorBidi" w:hAnsiTheme="majorBidi" w:cstheme="majorBidi"/>
                <w:b/>
                <w:bCs/>
              </w:rPr>
            </w:pPr>
            <w:r w:rsidRPr="00152406">
              <w:rPr>
                <w:rFonts w:asciiTheme="majorBidi" w:hAnsiTheme="majorBidi" w:cstheme="majorBidi"/>
                <w:b/>
                <w:bCs/>
              </w:rPr>
              <w:t>Tout à fait en désaccord</w:t>
            </w:r>
          </w:p>
        </w:tc>
        <w:tc>
          <w:tcPr>
            <w:tcW w:w="1645" w:type="dxa"/>
          </w:tcPr>
          <w:p w14:paraId="57396DE7" w14:textId="77777777" w:rsidR="009849A5" w:rsidRPr="00152406" w:rsidRDefault="009849A5" w:rsidP="00FB0F4A">
            <w:pPr>
              <w:pStyle w:val="Sansinterligne"/>
              <w:spacing w:line="360" w:lineRule="auto"/>
              <w:jc w:val="center"/>
              <w:rPr>
                <w:rFonts w:asciiTheme="majorBidi" w:hAnsiTheme="majorBidi" w:cstheme="majorBidi"/>
                <w:b/>
                <w:bCs/>
              </w:rPr>
            </w:pPr>
            <w:r w:rsidRPr="00152406">
              <w:rPr>
                <w:rFonts w:asciiTheme="majorBidi" w:hAnsiTheme="majorBidi" w:cstheme="majorBidi"/>
                <w:b/>
                <w:bCs/>
              </w:rPr>
              <w:t>En désaccord</w:t>
            </w:r>
          </w:p>
        </w:tc>
        <w:tc>
          <w:tcPr>
            <w:tcW w:w="1630" w:type="dxa"/>
          </w:tcPr>
          <w:p w14:paraId="513A1EEB" w14:textId="77777777" w:rsidR="009849A5" w:rsidRPr="00152406" w:rsidRDefault="009849A5" w:rsidP="00FB0F4A">
            <w:pPr>
              <w:pStyle w:val="Sansinterligne"/>
              <w:spacing w:line="360" w:lineRule="auto"/>
              <w:jc w:val="center"/>
              <w:rPr>
                <w:rFonts w:asciiTheme="majorBidi" w:hAnsiTheme="majorBidi" w:cstheme="majorBidi"/>
                <w:b/>
                <w:bCs/>
              </w:rPr>
            </w:pPr>
            <w:r w:rsidRPr="00152406">
              <w:rPr>
                <w:rFonts w:asciiTheme="majorBidi" w:hAnsiTheme="majorBidi" w:cstheme="majorBidi"/>
                <w:b/>
                <w:bCs/>
              </w:rPr>
              <w:t>Neutre</w:t>
            </w:r>
          </w:p>
        </w:tc>
        <w:tc>
          <w:tcPr>
            <w:tcW w:w="1642" w:type="dxa"/>
          </w:tcPr>
          <w:p w14:paraId="3DC0FBB5" w14:textId="77777777" w:rsidR="009849A5" w:rsidRPr="00152406" w:rsidRDefault="009849A5" w:rsidP="00FB0F4A">
            <w:pPr>
              <w:pStyle w:val="Sansinterligne"/>
              <w:spacing w:line="360" w:lineRule="auto"/>
              <w:jc w:val="center"/>
              <w:rPr>
                <w:rFonts w:asciiTheme="majorBidi" w:hAnsiTheme="majorBidi" w:cstheme="majorBidi"/>
                <w:b/>
                <w:bCs/>
              </w:rPr>
            </w:pPr>
            <w:r w:rsidRPr="00152406">
              <w:rPr>
                <w:rFonts w:asciiTheme="majorBidi" w:hAnsiTheme="majorBidi" w:cstheme="majorBidi"/>
                <w:b/>
                <w:bCs/>
              </w:rPr>
              <w:t>D’accord</w:t>
            </w:r>
          </w:p>
        </w:tc>
        <w:tc>
          <w:tcPr>
            <w:tcW w:w="1642" w:type="dxa"/>
          </w:tcPr>
          <w:p w14:paraId="2F851C88" w14:textId="77777777" w:rsidR="009849A5" w:rsidRPr="00152406" w:rsidRDefault="009849A5" w:rsidP="00FB0F4A">
            <w:pPr>
              <w:pStyle w:val="Sansinterligne"/>
              <w:spacing w:line="360" w:lineRule="auto"/>
              <w:jc w:val="center"/>
              <w:rPr>
                <w:rFonts w:asciiTheme="majorBidi" w:hAnsiTheme="majorBidi" w:cstheme="majorBidi"/>
                <w:b/>
                <w:bCs/>
              </w:rPr>
            </w:pPr>
            <w:r w:rsidRPr="00152406">
              <w:rPr>
                <w:rFonts w:asciiTheme="majorBidi" w:hAnsiTheme="majorBidi" w:cstheme="majorBidi"/>
                <w:b/>
                <w:bCs/>
              </w:rPr>
              <w:t>Tout à fait D’accord</w:t>
            </w:r>
          </w:p>
        </w:tc>
      </w:tr>
      <w:tr w:rsidR="009849A5" w:rsidRPr="00BE3BDB" w14:paraId="4BBB7075" w14:textId="77777777" w:rsidTr="00FB0F4A">
        <w:trPr>
          <w:trHeight w:val="265"/>
        </w:trPr>
        <w:tc>
          <w:tcPr>
            <w:tcW w:w="1765" w:type="dxa"/>
          </w:tcPr>
          <w:p w14:paraId="5B790BD2" w14:textId="77777777" w:rsidR="009849A5" w:rsidRPr="00152406" w:rsidRDefault="009849A5" w:rsidP="00FB0F4A">
            <w:pPr>
              <w:pStyle w:val="Sansinterligne"/>
              <w:spacing w:line="360" w:lineRule="auto"/>
              <w:rPr>
                <w:b/>
                <w:bCs/>
              </w:rPr>
            </w:pPr>
            <w:r w:rsidRPr="00152406">
              <w:rPr>
                <w:b/>
                <w:bCs/>
              </w:rPr>
              <w:t>Degré</w:t>
            </w:r>
          </w:p>
        </w:tc>
        <w:tc>
          <w:tcPr>
            <w:tcW w:w="1645" w:type="dxa"/>
          </w:tcPr>
          <w:p w14:paraId="4DC755EC" w14:textId="77777777" w:rsidR="009849A5" w:rsidRPr="00152406" w:rsidRDefault="009849A5" w:rsidP="00FB0F4A">
            <w:pPr>
              <w:pStyle w:val="Sansinterligne"/>
              <w:spacing w:line="360" w:lineRule="auto"/>
            </w:pPr>
            <w:r w:rsidRPr="00152406">
              <w:t>1</w:t>
            </w:r>
          </w:p>
        </w:tc>
        <w:tc>
          <w:tcPr>
            <w:tcW w:w="1645" w:type="dxa"/>
          </w:tcPr>
          <w:p w14:paraId="73382861" w14:textId="77777777" w:rsidR="009849A5" w:rsidRPr="00152406" w:rsidRDefault="009849A5" w:rsidP="00FB0F4A">
            <w:pPr>
              <w:pStyle w:val="Sansinterligne"/>
              <w:spacing w:line="360" w:lineRule="auto"/>
            </w:pPr>
            <w:r w:rsidRPr="00152406">
              <w:t>2</w:t>
            </w:r>
          </w:p>
        </w:tc>
        <w:tc>
          <w:tcPr>
            <w:tcW w:w="1630" w:type="dxa"/>
          </w:tcPr>
          <w:p w14:paraId="4C7215C9" w14:textId="77777777" w:rsidR="009849A5" w:rsidRPr="00152406" w:rsidRDefault="009849A5" w:rsidP="00FB0F4A">
            <w:pPr>
              <w:pStyle w:val="Sansinterligne"/>
              <w:spacing w:line="360" w:lineRule="auto"/>
            </w:pPr>
            <w:r w:rsidRPr="00152406">
              <w:t>3</w:t>
            </w:r>
          </w:p>
        </w:tc>
        <w:tc>
          <w:tcPr>
            <w:tcW w:w="1642" w:type="dxa"/>
          </w:tcPr>
          <w:p w14:paraId="4FBAA64C" w14:textId="77777777" w:rsidR="009849A5" w:rsidRPr="00152406" w:rsidRDefault="009849A5" w:rsidP="00FB0F4A">
            <w:pPr>
              <w:pStyle w:val="Sansinterligne"/>
              <w:spacing w:line="360" w:lineRule="auto"/>
            </w:pPr>
            <w:r w:rsidRPr="00152406">
              <w:t>4</w:t>
            </w:r>
          </w:p>
        </w:tc>
        <w:tc>
          <w:tcPr>
            <w:tcW w:w="1642" w:type="dxa"/>
          </w:tcPr>
          <w:p w14:paraId="468A8920" w14:textId="77777777" w:rsidR="009849A5" w:rsidRPr="00152406" w:rsidRDefault="009849A5" w:rsidP="00FB0F4A">
            <w:pPr>
              <w:pStyle w:val="Sansinterligne"/>
              <w:spacing w:line="360" w:lineRule="auto"/>
            </w:pPr>
            <w:r w:rsidRPr="00152406">
              <w:t>5</w:t>
            </w:r>
          </w:p>
        </w:tc>
      </w:tr>
    </w:tbl>
    <w:p w14:paraId="70D61E8E" w14:textId="77777777" w:rsidR="009849A5" w:rsidRPr="009849A5" w:rsidRDefault="009849A5" w:rsidP="000B457B">
      <w:pPr>
        <w:pStyle w:val="Paragraphedeliste"/>
        <w:numPr>
          <w:ilvl w:val="0"/>
          <w:numId w:val="34"/>
        </w:numPr>
        <w:jc w:val="center"/>
        <w:rPr>
          <w:rFonts w:cstheme="majorBidi"/>
        </w:rPr>
      </w:pPr>
      <w:r w:rsidRPr="009849A5">
        <w:rPr>
          <w:rFonts w:cstheme="majorBidi"/>
          <w:bCs/>
        </w:rPr>
        <w:t>Source :</w:t>
      </w:r>
      <w:r w:rsidRPr="009849A5">
        <w:rPr>
          <w:rFonts w:cstheme="majorBidi"/>
        </w:rPr>
        <w:t xml:space="preserve"> établi par l’étudiante.</w:t>
      </w:r>
    </w:p>
    <w:p w14:paraId="615F168F" w14:textId="77777777" w:rsidR="00152406" w:rsidRPr="0077731B" w:rsidRDefault="00F577B6" w:rsidP="000B457B">
      <w:pPr>
        <w:pStyle w:val="Titre2"/>
        <w:numPr>
          <w:ilvl w:val="1"/>
          <w:numId w:val="35"/>
        </w:numPr>
      </w:pPr>
      <w:bookmarkStart w:id="123" w:name="_Toc200825464"/>
      <w:r w:rsidRPr="0077731B">
        <w:t>Répartition de l’échantillon de recherche selon l’âge :</w:t>
      </w:r>
      <w:bookmarkEnd w:id="123"/>
    </w:p>
    <w:p w14:paraId="17F15839" w14:textId="77777777" w:rsidR="00F577B6" w:rsidRPr="00063796" w:rsidRDefault="00063796" w:rsidP="00063796">
      <w:pPr>
        <w:pStyle w:val="Lgende"/>
        <w:jc w:val="center"/>
        <w:rPr>
          <w:rFonts w:cstheme="majorBidi"/>
          <w:b/>
          <w:bCs/>
          <w:i w:val="0"/>
          <w:iCs w:val="0"/>
          <w:color w:val="000000" w:themeColor="text1"/>
          <w:sz w:val="24"/>
          <w:szCs w:val="24"/>
        </w:rPr>
      </w:pPr>
      <w:bookmarkStart w:id="124" w:name="_Toc200731399"/>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6</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Répartition de l’échantillon selon l’âge</w:t>
      </w:r>
      <w:bookmarkEnd w:id="124"/>
    </w:p>
    <w:tbl>
      <w:tblPr>
        <w:tblStyle w:val="Grilledutableau"/>
        <w:tblpPr w:leftFromText="141" w:rightFromText="141" w:vertAnchor="text" w:horzAnchor="margin" w:tblpXSpec="center" w:tblpY="83"/>
        <w:tblW w:w="0" w:type="auto"/>
        <w:tblLook w:val="04A0" w:firstRow="1" w:lastRow="0" w:firstColumn="1" w:lastColumn="0" w:noHBand="0" w:noVBand="1"/>
      </w:tblPr>
      <w:tblGrid>
        <w:gridCol w:w="2183"/>
        <w:gridCol w:w="1576"/>
        <w:gridCol w:w="1763"/>
      </w:tblGrid>
      <w:tr w:rsidR="00F577B6" w:rsidRPr="00BE3BDB" w14:paraId="2C318363" w14:textId="77777777" w:rsidTr="00F577B6">
        <w:trPr>
          <w:trHeight w:val="300"/>
        </w:trPr>
        <w:tc>
          <w:tcPr>
            <w:tcW w:w="2183" w:type="dxa"/>
            <w:noWrap/>
            <w:hideMark/>
          </w:tcPr>
          <w:p w14:paraId="20D2483E" w14:textId="77777777" w:rsidR="00F577B6" w:rsidRPr="00BE3BDB" w:rsidRDefault="00F577B6" w:rsidP="00152406">
            <w:pPr>
              <w:pStyle w:val="Sansinterligne"/>
              <w:spacing w:line="480" w:lineRule="auto"/>
            </w:pPr>
          </w:p>
        </w:tc>
        <w:tc>
          <w:tcPr>
            <w:tcW w:w="1576" w:type="dxa"/>
            <w:noWrap/>
            <w:hideMark/>
          </w:tcPr>
          <w:p w14:paraId="3E2A3B94" w14:textId="77777777" w:rsidR="00F577B6" w:rsidRPr="00152406" w:rsidRDefault="00F577B6" w:rsidP="00152406">
            <w:pPr>
              <w:pStyle w:val="Sansinterligne"/>
              <w:spacing w:line="480" w:lineRule="auto"/>
              <w:jc w:val="center"/>
              <w:rPr>
                <w:b/>
                <w:bCs/>
              </w:rPr>
            </w:pPr>
            <w:r w:rsidRPr="00152406">
              <w:rPr>
                <w:b/>
                <w:bCs/>
              </w:rPr>
              <w:t>Fréquence</w:t>
            </w:r>
          </w:p>
        </w:tc>
        <w:tc>
          <w:tcPr>
            <w:tcW w:w="1763" w:type="dxa"/>
            <w:noWrap/>
            <w:hideMark/>
          </w:tcPr>
          <w:p w14:paraId="753C7A6C" w14:textId="77777777" w:rsidR="00F577B6" w:rsidRPr="00152406" w:rsidRDefault="00F577B6" w:rsidP="00152406">
            <w:pPr>
              <w:pStyle w:val="Sansinterligne"/>
              <w:spacing w:line="480" w:lineRule="auto"/>
              <w:jc w:val="center"/>
              <w:rPr>
                <w:b/>
                <w:bCs/>
              </w:rPr>
            </w:pPr>
            <w:r w:rsidRPr="00152406">
              <w:rPr>
                <w:b/>
                <w:bCs/>
              </w:rPr>
              <w:t>Pourcentage</w:t>
            </w:r>
          </w:p>
        </w:tc>
      </w:tr>
      <w:tr w:rsidR="00F577B6" w:rsidRPr="00BE3BDB" w14:paraId="357551ED" w14:textId="77777777" w:rsidTr="00F577B6">
        <w:trPr>
          <w:trHeight w:val="300"/>
        </w:trPr>
        <w:tc>
          <w:tcPr>
            <w:tcW w:w="2183" w:type="dxa"/>
            <w:noWrap/>
            <w:hideMark/>
          </w:tcPr>
          <w:p w14:paraId="028A3413" w14:textId="77777777" w:rsidR="00F577B6" w:rsidRPr="00152406" w:rsidRDefault="00F577B6" w:rsidP="00152406">
            <w:pPr>
              <w:pStyle w:val="Sansinterligne"/>
              <w:spacing w:line="480" w:lineRule="auto"/>
              <w:rPr>
                <w:b/>
                <w:bCs/>
              </w:rPr>
            </w:pPr>
            <w:r w:rsidRPr="00152406">
              <w:rPr>
                <w:b/>
                <w:bCs/>
              </w:rPr>
              <w:t>18-25 ans</w:t>
            </w:r>
          </w:p>
        </w:tc>
        <w:tc>
          <w:tcPr>
            <w:tcW w:w="1576" w:type="dxa"/>
            <w:noWrap/>
            <w:hideMark/>
          </w:tcPr>
          <w:p w14:paraId="0AFC7ED8" w14:textId="77777777" w:rsidR="00F577B6" w:rsidRPr="00BE3BDB" w:rsidRDefault="00F577B6" w:rsidP="00152406">
            <w:pPr>
              <w:pStyle w:val="Sansinterligne"/>
              <w:spacing w:line="480" w:lineRule="auto"/>
            </w:pPr>
            <w:r w:rsidRPr="00BE3BDB">
              <w:t>26</w:t>
            </w:r>
          </w:p>
        </w:tc>
        <w:tc>
          <w:tcPr>
            <w:tcW w:w="1763" w:type="dxa"/>
            <w:noWrap/>
            <w:hideMark/>
          </w:tcPr>
          <w:p w14:paraId="139AD1F5" w14:textId="77777777" w:rsidR="00F577B6" w:rsidRPr="00BE3BDB" w:rsidRDefault="00F577B6" w:rsidP="00152406">
            <w:pPr>
              <w:pStyle w:val="Sansinterligne"/>
              <w:spacing w:line="480" w:lineRule="auto"/>
            </w:pPr>
            <w:r w:rsidRPr="00BE3BDB">
              <w:t>37,1</w:t>
            </w:r>
          </w:p>
        </w:tc>
      </w:tr>
      <w:tr w:rsidR="00F577B6" w:rsidRPr="00BE3BDB" w14:paraId="6C735999" w14:textId="77777777" w:rsidTr="00F577B6">
        <w:trPr>
          <w:trHeight w:val="300"/>
        </w:trPr>
        <w:tc>
          <w:tcPr>
            <w:tcW w:w="2183" w:type="dxa"/>
            <w:noWrap/>
            <w:hideMark/>
          </w:tcPr>
          <w:p w14:paraId="70D4C8F3" w14:textId="77777777" w:rsidR="00F577B6" w:rsidRPr="00152406" w:rsidRDefault="00F577B6" w:rsidP="00152406">
            <w:pPr>
              <w:pStyle w:val="Sansinterligne"/>
              <w:spacing w:line="480" w:lineRule="auto"/>
              <w:rPr>
                <w:b/>
                <w:bCs/>
              </w:rPr>
            </w:pPr>
            <w:r w:rsidRPr="00152406">
              <w:rPr>
                <w:b/>
                <w:bCs/>
              </w:rPr>
              <w:t>26-35 ans</w:t>
            </w:r>
          </w:p>
        </w:tc>
        <w:tc>
          <w:tcPr>
            <w:tcW w:w="1576" w:type="dxa"/>
            <w:noWrap/>
            <w:hideMark/>
          </w:tcPr>
          <w:p w14:paraId="2E2DFE53" w14:textId="77777777" w:rsidR="00F577B6" w:rsidRPr="00BE3BDB" w:rsidRDefault="00F577B6" w:rsidP="00152406">
            <w:pPr>
              <w:pStyle w:val="Sansinterligne"/>
              <w:spacing w:line="480" w:lineRule="auto"/>
            </w:pPr>
            <w:r w:rsidRPr="00BE3BDB">
              <w:t>26</w:t>
            </w:r>
          </w:p>
        </w:tc>
        <w:tc>
          <w:tcPr>
            <w:tcW w:w="1763" w:type="dxa"/>
            <w:noWrap/>
            <w:hideMark/>
          </w:tcPr>
          <w:p w14:paraId="35828D4B" w14:textId="77777777" w:rsidR="00F577B6" w:rsidRPr="00BE3BDB" w:rsidRDefault="00F577B6" w:rsidP="00152406">
            <w:pPr>
              <w:pStyle w:val="Sansinterligne"/>
              <w:spacing w:line="480" w:lineRule="auto"/>
            </w:pPr>
            <w:r w:rsidRPr="00BE3BDB">
              <w:t>37,1</w:t>
            </w:r>
          </w:p>
        </w:tc>
      </w:tr>
      <w:tr w:rsidR="00F577B6" w:rsidRPr="00BE3BDB" w14:paraId="6582CC6A" w14:textId="77777777" w:rsidTr="00F577B6">
        <w:trPr>
          <w:trHeight w:val="300"/>
        </w:trPr>
        <w:tc>
          <w:tcPr>
            <w:tcW w:w="2183" w:type="dxa"/>
            <w:noWrap/>
            <w:hideMark/>
          </w:tcPr>
          <w:p w14:paraId="20413D3E" w14:textId="77777777" w:rsidR="00F577B6" w:rsidRPr="00152406" w:rsidRDefault="00F577B6" w:rsidP="00152406">
            <w:pPr>
              <w:pStyle w:val="Sansinterligne"/>
              <w:spacing w:line="480" w:lineRule="auto"/>
              <w:rPr>
                <w:b/>
                <w:bCs/>
              </w:rPr>
            </w:pPr>
            <w:r w:rsidRPr="00152406">
              <w:rPr>
                <w:b/>
                <w:bCs/>
              </w:rPr>
              <w:t>36-50 ans</w:t>
            </w:r>
          </w:p>
        </w:tc>
        <w:tc>
          <w:tcPr>
            <w:tcW w:w="1576" w:type="dxa"/>
            <w:noWrap/>
            <w:hideMark/>
          </w:tcPr>
          <w:p w14:paraId="01D73457" w14:textId="77777777" w:rsidR="00F577B6" w:rsidRPr="00BE3BDB" w:rsidRDefault="00F577B6" w:rsidP="00152406">
            <w:pPr>
              <w:pStyle w:val="Sansinterligne"/>
              <w:spacing w:line="480" w:lineRule="auto"/>
            </w:pPr>
            <w:r w:rsidRPr="00BE3BDB">
              <w:t>15</w:t>
            </w:r>
          </w:p>
        </w:tc>
        <w:tc>
          <w:tcPr>
            <w:tcW w:w="1763" w:type="dxa"/>
            <w:noWrap/>
            <w:hideMark/>
          </w:tcPr>
          <w:p w14:paraId="37FFA5A7" w14:textId="77777777" w:rsidR="00F577B6" w:rsidRPr="00BE3BDB" w:rsidRDefault="00F577B6" w:rsidP="00152406">
            <w:pPr>
              <w:pStyle w:val="Sansinterligne"/>
              <w:spacing w:line="480" w:lineRule="auto"/>
            </w:pPr>
            <w:r w:rsidRPr="00BE3BDB">
              <w:t>21,4</w:t>
            </w:r>
          </w:p>
        </w:tc>
      </w:tr>
      <w:tr w:rsidR="00F577B6" w:rsidRPr="00BE3BDB" w14:paraId="7577A0FC" w14:textId="77777777" w:rsidTr="00F577B6">
        <w:trPr>
          <w:trHeight w:val="300"/>
        </w:trPr>
        <w:tc>
          <w:tcPr>
            <w:tcW w:w="2183" w:type="dxa"/>
            <w:noWrap/>
            <w:hideMark/>
          </w:tcPr>
          <w:p w14:paraId="65E8D9B2" w14:textId="77777777" w:rsidR="00F577B6" w:rsidRPr="00152406" w:rsidRDefault="00F577B6" w:rsidP="00152406">
            <w:pPr>
              <w:pStyle w:val="Sansinterligne"/>
              <w:spacing w:line="480" w:lineRule="auto"/>
              <w:rPr>
                <w:b/>
                <w:bCs/>
              </w:rPr>
            </w:pPr>
            <w:r w:rsidRPr="00152406">
              <w:rPr>
                <w:b/>
                <w:bCs/>
              </w:rPr>
              <w:t>Plus de 50 ans</w:t>
            </w:r>
          </w:p>
        </w:tc>
        <w:tc>
          <w:tcPr>
            <w:tcW w:w="1576" w:type="dxa"/>
            <w:noWrap/>
            <w:hideMark/>
          </w:tcPr>
          <w:p w14:paraId="30F45DAD" w14:textId="77777777" w:rsidR="00F577B6" w:rsidRPr="00BE3BDB" w:rsidRDefault="00F577B6" w:rsidP="00152406">
            <w:pPr>
              <w:pStyle w:val="Sansinterligne"/>
              <w:spacing w:line="480" w:lineRule="auto"/>
            </w:pPr>
            <w:r w:rsidRPr="00BE3BDB">
              <w:t>3</w:t>
            </w:r>
          </w:p>
        </w:tc>
        <w:tc>
          <w:tcPr>
            <w:tcW w:w="1763" w:type="dxa"/>
            <w:noWrap/>
            <w:hideMark/>
          </w:tcPr>
          <w:p w14:paraId="29BA91C9" w14:textId="77777777" w:rsidR="00F577B6" w:rsidRPr="00BE3BDB" w:rsidRDefault="00F577B6" w:rsidP="00152406">
            <w:pPr>
              <w:pStyle w:val="Sansinterligne"/>
              <w:spacing w:line="480" w:lineRule="auto"/>
            </w:pPr>
            <w:r w:rsidRPr="00BE3BDB">
              <w:t>4,3</w:t>
            </w:r>
          </w:p>
        </w:tc>
      </w:tr>
      <w:tr w:rsidR="00F577B6" w:rsidRPr="00BE3BDB" w14:paraId="33ADF637" w14:textId="77777777" w:rsidTr="00F577B6">
        <w:trPr>
          <w:trHeight w:val="300"/>
        </w:trPr>
        <w:tc>
          <w:tcPr>
            <w:tcW w:w="2183" w:type="dxa"/>
            <w:noWrap/>
            <w:hideMark/>
          </w:tcPr>
          <w:p w14:paraId="0967E301" w14:textId="77777777" w:rsidR="00F577B6" w:rsidRPr="00152406" w:rsidRDefault="00F577B6" w:rsidP="00152406">
            <w:pPr>
              <w:pStyle w:val="Sansinterligne"/>
              <w:spacing w:line="480" w:lineRule="auto"/>
              <w:rPr>
                <w:b/>
                <w:bCs/>
              </w:rPr>
            </w:pPr>
            <w:r w:rsidRPr="00152406">
              <w:rPr>
                <w:b/>
                <w:bCs/>
              </w:rPr>
              <w:t>Total</w:t>
            </w:r>
          </w:p>
        </w:tc>
        <w:tc>
          <w:tcPr>
            <w:tcW w:w="1576" w:type="dxa"/>
            <w:noWrap/>
            <w:hideMark/>
          </w:tcPr>
          <w:p w14:paraId="717C4FCA" w14:textId="77777777" w:rsidR="00F577B6" w:rsidRPr="00BE3BDB" w:rsidRDefault="00F577B6" w:rsidP="00152406">
            <w:pPr>
              <w:pStyle w:val="Sansinterligne"/>
              <w:spacing w:line="480" w:lineRule="auto"/>
            </w:pPr>
            <w:r w:rsidRPr="00BE3BDB">
              <w:t>70</w:t>
            </w:r>
          </w:p>
        </w:tc>
        <w:tc>
          <w:tcPr>
            <w:tcW w:w="1763" w:type="dxa"/>
            <w:noWrap/>
            <w:hideMark/>
          </w:tcPr>
          <w:p w14:paraId="490DDB96" w14:textId="77777777" w:rsidR="00F577B6" w:rsidRPr="00BE3BDB" w:rsidRDefault="00F577B6" w:rsidP="00152406">
            <w:pPr>
              <w:pStyle w:val="Sansinterligne"/>
              <w:spacing w:line="480" w:lineRule="auto"/>
            </w:pPr>
            <w:r w:rsidRPr="00BE3BDB">
              <w:t>100</w:t>
            </w:r>
          </w:p>
        </w:tc>
      </w:tr>
    </w:tbl>
    <w:p w14:paraId="33CB64F6" w14:textId="77777777" w:rsidR="00F577B6" w:rsidRPr="00BE3BDB" w:rsidRDefault="00F577B6" w:rsidP="00F577B6">
      <w:pPr>
        <w:pStyle w:val="Paragraphedeliste"/>
        <w:ind w:left="360"/>
        <w:jc w:val="center"/>
        <w:rPr>
          <w:rFonts w:cstheme="majorBidi"/>
        </w:rPr>
      </w:pPr>
    </w:p>
    <w:p w14:paraId="1CED0810" w14:textId="77777777" w:rsidR="00F577B6" w:rsidRPr="00BE3BDB" w:rsidRDefault="00F577B6" w:rsidP="00F577B6">
      <w:pPr>
        <w:pStyle w:val="Paragraphedeliste"/>
        <w:ind w:left="360"/>
        <w:jc w:val="center"/>
        <w:rPr>
          <w:rFonts w:cstheme="majorBidi"/>
        </w:rPr>
      </w:pPr>
    </w:p>
    <w:p w14:paraId="4C5B075B" w14:textId="77777777" w:rsidR="00F577B6" w:rsidRDefault="00F577B6" w:rsidP="00F577B6">
      <w:pPr>
        <w:pStyle w:val="Paragraphedeliste"/>
        <w:ind w:left="360"/>
        <w:jc w:val="center"/>
        <w:rPr>
          <w:rFonts w:cstheme="majorBidi"/>
        </w:rPr>
      </w:pPr>
    </w:p>
    <w:p w14:paraId="5B361B14" w14:textId="77777777" w:rsidR="006D432A" w:rsidRDefault="006D432A" w:rsidP="00F577B6">
      <w:pPr>
        <w:pStyle w:val="Paragraphedeliste"/>
        <w:ind w:left="360"/>
        <w:jc w:val="center"/>
        <w:rPr>
          <w:rFonts w:cstheme="majorBidi"/>
        </w:rPr>
      </w:pPr>
    </w:p>
    <w:p w14:paraId="45B9B31E" w14:textId="77777777" w:rsidR="006D432A" w:rsidRDefault="006D432A" w:rsidP="00F577B6">
      <w:pPr>
        <w:pStyle w:val="Paragraphedeliste"/>
        <w:ind w:left="360"/>
        <w:jc w:val="center"/>
        <w:rPr>
          <w:rFonts w:cstheme="majorBidi"/>
        </w:rPr>
      </w:pPr>
    </w:p>
    <w:p w14:paraId="00197279" w14:textId="77777777" w:rsidR="006D432A" w:rsidRPr="00BE3BDB" w:rsidRDefault="006D432A" w:rsidP="00F577B6">
      <w:pPr>
        <w:pStyle w:val="Paragraphedeliste"/>
        <w:ind w:left="360"/>
        <w:jc w:val="center"/>
        <w:rPr>
          <w:rFonts w:cstheme="majorBidi"/>
        </w:rPr>
      </w:pPr>
    </w:p>
    <w:p w14:paraId="6B494700" w14:textId="77777777" w:rsidR="00063796" w:rsidRDefault="00063796" w:rsidP="00F577B6">
      <w:pPr>
        <w:jc w:val="center"/>
        <w:rPr>
          <w:rFonts w:cstheme="majorBidi"/>
        </w:rPr>
      </w:pPr>
    </w:p>
    <w:p w14:paraId="7535A9EF" w14:textId="77777777" w:rsidR="00063796" w:rsidRDefault="00063796" w:rsidP="00F577B6">
      <w:pPr>
        <w:jc w:val="center"/>
        <w:rPr>
          <w:rFonts w:cstheme="majorBidi"/>
        </w:rPr>
      </w:pPr>
    </w:p>
    <w:p w14:paraId="26C522B2" w14:textId="77777777" w:rsidR="00F577B6" w:rsidRPr="00BE3BDB" w:rsidRDefault="00F577B6" w:rsidP="00F577B6">
      <w:pPr>
        <w:jc w:val="center"/>
        <w:rPr>
          <w:rFonts w:cstheme="majorBidi"/>
          <w:b/>
        </w:rPr>
      </w:pPr>
      <w:r w:rsidRPr="00BE3BDB">
        <w:rPr>
          <w:rFonts w:cstheme="majorBidi"/>
        </w:rPr>
        <w:t>Source :</w:t>
      </w:r>
      <w:r w:rsidRPr="00BE3BDB">
        <w:rPr>
          <w:rFonts w:cstheme="majorBidi"/>
          <w:b/>
        </w:rPr>
        <w:t xml:space="preserve"> </w:t>
      </w:r>
      <w:r w:rsidRPr="00BE3BDB">
        <w:rPr>
          <w:rFonts w:cstheme="majorBidi"/>
        </w:rPr>
        <w:t>établi par l’étudiante à partir des résultats du questionnaire</w:t>
      </w:r>
    </w:p>
    <w:p w14:paraId="73D0DDA7" w14:textId="77777777" w:rsidR="006D432A" w:rsidRDefault="006D432A" w:rsidP="006D432A">
      <w:pPr>
        <w:pStyle w:val="Sansinterligne"/>
        <w:ind w:firstLine="0"/>
      </w:pPr>
    </w:p>
    <w:p w14:paraId="2ED44B73" w14:textId="77777777" w:rsidR="00F577B6" w:rsidRPr="00152406" w:rsidRDefault="00F577B6" w:rsidP="006D432A">
      <w:r w:rsidRPr="00BE3BDB">
        <w:rPr>
          <w:noProof/>
          <w:lang w:eastAsia="fr-FR"/>
        </w:rPr>
        <w:drawing>
          <wp:anchor distT="0" distB="0" distL="114300" distR="114300" simplePos="0" relativeHeight="251671552" behindDoc="0" locked="0" layoutInCell="1" allowOverlap="1" wp14:anchorId="3F3D59D0" wp14:editId="2FAB6245">
            <wp:simplePos x="0" y="0"/>
            <wp:positionH relativeFrom="column">
              <wp:posOffset>439726</wp:posOffset>
            </wp:positionH>
            <wp:positionV relativeFrom="paragraph">
              <wp:posOffset>76200</wp:posOffset>
            </wp:positionV>
            <wp:extent cx="5233670" cy="3075940"/>
            <wp:effectExtent l="0" t="0" r="5080" b="0"/>
            <wp:wrapSquare wrapText="bothSides"/>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33670" cy="3075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5F5751" w14:textId="77777777" w:rsidR="006D432A" w:rsidRDefault="006D432A" w:rsidP="00F577B6">
      <w:pPr>
        <w:jc w:val="center"/>
        <w:rPr>
          <w:rFonts w:cstheme="majorBidi"/>
          <w:bCs/>
        </w:rPr>
      </w:pPr>
    </w:p>
    <w:p w14:paraId="61A57E6A" w14:textId="77777777" w:rsidR="006D432A" w:rsidRDefault="006D432A" w:rsidP="00F577B6">
      <w:pPr>
        <w:jc w:val="center"/>
        <w:rPr>
          <w:rFonts w:cstheme="majorBidi"/>
          <w:bCs/>
        </w:rPr>
      </w:pPr>
    </w:p>
    <w:p w14:paraId="24EF86FF" w14:textId="77777777" w:rsidR="006D432A" w:rsidRDefault="006D432A" w:rsidP="00F577B6">
      <w:pPr>
        <w:jc w:val="center"/>
        <w:rPr>
          <w:rFonts w:cstheme="majorBidi"/>
          <w:bCs/>
        </w:rPr>
      </w:pPr>
    </w:p>
    <w:p w14:paraId="141A99FD" w14:textId="77777777" w:rsidR="006D432A" w:rsidRDefault="006D432A" w:rsidP="00F577B6">
      <w:pPr>
        <w:jc w:val="center"/>
        <w:rPr>
          <w:rFonts w:cstheme="majorBidi"/>
          <w:bCs/>
        </w:rPr>
      </w:pPr>
    </w:p>
    <w:p w14:paraId="5B923EF9" w14:textId="77777777" w:rsidR="006D432A" w:rsidRPr="00063796" w:rsidRDefault="006D432A" w:rsidP="006D432A">
      <w:pPr>
        <w:pStyle w:val="Corpsdetexte"/>
        <w:rPr>
          <w:bCs/>
          <w:lang w:val="fr-FR"/>
        </w:rPr>
      </w:pPr>
    </w:p>
    <w:p w14:paraId="1486BBEA" w14:textId="77777777" w:rsidR="006D432A" w:rsidRPr="00063796" w:rsidRDefault="006D432A" w:rsidP="006D432A">
      <w:pPr>
        <w:pStyle w:val="Corpsdetexte"/>
        <w:rPr>
          <w:bCs/>
          <w:lang w:val="fr-FR"/>
        </w:rPr>
      </w:pPr>
    </w:p>
    <w:p w14:paraId="0FE3B13D" w14:textId="77777777" w:rsidR="006D432A" w:rsidRPr="00063796" w:rsidRDefault="006D432A" w:rsidP="006D432A">
      <w:pPr>
        <w:pStyle w:val="Corpsdetexte"/>
        <w:rPr>
          <w:bCs/>
          <w:lang w:val="fr-FR"/>
        </w:rPr>
      </w:pPr>
    </w:p>
    <w:p w14:paraId="2D13319A" w14:textId="77777777" w:rsidR="006D432A" w:rsidRPr="00063796" w:rsidRDefault="006D432A" w:rsidP="006D432A">
      <w:pPr>
        <w:pStyle w:val="Corpsdetexte"/>
        <w:rPr>
          <w:bCs/>
          <w:lang w:val="fr-FR"/>
        </w:rPr>
      </w:pPr>
    </w:p>
    <w:p w14:paraId="54629C83" w14:textId="77777777" w:rsidR="006D432A" w:rsidRPr="00063796" w:rsidRDefault="006D432A" w:rsidP="006D432A">
      <w:pPr>
        <w:pStyle w:val="Corpsdetexte"/>
        <w:rPr>
          <w:bCs/>
          <w:lang w:val="fr-FR"/>
        </w:rPr>
      </w:pPr>
    </w:p>
    <w:p w14:paraId="661B36F0" w14:textId="77777777" w:rsidR="006D432A" w:rsidRPr="00063796" w:rsidRDefault="006D432A" w:rsidP="006D432A">
      <w:pPr>
        <w:pStyle w:val="Corpsdetexte"/>
        <w:rPr>
          <w:lang w:val="fr-FR"/>
        </w:rPr>
      </w:pPr>
    </w:p>
    <w:p w14:paraId="3D177DDD" w14:textId="77777777" w:rsidR="006D432A" w:rsidRPr="006D432A" w:rsidRDefault="006D432A" w:rsidP="006D432A">
      <w:pPr>
        <w:pStyle w:val="Lgende"/>
        <w:spacing w:line="360" w:lineRule="auto"/>
        <w:jc w:val="center"/>
        <w:rPr>
          <w:i w:val="0"/>
          <w:iCs w:val="0"/>
          <w:color w:val="000000" w:themeColor="text1"/>
          <w:sz w:val="24"/>
          <w:szCs w:val="24"/>
        </w:rPr>
      </w:pPr>
      <w:bookmarkStart w:id="125" w:name="_Toc200731389"/>
      <w:r w:rsidRPr="006D432A">
        <w:rPr>
          <w:b/>
          <w:bCs/>
          <w:i w:val="0"/>
          <w:iCs w:val="0"/>
          <w:color w:val="000000" w:themeColor="text1"/>
          <w:sz w:val="24"/>
          <w:szCs w:val="24"/>
        </w:rPr>
        <w:t xml:space="preserve">Figure </w:t>
      </w:r>
      <w:r w:rsidRPr="006D432A">
        <w:rPr>
          <w:b/>
          <w:bCs/>
          <w:i w:val="0"/>
          <w:iCs w:val="0"/>
          <w:color w:val="000000" w:themeColor="text1"/>
          <w:sz w:val="24"/>
          <w:szCs w:val="24"/>
        </w:rPr>
        <w:fldChar w:fldCharType="begin"/>
      </w:r>
      <w:r w:rsidRPr="006D432A">
        <w:rPr>
          <w:b/>
          <w:bCs/>
          <w:i w:val="0"/>
          <w:iCs w:val="0"/>
          <w:color w:val="000000" w:themeColor="text1"/>
          <w:sz w:val="24"/>
          <w:szCs w:val="24"/>
        </w:rPr>
        <w:instrText xml:space="preserve"> SEQ Figure \* ARABIC </w:instrText>
      </w:r>
      <w:r w:rsidRPr="006D432A">
        <w:rPr>
          <w:b/>
          <w:bCs/>
          <w:i w:val="0"/>
          <w:iCs w:val="0"/>
          <w:color w:val="000000" w:themeColor="text1"/>
          <w:sz w:val="24"/>
          <w:szCs w:val="24"/>
        </w:rPr>
        <w:fldChar w:fldCharType="separate"/>
      </w:r>
      <w:r w:rsidR="00B55438">
        <w:rPr>
          <w:b/>
          <w:bCs/>
          <w:i w:val="0"/>
          <w:iCs w:val="0"/>
          <w:noProof/>
          <w:color w:val="000000" w:themeColor="text1"/>
          <w:sz w:val="24"/>
          <w:szCs w:val="24"/>
        </w:rPr>
        <w:t>10</w:t>
      </w:r>
      <w:r w:rsidRPr="006D432A">
        <w:rPr>
          <w:b/>
          <w:bCs/>
          <w:i w:val="0"/>
          <w:iCs w:val="0"/>
          <w:color w:val="000000" w:themeColor="text1"/>
          <w:sz w:val="24"/>
          <w:szCs w:val="24"/>
        </w:rPr>
        <w:fldChar w:fldCharType="end"/>
      </w:r>
      <w:r w:rsidRPr="006D432A">
        <w:rPr>
          <w:i w:val="0"/>
          <w:iCs w:val="0"/>
          <w:color w:val="000000" w:themeColor="text1"/>
          <w:sz w:val="24"/>
          <w:szCs w:val="24"/>
        </w:rPr>
        <w:t xml:space="preserve"> : Représentation graphique de la répartition des individus de l’échantillon selon l’âge.</w:t>
      </w:r>
      <w:bookmarkEnd w:id="125"/>
    </w:p>
    <w:p w14:paraId="4944579C" w14:textId="77777777" w:rsidR="00F577B6" w:rsidRPr="006D432A" w:rsidRDefault="00F577B6" w:rsidP="006D432A">
      <w:pPr>
        <w:pStyle w:val="Paragraphedeliste"/>
        <w:jc w:val="center"/>
      </w:pPr>
      <w:r w:rsidRPr="006D432A">
        <w:rPr>
          <w:bCs/>
        </w:rPr>
        <w:t>Source :</w:t>
      </w:r>
      <w:r w:rsidRPr="006D432A">
        <w:t xml:space="preserve"> établi par l’étudiante à partir SPSS v 27</w:t>
      </w:r>
    </w:p>
    <w:p w14:paraId="5DE1CAB8" w14:textId="77777777" w:rsidR="00152406" w:rsidRDefault="006D432A" w:rsidP="0077731B">
      <w:pPr>
        <w:rPr>
          <w:rFonts w:cstheme="majorBidi"/>
        </w:rPr>
      </w:pPr>
      <w:r>
        <w:rPr>
          <w:rFonts w:cstheme="majorBidi"/>
        </w:rPr>
        <w:t xml:space="preserve"> </w:t>
      </w:r>
    </w:p>
    <w:p w14:paraId="3A2AE6E3" w14:textId="77777777" w:rsidR="0077731B" w:rsidRPr="00BE3BDB" w:rsidRDefault="00F577B6" w:rsidP="00612506">
      <w:r w:rsidRPr="00BE3BDB">
        <w:t xml:space="preserve">     L’analyse de la répartition selon l’âge montre que les tranches 18–25 ans et 26–35 ans dominent l’échantillon, représentant chacune 37,1 % des répondants. Ces résultats indiquent une forte participation des jeunes adultes, souvent plus exposés aux questions environnementales et aux communications de marque. Les 36–50 ans représentent 21,4 %, tandis que les personnes de plus de 50 ans sont peu nombreuses (4,3 %), ce qui pourrait s’expliquer par un moindre engagement ou une accessibilité réd</w:t>
      </w:r>
      <w:r w:rsidR="00152406">
        <w:t>uite au questionnaire en ligne.</w:t>
      </w:r>
    </w:p>
    <w:p w14:paraId="1AE8577A" w14:textId="77777777" w:rsidR="00F577B6" w:rsidRPr="0077731B" w:rsidRDefault="00F577B6" w:rsidP="000B457B">
      <w:pPr>
        <w:pStyle w:val="Titre2"/>
        <w:numPr>
          <w:ilvl w:val="1"/>
          <w:numId w:val="35"/>
        </w:numPr>
      </w:pPr>
      <w:r w:rsidRPr="0077731B">
        <w:t xml:space="preserve"> </w:t>
      </w:r>
      <w:bookmarkStart w:id="126" w:name="_Toc200825465"/>
      <w:r w:rsidRPr="0077731B">
        <w:t>Répartition de l’échantillon selon le genre :</w:t>
      </w:r>
      <w:bookmarkEnd w:id="126"/>
      <w:r w:rsidRPr="0077731B">
        <w:t xml:space="preserve"> </w:t>
      </w:r>
    </w:p>
    <w:p w14:paraId="5E70A1F5" w14:textId="77777777" w:rsidR="006D432A" w:rsidRDefault="006D432A" w:rsidP="00F577B6">
      <w:pPr>
        <w:ind w:left="360"/>
        <w:jc w:val="center"/>
        <w:rPr>
          <w:rFonts w:cstheme="majorBidi"/>
          <w:bCs/>
        </w:rPr>
      </w:pPr>
    </w:p>
    <w:p w14:paraId="22022E84" w14:textId="77777777" w:rsidR="006D432A" w:rsidRDefault="006D432A" w:rsidP="00F577B6">
      <w:pPr>
        <w:ind w:left="360"/>
        <w:jc w:val="center"/>
        <w:rPr>
          <w:rFonts w:cstheme="majorBidi"/>
          <w:bCs/>
        </w:rPr>
      </w:pPr>
    </w:p>
    <w:p w14:paraId="48BF30C1" w14:textId="77777777" w:rsidR="006D432A" w:rsidRDefault="006D432A" w:rsidP="00F577B6">
      <w:pPr>
        <w:ind w:left="360"/>
        <w:jc w:val="center"/>
        <w:rPr>
          <w:rFonts w:cstheme="majorBidi"/>
          <w:bCs/>
        </w:rPr>
      </w:pPr>
    </w:p>
    <w:p w14:paraId="69BE3BCB" w14:textId="77777777" w:rsidR="00063796" w:rsidRDefault="00063796" w:rsidP="00F577B6">
      <w:pPr>
        <w:ind w:left="360"/>
        <w:jc w:val="center"/>
        <w:rPr>
          <w:rFonts w:cstheme="majorBidi"/>
          <w:bCs/>
        </w:rPr>
      </w:pPr>
    </w:p>
    <w:p w14:paraId="4208D93A" w14:textId="77777777" w:rsidR="00063796" w:rsidRPr="00063796" w:rsidRDefault="00063796" w:rsidP="00063796">
      <w:pPr>
        <w:pStyle w:val="Lgende"/>
        <w:jc w:val="center"/>
        <w:rPr>
          <w:rFonts w:cstheme="majorBidi"/>
          <w:b/>
          <w:bCs/>
          <w:i w:val="0"/>
          <w:iCs w:val="0"/>
          <w:color w:val="000000" w:themeColor="text1"/>
          <w:sz w:val="24"/>
          <w:szCs w:val="24"/>
        </w:rPr>
      </w:pPr>
      <w:bookmarkStart w:id="127" w:name="_Toc200731400"/>
      <w:r w:rsidRPr="00063796">
        <w:rPr>
          <w:b/>
          <w:bCs/>
          <w:i w:val="0"/>
          <w:iCs w:val="0"/>
          <w:color w:val="000000" w:themeColor="text1"/>
          <w:sz w:val="24"/>
          <w:szCs w:val="24"/>
        </w:rPr>
        <w:lastRenderedPageBreak/>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7</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Répartition de l’échantillon selon le genre</w:t>
      </w:r>
      <w:bookmarkEnd w:id="127"/>
    </w:p>
    <w:tbl>
      <w:tblPr>
        <w:tblStyle w:val="Grilledutableau"/>
        <w:tblW w:w="0" w:type="auto"/>
        <w:tblInd w:w="2184" w:type="dxa"/>
        <w:tblLook w:val="04A0" w:firstRow="1" w:lastRow="0" w:firstColumn="1" w:lastColumn="0" w:noHBand="0" w:noVBand="1"/>
      </w:tblPr>
      <w:tblGrid>
        <w:gridCol w:w="1350"/>
        <w:gridCol w:w="1576"/>
        <w:gridCol w:w="1763"/>
      </w:tblGrid>
      <w:tr w:rsidR="00F577B6" w:rsidRPr="00152406" w14:paraId="21137A9A" w14:textId="77777777" w:rsidTr="00F577B6">
        <w:trPr>
          <w:trHeight w:val="300"/>
        </w:trPr>
        <w:tc>
          <w:tcPr>
            <w:tcW w:w="1350" w:type="dxa"/>
            <w:noWrap/>
            <w:hideMark/>
          </w:tcPr>
          <w:p w14:paraId="688250EC" w14:textId="77777777" w:rsidR="00F577B6" w:rsidRPr="00152406" w:rsidRDefault="00F577B6" w:rsidP="00152406">
            <w:pPr>
              <w:pStyle w:val="Sansinterligne"/>
              <w:spacing w:line="360" w:lineRule="auto"/>
              <w:rPr>
                <w:rFonts w:asciiTheme="majorBidi" w:hAnsiTheme="majorBidi" w:cstheme="majorBidi"/>
              </w:rPr>
            </w:pPr>
          </w:p>
        </w:tc>
        <w:tc>
          <w:tcPr>
            <w:tcW w:w="1576" w:type="dxa"/>
            <w:noWrap/>
            <w:hideMark/>
          </w:tcPr>
          <w:p w14:paraId="6A67592E"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Fréquence</w:t>
            </w:r>
          </w:p>
        </w:tc>
        <w:tc>
          <w:tcPr>
            <w:tcW w:w="1763" w:type="dxa"/>
            <w:noWrap/>
            <w:hideMark/>
          </w:tcPr>
          <w:p w14:paraId="19D525AF"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Pourcentage</w:t>
            </w:r>
          </w:p>
        </w:tc>
      </w:tr>
      <w:tr w:rsidR="00F577B6" w:rsidRPr="00152406" w14:paraId="497BF0E7" w14:textId="77777777" w:rsidTr="00F577B6">
        <w:trPr>
          <w:trHeight w:val="300"/>
        </w:trPr>
        <w:tc>
          <w:tcPr>
            <w:tcW w:w="1350" w:type="dxa"/>
            <w:noWrap/>
            <w:hideMark/>
          </w:tcPr>
          <w:p w14:paraId="03531920"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Homme</w:t>
            </w:r>
          </w:p>
        </w:tc>
        <w:tc>
          <w:tcPr>
            <w:tcW w:w="1576" w:type="dxa"/>
            <w:noWrap/>
            <w:hideMark/>
          </w:tcPr>
          <w:p w14:paraId="25F7966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40</w:t>
            </w:r>
          </w:p>
        </w:tc>
        <w:tc>
          <w:tcPr>
            <w:tcW w:w="1763" w:type="dxa"/>
            <w:noWrap/>
            <w:hideMark/>
          </w:tcPr>
          <w:p w14:paraId="2652971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57,1</w:t>
            </w:r>
          </w:p>
        </w:tc>
      </w:tr>
      <w:tr w:rsidR="00F577B6" w:rsidRPr="00152406" w14:paraId="0D3D29DC" w14:textId="77777777" w:rsidTr="00F577B6">
        <w:trPr>
          <w:trHeight w:val="300"/>
        </w:trPr>
        <w:tc>
          <w:tcPr>
            <w:tcW w:w="1350" w:type="dxa"/>
            <w:noWrap/>
            <w:hideMark/>
          </w:tcPr>
          <w:p w14:paraId="32D59EB1"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Femme</w:t>
            </w:r>
          </w:p>
        </w:tc>
        <w:tc>
          <w:tcPr>
            <w:tcW w:w="1576" w:type="dxa"/>
            <w:noWrap/>
            <w:hideMark/>
          </w:tcPr>
          <w:p w14:paraId="4835BECC"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30</w:t>
            </w:r>
          </w:p>
        </w:tc>
        <w:tc>
          <w:tcPr>
            <w:tcW w:w="1763" w:type="dxa"/>
            <w:noWrap/>
            <w:hideMark/>
          </w:tcPr>
          <w:p w14:paraId="50E5716C"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42,9</w:t>
            </w:r>
          </w:p>
        </w:tc>
      </w:tr>
      <w:tr w:rsidR="00F577B6" w:rsidRPr="00152406" w14:paraId="6CD5F27E" w14:textId="77777777" w:rsidTr="00F577B6">
        <w:trPr>
          <w:trHeight w:val="300"/>
        </w:trPr>
        <w:tc>
          <w:tcPr>
            <w:tcW w:w="1350" w:type="dxa"/>
            <w:noWrap/>
            <w:hideMark/>
          </w:tcPr>
          <w:p w14:paraId="7E7B866E"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Total</w:t>
            </w:r>
          </w:p>
        </w:tc>
        <w:tc>
          <w:tcPr>
            <w:tcW w:w="1576" w:type="dxa"/>
            <w:noWrap/>
            <w:hideMark/>
          </w:tcPr>
          <w:p w14:paraId="63E11BE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70</w:t>
            </w:r>
          </w:p>
        </w:tc>
        <w:tc>
          <w:tcPr>
            <w:tcW w:w="1763" w:type="dxa"/>
            <w:noWrap/>
            <w:hideMark/>
          </w:tcPr>
          <w:p w14:paraId="4DF9379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100</w:t>
            </w:r>
          </w:p>
        </w:tc>
      </w:tr>
    </w:tbl>
    <w:p w14:paraId="66C4C1C9" w14:textId="77777777" w:rsidR="00F577B6" w:rsidRPr="00BE3BDB" w:rsidRDefault="00F577B6" w:rsidP="00152406">
      <w:pPr>
        <w:ind w:left="360"/>
        <w:jc w:val="center"/>
        <w:rPr>
          <w:rFonts w:cstheme="majorBidi"/>
        </w:rPr>
      </w:pPr>
      <w:r w:rsidRPr="00BE3BDB">
        <w:rPr>
          <w:rFonts w:cstheme="majorBidi"/>
        </w:rPr>
        <w:t>Source :</w:t>
      </w:r>
      <w:r w:rsidRPr="00BE3BDB">
        <w:rPr>
          <w:rFonts w:cstheme="majorBidi"/>
          <w:b/>
        </w:rPr>
        <w:t xml:space="preserve"> </w:t>
      </w:r>
      <w:r w:rsidRPr="00BE3BDB">
        <w:rPr>
          <w:rFonts w:cstheme="majorBidi"/>
        </w:rPr>
        <w:t>établi par l’étudiante à partir</w:t>
      </w:r>
      <w:r w:rsidR="00152406">
        <w:rPr>
          <w:rFonts w:cstheme="majorBidi"/>
        </w:rPr>
        <w:t xml:space="preserve"> des résultats du questionnaire</w:t>
      </w:r>
    </w:p>
    <w:p w14:paraId="254B1928" w14:textId="77777777" w:rsidR="00F577B6" w:rsidRDefault="00F577B6" w:rsidP="00F577B6">
      <w:pPr>
        <w:ind w:left="360"/>
        <w:jc w:val="center"/>
        <w:rPr>
          <w:rFonts w:cstheme="majorBidi"/>
        </w:rPr>
      </w:pPr>
      <w:r w:rsidRPr="00BE3BDB">
        <w:rPr>
          <w:rFonts w:cstheme="majorBidi"/>
          <w:noProof/>
          <w:lang w:eastAsia="fr-FR"/>
        </w:rPr>
        <w:drawing>
          <wp:inline distT="0" distB="0" distL="0" distR="0" wp14:anchorId="5CE5C582" wp14:editId="75D70143">
            <wp:extent cx="5080973" cy="2992582"/>
            <wp:effectExtent l="0" t="0" r="5715" b="0"/>
            <wp:docPr id="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7286" cy="2996300"/>
                    </a:xfrm>
                    <a:prstGeom prst="rect">
                      <a:avLst/>
                    </a:prstGeom>
                    <a:noFill/>
                    <a:ln>
                      <a:noFill/>
                    </a:ln>
                  </pic:spPr>
                </pic:pic>
              </a:graphicData>
            </a:graphic>
          </wp:inline>
        </w:drawing>
      </w:r>
    </w:p>
    <w:p w14:paraId="4D10E4E7" w14:textId="77777777" w:rsidR="00152406" w:rsidRPr="006D432A" w:rsidRDefault="006D432A" w:rsidP="006D432A">
      <w:pPr>
        <w:pStyle w:val="Lgende"/>
        <w:jc w:val="center"/>
        <w:rPr>
          <w:rFonts w:cstheme="majorBidi"/>
          <w:b/>
          <w:bCs/>
          <w:i w:val="0"/>
          <w:iCs w:val="0"/>
          <w:color w:val="000000" w:themeColor="text1"/>
          <w:sz w:val="24"/>
          <w:szCs w:val="24"/>
        </w:rPr>
      </w:pPr>
      <w:bookmarkStart w:id="128" w:name="_Toc200731390"/>
      <w:r w:rsidRPr="006D432A">
        <w:rPr>
          <w:b/>
          <w:bCs/>
          <w:i w:val="0"/>
          <w:iCs w:val="0"/>
          <w:color w:val="000000" w:themeColor="text1"/>
          <w:sz w:val="24"/>
          <w:szCs w:val="24"/>
        </w:rPr>
        <w:t xml:space="preserve">Figure </w:t>
      </w:r>
      <w:r w:rsidRPr="006D432A">
        <w:rPr>
          <w:b/>
          <w:bCs/>
          <w:i w:val="0"/>
          <w:iCs w:val="0"/>
          <w:color w:val="000000" w:themeColor="text1"/>
          <w:sz w:val="24"/>
          <w:szCs w:val="24"/>
        </w:rPr>
        <w:fldChar w:fldCharType="begin"/>
      </w:r>
      <w:r w:rsidRPr="006D432A">
        <w:rPr>
          <w:b/>
          <w:bCs/>
          <w:i w:val="0"/>
          <w:iCs w:val="0"/>
          <w:color w:val="000000" w:themeColor="text1"/>
          <w:sz w:val="24"/>
          <w:szCs w:val="24"/>
        </w:rPr>
        <w:instrText xml:space="preserve"> SEQ Figure \* ARABIC </w:instrText>
      </w:r>
      <w:r w:rsidRPr="006D432A">
        <w:rPr>
          <w:b/>
          <w:bCs/>
          <w:i w:val="0"/>
          <w:iCs w:val="0"/>
          <w:color w:val="000000" w:themeColor="text1"/>
          <w:sz w:val="24"/>
          <w:szCs w:val="24"/>
        </w:rPr>
        <w:fldChar w:fldCharType="separate"/>
      </w:r>
      <w:r w:rsidR="00B55438">
        <w:rPr>
          <w:b/>
          <w:bCs/>
          <w:i w:val="0"/>
          <w:iCs w:val="0"/>
          <w:noProof/>
          <w:color w:val="000000" w:themeColor="text1"/>
          <w:sz w:val="24"/>
          <w:szCs w:val="24"/>
        </w:rPr>
        <w:t>11</w:t>
      </w:r>
      <w:r w:rsidRPr="006D432A">
        <w:rPr>
          <w:b/>
          <w:bCs/>
          <w:i w:val="0"/>
          <w:iCs w:val="0"/>
          <w:color w:val="000000" w:themeColor="text1"/>
          <w:sz w:val="24"/>
          <w:szCs w:val="24"/>
        </w:rPr>
        <w:fldChar w:fldCharType="end"/>
      </w:r>
      <w:r w:rsidR="00152406" w:rsidRPr="006D432A">
        <w:rPr>
          <w:rFonts w:cstheme="majorBidi"/>
          <w:b/>
          <w:bCs/>
          <w:i w:val="0"/>
          <w:iCs w:val="0"/>
          <w:color w:val="000000" w:themeColor="text1"/>
          <w:sz w:val="24"/>
          <w:szCs w:val="24"/>
        </w:rPr>
        <w:t xml:space="preserve"> : </w:t>
      </w:r>
      <w:r w:rsidR="00152406" w:rsidRPr="006D432A">
        <w:rPr>
          <w:rFonts w:cstheme="majorBidi"/>
          <w:i w:val="0"/>
          <w:iCs w:val="0"/>
          <w:color w:val="000000" w:themeColor="text1"/>
          <w:sz w:val="24"/>
          <w:szCs w:val="24"/>
        </w:rPr>
        <w:t>Représentation graphique de la répartition des individus de l’échantillon selon  le genre</w:t>
      </w:r>
      <w:bookmarkEnd w:id="128"/>
    </w:p>
    <w:p w14:paraId="1C2A55CD" w14:textId="77777777" w:rsidR="00F577B6" w:rsidRPr="00BE3BDB" w:rsidRDefault="00F577B6" w:rsidP="00152406">
      <w:pPr>
        <w:ind w:left="360"/>
        <w:jc w:val="center"/>
        <w:rPr>
          <w:rFonts w:cstheme="majorBidi"/>
        </w:rPr>
      </w:pPr>
      <w:r w:rsidRPr="00BE3BDB">
        <w:rPr>
          <w:rFonts w:cstheme="majorBidi"/>
          <w:bCs/>
        </w:rPr>
        <w:t>Source :</w:t>
      </w:r>
      <w:r w:rsidRPr="00BE3BDB">
        <w:rPr>
          <w:rFonts w:cstheme="majorBidi"/>
        </w:rPr>
        <w:t xml:space="preserve"> établi par l’étudiante à partir SPSS v 27</w:t>
      </w:r>
    </w:p>
    <w:p w14:paraId="1F2A51D2" w14:textId="77777777" w:rsidR="00F577B6" w:rsidRDefault="00F577B6" w:rsidP="00310018">
      <w:r w:rsidRPr="00BE3BDB">
        <w:t xml:space="preserve">         La répartition selon le genre montre une légère prédominance des hommes dans l’échantillon, représentant 57,1 % des répondants, contre 42,9 % de femmes. Cette différence reste relativement équilibrée, ce qui permet d’avoir une diversité de points de vue dans l’analyse des perceptions liées au greenwashing et à l’image </w:t>
      </w:r>
      <w:r w:rsidR="00152406">
        <w:t>de marque de l’entreprise GICA.</w:t>
      </w:r>
    </w:p>
    <w:p w14:paraId="3591AF8B" w14:textId="77777777" w:rsidR="006D432A" w:rsidRDefault="006D432A" w:rsidP="00310018"/>
    <w:p w14:paraId="31084190" w14:textId="77777777" w:rsidR="006D432A" w:rsidRDefault="006D432A" w:rsidP="00310018"/>
    <w:p w14:paraId="24C7F187" w14:textId="77777777" w:rsidR="006D432A" w:rsidRPr="00BE3BDB" w:rsidRDefault="006D432A" w:rsidP="00310018"/>
    <w:p w14:paraId="25899512" w14:textId="77777777" w:rsidR="00F577B6" w:rsidRPr="0077731B" w:rsidRDefault="00F577B6" w:rsidP="000B457B">
      <w:pPr>
        <w:pStyle w:val="Titre2"/>
        <w:numPr>
          <w:ilvl w:val="1"/>
          <w:numId w:val="35"/>
        </w:numPr>
      </w:pPr>
      <w:bookmarkStart w:id="129" w:name="_Toc200825466"/>
      <w:r w:rsidRPr="0077731B">
        <w:lastRenderedPageBreak/>
        <w:t>Répartition de l’échantillon selon le niveau d’étude</w:t>
      </w:r>
      <w:bookmarkEnd w:id="129"/>
    </w:p>
    <w:p w14:paraId="2A28A2E4" w14:textId="77777777" w:rsidR="00F577B6" w:rsidRPr="00063796" w:rsidRDefault="00063796" w:rsidP="00063796">
      <w:pPr>
        <w:pStyle w:val="Lgende"/>
        <w:jc w:val="center"/>
        <w:rPr>
          <w:rFonts w:cstheme="majorBidi"/>
          <w:b/>
          <w:bCs/>
          <w:i w:val="0"/>
          <w:iCs w:val="0"/>
          <w:color w:val="000000" w:themeColor="text1"/>
          <w:sz w:val="24"/>
          <w:szCs w:val="24"/>
        </w:rPr>
      </w:pPr>
      <w:bookmarkStart w:id="130" w:name="_Toc200731401"/>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8</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Répartition de l’échantillon selon le niveau d’étude</w:t>
      </w:r>
      <w:bookmarkEnd w:id="130"/>
    </w:p>
    <w:tbl>
      <w:tblPr>
        <w:tblStyle w:val="Grilledutableau"/>
        <w:tblW w:w="0" w:type="auto"/>
        <w:tblInd w:w="1286" w:type="dxa"/>
        <w:tblLook w:val="04A0" w:firstRow="1" w:lastRow="0" w:firstColumn="1" w:lastColumn="0" w:noHBand="0" w:noVBand="1"/>
      </w:tblPr>
      <w:tblGrid>
        <w:gridCol w:w="2243"/>
        <w:gridCol w:w="2016"/>
        <w:gridCol w:w="2216"/>
      </w:tblGrid>
      <w:tr w:rsidR="00F577B6" w:rsidRPr="00BE3BDB" w14:paraId="3DF8FA1A" w14:textId="77777777" w:rsidTr="00F577B6">
        <w:trPr>
          <w:trHeight w:val="300"/>
        </w:trPr>
        <w:tc>
          <w:tcPr>
            <w:tcW w:w="2243" w:type="dxa"/>
            <w:noWrap/>
            <w:hideMark/>
          </w:tcPr>
          <w:p w14:paraId="73FDC603" w14:textId="77777777" w:rsidR="00F577B6" w:rsidRPr="00152406" w:rsidRDefault="00F577B6" w:rsidP="00152406">
            <w:pPr>
              <w:pStyle w:val="Sansinterligne"/>
              <w:spacing w:line="360" w:lineRule="auto"/>
              <w:rPr>
                <w:rFonts w:asciiTheme="majorBidi" w:hAnsiTheme="majorBidi" w:cstheme="majorBidi"/>
              </w:rPr>
            </w:pPr>
          </w:p>
        </w:tc>
        <w:tc>
          <w:tcPr>
            <w:tcW w:w="2016" w:type="dxa"/>
            <w:noWrap/>
            <w:hideMark/>
          </w:tcPr>
          <w:p w14:paraId="69A26257"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Fréquence</w:t>
            </w:r>
          </w:p>
        </w:tc>
        <w:tc>
          <w:tcPr>
            <w:tcW w:w="2216" w:type="dxa"/>
            <w:noWrap/>
            <w:hideMark/>
          </w:tcPr>
          <w:p w14:paraId="15A38A2F"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Pourcentage</w:t>
            </w:r>
          </w:p>
        </w:tc>
      </w:tr>
      <w:tr w:rsidR="00F577B6" w:rsidRPr="00BE3BDB" w14:paraId="3F3B3DA4" w14:textId="77777777" w:rsidTr="00F577B6">
        <w:trPr>
          <w:trHeight w:val="300"/>
        </w:trPr>
        <w:tc>
          <w:tcPr>
            <w:tcW w:w="2243" w:type="dxa"/>
            <w:noWrap/>
            <w:hideMark/>
          </w:tcPr>
          <w:p w14:paraId="139F86CC"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primaire</w:t>
            </w:r>
          </w:p>
        </w:tc>
        <w:tc>
          <w:tcPr>
            <w:tcW w:w="2016" w:type="dxa"/>
            <w:noWrap/>
            <w:hideMark/>
          </w:tcPr>
          <w:p w14:paraId="6A03014B"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4</w:t>
            </w:r>
          </w:p>
        </w:tc>
        <w:tc>
          <w:tcPr>
            <w:tcW w:w="2216" w:type="dxa"/>
            <w:noWrap/>
            <w:hideMark/>
          </w:tcPr>
          <w:p w14:paraId="10559B80"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5,7</w:t>
            </w:r>
          </w:p>
        </w:tc>
      </w:tr>
      <w:tr w:rsidR="00F577B6" w:rsidRPr="00BE3BDB" w14:paraId="7CCA0E28" w14:textId="77777777" w:rsidTr="00F577B6">
        <w:trPr>
          <w:trHeight w:val="300"/>
        </w:trPr>
        <w:tc>
          <w:tcPr>
            <w:tcW w:w="2243" w:type="dxa"/>
            <w:noWrap/>
            <w:hideMark/>
          </w:tcPr>
          <w:p w14:paraId="5EB882A2"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secondaire</w:t>
            </w:r>
          </w:p>
        </w:tc>
        <w:tc>
          <w:tcPr>
            <w:tcW w:w="2016" w:type="dxa"/>
            <w:noWrap/>
            <w:hideMark/>
          </w:tcPr>
          <w:p w14:paraId="67787AAF"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w:t>
            </w:r>
          </w:p>
        </w:tc>
        <w:tc>
          <w:tcPr>
            <w:tcW w:w="2216" w:type="dxa"/>
            <w:noWrap/>
            <w:hideMark/>
          </w:tcPr>
          <w:p w14:paraId="140772C1"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1,4</w:t>
            </w:r>
          </w:p>
        </w:tc>
      </w:tr>
      <w:tr w:rsidR="00F577B6" w:rsidRPr="00BE3BDB" w14:paraId="741E7F3E" w14:textId="77777777" w:rsidTr="00F577B6">
        <w:trPr>
          <w:trHeight w:val="300"/>
        </w:trPr>
        <w:tc>
          <w:tcPr>
            <w:tcW w:w="2243" w:type="dxa"/>
            <w:noWrap/>
            <w:hideMark/>
          </w:tcPr>
          <w:p w14:paraId="6E8E0FA3"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universitaire</w:t>
            </w:r>
          </w:p>
        </w:tc>
        <w:tc>
          <w:tcPr>
            <w:tcW w:w="2016" w:type="dxa"/>
            <w:noWrap/>
            <w:hideMark/>
          </w:tcPr>
          <w:p w14:paraId="5AFACAD6"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58</w:t>
            </w:r>
          </w:p>
        </w:tc>
        <w:tc>
          <w:tcPr>
            <w:tcW w:w="2216" w:type="dxa"/>
            <w:noWrap/>
            <w:hideMark/>
          </w:tcPr>
          <w:p w14:paraId="62445FD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82,9</w:t>
            </w:r>
          </w:p>
        </w:tc>
      </w:tr>
      <w:tr w:rsidR="00F577B6" w:rsidRPr="00BE3BDB" w14:paraId="7F956301" w14:textId="77777777" w:rsidTr="00F577B6">
        <w:trPr>
          <w:trHeight w:val="300"/>
        </w:trPr>
        <w:tc>
          <w:tcPr>
            <w:tcW w:w="2243" w:type="dxa"/>
            <w:noWrap/>
            <w:hideMark/>
          </w:tcPr>
          <w:p w14:paraId="5104652F"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autre</w:t>
            </w:r>
          </w:p>
        </w:tc>
        <w:tc>
          <w:tcPr>
            <w:tcW w:w="2016" w:type="dxa"/>
            <w:noWrap/>
            <w:hideMark/>
          </w:tcPr>
          <w:p w14:paraId="30AA9910"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7</w:t>
            </w:r>
          </w:p>
        </w:tc>
        <w:tc>
          <w:tcPr>
            <w:tcW w:w="2216" w:type="dxa"/>
            <w:noWrap/>
            <w:hideMark/>
          </w:tcPr>
          <w:p w14:paraId="1BBEBE40"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10</w:t>
            </w:r>
          </w:p>
        </w:tc>
      </w:tr>
      <w:tr w:rsidR="00F577B6" w:rsidRPr="00BE3BDB" w14:paraId="6ED0265D" w14:textId="77777777" w:rsidTr="00F577B6">
        <w:trPr>
          <w:trHeight w:val="300"/>
        </w:trPr>
        <w:tc>
          <w:tcPr>
            <w:tcW w:w="2243" w:type="dxa"/>
            <w:noWrap/>
            <w:hideMark/>
          </w:tcPr>
          <w:p w14:paraId="210421B0"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Total</w:t>
            </w:r>
          </w:p>
        </w:tc>
        <w:tc>
          <w:tcPr>
            <w:tcW w:w="2016" w:type="dxa"/>
            <w:noWrap/>
            <w:hideMark/>
          </w:tcPr>
          <w:p w14:paraId="368D2E6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70</w:t>
            </w:r>
          </w:p>
        </w:tc>
        <w:tc>
          <w:tcPr>
            <w:tcW w:w="2216" w:type="dxa"/>
            <w:noWrap/>
            <w:hideMark/>
          </w:tcPr>
          <w:p w14:paraId="6139507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100</w:t>
            </w:r>
          </w:p>
        </w:tc>
      </w:tr>
    </w:tbl>
    <w:p w14:paraId="425CAEC7" w14:textId="77777777" w:rsidR="00F577B6" w:rsidRPr="00BE3BDB" w:rsidRDefault="00F577B6" w:rsidP="00152406">
      <w:pPr>
        <w:ind w:left="360"/>
        <w:jc w:val="center"/>
        <w:rPr>
          <w:rFonts w:cstheme="majorBidi"/>
        </w:rPr>
      </w:pPr>
      <w:r w:rsidRPr="00BE3BDB">
        <w:rPr>
          <w:rFonts w:cstheme="majorBidi"/>
        </w:rPr>
        <w:t>Source :</w:t>
      </w:r>
      <w:r w:rsidRPr="00BE3BDB">
        <w:rPr>
          <w:rFonts w:cstheme="majorBidi"/>
          <w:b/>
        </w:rPr>
        <w:t xml:space="preserve"> </w:t>
      </w:r>
      <w:r w:rsidRPr="00BE3BDB">
        <w:rPr>
          <w:rFonts w:cstheme="majorBidi"/>
        </w:rPr>
        <w:t>établi par l’étudiante à partir</w:t>
      </w:r>
      <w:r w:rsidR="00152406">
        <w:rPr>
          <w:rFonts w:cstheme="majorBidi"/>
        </w:rPr>
        <w:t xml:space="preserve"> des résultats du questionnaire</w:t>
      </w:r>
    </w:p>
    <w:p w14:paraId="78A9DED5" w14:textId="77777777" w:rsidR="00F577B6" w:rsidRPr="00BE3BDB" w:rsidRDefault="00F577B6" w:rsidP="00F577B6">
      <w:pPr>
        <w:pStyle w:val="Paragraphedeliste"/>
        <w:tabs>
          <w:tab w:val="left" w:pos="5143"/>
        </w:tabs>
        <w:jc w:val="center"/>
        <w:rPr>
          <w:rFonts w:cstheme="majorBidi"/>
          <w:b/>
          <w:bCs/>
        </w:rPr>
      </w:pPr>
      <w:r w:rsidRPr="00BE3BDB">
        <w:rPr>
          <w:rFonts w:cstheme="majorBidi"/>
          <w:noProof/>
          <w:lang w:eastAsia="fr-FR"/>
        </w:rPr>
        <w:drawing>
          <wp:anchor distT="0" distB="0" distL="114300" distR="114300" simplePos="0" relativeHeight="251672576" behindDoc="0" locked="0" layoutInCell="1" allowOverlap="1" wp14:anchorId="54585CE7" wp14:editId="5CF0E39B">
            <wp:simplePos x="0" y="0"/>
            <wp:positionH relativeFrom="column">
              <wp:posOffset>928874</wp:posOffset>
            </wp:positionH>
            <wp:positionV relativeFrom="paragraph">
              <wp:posOffset>122563</wp:posOffset>
            </wp:positionV>
            <wp:extent cx="4203700" cy="2849880"/>
            <wp:effectExtent l="0" t="0" r="6350" b="7620"/>
            <wp:wrapSquare wrapText="bothSides"/>
            <wp:docPr id="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03700" cy="2849880"/>
                    </a:xfrm>
                    <a:prstGeom prst="rect">
                      <a:avLst/>
                    </a:prstGeom>
                    <a:noFill/>
                    <a:ln>
                      <a:noFill/>
                    </a:ln>
                  </pic:spPr>
                </pic:pic>
              </a:graphicData>
            </a:graphic>
          </wp:anchor>
        </w:drawing>
      </w:r>
    </w:p>
    <w:p w14:paraId="27D689B7" w14:textId="77777777" w:rsidR="00F577B6" w:rsidRPr="00BE3BDB" w:rsidRDefault="00F577B6" w:rsidP="00F577B6">
      <w:pPr>
        <w:pStyle w:val="Paragraphedeliste"/>
        <w:tabs>
          <w:tab w:val="left" w:pos="5143"/>
        </w:tabs>
        <w:jc w:val="center"/>
        <w:rPr>
          <w:rFonts w:cstheme="majorBidi"/>
          <w:b/>
          <w:bCs/>
        </w:rPr>
      </w:pPr>
    </w:p>
    <w:p w14:paraId="6C6E0087" w14:textId="77777777" w:rsidR="00F577B6" w:rsidRPr="00BE3BDB" w:rsidRDefault="00F577B6" w:rsidP="00F577B6">
      <w:pPr>
        <w:rPr>
          <w:rFonts w:cstheme="majorBidi"/>
        </w:rPr>
      </w:pPr>
    </w:p>
    <w:p w14:paraId="53172D15" w14:textId="77777777" w:rsidR="00F577B6" w:rsidRPr="00BE3BDB" w:rsidRDefault="00F577B6" w:rsidP="00F577B6">
      <w:pPr>
        <w:rPr>
          <w:rFonts w:cstheme="majorBidi"/>
        </w:rPr>
      </w:pPr>
    </w:p>
    <w:p w14:paraId="3B296A27" w14:textId="77777777" w:rsidR="00F577B6" w:rsidRPr="00BE3BDB" w:rsidRDefault="00F577B6" w:rsidP="00F577B6">
      <w:pPr>
        <w:rPr>
          <w:rFonts w:cstheme="majorBidi"/>
        </w:rPr>
      </w:pPr>
    </w:p>
    <w:p w14:paraId="3EDA26BF" w14:textId="77777777" w:rsidR="00F577B6" w:rsidRPr="00BE3BDB" w:rsidRDefault="00F577B6" w:rsidP="00F577B6">
      <w:pPr>
        <w:rPr>
          <w:rFonts w:cstheme="majorBidi"/>
        </w:rPr>
      </w:pPr>
    </w:p>
    <w:p w14:paraId="520D394A" w14:textId="77777777" w:rsidR="00F577B6" w:rsidRPr="00BE3BDB" w:rsidRDefault="00F577B6" w:rsidP="00F577B6">
      <w:pPr>
        <w:rPr>
          <w:rFonts w:cstheme="majorBidi"/>
        </w:rPr>
      </w:pPr>
    </w:p>
    <w:p w14:paraId="605BA5CC" w14:textId="77777777" w:rsidR="006D432A" w:rsidRDefault="006D432A" w:rsidP="006D432A">
      <w:pPr>
        <w:pStyle w:val="Lgende"/>
      </w:pPr>
    </w:p>
    <w:p w14:paraId="36F45BC0" w14:textId="77777777" w:rsidR="00F577B6" w:rsidRPr="006D432A" w:rsidRDefault="006D432A" w:rsidP="006D432A">
      <w:pPr>
        <w:pStyle w:val="Lgende"/>
        <w:jc w:val="center"/>
        <w:rPr>
          <w:b/>
          <w:bCs/>
          <w:i w:val="0"/>
          <w:iCs w:val="0"/>
          <w:color w:val="000000" w:themeColor="text1"/>
          <w:sz w:val="24"/>
          <w:szCs w:val="24"/>
        </w:rPr>
      </w:pPr>
      <w:bookmarkStart w:id="131" w:name="_Toc200731391"/>
      <w:r w:rsidRPr="006D432A">
        <w:rPr>
          <w:b/>
          <w:bCs/>
          <w:i w:val="0"/>
          <w:iCs w:val="0"/>
          <w:color w:val="000000" w:themeColor="text1"/>
          <w:sz w:val="24"/>
          <w:szCs w:val="24"/>
        </w:rPr>
        <w:t xml:space="preserve">Figure </w:t>
      </w:r>
      <w:r w:rsidRPr="006D432A">
        <w:rPr>
          <w:b/>
          <w:bCs/>
          <w:i w:val="0"/>
          <w:iCs w:val="0"/>
          <w:color w:val="000000" w:themeColor="text1"/>
          <w:sz w:val="24"/>
          <w:szCs w:val="24"/>
        </w:rPr>
        <w:fldChar w:fldCharType="begin"/>
      </w:r>
      <w:r w:rsidRPr="006D432A">
        <w:rPr>
          <w:b/>
          <w:bCs/>
          <w:i w:val="0"/>
          <w:iCs w:val="0"/>
          <w:color w:val="000000" w:themeColor="text1"/>
          <w:sz w:val="24"/>
          <w:szCs w:val="24"/>
        </w:rPr>
        <w:instrText xml:space="preserve"> SEQ Figure \* ARABIC </w:instrText>
      </w:r>
      <w:r w:rsidRPr="006D432A">
        <w:rPr>
          <w:b/>
          <w:bCs/>
          <w:i w:val="0"/>
          <w:iCs w:val="0"/>
          <w:color w:val="000000" w:themeColor="text1"/>
          <w:sz w:val="24"/>
          <w:szCs w:val="24"/>
        </w:rPr>
        <w:fldChar w:fldCharType="separate"/>
      </w:r>
      <w:r w:rsidR="00B55438">
        <w:rPr>
          <w:b/>
          <w:bCs/>
          <w:i w:val="0"/>
          <w:iCs w:val="0"/>
          <w:noProof/>
          <w:color w:val="000000" w:themeColor="text1"/>
          <w:sz w:val="24"/>
          <w:szCs w:val="24"/>
        </w:rPr>
        <w:t>12</w:t>
      </w:r>
      <w:r w:rsidRPr="006D432A">
        <w:rPr>
          <w:b/>
          <w:bCs/>
          <w:i w:val="0"/>
          <w:iCs w:val="0"/>
          <w:color w:val="000000" w:themeColor="text1"/>
          <w:sz w:val="24"/>
          <w:szCs w:val="24"/>
        </w:rPr>
        <w:fldChar w:fldCharType="end"/>
      </w:r>
      <w:r w:rsidR="00152406" w:rsidRPr="006D432A">
        <w:rPr>
          <w:rFonts w:cstheme="majorBidi"/>
          <w:b/>
          <w:bCs/>
          <w:i w:val="0"/>
          <w:iCs w:val="0"/>
          <w:color w:val="000000" w:themeColor="text1"/>
          <w:sz w:val="24"/>
          <w:szCs w:val="24"/>
        </w:rPr>
        <w:t xml:space="preserve"> : </w:t>
      </w:r>
      <w:r w:rsidR="00152406" w:rsidRPr="006D432A">
        <w:rPr>
          <w:rFonts w:cstheme="majorBidi"/>
          <w:i w:val="0"/>
          <w:iCs w:val="0"/>
          <w:color w:val="000000" w:themeColor="text1"/>
          <w:sz w:val="24"/>
          <w:szCs w:val="24"/>
        </w:rPr>
        <w:t>Représentation graphique de la répartition des individus de l’échantillon selon  le niveau d’études</w:t>
      </w:r>
      <w:bookmarkEnd w:id="131"/>
    </w:p>
    <w:p w14:paraId="5770AA04" w14:textId="77777777" w:rsidR="00F577B6" w:rsidRPr="00BE3BDB" w:rsidRDefault="00F577B6" w:rsidP="00F577B6">
      <w:pPr>
        <w:tabs>
          <w:tab w:val="left" w:pos="1410"/>
        </w:tabs>
        <w:jc w:val="center"/>
        <w:rPr>
          <w:rFonts w:cstheme="majorBidi"/>
        </w:rPr>
      </w:pPr>
      <w:r w:rsidRPr="00BE3BDB">
        <w:rPr>
          <w:rFonts w:cstheme="majorBidi"/>
          <w:bCs/>
        </w:rPr>
        <w:t>Source :</w:t>
      </w:r>
      <w:r w:rsidRPr="00BE3BDB">
        <w:rPr>
          <w:rFonts w:cstheme="majorBidi"/>
        </w:rPr>
        <w:t xml:space="preserve"> établi par l’étudiante à partir SPSS v 27</w:t>
      </w:r>
    </w:p>
    <w:p w14:paraId="1837506B" w14:textId="77777777" w:rsidR="00F577B6" w:rsidRPr="00BE3BDB" w:rsidRDefault="00F577B6" w:rsidP="00C61DD9">
      <w:r w:rsidRPr="00BE3BDB">
        <w:t xml:space="preserve">   La majorité des répondants, soit 82,9 %, possède un niveau universitaire, ce qui reflète un échantillon globalement bien instruit. Les participants ayant un niveau primaire représentent 5,7 %, tandis que ceux ayant un niveau secondaire sont très peu nombreux (1,4 %). Enfin, 10 % des répondants déclarent un autre niveau d’étude. Cette forte proportion de répondants universitaires est pertinente pour une étude portant sur des notions comme le greenwashing, souvent mieux comprises par des individus ayant </w:t>
      </w:r>
      <w:r w:rsidR="00152406">
        <w:t>un certain niveau de formation.</w:t>
      </w:r>
    </w:p>
    <w:p w14:paraId="1D14E11B" w14:textId="77777777" w:rsidR="00F577B6" w:rsidRPr="00063796" w:rsidRDefault="00F577B6" w:rsidP="000B457B">
      <w:pPr>
        <w:pStyle w:val="Titre2"/>
        <w:numPr>
          <w:ilvl w:val="1"/>
          <w:numId w:val="35"/>
        </w:numPr>
      </w:pPr>
      <w:bookmarkStart w:id="132" w:name="_Toc200825467"/>
      <w:r w:rsidRPr="0077731B">
        <w:lastRenderedPageBreak/>
        <w:t>Répartition de l’échantillon selon le profil des répondants : Client(e) ou Voisin(e) de GICA</w:t>
      </w:r>
      <w:bookmarkEnd w:id="132"/>
    </w:p>
    <w:p w14:paraId="450C802E" w14:textId="77777777" w:rsidR="00F577B6" w:rsidRPr="00063796" w:rsidRDefault="00063796" w:rsidP="00063796">
      <w:pPr>
        <w:pStyle w:val="Lgende"/>
        <w:jc w:val="center"/>
        <w:rPr>
          <w:rFonts w:cstheme="majorBidi"/>
          <w:b/>
          <w:bCs/>
          <w:i w:val="0"/>
          <w:iCs w:val="0"/>
          <w:color w:val="000000" w:themeColor="text1"/>
          <w:sz w:val="24"/>
          <w:szCs w:val="24"/>
        </w:rPr>
      </w:pPr>
      <w:bookmarkStart w:id="133" w:name="_Toc200731402"/>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9</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Répartition de l’échantillon selon le profil des répondants : Client(e) ou Voisin(e) de GICA</w:t>
      </w:r>
      <w:bookmarkEnd w:id="133"/>
    </w:p>
    <w:tbl>
      <w:tblPr>
        <w:tblStyle w:val="Grilledutableau"/>
        <w:tblW w:w="0" w:type="auto"/>
        <w:tblInd w:w="1403" w:type="dxa"/>
        <w:tblLook w:val="04A0" w:firstRow="1" w:lastRow="0" w:firstColumn="1" w:lastColumn="0" w:noHBand="0" w:noVBand="1"/>
      </w:tblPr>
      <w:tblGrid>
        <w:gridCol w:w="2017"/>
        <w:gridCol w:w="2016"/>
        <w:gridCol w:w="2216"/>
      </w:tblGrid>
      <w:tr w:rsidR="00F577B6" w:rsidRPr="00152406" w14:paraId="63D2E47B" w14:textId="77777777" w:rsidTr="00F577B6">
        <w:trPr>
          <w:trHeight w:val="300"/>
        </w:trPr>
        <w:tc>
          <w:tcPr>
            <w:tcW w:w="2017" w:type="dxa"/>
            <w:noWrap/>
            <w:hideMark/>
          </w:tcPr>
          <w:p w14:paraId="0B9E4778" w14:textId="77777777" w:rsidR="00F577B6" w:rsidRPr="00152406" w:rsidRDefault="00F577B6" w:rsidP="00152406">
            <w:pPr>
              <w:pStyle w:val="Sansinterligne"/>
              <w:spacing w:line="360" w:lineRule="auto"/>
              <w:rPr>
                <w:rFonts w:asciiTheme="majorBidi" w:hAnsiTheme="majorBidi" w:cstheme="majorBidi"/>
              </w:rPr>
            </w:pPr>
          </w:p>
        </w:tc>
        <w:tc>
          <w:tcPr>
            <w:tcW w:w="2016" w:type="dxa"/>
            <w:noWrap/>
            <w:hideMark/>
          </w:tcPr>
          <w:p w14:paraId="52288981"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Fréquence</w:t>
            </w:r>
          </w:p>
        </w:tc>
        <w:tc>
          <w:tcPr>
            <w:tcW w:w="2216" w:type="dxa"/>
            <w:noWrap/>
            <w:hideMark/>
          </w:tcPr>
          <w:p w14:paraId="782FFB91"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Pourcentage</w:t>
            </w:r>
          </w:p>
        </w:tc>
      </w:tr>
      <w:tr w:rsidR="00F577B6" w:rsidRPr="00152406" w14:paraId="664E8406" w14:textId="77777777" w:rsidTr="00F577B6">
        <w:trPr>
          <w:trHeight w:val="300"/>
        </w:trPr>
        <w:tc>
          <w:tcPr>
            <w:tcW w:w="2017" w:type="dxa"/>
            <w:noWrap/>
            <w:hideMark/>
          </w:tcPr>
          <w:p w14:paraId="2C9437CC"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non</w:t>
            </w:r>
          </w:p>
        </w:tc>
        <w:tc>
          <w:tcPr>
            <w:tcW w:w="2016" w:type="dxa"/>
            <w:noWrap/>
            <w:hideMark/>
          </w:tcPr>
          <w:p w14:paraId="4D2D6347"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26</w:t>
            </w:r>
          </w:p>
        </w:tc>
        <w:tc>
          <w:tcPr>
            <w:tcW w:w="2216" w:type="dxa"/>
            <w:noWrap/>
            <w:hideMark/>
          </w:tcPr>
          <w:p w14:paraId="61467049"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37,1</w:t>
            </w:r>
          </w:p>
        </w:tc>
      </w:tr>
      <w:tr w:rsidR="00F577B6" w:rsidRPr="00152406" w14:paraId="2A337E27" w14:textId="77777777" w:rsidTr="00F577B6">
        <w:trPr>
          <w:trHeight w:val="300"/>
        </w:trPr>
        <w:tc>
          <w:tcPr>
            <w:tcW w:w="2017" w:type="dxa"/>
            <w:noWrap/>
            <w:hideMark/>
          </w:tcPr>
          <w:p w14:paraId="6D2BBC69"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oui</w:t>
            </w:r>
          </w:p>
        </w:tc>
        <w:tc>
          <w:tcPr>
            <w:tcW w:w="2016" w:type="dxa"/>
            <w:noWrap/>
            <w:hideMark/>
          </w:tcPr>
          <w:p w14:paraId="41E7E701"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42</w:t>
            </w:r>
          </w:p>
        </w:tc>
        <w:tc>
          <w:tcPr>
            <w:tcW w:w="2216" w:type="dxa"/>
            <w:noWrap/>
            <w:hideMark/>
          </w:tcPr>
          <w:p w14:paraId="7895E9B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60</w:t>
            </w:r>
          </w:p>
        </w:tc>
      </w:tr>
      <w:tr w:rsidR="00F577B6" w:rsidRPr="00152406" w14:paraId="08D44A6D" w14:textId="77777777" w:rsidTr="00F577B6">
        <w:trPr>
          <w:trHeight w:val="300"/>
        </w:trPr>
        <w:tc>
          <w:tcPr>
            <w:tcW w:w="2017" w:type="dxa"/>
            <w:noWrap/>
            <w:hideMark/>
          </w:tcPr>
          <w:p w14:paraId="147B570B"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Total</w:t>
            </w:r>
          </w:p>
        </w:tc>
        <w:tc>
          <w:tcPr>
            <w:tcW w:w="2016" w:type="dxa"/>
            <w:noWrap/>
            <w:hideMark/>
          </w:tcPr>
          <w:p w14:paraId="5AC6EF4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68</w:t>
            </w:r>
          </w:p>
        </w:tc>
        <w:tc>
          <w:tcPr>
            <w:tcW w:w="2216" w:type="dxa"/>
            <w:noWrap/>
            <w:hideMark/>
          </w:tcPr>
          <w:p w14:paraId="1CD7408E"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97,1</w:t>
            </w:r>
          </w:p>
        </w:tc>
      </w:tr>
      <w:tr w:rsidR="00F577B6" w:rsidRPr="00152406" w14:paraId="72286D67" w14:textId="77777777" w:rsidTr="00F577B6">
        <w:trPr>
          <w:trHeight w:val="300"/>
        </w:trPr>
        <w:tc>
          <w:tcPr>
            <w:tcW w:w="2017" w:type="dxa"/>
            <w:noWrap/>
            <w:hideMark/>
          </w:tcPr>
          <w:p w14:paraId="5337EBF9"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Manquant</w:t>
            </w:r>
          </w:p>
        </w:tc>
        <w:tc>
          <w:tcPr>
            <w:tcW w:w="2016" w:type="dxa"/>
            <w:noWrap/>
            <w:hideMark/>
          </w:tcPr>
          <w:p w14:paraId="23648806"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2</w:t>
            </w:r>
          </w:p>
        </w:tc>
        <w:tc>
          <w:tcPr>
            <w:tcW w:w="2216" w:type="dxa"/>
            <w:noWrap/>
            <w:hideMark/>
          </w:tcPr>
          <w:p w14:paraId="62C31C7A"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2,9</w:t>
            </w:r>
          </w:p>
        </w:tc>
      </w:tr>
      <w:tr w:rsidR="00F577B6" w:rsidRPr="00152406" w14:paraId="7693D814" w14:textId="77777777" w:rsidTr="00F577B6">
        <w:trPr>
          <w:trHeight w:val="300"/>
        </w:trPr>
        <w:tc>
          <w:tcPr>
            <w:tcW w:w="2017" w:type="dxa"/>
            <w:noWrap/>
            <w:hideMark/>
          </w:tcPr>
          <w:p w14:paraId="13F9F6A4"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Total</w:t>
            </w:r>
          </w:p>
        </w:tc>
        <w:tc>
          <w:tcPr>
            <w:tcW w:w="2016" w:type="dxa"/>
            <w:noWrap/>
            <w:hideMark/>
          </w:tcPr>
          <w:p w14:paraId="7777AC8B"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70</w:t>
            </w:r>
          </w:p>
        </w:tc>
        <w:tc>
          <w:tcPr>
            <w:tcW w:w="2216" w:type="dxa"/>
            <w:noWrap/>
            <w:hideMark/>
          </w:tcPr>
          <w:p w14:paraId="45234ED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100</w:t>
            </w:r>
          </w:p>
        </w:tc>
      </w:tr>
    </w:tbl>
    <w:p w14:paraId="20D578E5" w14:textId="77777777" w:rsidR="00152406" w:rsidRDefault="00F577B6" w:rsidP="00152406">
      <w:pPr>
        <w:ind w:left="360"/>
        <w:jc w:val="center"/>
        <w:rPr>
          <w:rFonts w:cstheme="majorBidi"/>
        </w:rPr>
      </w:pPr>
      <w:r w:rsidRPr="00BE3BDB">
        <w:rPr>
          <w:rFonts w:cstheme="majorBidi"/>
        </w:rPr>
        <w:t>Source :</w:t>
      </w:r>
      <w:r w:rsidRPr="00BE3BDB">
        <w:rPr>
          <w:rFonts w:cstheme="majorBidi"/>
          <w:b/>
        </w:rPr>
        <w:t xml:space="preserve"> </w:t>
      </w:r>
      <w:r w:rsidRPr="00BE3BDB">
        <w:rPr>
          <w:rFonts w:cstheme="majorBidi"/>
        </w:rPr>
        <w:t>établi par l’étudiante à partir</w:t>
      </w:r>
      <w:r w:rsidR="00152406">
        <w:rPr>
          <w:rFonts w:cstheme="majorBidi"/>
        </w:rPr>
        <w:t xml:space="preserve"> des résultats du questionnaire</w:t>
      </w:r>
    </w:p>
    <w:p w14:paraId="388BA5F6" w14:textId="77777777" w:rsidR="00F577B6" w:rsidRPr="00BE3BDB" w:rsidRDefault="00F577B6" w:rsidP="00152406">
      <w:pPr>
        <w:ind w:left="360"/>
        <w:jc w:val="center"/>
        <w:rPr>
          <w:rFonts w:cstheme="majorBidi"/>
        </w:rPr>
      </w:pPr>
      <w:r w:rsidRPr="00BE3BDB">
        <w:rPr>
          <w:noProof/>
          <w:lang w:eastAsia="fr-FR"/>
        </w:rPr>
        <w:drawing>
          <wp:anchor distT="0" distB="0" distL="114300" distR="114300" simplePos="0" relativeHeight="251673600" behindDoc="0" locked="0" layoutInCell="1" allowOverlap="1" wp14:anchorId="20589B69" wp14:editId="024EC66B">
            <wp:simplePos x="0" y="0"/>
            <wp:positionH relativeFrom="column">
              <wp:posOffset>1167130</wp:posOffset>
            </wp:positionH>
            <wp:positionV relativeFrom="paragraph">
              <wp:posOffset>193040</wp:posOffset>
            </wp:positionV>
            <wp:extent cx="3390900" cy="2847975"/>
            <wp:effectExtent l="0" t="0" r="0" b="9525"/>
            <wp:wrapSquare wrapText="bothSides"/>
            <wp:docPr id="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90900" cy="2847975"/>
                    </a:xfrm>
                    <a:prstGeom prst="rect">
                      <a:avLst/>
                    </a:prstGeom>
                    <a:noFill/>
                    <a:ln>
                      <a:noFill/>
                    </a:ln>
                  </pic:spPr>
                </pic:pic>
              </a:graphicData>
            </a:graphic>
          </wp:anchor>
        </w:drawing>
      </w:r>
    </w:p>
    <w:p w14:paraId="606A8DC1" w14:textId="77777777" w:rsidR="00F577B6" w:rsidRPr="00BE3BDB" w:rsidRDefault="00F577B6" w:rsidP="00F577B6">
      <w:pPr>
        <w:rPr>
          <w:rFonts w:cstheme="majorBidi"/>
        </w:rPr>
      </w:pPr>
    </w:p>
    <w:p w14:paraId="72CD1893" w14:textId="77777777" w:rsidR="00F577B6" w:rsidRPr="00BE3BDB" w:rsidRDefault="00F577B6" w:rsidP="00F577B6">
      <w:pPr>
        <w:rPr>
          <w:rFonts w:cstheme="majorBidi"/>
        </w:rPr>
      </w:pPr>
    </w:p>
    <w:p w14:paraId="4134BC15" w14:textId="77777777" w:rsidR="00F577B6" w:rsidRPr="00BE3BDB" w:rsidRDefault="00F577B6" w:rsidP="00F577B6">
      <w:pPr>
        <w:rPr>
          <w:rFonts w:cstheme="majorBidi"/>
        </w:rPr>
      </w:pPr>
    </w:p>
    <w:p w14:paraId="1F205510" w14:textId="77777777" w:rsidR="00F577B6" w:rsidRPr="00BE3BDB" w:rsidRDefault="00F577B6" w:rsidP="00F577B6">
      <w:pPr>
        <w:rPr>
          <w:rFonts w:cstheme="majorBidi"/>
        </w:rPr>
      </w:pPr>
    </w:p>
    <w:p w14:paraId="366BFBB6" w14:textId="77777777" w:rsidR="00F577B6" w:rsidRDefault="00F577B6" w:rsidP="00F577B6">
      <w:pPr>
        <w:rPr>
          <w:rFonts w:cstheme="majorBidi"/>
        </w:rPr>
      </w:pPr>
    </w:p>
    <w:p w14:paraId="67A45818" w14:textId="77777777" w:rsidR="006D432A" w:rsidRDefault="006D432A" w:rsidP="00F577B6">
      <w:pPr>
        <w:rPr>
          <w:rFonts w:cstheme="majorBidi"/>
        </w:rPr>
      </w:pPr>
    </w:p>
    <w:p w14:paraId="26D48EE6" w14:textId="77777777" w:rsidR="006D432A" w:rsidRDefault="006D432A" w:rsidP="00F577B6">
      <w:pPr>
        <w:rPr>
          <w:rFonts w:cstheme="majorBidi"/>
        </w:rPr>
      </w:pPr>
    </w:p>
    <w:p w14:paraId="437AE2E6" w14:textId="77777777" w:rsidR="00152406" w:rsidRPr="006D432A" w:rsidRDefault="006D432A" w:rsidP="006D432A">
      <w:pPr>
        <w:pStyle w:val="Lgende"/>
        <w:jc w:val="center"/>
        <w:rPr>
          <w:i w:val="0"/>
          <w:iCs w:val="0"/>
          <w:color w:val="000000" w:themeColor="text1"/>
          <w:sz w:val="24"/>
          <w:szCs w:val="24"/>
        </w:rPr>
      </w:pPr>
      <w:bookmarkStart w:id="134" w:name="_Toc200731392"/>
      <w:r w:rsidRPr="006D432A">
        <w:rPr>
          <w:b/>
          <w:bCs/>
          <w:i w:val="0"/>
          <w:iCs w:val="0"/>
          <w:color w:val="000000" w:themeColor="text1"/>
          <w:sz w:val="24"/>
          <w:szCs w:val="24"/>
        </w:rPr>
        <w:t xml:space="preserve">Figure </w:t>
      </w:r>
      <w:r w:rsidRPr="006D432A">
        <w:rPr>
          <w:b/>
          <w:bCs/>
          <w:i w:val="0"/>
          <w:iCs w:val="0"/>
          <w:color w:val="000000" w:themeColor="text1"/>
          <w:sz w:val="24"/>
          <w:szCs w:val="24"/>
        </w:rPr>
        <w:fldChar w:fldCharType="begin"/>
      </w:r>
      <w:r w:rsidRPr="006D432A">
        <w:rPr>
          <w:b/>
          <w:bCs/>
          <w:i w:val="0"/>
          <w:iCs w:val="0"/>
          <w:color w:val="000000" w:themeColor="text1"/>
          <w:sz w:val="24"/>
          <w:szCs w:val="24"/>
        </w:rPr>
        <w:instrText xml:space="preserve"> SEQ Figure \* ARABIC </w:instrText>
      </w:r>
      <w:r w:rsidRPr="006D432A">
        <w:rPr>
          <w:b/>
          <w:bCs/>
          <w:i w:val="0"/>
          <w:iCs w:val="0"/>
          <w:color w:val="000000" w:themeColor="text1"/>
          <w:sz w:val="24"/>
          <w:szCs w:val="24"/>
        </w:rPr>
        <w:fldChar w:fldCharType="separate"/>
      </w:r>
      <w:r w:rsidR="00B55438">
        <w:rPr>
          <w:b/>
          <w:bCs/>
          <w:i w:val="0"/>
          <w:iCs w:val="0"/>
          <w:noProof/>
          <w:color w:val="000000" w:themeColor="text1"/>
          <w:sz w:val="24"/>
          <w:szCs w:val="24"/>
        </w:rPr>
        <w:t>13</w:t>
      </w:r>
      <w:r w:rsidRPr="006D432A">
        <w:rPr>
          <w:b/>
          <w:bCs/>
          <w:i w:val="0"/>
          <w:iCs w:val="0"/>
          <w:color w:val="000000" w:themeColor="text1"/>
          <w:sz w:val="24"/>
          <w:szCs w:val="24"/>
        </w:rPr>
        <w:fldChar w:fldCharType="end"/>
      </w:r>
      <w:r w:rsidR="00152406" w:rsidRPr="006D432A">
        <w:rPr>
          <w:b/>
          <w:bCs/>
          <w:i w:val="0"/>
          <w:iCs w:val="0"/>
          <w:color w:val="000000" w:themeColor="text1"/>
          <w:sz w:val="24"/>
          <w:szCs w:val="24"/>
        </w:rPr>
        <w:t xml:space="preserve"> : </w:t>
      </w:r>
      <w:r w:rsidR="00152406" w:rsidRPr="006D432A">
        <w:rPr>
          <w:i w:val="0"/>
          <w:iCs w:val="0"/>
          <w:color w:val="000000" w:themeColor="text1"/>
          <w:sz w:val="24"/>
          <w:szCs w:val="24"/>
        </w:rPr>
        <w:t xml:space="preserve">Représentation graphique de la répartition des individus de l’échantillon </w:t>
      </w:r>
      <w:r w:rsidR="00C61DD9" w:rsidRPr="006D432A">
        <w:rPr>
          <w:i w:val="0"/>
          <w:iCs w:val="0"/>
          <w:color w:val="000000" w:themeColor="text1"/>
          <w:sz w:val="24"/>
          <w:szCs w:val="24"/>
        </w:rPr>
        <w:t>selon le</w:t>
      </w:r>
      <w:r w:rsidR="00152406" w:rsidRPr="006D432A">
        <w:rPr>
          <w:i w:val="0"/>
          <w:iCs w:val="0"/>
          <w:color w:val="000000" w:themeColor="text1"/>
          <w:sz w:val="24"/>
          <w:szCs w:val="24"/>
        </w:rPr>
        <w:t xml:space="preserve"> profil des répondants : client (e) ou voisin (e)  de GICA</w:t>
      </w:r>
      <w:bookmarkEnd w:id="134"/>
    </w:p>
    <w:p w14:paraId="5C5F671F" w14:textId="77777777" w:rsidR="00F577B6" w:rsidRPr="00BE3BDB" w:rsidRDefault="00F577B6" w:rsidP="00F577B6">
      <w:pPr>
        <w:jc w:val="center"/>
        <w:rPr>
          <w:rFonts w:cstheme="majorBidi"/>
        </w:rPr>
      </w:pPr>
      <w:r w:rsidRPr="00BE3BDB">
        <w:rPr>
          <w:rFonts w:cstheme="majorBidi"/>
          <w:bCs/>
        </w:rPr>
        <w:t>Source :</w:t>
      </w:r>
      <w:r w:rsidRPr="00BE3BDB">
        <w:rPr>
          <w:rFonts w:cstheme="majorBidi"/>
        </w:rPr>
        <w:t xml:space="preserve"> établi par l’étudiante à partir SPSS v 27</w:t>
      </w:r>
    </w:p>
    <w:p w14:paraId="5303FABC" w14:textId="77777777" w:rsidR="0077731B" w:rsidRDefault="00F577B6" w:rsidP="0077731B">
      <w:r w:rsidRPr="00BE3BDB">
        <w:t xml:space="preserve">     Le tableau et la présentation graphique relatifs au profil des répondants indiquent que 60 % d’entre eux se considèrent comme clients ou voisins de l’entreprise GICA, contre 37,1 % qui n’ont aucun lien direct avec celle-ci. Par ailleurs, 2,9 % des individus n’ont pas répondu à cette question, ce qui constitue des données manquantes. Cette majorité de répondants ayant une proximité avec GICA est particulièrement pertinente, car elle permet d’obtenir des avis </w:t>
      </w:r>
      <w:r w:rsidRPr="00BE3BDB">
        <w:lastRenderedPageBreak/>
        <w:t>fondés sur une expérience réelle ou un contact régulier avec l’entreprise, enrichissant ainsi l’analyse de l’image de marque dans le contexte du greenwashing.</w:t>
      </w:r>
    </w:p>
    <w:p w14:paraId="5AB6DC68" w14:textId="77777777" w:rsidR="00F577B6" w:rsidRPr="0077731B" w:rsidRDefault="00F577B6" w:rsidP="000B457B">
      <w:pPr>
        <w:pStyle w:val="Titre2"/>
        <w:numPr>
          <w:ilvl w:val="1"/>
          <w:numId w:val="35"/>
        </w:numPr>
        <w:rPr>
          <w:rFonts w:cstheme="minorBidi"/>
        </w:rPr>
      </w:pPr>
      <w:r w:rsidRPr="0077731B">
        <w:t xml:space="preserve"> </w:t>
      </w:r>
      <w:bookmarkStart w:id="135" w:name="_Toc200825468"/>
      <w:r w:rsidRPr="0077731B">
        <w:t>Répartition de l’échantillon selon la durée depuis laquelle les répondants connaissent GICA :</w:t>
      </w:r>
      <w:bookmarkEnd w:id="135"/>
    </w:p>
    <w:p w14:paraId="34326104" w14:textId="77777777" w:rsidR="00F577B6" w:rsidRPr="00BE3BDB" w:rsidRDefault="00F577B6" w:rsidP="00F577B6">
      <w:pPr>
        <w:pStyle w:val="Paragraphedeliste"/>
        <w:rPr>
          <w:rFonts w:cstheme="majorBidi"/>
        </w:rPr>
      </w:pPr>
    </w:p>
    <w:p w14:paraId="0BC0AB20" w14:textId="77777777" w:rsidR="00F577B6" w:rsidRPr="00063796" w:rsidRDefault="00063796" w:rsidP="00063796">
      <w:pPr>
        <w:pStyle w:val="Lgende"/>
        <w:jc w:val="center"/>
        <w:rPr>
          <w:rFonts w:cstheme="majorBidi"/>
          <w:i w:val="0"/>
          <w:iCs w:val="0"/>
          <w:color w:val="000000" w:themeColor="text1"/>
          <w:sz w:val="24"/>
          <w:szCs w:val="24"/>
        </w:rPr>
      </w:pPr>
      <w:bookmarkStart w:id="136" w:name="_Toc200731403"/>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10</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w:t>
      </w:r>
      <w:r w:rsidR="00F577B6" w:rsidRPr="00063796">
        <w:rPr>
          <w:rFonts w:cstheme="majorBidi"/>
          <w:i w:val="0"/>
          <w:iCs w:val="0"/>
          <w:color w:val="000000" w:themeColor="text1"/>
          <w:sz w:val="24"/>
          <w:szCs w:val="24"/>
        </w:rPr>
        <w:t xml:space="preserve"> Répartition de l’échantillon selon la durée depuis laquelle les répondants connaissent GICA :</w:t>
      </w:r>
      <w:bookmarkEnd w:id="136"/>
    </w:p>
    <w:tbl>
      <w:tblPr>
        <w:tblStyle w:val="Grilledutableau"/>
        <w:tblpPr w:leftFromText="141" w:rightFromText="141" w:vertAnchor="text" w:horzAnchor="page" w:tblpX="3661" w:tblpY="40"/>
        <w:tblW w:w="0" w:type="auto"/>
        <w:tblLook w:val="04A0" w:firstRow="1" w:lastRow="0" w:firstColumn="1" w:lastColumn="0" w:noHBand="0" w:noVBand="1"/>
      </w:tblPr>
      <w:tblGrid>
        <w:gridCol w:w="1787"/>
        <w:gridCol w:w="2016"/>
        <w:gridCol w:w="2216"/>
      </w:tblGrid>
      <w:tr w:rsidR="00F577B6" w:rsidRPr="00152406" w14:paraId="2D185C78" w14:textId="77777777" w:rsidTr="00F577B6">
        <w:trPr>
          <w:trHeight w:val="300"/>
        </w:trPr>
        <w:tc>
          <w:tcPr>
            <w:tcW w:w="1787" w:type="dxa"/>
            <w:noWrap/>
            <w:hideMark/>
          </w:tcPr>
          <w:p w14:paraId="7971A7D7" w14:textId="77777777" w:rsidR="00F577B6" w:rsidRPr="00152406" w:rsidRDefault="00F577B6" w:rsidP="00152406">
            <w:pPr>
              <w:pStyle w:val="Sansinterligne"/>
              <w:spacing w:line="360" w:lineRule="auto"/>
              <w:rPr>
                <w:rFonts w:asciiTheme="majorBidi" w:hAnsiTheme="majorBidi" w:cstheme="majorBidi"/>
              </w:rPr>
            </w:pPr>
          </w:p>
        </w:tc>
        <w:tc>
          <w:tcPr>
            <w:tcW w:w="2016" w:type="dxa"/>
            <w:noWrap/>
            <w:hideMark/>
          </w:tcPr>
          <w:p w14:paraId="1840CC4F"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Fréquence</w:t>
            </w:r>
          </w:p>
        </w:tc>
        <w:tc>
          <w:tcPr>
            <w:tcW w:w="2216" w:type="dxa"/>
            <w:noWrap/>
            <w:hideMark/>
          </w:tcPr>
          <w:p w14:paraId="08EAA714"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Pourcentage</w:t>
            </w:r>
          </w:p>
        </w:tc>
      </w:tr>
      <w:tr w:rsidR="00F577B6" w:rsidRPr="00152406" w14:paraId="3501FB8B" w14:textId="77777777" w:rsidTr="00F577B6">
        <w:trPr>
          <w:trHeight w:val="300"/>
        </w:trPr>
        <w:tc>
          <w:tcPr>
            <w:tcW w:w="1787" w:type="dxa"/>
            <w:noWrap/>
            <w:hideMark/>
          </w:tcPr>
          <w:p w14:paraId="1AA035E5"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Moins d’un an</w:t>
            </w:r>
          </w:p>
        </w:tc>
        <w:tc>
          <w:tcPr>
            <w:tcW w:w="2016" w:type="dxa"/>
            <w:noWrap/>
            <w:hideMark/>
          </w:tcPr>
          <w:p w14:paraId="0F4064EA"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16</w:t>
            </w:r>
          </w:p>
        </w:tc>
        <w:tc>
          <w:tcPr>
            <w:tcW w:w="2216" w:type="dxa"/>
            <w:noWrap/>
            <w:hideMark/>
          </w:tcPr>
          <w:p w14:paraId="346C2CD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22,9</w:t>
            </w:r>
          </w:p>
        </w:tc>
      </w:tr>
      <w:tr w:rsidR="00F577B6" w:rsidRPr="00152406" w14:paraId="5458C65A" w14:textId="77777777" w:rsidTr="00F577B6">
        <w:trPr>
          <w:trHeight w:val="300"/>
        </w:trPr>
        <w:tc>
          <w:tcPr>
            <w:tcW w:w="1787" w:type="dxa"/>
            <w:noWrap/>
            <w:hideMark/>
          </w:tcPr>
          <w:p w14:paraId="281BD47F"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1 à 3 ans</w:t>
            </w:r>
          </w:p>
        </w:tc>
        <w:tc>
          <w:tcPr>
            <w:tcW w:w="2016" w:type="dxa"/>
            <w:noWrap/>
            <w:hideMark/>
          </w:tcPr>
          <w:p w14:paraId="4EB3CD2D"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7</w:t>
            </w:r>
          </w:p>
        </w:tc>
        <w:tc>
          <w:tcPr>
            <w:tcW w:w="2216" w:type="dxa"/>
            <w:noWrap/>
            <w:hideMark/>
          </w:tcPr>
          <w:p w14:paraId="62D3044C"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10</w:t>
            </w:r>
          </w:p>
        </w:tc>
      </w:tr>
      <w:tr w:rsidR="00F577B6" w:rsidRPr="00152406" w14:paraId="154D2A8A" w14:textId="77777777" w:rsidTr="00F577B6">
        <w:trPr>
          <w:trHeight w:val="300"/>
        </w:trPr>
        <w:tc>
          <w:tcPr>
            <w:tcW w:w="1787" w:type="dxa"/>
            <w:noWrap/>
            <w:hideMark/>
          </w:tcPr>
          <w:p w14:paraId="6CBE565D"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Plus de 3 ans</w:t>
            </w:r>
          </w:p>
        </w:tc>
        <w:tc>
          <w:tcPr>
            <w:tcW w:w="2016" w:type="dxa"/>
            <w:noWrap/>
            <w:hideMark/>
          </w:tcPr>
          <w:p w14:paraId="5D042EA9"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47</w:t>
            </w:r>
          </w:p>
        </w:tc>
        <w:tc>
          <w:tcPr>
            <w:tcW w:w="2216" w:type="dxa"/>
            <w:noWrap/>
            <w:hideMark/>
          </w:tcPr>
          <w:p w14:paraId="047EF36C"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67,1</w:t>
            </w:r>
          </w:p>
        </w:tc>
      </w:tr>
      <w:tr w:rsidR="00F577B6" w:rsidRPr="00152406" w14:paraId="7AC4D76A" w14:textId="77777777" w:rsidTr="00F577B6">
        <w:trPr>
          <w:trHeight w:val="300"/>
        </w:trPr>
        <w:tc>
          <w:tcPr>
            <w:tcW w:w="1787" w:type="dxa"/>
            <w:noWrap/>
            <w:hideMark/>
          </w:tcPr>
          <w:p w14:paraId="4C659B5E"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Total</w:t>
            </w:r>
          </w:p>
        </w:tc>
        <w:tc>
          <w:tcPr>
            <w:tcW w:w="2016" w:type="dxa"/>
            <w:noWrap/>
            <w:hideMark/>
          </w:tcPr>
          <w:p w14:paraId="71063791"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70</w:t>
            </w:r>
          </w:p>
        </w:tc>
        <w:tc>
          <w:tcPr>
            <w:tcW w:w="2216" w:type="dxa"/>
            <w:noWrap/>
            <w:hideMark/>
          </w:tcPr>
          <w:p w14:paraId="168EAE6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100</w:t>
            </w:r>
          </w:p>
        </w:tc>
      </w:tr>
    </w:tbl>
    <w:p w14:paraId="6C88FA56" w14:textId="77777777" w:rsidR="00F577B6" w:rsidRPr="00BE3BDB" w:rsidRDefault="00F577B6" w:rsidP="00F577B6">
      <w:pPr>
        <w:pStyle w:val="Paragraphedeliste"/>
        <w:jc w:val="center"/>
        <w:rPr>
          <w:rFonts w:cstheme="majorBidi"/>
          <w:b/>
          <w:bCs/>
        </w:rPr>
      </w:pPr>
    </w:p>
    <w:p w14:paraId="5DF8A6C2" w14:textId="77777777" w:rsidR="00F577B6" w:rsidRPr="00BE3BDB" w:rsidRDefault="00F577B6" w:rsidP="00F577B6">
      <w:pPr>
        <w:pStyle w:val="Paragraphedeliste"/>
        <w:jc w:val="center"/>
        <w:rPr>
          <w:rFonts w:cstheme="majorBidi"/>
          <w:b/>
          <w:bCs/>
        </w:rPr>
      </w:pPr>
    </w:p>
    <w:p w14:paraId="27224183" w14:textId="77777777" w:rsidR="00F577B6" w:rsidRDefault="00F577B6" w:rsidP="00152406">
      <w:pPr>
        <w:ind w:firstLine="0"/>
        <w:rPr>
          <w:rFonts w:cstheme="majorBidi"/>
        </w:rPr>
      </w:pPr>
    </w:p>
    <w:p w14:paraId="6837FAAE" w14:textId="77777777" w:rsidR="00152406" w:rsidRDefault="00152406" w:rsidP="00152406">
      <w:pPr>
        <w:ind w:firstLine="0"/>
        <w:rPr>
          <w:rFonts w:cstheme="majorBidi"/>
        </w:rPr>
      </w:pPr>
    </w:p>
    <w:p w14:paraId="4698D8FA" w14:textId="77777777" w:rsidR="00F577B6" w:rsidRPr="00BE3BDB" w:rsidRDefault="00F577B6" w:rsidP="00F577B6">
      <w:pPr>
        <w:spacing w:after="0"/>
        <w:jc w:val="center"/>
        <w:rPr>
          <w:rFonts w:cstheme="majorBidi"/>
        </w:rPr>
      </w:pPr>
      <w:r w:rsidRPr="00BE3BDB">
        <w:rPr>
          <w:rFonts w:cstheme="majorBidi"/>
        </w:rPr>
        <w:t>Source :</w:t>
      </w:r>
      <w:r w:rsidRPr="00BE3BDB">
        <w:rPr>
          <w:rFonts w:cstheme="majorBidi"/>
          <w:b/>
        </w:rPr>
        <w:t xml:space="preserve"> </w:t>
      </w:r>
      <w:r w:rsidRPr="00BE3BDB">
        <w:rPr>
          <w:rFonts w:cstheme="majorBidi"/>
        </w:rPr>
        <w:t>établi par l’étudiante à partir des résultats du questionnaire</w:t>
      </w:r>
    </w:p>
    <w:p w14:paraId="70C8BAA5" w14:textId="77777777" w:rsidR="00F577B6" w:rsidRDefault="00F577B6" w:rsidP="00152406">
      <w:pPr>
        <w:pStyle w:val="Sansinterligne"/>
        <w:ind w:firstLine="0"/>
      </w:pPr>
      <w:r w:rsidRPr="00BE3BDB">
        <w:rPr>
          <w:rFonts w:eastAsia="Times New Roman"/>
          <w:noProof/>
          <w:lang w:eastAsia="fr-FR"/>
        </w:rPr>
        <w:drawing>
          <wp:anchor distT="0" distB="0" distL="114300" distR="114300" simplePos="0" relativeHeight="251674624" behindDoc="0" locked="0" layoutInCell="1" allowOverlap="1" wp14:anchorId="231E9DFC" wp14:editId="689F9F58">
            <wp:simplePos x="0" y="0"/>
            <wp:positionH relativeFrom="column">
              <wp:posOffset>814705</wp:posOffset>
            </wp:positionH>
            <wp:positionV relativeFrom="paragraph">
              <wp:posOffset>539115</wp:posOffset>
            </wp:positionV>
            <wp:extent cx="4257675" cy="2790825"/>
            <wp:effectExtent l="0" t="0" r="9525" b="9525"/>
            <wp:wrapSquare wrapText="bothSides"/>
            <wp:docPr id="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57675" cy="2790825"/>
                    </a:xfrm>
                    <a:prstGeom prst="rect">
                      <a:avLst/>
                    </a:prstGeom>
                    <a:noFill/>
                    <a:ln>
                      <a:noFill/>
                    </a:ln>
                  </pic:spPr>
                </pic:pic>
              </a:graphicData>
            </a:graphic>
          </wp:anchor>
        </w:drawing>
      </w:r>
    </w:p>
    <w:p w14:paraId="5FAD4540" w14:textId="77777777" w:rsidR="00F577B6" w:rsidRPr="00BE3BDB" w:rsidRDefault="00F577B6" w:rsidP="00F577B6">
      <w:pPr>
        <w:ind w:left="360"/>
        <w:jc w:val="center"/>
        <w:rPr>
          <w:rFonts w:cstheme="majorBidi"/>
        </w:rPr>
      </w:pPr>
    </w:p>
    <w:p w14:paraId="15468517" w14:textId="77777777" w:rsidR="00F577B6" w:rsidRPr="00BE3BDB" w:rsidRDefault="00F577B6" w:rsidP="00F577B6">
      <w:pPr>
        <w:tabs>
          <w:tab w:val="left" w:pos="5055"/>
        </w:tabs>
        <w:jc w:val="center"/>
        <w:rPr>
          <w:rFonts w:cstheme="majorBidi"/>
        </w:rPr>
      </w:pPr>
    </w:p>
    <w:p w14:paraId="4D6C78DB" w14:textId="77777777" w:rsidR="00F577B6" w:rsidRPr="00BE3BDB" w:rsidRDefault="00F577B6" w:rsidP="00F577B6">
      <w:pPr>
        <w:rPr>
          <w:rFonts w:cstheme="majorBidi"/>
        </w:rPr>
      </w:pPr>
    </w:p>
    <w:p w14:paraId="5565378F" w14:textId="77777777" w:rsidR="00F577B6" w:rsidRPr="00BE3BDB" w:rsidRDefault="00F577B6" w:rsidP="00F577B6">
      <w:pPr>
        <w:rPr>
          <w:rFonts w:cstheme="majorBidi"/>
        </w:rPr>
      </w:pPr>
    </w:p>
    <w:p w14:paraId="27114629" w14:textId="77777777" w:rsidR="00F577B6" w:rsidRPr="00BE3BDB" w:rsidRDefault="00F577B6" w:rsidP="00F577B6">
      <w:pPr>
        <w:rPr>
          <w:rFonts w:cstheme="majorBidi"/>
        </w:rPr>
      </w:pPr>
    </w:p>
    <w:p w14:paraId="5CBD6B3C" w14:textId="77777777" w:rsidR="00F577B6" w:rsidRPr="00BE3BDB" w:rsidRDefault="00F577B6" w:rsidP="00152406">
      <w:pPr>
        <w:ind w:firstLine="0"/>
        <w:rPr>
          <w:rFonts w:cstheme="majorBidi"/>
        </w:rPr>
      </w:pPr>
    </w:p>
    <w:p w14:paraId="69C7BC8E" w14:textId="77777777" w:rsidR="006D432A" w:rsidRDefault="006D432A" w:rsidP="00F577B6"/>
    <w:p w14:paraId="2E9972AC" w14:textId="77777777" w:rsidR="006D432A" w:rsidRDefault="006D432A" w:rsidP="00F577B6"/>
    <w:p w14:paraId="4FD0F737" w14:textId="77777777" w:rsidR="00F577B6" w:rsidRPr="006D432A" w:rsidRDefault="006D432A" w:rsidP="006D432A">
      <w:pPr>
        <w:pStyle w:val="Lgende"/>
        <w:jc w:val="center"/>
        <w:rPr>
          <w:rFonts w:cstheme="majorBidi"/>
          <w:b/>
          <w:bCs/>
          <w:i w:val="0"/>
          <w:iCs w:val="0"/>
          <w:color w:val="000000" w:themeColor="text1"/>
          <w:sz w:val="24"/>
          <w:szCs w:val="24"/>
        </w:rPr>
      </w:pPr>
      <w:bookmarkStart w:id="137" w:name="_Toc200731393"/>
      <w:r w:rsidRPr="006D432A">
        <w:rPr>
          <w:b/>
          <w:bCs/>
          <w:i w:val="0"/>
          <w:iCs w:val="0"/>
          <w:color w:val="000000" w:themeColor="text1"/>
          <w:sz w:val="24"/>
          <w:szCs w:val="24"/>
        </w:rPr>
        <w:t xml:space="preserve">Figure </w:t>
      </w:r>
      <w:r w:rsidRPr="006D432A">
        <w:rPr>
          <w:b/>
          <w:bCs/>
          <w:i w:val="0"/>
          <w:iCs w:val="0"/>
          <w:color w:val="000000" w:themeColor="text1"/>
          <w:sz w:val="24"/>
          <w:szCs w:val="24"/>
        </w:rPr>
        <w:fldChar w:fldCharType="begin"/>
      </w:r>
      <w:r w:rsidRPr="006D432A">
        <w:rPr>
          <w:b/>
          <w:bCs/>
          <w:i w:val="0"/>
          <w:iCs w:val="0"/>
          <w:color w:val="000000" w:themeColor="text1"/>
          <w:sz w:val="24"/>
          <w:szCs w:val="24"/>
        </w:rPr>
        <w:instrText xml:space="preserve"> SEQ Figure \* ARABIC </w:instrText>
      </w:r>
      <w:r w:rsidRPr="006D432A">
        <w:rPr>
          <w:b/>
          <w:bCs/>
          <w:i w:val="0"/>
          <w:iCs w:val="0"/>
          <w:color w:val="000000" w:themeColor="text1"/>
          <w:sz w:val="24"/>
          <w:szCs w:val="24"/>
        </w:rPr>
        <w:fldChar w:fldCharType="separate"/>
      </w:r>
      <w:r w:rsidR="00B55438">
        <w:rPr>
          <w:b/>
          <w:bCs/>
          <w:i w:val="0"/>
          <w:iCs w:val="0"/>
          <w:noProof/>
          <w:color w:val="000000" w:themeColor="text1"/>
          <w:sz w:val="24"/>
          <w:szCs w:val="24"/>
        </w:rPr>
        <w:t>14</w:t>
      </w:r>
      <w:r w:rsidRPr="006D432A">
        <w:rPr>
          <w:b/>
          <w:bCs/>
          <w:i w:val="0"/>
          <w:iCs w:val="0"/>
          <w:color w:val="000000" w:themeColor="text1"/>
          <w:sz w:val="24"/>
          <w:szCs w:val="24"/>
        </w:rPr>
        <w:fldChar w:fldCharType="end"/>
      </w:r>
      <w:r w:rsidRPr="006D432A">
        <w:rPr>
          <w:b/>
          <w:bCs/>
          <w:i w:val="0"/>
          <w:iCs w:val="0"/>
          <w:color w:val="000000" w:themeColor="text1"/>
          <w:sz w:val="24"/>
          <w:szCs w:val="24"/>
        </w:rPr>
        <w:t xml:space="preserve"> </w:t>
      </w:r>
      <w:r w:rsidR="00152406" w:rsidRPr="006D432A">
        <w:rPr>
          <w:b/>
          <w:bCs/>
          <w:i w:val="0"/>
          <w:iCs w:val="0"/>
          <w:color w:val="000000" w:themeColor="text1"/>
          <w:sz w:val="24"/>
          <w:szCs w:val="24"/>
        </w:rPr>
        <w:t xml:space="preserve"> : </w:t>
      </w:r>
      <w:r w:rsidR="00152406" w:rsidRPr="006D432A">
        <w:rPr>
          <w:i w:val="0"/>
          <w:iCs w:val="0"/>
          <w:color w:val="000000" w:themeColor="text1"/>
          <w:sz w:val="24"/>
          <w:szCs w:val="24"/>
        </w:rPr>
        <w:t>Répartition de l’échantillon selon la durée depuis laquelle les répondants connaissent GICA</w:t>
      </w:r>
      <w:bookmarkEnd w:id="137"/>
    </w:p>
    <w:p w14:paraId="1EA8E4CE" w14:textId="77777777" w:rsidR="00F577B6" w:rsidRPr="00BE3BDB" w:rsidRDefault="00F577B6" w:rsidP="00F577B6">
      <w:pPr>
        <w:jc w:val="center"/>
        <w:rPr>
          <w:rFonts w:cstheme="majorBidi"/>
        </w:rPr>
      </w:pPr>
      <w:r w:rsidRPr="00BE3BDB">
        <w:rPr>
          <w:rFonts w:cstheme="majorBidi"/>
          <w:bCs/>
        </w:rPr>
        <w:t>Source :</w:t>
      </w:r>
      <w:r w:rsidRPr="00BE3BDB">
        <w:rPr>
          <w:rFonts w:cstheme="majorBidi"/>
        </w:rPr>
        <w:t xml:space="preserve"> établi par l’étudiante à partir SPSS v 27</w:t>
      </w:r>
    </w:p>
    <w:p w14:paraId="505E74EC" w14:textId="77777777" w:rsidR="00F577B6" w:rsidRPr="00BE3BDB" w:rsidRDefault="00F577B6" w:rsidP="00C61DD9">
      <w:r w:rsidRPr="00BE3BDB">
        <w:lastRenderedPageBreak/>
        <w:t xml:space="preserve">        Le tableau et la présentation graphique indiquent que 67,1 % des répondants connaissent l’entreprise GICA depuis plus de trois ans, contre 22,9 % depuis moins d’un an, et 10 % depuis 1 à 3 ans. Cette majorité de répondants ayant une relation ancienne avec GICA témoigne d’une familiarité accrue avec l’entreprise, ce qui renforce la pertinence et la fiabilité des perceptions recueillies concernant son image de marque et ses pratiques environnementales perçues.</w:t>
      </w:r>
    </w:p>
    <w:p w14:paraId="52B86384" w14:textId="77777777" w:rsidR="00F577B6" w:rsidRPr="0077731B" w:rsidRDefault="00F577B6" w:rsidP="000B457B">
      <w:pPr>
        <w:pStyle w:val="Titre1"/>
        <w:numPr>
          <w:ilvl w:val="0"/>
          <w:numId w:val="35"/>
        </w:numPr>
      </w:pPr>
      <w:bookmarkStart w:id="138" w:name="_Toc200825469"/>
      <w:r w:rsidRPr="0077731B">
        <w:t>Analyse des données concernant la partie Greenwashing :</w:t>
      </w:r>
      <w:bookmarkEnd w:id="138"/>
    </w:p>
    <w:p w14:paraId="06CE9A5F" w14:textId="77777777" w:rsidR="00F577B6" w:rsidRPr="0077731B" w:rsidRDefault="00F577B6" w:rsidP="000B457B">
      <w:pPr>
        <w:pStyle w:val="Titre2"/>
        <w:numPr>
          <w:ilvl w:val="1"/>
          <w:numId w:val="35"/>
        </w:numPr>
      </w:pPr>
      <w:bookmarkStart w:id="139" w:name="_Toc200825470"/>
      <w:r w:rsidRPr="0077731B">
        <w:t>La fiabilité de l’axe :</w:t>
      </w:r>
      <w:bookmarkEnd w:id="139"/>
      <w:r w:rsidRPr="0077731B">
        <w:t xml:space="preserve"> </w:t>
      </w:r>
    </w:p>
    <w:p w14:paraId="3F04D2B4" w14:textId="77777777" w:rsidR="00152406" w:rsidRPr="00063796" w:rsidRDefault="00F577B6" w:rsidP="00063796">
      <w:r w:rsidRPr="00BE3BDB">
        <w:t xml:space="preserve">     Pour assurer la qualité des données, il est important de vérifier la fiabilité des mesures. Nous avons évalué la cohérence interne des items du premier axe, qui concerne le greenwashing et ses sous-dimensions : confiance verte, perception du risque environnemental, et crédibilité perçue. Cette étape garantit que les item</w:t>
      </w:r>
      <w:r w:rsidR="00063796">
        <w:t>s mesurent bien le même concept</w:t>
      </w:r>
    </w:p>
    <w:p w14:paraId="371412F7" w14:textId="77777777" w:rsidR="00F577B6" w:rsidRPr="00063796" w:rsidRDefault="00063796" w:rsidP="00063796">
      <w:pPr>
        <w:pStyle w:val="Lgende"/>
        <w:jc w:val="center"/>
        <w:rPr>
          <w:rFonts w:cstheme="majorBidi"/>
          <w:b/>
          <w:bCs/>
          <w:i w:val="0"/>
          <w:iCs w:val="0"/>
          <w:color w:val="000000" w:themeColor="text1"/>
          <w:sz w:val="24"/>
          <w:szCs w:val="24"/>
        </w:rPr>
      </w:pPr>
      <w:bookmarkStart w:id="140" w:name="_Toc200731404"/>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11</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fiabilité des parties de greenwashing</w:t>
      </w:r>
      <w:bookmarkEnd w:id="140"/>
    </w:p>
    <w:tbl>
      <w:tblPr>
        <w:tblStyle w:val="Grilledutableau"/>
        <w:tblW w:w="0" w:type="auto"/>
        <w:jc w:val="center"/>
        <w:tblLook w:val="04A0" w:firstRow="1" w:lastRow="0" w:firstColumn="1" w:lastColumn="0" w:noHBand="0" w:noVBand="1"/>
      </w:tblPr>
      <w:tblGrid>
        <w:gridCol w:w="3256"/>
        <w:gridCol w:w="2268"/>
        <w:gridCol w:w="2396"/>
      </w:tblGrid>
      <w:tr w:rsidR="00F577B6" w:rsidRPr="00152406" w14:paraId="704FA750" w14:textId="77777777" w:rsidTr="00152406">
        <w:trPr>
          <w:trHeight w:val="300"/>
          <w:jc w:val="center"/>
        </w:trPr>
        <w:tc>
          <w:tcPr>
            <w:tcW w:w="3256" w:type="dxa"/>
            <w:noWrap/>
            <w:hideMark/>
          </w:tcPr>
          <w:p w14:paraId="182863D3"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Axe</w:t>
            </w:r>
          </w:p>
        </w:tc>
        <w:tc>
          <w:tcPr>
            <w:tcW w:w="2268" w:type="dxa"/>
            <w:noWrap/>
            <w:hideMark/>
          </w:tcPr>
          <w:p w14:paraId="608A642D" w14:textId="77777777" w:rsidR="00F577B6" w:rsidRPr="00152406" w:rsidRDefault="00F577B6" w:rsidP="00152406">
            <w:pPr>
              <w:pStyle w:val="Sansinterligne"/>
              <w:spacing w:line="360" w:lineRule="auto"/>
              <w:jc w:val="center"/>
              <w:rPr>
                <w:rFonts w:asciiTheme="majorBidi" w:hAnsiTheme="majorBidi" w:cstheme="majorBidi"/>
                <w:b/>
                <w:bCs/>
              </w:rPr>
            </w:pPr>
            <w:r w:rsidRPr="00152406">
              <w:rPr>
                <w:rFonts w:asciiTheme="majorBidi" w:hAnsiTheme="majorBidi" w:cstheme="majorBidi"/>
                <w:b/>
                <w:bCs/>
              </w:rPr>
              <w:t>Alpha de Cronbach</w:t>
            </w:r>
          </w:p>
        </w:tc>
        <w:tc>
          <w:tcPr>
            <w:tcW w:w="2396" w:type="dxa"/>
            <w:noWrap/>
            <w:hideMark/>
          </w:tcPr>
          <w:p w14:paraId="3831F9F9" w14:textId="77777777" w:rsidR="00F577B6" w:rsidRPr="00152406" w:rsidRDefault="00F577B6" w:rsidP="00152406">
            <w:pPr>
              <w:pStyle w:val="Sansinterligne"/>
              <w:spacing w:line="360" w:lineRule="auto"/>
              <w:jc w:val="center"/>
              <w:rPr>
                <w:rFonts w:asciiTheme="majorBidi" w:hAnsiTheme="majorBidi" w:cstheme="majorBidi"/>
                <w:b/>
                <w:bCs/>
              </w:rPr>
            </w:pPr>
            <w:r w:rsidRPr="00152406">
              <w:rPr>
                <w:rFonts w:asciiTheme="majorBidi" w:hAnsiTheme="majorBidi" w:cstheme="majorBidi"/>
                <w:b/>
                <w:bCs/>
              </w:rPr>
              <w:t>Nombre d'éléments</w:t>
            </w:r>
          </w:p>
        </w:tc>
      </w:tr>
      <w:tr w:rsidR="00F577B6" w:rsidRPr="00152406" w14:paraId="3D6D5E1E" w14:textId="77777777" w:rsidTr="00152406">
        <w:trPr>
          <w:trHeight w:val="300"/>
          <w:jc w:val="center"/>
        </w:trPr>
        <w:tc>
          <w:tcPr>
            <w:tcW w:w="3256" w:type="dxa"/>
            <w:noWrap/>
            <w:hideMark/>
          </w:tcPr>
          <w:p w14:paraId="3AD28A72"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Confiance verte</w:t>
            </w:r>
          </w:p>
        </w:tc>
        <w:tc>
          <w:tcPr>
            <w:tcW w:w="2268" w:type="dxa"/>
            <w:noWrap/>
            <w:hideMark/>
          </w:tcPr>
          <w:p w14:paraId="3A15FDEC"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0,845</w:t>
            </w:r>
          </w:p>
        </w:tc>
        <w:tc>
          <w:tcPr>
            <w:tcW w:w="2396" w:type="dxa"/>
            <w:noWrap/>
            <w:hideMark/>
          </w:tcPr>
          <w:p w14:paraId="78BB1DA6"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4</w:t>
            </w:r>
          </w:p>
        </w:tc>
      </w:tr>
      <w:tr w:rsidR="00F577B6" w:rsidRPr="00152406" w14:paraId="01272FF3" w14:textId="77777777" w:rsidTr="00152406">
        <w:trPr>
          <w:trHeight w:val="300"/>
          <w:jc w:val="center"/>
        </w:trPr>
        <w:tc>
          <w:tcPr>
            <w:tcW w:w="3256" w:type="dxa"/>
            <w:noWrap/>
            <w:hideMark/>
          </w:tcPr>
          <w:p w14:paraId="27C085A2"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la perception de risque environnemental</w:t>
            </w:r>
          </w:p>
        </w:tc>
        <w:tc>
          <w:tcPr>
            <w:tcW w:w="2268" w:type="dxa"/>
            <w:noWrap/>
            <w:hideMark/>
          </w:tcPr>
          <w:p w14:paraId="1FD35E70"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0,814</w:t>
            </w:r>
          </w:p>
        </w:tc>
        <w:tc>
          <w:tcPr>
            <w:tcW w:w="2396" w:type="dxa"/>
            <w:noWrap/>
            <w:hideMark/>
          </w:tcPr>
          <w:p w14:paraId="0ADAA637"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4</w:t>
            </w:r>
          </w:p>
        </w:tc>
      </w:tr>
      <w:tr w:rsidR="00F577B6" w:rsidRPr="00152406" w14:paraId="22B0D70D" w14:textId="77777777" w:rsidTr="00152406">
        <w:trPr>
          <w:trHeight w:val="300"/>
          <w:jc w:val="center"/>
        </w:trPr>
        <w:tc>
          <w:tcPr>
            <w:tcW w:w="3256" w:type="dxa"/>
            <w:noWrap/>
            <w:hideMark/>
          </w:tcPr>
          <w:p w14:paraId="576737F2"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la crédibilité perçue</w:t>
            </w:r>
          </w:p>
        </w:tc>
        <w:tc>
          <w:tcPr>
            <w:tcW w:w="2268" w:type="dxa"/>
            <w:noWrap/>
            <w:hideMark/>
          </w:tcPr>
          <w:p w14:paraId="2DDA215F"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0,659</w:t>
            </w:r>
          </w:p>
        </w:tc>
        <w:tc>
          <w:tcPr>
            <w:tcW w:w="2396" w:type="dxa"/>
            <w:noWrap/>
            <w:hideMark/>
          </w:tcPr>
          <w:p w14:paraId="243F1261"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4</w:t>
            </w:r>
          </w:p>
        </w:tc>
      </w:tr>
      <w:tr w:rsidR="00F577B6" w:rsidRPr="00152406" w14:paraId="11F4716A" w14:textId="77777777" w:rsidTr="00152406">
        <w:trPr>
          <w:trHeight w:val="300"/>
          <w:jc w:val="center"/>
        </w:trPr>
        <w:tc>
          <w:tcPr>
            <w:tcW w:w="3256" w:type="dxa"/>
            <w:noWrap/>
            <w:hideMark/>
          </w:tcPr>
          <w:p w14:paraId="7536CFF5" w14:textId="77777777" w:rsidR="00F577B6" w:rsidRPr="00152406" w:rsidRDefault="00F577B6" w:rsidP="00152406">
            <w:pPr>
              <w:pStyle w:val="Sansinterligne"/>
              <w:spacing w:line="360" w:lineRule="auto"/>
              <w:rPr>
                <w:rFonts w:asciiTheme="majorBidi" w:hAnsiTheme="majorBidi" w:cstheme="majorBidi"/>
                <w:b/>
                <w:bCs/>
              </w:rPr>
            </w:pPr>
            <w:r w:rsidRPr="00152406">
              <w:rPr>
                <w:rFonts w:asciiTheme="majorBidi" w:hAnsiTheme="majorBidi" w:cstheme="majorBidi"/>
                <w:b/>
                <w:bCs/>
              </w:rPr>
              <w:t>Greenwashing</w:t>
            </w:r>
          </w:p>
        </w:tc>
        <w:tc>
          <w:tcPr>
            <w:tcW w:w="2268" w:type="dxa"/>
            <w:noWrap/>
            <w:hideMark/>
          </w:tcPr>
          <w:p w14:paraId="52D4D9B9"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0,848</w:t>
            </w:r>
          </w:p>
        </w:tc>
        <w:tc>
          <w:tcPr>
            <w:tcW w:w="2396" w:type="dxa"/>
            <w:noWrap/>
            <w:hideMark/>
          </w:tcPr>
          <w:p w14:paraId="4AB16174" w14:textId="77777777" w:rsidR="00F577B6" w:rsidRPr="00152406" w:rsidRDefault="00F577B6" w:rsidP="00152406">
            <w:pPr>
              <w:pStyle w:val="Sansinterligne"/>
              <w:spacing w:line="360" w:lineRule="auto"/>
              <w:jc w:val="center"/>
              <w:rPr>
                <w:rFonts w:asciiTheme="majorBidi" w:hAnsiTheme="majorBidi" w:cstheme="majorBidi"/>
              </w:rPr>
            </w:pPr>
            <w:r w:rsidRPr="00152406">
              <w:rPr>
                <w:rFonts w:asciiTheme="majorBidi" w:hAnsiTheme="majorBidi" w:cstheme="majorBidi"/>
              </w:rPr>
              <w:t>12</w:t>
            </w:r>
          </w:p>
        </w:tc>
      </w:tr>
    </w:tbl>
    <w:p w14:paraId="69AFB3EA" w14:textId="77777777" w:rsidR="00F577B6" w:rsidRPr="00BE3BDB" w:rsidRDefault="00F577B6" w:rsidP="00F577B6">
      <w:pPr>
        <w:jc w:val="center"/>
        <w:rPr>
          <w:rFonts w:cstheme="majorBidi"/>
        </w:rPr>
      </w:pPr>
      <w:r w:rsidRPr="00BE3BDB">
        <w:rPr>
          <w:rFonts w:cstheme="majorBidi"/>
          <w:bCs/>
        </w:rPr>
        <w:t>Source :</w:t>
      </w:r>
      <w:r w:rsidRPr="00BE3BDB">
        <w:rPr>
          <w:rFonts w:cstheme="majorBidi"/>
        </w:rPr>
        <w:t xml:space="preserve"> établi par l’étudiante à partir SPSS v 27</w:t>
      </w:r>
    </w:p>
    <w:p w14:paraId="149611FE" w14:textId="77777777" w:rsidR="0077731B" w:rsidRPr="00BE3BDB" w:rsidRDefault="00F577B6" w:rsidP="006D432A">
      <w:r w:rsidRPr="00BE3BDB">
        <w:t xml:space="preserve">         L’évaluation de la fiabilité du premier axe, à savoir le greenwashing, révèle une bonne cohérence interne globale, avec un alpha de Cronbach de 0,848 pour l’ensemble des 12 items, ce qui confirme la fiabilité de l’échelle. En ce qui concerne les sous-axes, la confiance verte présente un coefficient élevé (α = 0,845) indiquant une excellente fiabilité, suivie de la perception du risque environnemental (α = 0,814), également très satisfaisante. En revanche, la crédibilité perçue affiche un alpha de 0,659, ce qui reste acceptable dans une approche exploratoire, bien que légèrement inférieur au seuil généralement recommandé (0,7). Ces résultats permettent de valider la cohérence des items mesurant le greenwashing dans cette étude.</w:t>
      </w:r>
    </w:p>
    <w:p w14:paraId="5C3D0C06" w14:textId="77777777" w:rsidR="00F577B6" w:rsidRPr="0077731B" w:rsidRDefault="00F577B6" w:rsidP="000B457B">
      <w:pPr>
        <w:pStyle w:val="Titre2"/>
        <w:numPr>
          <w:ilvl w:val="1"/>
          <w:numId w:val="35"/>
        </w:numPr>
      </w:pPr>
      <w:bookmarkStart w:id="141" w:name="_Toc200825471"/>
      <w:r w:rsidRPr="0077731B">
        <w:lastRenderedPageBreak/>
        <w:t>Analyse de distribution des résultats de premier axe</w:t>
      </w:r>
      <w:bookmarkEnd w:id="141"/>
    </w:p>
    <w:p w14:paraId="2D031859" w14:textId="77777777" w:rsidR="00063796" w:rsidRDefault="00063796" w:rsidP="00063796">
      <w:pPr>
        <w:pStyle w:val="Lgende"/>
        <w:jc w:val="center"/>
        <w:rPr>
          <w:b/>
          <w:bCs/>
          <w:i w:val="0"/>
          <w:iCs w:val="0"/>
          <w:color w:val="000000" w:themeColor="text1"/>
          <w:sz w:val="24"/>
          <w:szCs w:val="24"/>
        </w:rPr>
      </w:pPr>
    </w:p>
    <w:p w14:paraId="6AC9E3D3" w14:textId="77777777" w:rsidR="00F577B6" w:rsidRPr="00063796" w:rsidRDefault="00063796" w:rsidP="00063796">
      <w:pPr>
        <w:pStyle w:val="Lgende"/>
        <w:jc w:val="center"/>
        <w:rPr>
          <w:rFonts w:cstheme="majorBidi"/>
          <w:b/>
          <w:bCs/>
          <w:i w:val="0"/>
          <w:iCs w:val="0"/>
          <w:color w:val="000000" w:themeColor="text1"/>
          <w:sz w:val="24"/>
          <w:szCs w:val="24"/>
        </w:rPr>
      </w:pPr>
      <w:bookmarkStart w:id="142" w:name="_Toc200731405"/>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12</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poids de l’échelle Likert</w:t>
      </w:r>
      <w:bookmarkEnd w:id="142"/>
    </w:p>
    <w:tbl>
      <w:tblPr>
        <w:tblStyle w:val="Grilledutableau"/>
        <w:tblW w:w="0" w:type="auto"/>
        <w:tblInd w:w="840" w:type="dxa"/>
        <w:tblLook w:val="04A0" w:firstRow="1" w:lastRow="0" w:firstColumn="1" w:lastColumn="0" w:noHBand="0" w:noVBand="1"/>
      </w:tblPr>
      <w:tblGrid>
        <w:gridCol w:w="1475"/>
        <w:gridCol w:w="1349"/>
        <w:gridCol w:w="1349"/>
        <w:gridCol w:w="1349"/>
        <w:gridCol w:w="1350"/>
        <w:gridCol w:w="1350"/>
      </w:tblGrid>
      <w:tr w:rsidR="00F577B6" w:rsidRPr="00152406" w14:paraId="0B989F7B" w14:textId="77777777" w:rsidTr="00F577B6">
        <w:tc>
          <w:tcPr>
            <w:tcW w:w="1475" w:type="dxa"/>
          </w:tcPr>
          <w:p w14:paraId="5E35F928" w14:textId="77777777" w:rsidR="00F577B6" w:rsidRPr="00152406" w:rsidRDefault="00F577B6" w:rsidP="00152406">
            <w:pPr>
              <w:pStyle w:val="Sansinterligne"/>
              <w:spacing w:line="360" w:lineRule="auto"/>
              <w:jc w:val="center"/>
              <w:rPr>
                <w:rFonts w:asciiTheme="majorBidi" w:hAnsiTheme="majorBidi" w:cstheme="majorBidi"/>
                <w:b/>
                <w:bCs/>
              </w:rPr>
            </w:pPr>
            <w:r w:rsidRPr="00152406">
              <w:rPr>
                <w:rFonts w:asciiTheme="majorBidi" w:hAnsiTheme="majorBidi" w:cstheme="majorBidi"/>
                <w:b/>
                <w:bCs/>
              </w:rPr>
              <w:t>Longueur du niveau (poids)</w:t>
            </w:r>
          </w:p>
        </w:tc>
        <w:tc>
          <w:tcPr>
            <w:tcW w:w="1349" w:type="dxa"/>
          </w:tcPr>
          <w:p w14:paraId="57A455C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[1-1,79]</w:t>
            </w:r>
          </w:p>
        </w:tc>
        <w:tc>
          <w:tcPr>
            <w:tcW w:w="1349" w:type="dxa"/>
          </w:tcPr>
          <w:p w14:paraId="567AF8B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[1,8-2,59]</w:t>
            </w:r>
          </w:p>
        </w:tc>
        <w:tc>
          <w:tcPr>
            <w:tcW w:w="1349" w:type="dxa"/>
          </w:tcPr>
          <w:p w14:paraId="46A3C338"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[2,6-3,39]</w:t>
            </w:r>
          </w:p>
        </w:tc>
        <w:tc>
          <w:tcPr>
            <w:tcW w:w="1350" w:type="dxa"/>
          </w:tcPr>
          <w:p w14:paraId="13850D2B"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[3,4-4,19]</w:t>
            </w:r>
          </w:p>
        </w:tc>
        <w:tc>
          <w:tcPr>
            <w:tcW w:w="1350" w:type="dxa"/>
          </w:tcPr>
          <w:p w14:paraId="7256EB95"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 xml:space="preserve"> [4,2 -5]</w:t>
            </w:r>
          </w:p>
        </w:tc>
      </w:tr>
      <w:tr w:rsidR="00F577B6" w:rsidRPr="00152406" w14:paraId="07CB9D02" w14:textId="77777777" w:rsidTr="00F577B6">
        <w:tc>
          <w:tcPr>
            <w:tcW w:w="1475" w:type="dxa"/>
          </w:tcPr>
          <w:p w14:paraId="792AD7F8" w14:textId="77777777" w:rsidR="00F577B6" w:rsidRPr="00152406" w:rsidRDefault="00F577B6" w:rsidP="00152406">
            <w:pPr>
              <w:pStyle w:val="Sansinterligne"/>
              <w:spacing w:line="360" w:lineRule="auto"/>
              <w:jc w:val="center"/>
              <w:rPr>
                <w:rFonts w:asciiTheme="majorBidi" w:hAnsiTheme="majorBidi" w:cstheme="majorBidi"/>
                <w:b/>
                <w:bCs/>
              </w:rPr>
            </w:pPr>
            <w:r w:rsidRPr="00152406">
              <w:rPr>
                <w:rFonts w:asciiTheme="majorBidi" w:hAnsiTheme="majorBidi" w:cstheme="majorBidi"/>
                <w:b/>
                <w:bCs/>
              </w:rPr>
              <w:t>Niveau d’accord</w:t>
            </w:r>
          </w:p>
        </w:tc>
        <w:tc>
          <w:tcPr>
            <w:tcW w:w="1349" w:type="dxa"/>
          </w:tcPr>
          <w:p w14:paraId="7BAC3E53"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Tout à fait désaccord</w:t>
            </w:r>
          </w:p>
        </w:tc>
        <w:tc>
          <w:tcPr>
            <w:tcW w:w="1349" w:type="dxa"/>
          </w:tcPr>
          <w:p w14:paraId="19DFF276"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Désaccord</w:t>
            </w:r>
          </w:p>
        </w:tc>
        <w:tc>
          <w:tcPr>
            <w:tcW w:w="1349" w:type="dxa"/>
          </w:tcPr>
          <w:p w14:paraId="3F655988"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Neutre</w:t>
            </w:r>
          </w:p>
        </w:tc>
        <w:tc>
          <w:tcPr>
            <w:tcW w:w="1350" w:type="dxa"/>
          </w:tcPr>
          <w:p w14:paraId="2E2886E1"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D’accord</w:t>
            </w:r>
          </w:p>
        </w:tc>
        <w:tc>
          <w:tcPr>
            <w:tcW w:w="1350" w:type="dxa"/>
          </w:tcPr>
          <w:p w14:paraId="63CB42B9" w14:textId="77777777" w:rsidR="00F577B6" w:rsidRPr="00152406" w:rsidRDefault="00F577B6" w:rsidP="00152406">
            <w:pPr>
              <w:pStyle w:val="Sansinterligne"/>
              <w:spacing w:line="360" w:lineRule="auto"/>
              <w:rPr>
                <w:rFonts w:asciiTheme="majorBidi" w:hAnsiTheme="majorBidi" w:cstheme="majorBidi"/>
              </w:rPr>
            </w:pPr>
            <w:r w:rsidRPr="00152406">
              <w:rPr>
                <w:rFonts w:asciiTheme="majorBidi" w:hAnsiTheme="majorBidi" w:cstheme="majorBidi"/>
              </w:rPr>
              <w:t>Tout à fait d’accord</w:t>
            </w:r>
          </w:p>
        </w:tc>
      </w:tr>
    </w:tbl>
    <w:p w14:paraId="29531B7D" w14:textId="77777777" w:rsidR="00F577B6" w:rsidRPr="00BE3BDB" w:rsidRDefault="00F577B6" w:rsidP="00F577B6">
      <w:pPr>
        <w:pStyle w:val="Paragraphedeliste"/>
        <w:ind w:left="840"/>
        <w:jc w:val="center"/>
        <w:rPr>
          <w:rFonts w:cstheme="majorBidi"/>
        </w:rPr>
      </w:pPr>
      <w:r w:rsidRPr="00BE3BDB">
        <w:rPr>
          <w:rFonts w:cstheme="majorBidi"/>
          <w:bCs/>
        </w:rPr>
        <w:t>Source :</w:t>
      </w:r>
      <w:r w:rsidRPr="00BE3BDB">
        <w:rPr>
          <w:rFonts w:cstheme="majorBidi"/>
        </w:rPr>
        <w:t xml:space="preserve"> établi par l’étudiante</w:t>
      </w:r>
    </w:p>
    <w:p w14:paraId="74524201" w14:textId="77777777" w:rsidR="00F577B6" w:rsidRPr="00BE3BDB" w:rsidRDefault="00F577B6" w:rsidP="00F577B6">
      <w:pPr>
        <w:pStyle w:val="Paragraphedeliste"/>
        <w:ind w:left="840"/>
        <w:jc w:val="center"/>
        <w:rPr>
          <w:rFonts w:cstheme="majorBidi"/>
        </w:rPr>
      </w:pPr>
    </w:p>
    <w:p w14:paraId="12BB1807" w14:textId="77777777" w:rsidR="00F577B6" w:rsidRPr="0077731B" w:rsidRDefault="00F577B6" w:rsidP="000B457B">
      <w:pPr>
        <w:pStyle w:val="Titre3"/>
        <w:numPr>
          <w:ilvl w:val="2"/>
          <w:numId w:val="35"/>
        </w:numPr>
      </w:pPr>
      <w:bookmarkStart w:id="143" w:name="_Toc200825472"/>
      <w:r w:rsidRPr="0077731B">
        <w:t>Analyse de la première dimension</w:t>
      </w:r>
      <w:bookmarkEnd w:id="143"/>
    </w:p>
    <w:p w14:paraId="2E957B2B" w14:textId="77777777" w:rsidR="00063796" w:rsidRPr="00063796" w:rsidRDefault="00063796" w:rsidP="00063796">
      <w:pPr>
        <w:pStyle w:val="Lgende"/>
        <w:jc w:val="center"/>
        <w:rPr>
          <w:rFonts w:cstheme="majorBidi"/>
          <w:b/>
          <w:bCs/>
          <w:i w:val="0"/>
          <w:iCs w:val="0"/>
          <w:color w:val="000000" w:themeColor="text1"/>
          <w:sz w:val="24"/>
          <w:szCs w:val="24"/>
        </w:rPr>
      </w:pPr>
      <w:bookmarkStart w:id="144" w:name="_Toc200731406"/>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13</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Analyse descriptive des données de la dimension confiance verte</w:t>
      </w:r>
      <w:bookmarkEnd w:id="144"/>
    </w:p>
    <w:p w14:paraId="37A2E40F" w14:textId="77777777" w:rsidR="00F577B6" w:rsidRPr="00BE3BDB" w:rsidRDefault="00F577B6" w:rsidP="00063796">
      <w:pPr>
        <w:pStyle w:val="Lgende"/>
        <w:rPr>
          <w:rFonts w:cstheme="majorBidi"/>
        </w:rPr>
      </w:pPr>
      <w:r w:rsidRPr="00BE3BDB">
        <w:rPr>
          <w:rFonts w:cstheme="majorBidi"/>
        </w:rPr>
        <w:fldChar w:fldCharType="begin"/>
      </w:r>
      <w:r w:rsidRPr="00BE3BDB">
        <w:rPr>
          <w:rFonts w:cstheme="majorBidi"/>
        </w:rPr>
        <w:instrText xml:space="preserve"> LINK Excel.Sheet.12 "C:\\Users\\yahia cherif\\Desktop\\Analyse des données\\2025\\Asma\\ttableau.xlsx" Sheet1!R5C3:R10C10 \a \f 4 \h  \* MERGEFORMAT </w:instrText>
      </w:r>
      <w:r w:rsidRPr="00BE3BDB">
        <w:rPr>
          <w:rFonts w:cstheme="majorBidi"/>
        </w:rPr>
        <w:fldChar w:fldCharType="separate"/>
      </w:r>
    </w:p>
    <w:tbl>
      <w:tblPr>
        <w:tblW w:w="8746"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6"/>
        <w:gridCol w:w="1029"/>
        <w:gridCol w:w="1117"/>
        <w:gridCol w:w="907"/>
        <w:gridCol w:w="646"/>
        <w:gridCol w:w="907"/>
        <w:gridCol w:w="1350"/>
        <w:gridCol w:w="1744"/>
      </w:tblGrid>
      <w:tr w:rsidR="00270E64" w:rsidRPr="00152406" w14:paraId="16B8AEA9" w14:textId="77777777" w:rsidTr="00270E64">
        <w:trPr>
          <w:cantSplit/>
          <w:trHeight w:val="300"/>
        </w:trPr>
        <w:tc>
          <w:tcPr>
            <w:tcW w:w="1090" w:type="dxa"/>
            <w:shd w:val="clear" w:color="auto" w:fill="auto"/>
            <w:noWrap/>
            <w:vAlign w:val="bottom"/>
            <w:hideMark/>
          </w:tcPr>
          <w:p w14:paraId="7F13D934" w14:textId="77777777" w:rsidR="00F577B6" w:rsidRPr="00152406" w:rsidRDefault="00F577B6" w:rsidP="00152406">
            <w:pPr>
              <w:pStyle w:val="Sansinterligne"/>
              <w:rPr>
                <w:rFonts w:asciiTheme="majorBidi" w:hAnsiTheme="majorBidi" w:cstheme="majorBidi"/>
                <w:sz w:val="24"/>
                <w:szCs w:val="24"/>
                <w:lang w:eastAsia="fr-FR"/>
              </w:rPr>
            </w:pPr>
          </w:p>
        </w:tc>
        <w:tc>
          <w:tcPr>
            <w:tcW w:w="1159" w:type="dxa"/>
            <w:shd w:val="clear" w:color="auto" w:fill="auto"/>
            <w:noWrap/>
            <w:vAlign w:val="bottom"/>
            <w:hideMark/>
          </w:tcPr>
          <w:p w14:paraId="3780A437"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Moyenne</w:t>
            </w:r>
          </w:p>
        </w:tc>
        <w:tc>
          <w:tcPr>
            <w:tcW w:w="1164" w:type="dxa"/>
            <w:shd w:val="clear" w:color="auto" w:fill="auto"/>
            <w:noWrap/>
            <w:vAlign w:val="bottom"/>
            <w:hideMark/>
          </w:tcPr>
          <w:p w14:paraId="5D28A36D"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Ecart type</w:t>
            </w:r>
          </w:p>
        </w:tc>
        <w:tc>
          <w:tcPr>
            <w:tcW w:w="945" w:type="dxa"/>
            <w:shd w:val="clear" w:color="auto" w:fill="auto"/>
            <w:noWrap/>
            <w:vAlign w:val="bottom"/>
            <w:hideMark/>
          </w:tcPr>
          <w:p w14:paraId="7B127771"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t</w:t>
            </w:r>
          </w:p>
        </w:tc>
        <w:tc>
          <w:tcPr>
            <w:tcW w:w="670" w:type="dxa"/>
            <w:shd w:val="clear" w:color="auto" w:fill="auto"/>
            <w:noWrap/>
            <w:vAlign w:val="bottom"/>
            <w:hideMark/>
          </w:tcPr>
          <w:p w14:paraId="0E7D2B01"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ddl</w:t>
            </w:r>
          </w:p>
        </w:tc>
        <w:tc>
          <w:tcPr>
            <w:tcW w:w="945" w:type="dxa"/>
            <w:shd w:val="clear" w:color="auto" w:fill="auto"/>
            <w:noWrap/>
            <w:vAlign w:val="bottom"/>
            <w:hideMark/>
          </w:tcPr>
          <w:p w14:paraId="72E79010"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proofErr w:type="spellStart"/>
            <w:r w:rsidRPr="00152406">
              <w:rPr>
                <w:rFonts w:asciiTheme="majorBidi" w:hAnsiTheme="majorBidi" w:cstheme="majorBidi"/>
                <w:b/>
                <w:bCs/>
                <w:color w:val="000000"/>
                <w:sz w:val="24"/>
                <w:szCs w:val="24"/>
                <w:lang w:eastAsia="fr-FR"/>
              </w:rPr>
              <w:t>Sig</w:t>
            </w:r>
            <w:proofErr w:type="spellEnd"/>
          </w:p>
        </w:tc>
        <w:tc>
          <w:tcPr>
            <w:tcW w:w="794" w:type="dxa"/>
            <w:shd w:val="clear" w:color="auto" w:fill="auto"/>
            <w:noWrap/>
            <w:vAlign w:val="bottom"/>
            <w:hideMark/>
          </w:tcPr>
          <w:p w14:paraId="388EB9B0"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Classification</w:t>
            </w:r>
          </w:p>
        </w:tc>
        <w:tc>
          <w:tcPr>
            <w:tcW w:w="1979" w:type="dxa"/>
            <w:shd w:val="clear" w:color="auto" w:fill="auto"/>
            <w:noWrap/>
            <w:vAlign w:val="bottom"/>
            <w:hideMark/>
          </w:tcPr>
          <w:p w14:paraId="567662C9" w14:textId="77777777" w:rsidR="00F577B6" w:rsidRPr="00152406" w:rsidRDefault="00F577B6" w:rsidP="00152406">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Niveau d'accord</w:t>
            </w:r>
          </w:p>
        </w:tc>
      </w:tr>
      <w:tr w:rsidR="00270E64" w:rsidRPr="00152406" w14:paraId="48BA4EAD" w14:textId="77777777" w:rsidTr="00270E64">
        <w:trPr>
          <w:cantSplit/>
          <w:trHeight w:val="300"/>
        </w:trPr>
        <w:tc>
          <w:tcPr>
            <w:tcW w:w="1090" w:type="dxa"/>
            <w:shd w:val="clear" w:color="auto" w:fill="auto"/>
            <w:noWrap/>
            <w:vAlign w:val="bottom"/>
            <w:hideMark/>
          </w:tcPr>
          <w:p w14:paraId="4611439D" w14:textId="77777777" w:rsidR="00F577B6" w:rsidRPr="00152406" w:rsidRDefault="00F577B6" w:rsidP="00270E64">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Item 1</w:t>
            </w:r>
          </w:p>
        </w:tc>
        <w:tc>
          <w:tcPr>
            <w:tcW w:w="1159" w:type="dxa"/>
            <w:shd w:val="clear" w:color="auto" w:fill="auto"/>
            <w:noWrap/>
            <w:vAlign w:val="bottom"/>
            <w:hideMark/>
          </w:tcPr>
          <w:p w14:paraId="1F5BBD0C"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3,4857</w:t>
            </w:r>
          </w:p>
        </w:tc>
        <w:tc>
          <w:tcPr>
            <w:tcW w:w="1164" w:type="dxa"/>
            <w:shd w:val="clear" w:color="auto" w:fill="auto"/>
            <w:noWrap/>
            <w:vAlign w:val="bottom"/>
            <w:hideMark/>
          </w:tcPr>
          <w:p w14:paraId="1D703520"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0,81192</w:t>
            </w:r>
          </w:p>
        </w:tc>
        <w:tc>
          <w:tcPr>
            <w:tcW w:w="945" w:type="dxa"/>
            <w:shd w:val="clear" w:color="auto" w:fill="auto"/>
            <w:noWrap/>
            <w:vAlign w:val="bottom"/>
            <w:hideMark/>
          </w:tcPr>
          <w:p w14:paraId="74B2D634"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5,005</w:t>
            </w:r>
          </w:p>
        </w:tc>
        <w:tc>
          <w:tcPr>
            <w:tcW w:w="670" w:type="dxa"/>
            <w:shd w:val="clear" w:color="auto" w:fill="auto"/>
            <w:noWrap/>
            <w:vAlign w:val="bottom"/>
            <w:hideMark/>
          </w:tcPr>
          <w:p w14:paraId="0BD070F8"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69</w:t>
            </w:r>
          </w:p>
        </w:tc>
        <w:tc>
          <w:tcPr>
            <w:tcW w:w="945" w:type="dxa"/>
            <w:shd w:val="clear" w:color="auto" w:fill="auto"/>
            <w:noWrap/>
            <w:vAlign w:val="bottom"/>
            <w:hideMark/>
          </w:tcPr>
          <w:p w14:paraId="568A991B"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0.000</w:t>
            </w:r>
          </w:p>
        </w:tc>
        <w:tc>
          <w:tcPr>
            <w:tcW w:w="794" w:type="dxa"/>
            <w:shd w:val="clear" w:color="auto" w:fill="auto"/>
            <w:noWrap/>
            <w:vAlign w:val="bottom"/>
            <w:hideMark/>
          </w:tcPr>
          <w:p w14:paraId="1E2097CC"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3</w:t>
            </w:r>
          </w:p>
        </w:tc>
        <w:tc>
          <w:tcPr>
            <w:tcW w:w="1979" w:type="dxa"/>
            <w:shd w:val="clear" w:color="auto" w:fill="auto"/>
            <w:noWrap/>
            <w:vAlign w:val="bottom"/>
            <w:hideMark/>
          </w:tcPr>
          <w:p w14:paraId="636C31AB"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D'accord</w:t>
            </w:r>
          </w:p>
        </w:tc>
      </w:tr>
      <w:tr w:rsidR="00270E64" w:rsidRPr="00152406" w14:paraId="43B64FC3" w14:textId="77777777" w:rsidTr="00270E64">
        <w:trPr>
          <w:cantSplit/>
          <w:trHeight w:val="300"/>
        </w:trPr>
        <w:tc>
          <w:tcPr>
            <w:tcW w:w="1090" w:type="dxa"/>
            <w:shd w:val="clear" w:color="auto" w:fill="auto"/>
            <w:noWrap/>
            <w:vAlign w:val="bottom"/>
            <w:hideMark/>
          </w:tcPr>
          <w:p w14:paraId="2E692FB8" w14:textId="77777777" w:rsidR="00F577B6" w:rsidRPr="00152406" w:rsidRDefault="00F577B6" w:rsidP="00270E64">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Item2</w:t>
            </w:r>
          </w:p>
        </w:tc>
        <w:tc>
          <w:tcPr>
            <w:tcW w:w="1159" w:type="dxa"/>
            <w:shd w:val="clear" w:color="auto" w:fill="auto"/>
            <w:noWrap/>
            <w:vAlign w:val="bottom"/>
            <w:hideMark/>
          </w:tcPr>
          <w:p w14:paraId="14587CC3"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3,5714</w:t>
            </w:r>
          </w:p>
        </w:tc>
        <w:tc>
          <w:tcPr>
            <w:tcW w:w="1164" w:type="dxa"/>
            <w:shd w:val="clear" w:color="auto" w:fill="auto"/>
            <w:noWrap/>
            <w:vAlign w:val="bottom"/>
            <w:hideMark/>
          </w:tcPr>
          <w:p w14:paraId="21B7134B"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0,84393</w:t>
            </w:r>
          </w:p>
        </w:tc>
        <w:tc>
          <w:tcPr>
            <w:tcW w:w="945" w:type="dxa"/>
            <w:shd w:val="clear" w:color="auto" w:fill="auto"/>
            <w:noWrap/>
            <w:vAlign w:val="bottom"/>
            <w:hideMark/>
          </w:tcPr>
          <w:p w14:paraId="076BDE8B"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5,665</w:t>
            </w:r>
          </w:p>
        </w:tc>
        <w:tc>
          <w:tcPr>
            <w:tcW w:w="670" w:type="dxa"/>
            <w:shd w:val="clear" w:color="auto" w:fill="auto"/>
            <w:noWrap/>
            <w:vAlign w:val="bottom"/>
            <w:hideMark/>
          </w:tcPr>
          <w:p w14:paraId="50453A1C"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69</w:t>
            </w:r>
          </w:p>
        </w:tc>
        <w:tc>
          <w:tcPr>
            <w:tcW w:w="945" w:type="dxa"/>
            <w:shd w:val="clear" w:color="auto" w:fill="auto"/>
            <w:noWrap/>
            <w:vAlign w:val="bottom"/>
            <w:hideMark/>
          </w:tcPr>
          <w:p w14:paraId="0AD3262F"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0.000</w:t>
            </w:r>
          </w:p>
        </w:tc>
        <w:tc>
          <w:tcPr>
            <w:tcW w:w="794" w:type="dxa"/>
            <w:shd w:val="clear" w:color="auto" w:fill="auto"/>
            <w:noWrap/>
            <w:vAlign w:val="bottom"/>
            <w:hideMark/>
          </w:tcPr>
          <w:p w14:paraId="616C7CAA"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2</w:t>
            </w:r>
          </w:p>
        </w:tc>
        <w:tc>
          <w:tcPr>
            <w:tcW w:w="1979" w:type="dxa"/>
            <w:shd w:val="clear" w:color="auto" w:fill="auto"/>
            <w:noWrap/>
            <w:vAlign w:val="bottom"/>
            <w:hideMark/>
          </w:tcPr>
          <w:p w14:paraId="19F76A50"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D'accord</w:t>
            </w:r>
          </w:p>
        </w:tc>
      </w:tr>
      <w:tr w:rsidR="00270E64" w:rsidRPr="00152406" w14:paraId="5A5E7378" w14:textId="77777777" w:rsidTr="00270E64">
        <w:trPr>
          <w:cantSplit/>
          <w:trHeight w:val="300"/>
        </w:trPr>
        <w:tc>
          <w:tcPr>
            <w:tcW w:w="1090" w:type="dxa"/>
            <w:shd w:val="clear" w:color="auto" w:fill="auto"/>
            <w:noWrap/>
            <w:vAlign w:val="bottom"/>
            <w:hideMark/>
          </w:tcPr>
          <w:p w14:paraId="441EB75E" w14:textId="77777777" w:rsidR="00F577B6" w:rsidRPr="00152406" w:rsidRDefault="00F577B6" w:rsidP="00270E64">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Item3</w:t>
            </w:r>
          </w:p>
        </w:tc>
        <w:tc>
          <w:tcPr>
            <w:tcW w:w="1159" w:type="dxa"/>
            <w:shd w:val="clear" w:color="auto" w:fill="auto"/>
            <w:noWrap/>
            <w:vAlign w:val="bottom"/>
            <w:hideMark/>
          </w:tcPr>
          <w:p w14:paraId="696D6E95"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3,5857</w:t>
            </w:r>
          </w:p>
        </w:tc>
        <w:tc>
          <w:tcPr>
            <w:tcW w:w="1164" w:type="dxa"/>
            <w:shd w:val="clear" w:color="auto" w:fill="auto"/>
            <w:noWrap/>
            <w:vAlign w:val="bottom"/>
            <w:hideMark/>
          </w:tcPr>
          <w:p w14:paraId="26383760"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0,8252</w:t>
            </w:r>
          </w:p>
        </w:tc>
        <w:tc>
          <w:tcPr>
            <w:tcW w:w="945" w:type="dxa"/>
            <w:shd w:val="clear" w:color="auto" w:fill="auto"/>
            <w:noWrap/>
            <w:vAlign w:val="bottom"/>
            <w:hideMark/>
          </w:tcPr>
          <w:p w14:paraId="55B13145"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5,938</w:t>
            </w:r>
          </w:p>
        </w:tc>
        <w:tc>
          <w:tcPr>
            <w:tcW w:w="670" w:type="dxa"/>
            <w:shd w:val="clear" w:color="auto" w:fill="auto"/>
            <w:noWrap/>
            <w:vAlign w:val="bottom"/>
            <w:hideMark/>
          </w:tcPr>
          <w:p w14:paraId="09BC0447"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69</w:t>
            </w:r>
          </w:p>
        </w:tc>
        <w:tc>
          <w:tcPr>
            <w:tcW w:w="945" w:type="dxa"/>
            <w:shd w:val="clear" w:color="auto" w:fill="auto"/>
            <w:noWrap/>
            <w:vAlign w:val="bottom"/>
            <w:hideMark/>
          </w:tcPr>
          <w:p w14:paraId="0CFCD3F7"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0.000</w:t>
            </w:r>
          </w:p>
        </w:tc>
        <w:tc>
          <w:tcPr>
            <w:tcW w:w="794" w:type="dxa"/>
            <w:shd w:val="clear" w:color="auto" w:fill="auto"/>
            <w:noWrap/>
            <w:vAlign w:val="bottom"/>
            <w:hideMark/>
          </w:tcPr>
          <w:p w14:paraId="5A5C58BC"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1</w:t>
            </w:r>
          </w:p>
        </w:tc>
        <w:tc>
          <w:tcPr>
            <w:tcW w:w="1979" w:type="dxa"/>
            <w:shd w:val="clear" w:color="auto" w:fill="auto"/>
            <w:noWrap/>
            <w:vAlign w:val="bottom"/>
            <w:hideMark/>
          </w:tcPr>
          <w:p w14:paraId="23C5125E"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D'accord</w:t>
            </w:r>
          </w:p>
        </w:tc>
      </w:tr>
      <w:tr w:rsidR="00270E64" w:rsidRPr="00152406" w14:paraId="3DC7001B" w14:textId="77777777" w:rsidTr="00270E64">
        <w:trPr>
          <w:cantSplit/>
          <w:trHeight w:val="300"/>
        </w:trPr>
        <w:tc>
          <w:tcPr>
            <w:tcW w:w="1090" w:type="dxa"/>
            <w:shd w:val="clear" w:color="auto" w:fill="auto"/>
            <w:noWrap/>
            <w:vAlign w:val="bottom"/>
            <w:hideMark/>
          </w:tcPr>
          <w:p w14:paraId="74809BD5" w14:textId="77777777" w:rsidR="00F577B6" w:rsidRPr="00152406" w:rsidRDefault="00F577B6" w:rsidP="00270E64">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Item4</w:t>
            </w:r>
          </w:p>
        </w:tc>
        <w:tc>
          <w:tcPr>
            <w:tcW w:w="1159" w:type="dxa"/>
            <w:shd w:val="clear" w:color="auto" w:fill="auto"/>
            <w:noWrap/>
            <w:vAlign w:val="bottom"/>
            <w:hideMark/>
          </w:tcPr>
          <w:p w14:paraId="04E72109"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3,3857</w:t>
            </w:r>
          </w:p>
        </w:tc>
        <w:tc>
          <w:tcPr>
            <w:tcW w:w="1164" w:type="dxa"/>
            <w:shd w:val="clear" w:color="auto" w:fill="auto"/>
            <w:noWrap/>
            <w:vAlign w:val="bottom"/>
            <w:hideMark/>
          </w:tcPr>
          <w:p w14:paraId="31EB040D"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0,80385</w:t>
            </w:r>
          </w:p>
        </w:tc>
        <w:tc>
          <w:tcPr>
            <w:tcW w:w="945" w:type="dxa"/>
            <w:shd w:val="clear" w:color="auto" w:fill="auto"/>
            <w:noWrap/>
            <w:vAlign w:val="bottom"/>
            <w:hideMark/>
          </w:tcPr>
          <w:p w14:paraId="20073FE4"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4,015</w:t>
            </w:r>
          </w:p>
        </w:tc>
        <w:tc>
          <w:tcPr>
            <w:tcW w:w="670" w:type="dxa"/>
            <w:shd w:val="clear" w:color="auto" w:fill="auto"/>
            <w:noWrap/>
            <w:vAlign w:val="bottom"/>
            <w:hideMark/>
          </w:tcPr>
          <w:p w14:paraId="512AC726"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69</w:t>
            </w:r>
          </w:p>
        </w:tc>
        <w:tc>
          <w:tcPr>
            <w:tcW w:w="945" w:type="dxa"/>
            <w:shd w:val="clear" w:color="auto" w:fill="auto"/>
            <w:noWrap/>
            <w:vAlign w:val="bottom"/>
            <w:hideMark/>
          </w:tcPr>
          <w:p w14:paraId="7126D4EB"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0.000</w:t>
            </w:r>
          </w:p>
        </w:tc>
        <w:tc>
          <w:tcPr>
            <w:tcW w:w="794" w:type="dxa"/>
            <w:shd w:val="clear" w:color="auto" w:fill="auto"/>
            <w:noWrap/>
            <w:vAlign w:val="bottom"/>
            <w:hideMark/>
          </w:tcPr>
          <w:p w14:paraId="79C32C96"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4</w:t>
            </w:r>
          </w:p>
        </w:tc>
        <w:tc>
          <w:tcPr>
            <w:tcW w:w="1979" w:type="dxa"/>
            <w:shd w:val="clear" w:color="auto" w:fill="auto"/>
            <w:noWrap/>
            <w:vAlign w:val="bottom"/>
            <w:hideMark/>
          </w:tcPr>
          <w:p w14:paraId="4F926203"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D'accord</w:t>
            </w:r>
          </w:p>
        </w:tc>
      </w:tr>
      <w:tr w:rsidR="00270E64" w:rsidRPr="00152406" w14:paraId="252F26C6" w14:textId="77777777" w:rsidTr="00270E64">
        <w:trPr>
          <w:cantSplit/>
          <w:trHeight w:val="300"/>
        </w:trPr>
        <w:tc>
          <w:tcPr>
            <w:tcW w:w="1090" w:type="dxa"/>
            <w:shd w:val="clear" w:color="auto" w:fill="auto"/>
            <w:noWrap/>
            <w:vAlign w:val="bottom"/>
            <w:hideMark/>
          </w:tcPr>
          <w:p w14:paraId="165BDEAF" w14:textId="77777777" w:rsidR="00F577B6" w:rsidRPr="00152406" w:rsidRDefault="00F577B6" w:rsidP="00270E64">
            <w:pPr>
              <w:pStyle w:val="Sansinterligne"/>
              <w:ind w:firstLine="0"/>
              <w:rPr>
                <w:rFonts w:asciiTheme="majorBidi" w:hAnsiTheme="majorBidi" w:cstheme="majorBidi"/>
                <w:b/>
                <w:bCs/>
                <w:color w:val="000000"/>
                <w:sz w:val="24"/>
                <w:szCs w:val="24"/>
                <w:lang w:eastAsia="fr-FR"/>
              </w:rPr>
            </w:pPr>
            <w:r w:rsidRPr="00152406">
              <w:rPr>
                <w:rFonts w:asciiTheme="majorBidi" w:hAnsiTheme="majorBidi" w:cstheme="majorBidi"/>
                <w:b/>
                <w:bCs/>
                <w:color w:val="000000"/>
                <w:sz w:val="24"/>
                <w:szCs w:val="24"/>
                <w:lang w:eastAsia="fr-FR"/>
              </w:rPr>
              <w:t>Confiance verte</w:t>
            </w:r>
          </w:p>
        </w:tc>
        <w:tc>
          <w:tcPr>
            <w:tcW w:w="1159" w:type="dxa"/>
            <w:shd w:val="clear" w:color="auto" w:fill="auto"/>
            <w:noWrap/>
            <w:vAlign w:val="bottom"/>
            <w:hideMark/>
          </w:tcPr>
          <w:p w14:paraId="5D7A8F01"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3,5071</w:t>
            </w:r>
          </w:p>
        </w:tc>
        <w:tc>
          <w:tcPr>
            <w:tcW w:w="1164" w:type="dxa"/>
            <w:shd w:val="clear" w:color="auto" w:fill="auto"/>
            <w:noWrap/>
            <w:vAlign w:val="bottom"/>
            <w:hideMark/>
          </w:tcPr>
          <w:p w14:paraId="41CCF261"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0,6783</w:t>
            </w:r>
          </w:p>
        </w:tc>
        <w:tc>
          <w:tcPr>
            <w:tcW w:w="945" w:type="dxa"/>
            <w:shd w:val="clear" w:color="auto" w:fill="auto"/>
            <w:noWrap/>
            <w:vAlign w:val="bottom"/>
            <w:hideMark/>
          </w:tcPr>
          <w:p w14:paraId="6E7B44FC"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6,255</w:t>
            </w:r>
          </w:p>
        </w:tc>
        <w:tc>
          <w:tcPr>
            <w:tcW w:w="670" w:type="dxa"/>
            <w:shd w:val="clear" w:color="auto" w:fill="auto"/>
            <w:noWrap/>
            <w:vAlign w:val="bottom"/>
            <w:hideMark/>
          </w:tcPr>
          <w:p w14:paraId="0A1257E9"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69</w:t>
            </w:r>
          </w:p>
        </w:tc>
        <w:tc>
          <w:tcPr>
            <w:tcW w:w="945" w:type="dxa"/>
            <w:shd w:val="clear" w:color="auto" w:fill="auto"/>
            <w:noWrap/>
            <w:vAlign w:val="bottom"/>
            <w:hideMark/>
          </w:tcPr>
          <w:p w14:paraId="7CC32988"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0.000</w:t>
            </w:r>
          </w:p>
        </w:tc>
        <w:tc>
          <w:tcPr>
            <w:tcW w:w="794" w:type="dxa"/>
            <w:shd w:val="clear" w:color="auto" w:fill="auto"/>
            <w:noWrap/>
            <w:vAlign w:val="bottom"/>
            <w:hideMark/>
          </w:tcPr>
          <w:p w14:paraId="661D46D5" w14:textId="77777777" w:rsidR="00F577B6" w:rsidRPr="00152406" w:rsidRDefault="00F577B6" w:rsidP="00152406">
            <w:pPr>
              <w:pStyle w:val="Sansinterligne"/>
              <w:rPr>
                <w:rFonts w:asciiTheme="majorBidi" w:hAnsiTheme="majorBidi" w:cstheme="majorBidi"/>
                <w:color w:val="000000"/>
                <w:sz w:val="24"/>
                <w:szCs w:val="24"/>
                <w:lang w:eastAsia="fr-FR"/>
              </w:rPr>
            </w:pPr>
            <w:r w:rsidRPr="00152406">
              <w:rPr>
                <w:rFonts w:asciiTheme="majorBidi" w:hAnsiTheme="majorBidi" w:cstheme="majorBidi"/>
                <w:color w:val="000000"/>
                <w:sz w:val="24"/>
                <w:szCs w:val="24"/>
                <w:lang w:eastAsia="fr-FR"/>
              </w:rPr>
              <w:t>-</w:t>
            </w:r>
          </w:p>
        </w:tc>
        <w:tc>
          <w:tcPr>
            <w:tcW w:w="1979" w:type="dxa"/>
            <w:shd w:val="clear" w:color="auto" w:fill="auto"/>
            <w:noWrap/>
            <w:vAlign w:val="bottom"/>
            <w:hideMark/>
          </w:tcPr>
          <w:p w14:paraId="0C33401C" w14:textId="77777777" w:rsidR="00F577B6" w:rsidRPr="00152406" w:rsidRDefault="00F577B6" w:rsidP="00152406">
            <w:pPr>
              <w:pStyle w:val="Sansinterligne"/>
              <w:rPr>
                <w:rFonts w:asciiTheme="majorBidi" w:hAnsiTheme="majorBidi" w:cstheme="majorBidi"/>
                <w:sz w:val="24"/>
                <w:szCs w:val="24"/>
                <w:lang w:eastAsia="fr-FR"/>
              </w:rPr>
            </w:pPr>
            <w:r w:rsidRPr="00152406">
              <w:rPr>
                <w:rFonts w:asciiTheme="majorBidi" w:hAnsiTheme="majorBidi" w:cstheme="majorBidi"/>
                <w:sz w:val="24"/>
                <w:szCs w:val="24"/>
                <w:lang w:eastAsia="fr-FR"/>
              </w:rPr>
              <w:t>D'accord</w:t>
            </w:r>
          </w:p>
        </w:tc>
      </w:tr>
    </w:tbl>
    <w:p w14:paraId="1CEF410A" w14:textId="77777777" w:rsidR="00F577B6" w:rsidRPr="00BE3BDB" w:rsidRDefault="00F577B6" w:rsidP="00F577B6">
      <w:pPr>
        <w:tabs>
          <w:tab w:val="left" w:pos="3375"/>
        </w:tabs>
        <w:ind w:left="720"/>
        <w:jc w:val="center"/>
        <w:rPr>
          <w:rFonts w:cstheme="majorBidi"/>
          <w:b/>
          <w:bCs/>
        </w:rPr>
      </w:pPr>
      <w:r w:rsidRPr="00BE3BDB">
        <w:rPr>
          <w:rFonts w:cstheme="majorBidi"/>
          <w:b/>
          <w:bCs/>
        </w:rPr>
        <w:fldChar w:fldCharType="end"/>
      </w: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219EDE92" w14:textId="77777777" w:rsidR="00F577B6" w:rsidRPr="00BE3BDB" w:rsidRDefault="00F577B6" w:rsidP="00C61DD9">
      <w:r w:rsidRPr="00BE3BDB">
        <w:t xml:space="preserve">        Le tableau ci-dessus présente les résultats de l’analyse descriptive liée à la confiance verte, mesurée à travers quatre affirmations :</w:t>
      </w:r>
    </w:p>
    <w:p w14:paraId="66CD5AE2" w14:textId="77777777" w:rsidR="00AC729A" w:rsidRDefault="00F577B6" w:rsidP="00AC729A">
      <w:pPr>
        <w:pStyle w:val="Paragraphedeliste"/>
        <w:numPr>
          <w:ilvl w:val="0"/>
          <w:numId w:val="15"/>
        </w:numPr>
      </w:pPr>
      <w:r w:rsidRPr="00BE3BDB">
        <w:t xml:space="preserve">Item </w:t>
      </w:r>
      <w:r>
        <w:t>3</w:t>
      </w:r>
      <w:r w:rsidRPr="00BE3BDB">
        <w:t xml:space="preserve"> : « Je fais confiance à GICA pour intégrer la protection de l’environnement dans sa stratégie à long terme » arrive en première position avec une moyenne de 3,5857 et une valeur t de 5,938, bien supérieure à la valeur critique t (3). Le niveau de signification est de 0,000, indiquant que l’item est statistiquement très significatif. Cela reflète un haut niveau de confiance des répondants envers les engagements stratégiques environnementaux de </w:t>
      </w:r>
      <w:r w:rsidR="00AC729A">
        <w:t>SCHB-</w:t>
      </w:r>
      <w:r w:rsidRPr="00BE3BDB">
        <w:t>GICA.</w:t>
      </w:r>
      <w:r w:rsidR="00AC729A" w:rsidRPr="00AC729A">
        <w:t xml:space="preserve"> </w:t>
      </w:r>
      <w:r w:rsidR="00AC729A">
        <w:t xml:space="preserve">Ce résultat indique que les </w:t>
      </w:r>
      <w:r w:rsidR="00AC729A">
        <w:lastRenderedPageBreak/>
        <w:t>répondants perçoivent positivement la volonté stratégique de SCHB-GICA d’agir pour l’environnement. Cette confiance peut s’expliquer par l’image d’un groupe national structuré, soutenu par l’État, mais aussi par la visibilité de certaines actions concrètes observées sur le terrain.</w:t>
      </w:r>
    </w:p>
    <w:p w14:paraId="6F2473C1" w14:textId="77777777" w:rsidR="00F577B6" w:rsidRPr="00BE3BDB" w:rsidRDefault="00F577B6" w:rsidP="00AC729A">
      <w:pPr>
        <w:pStyle w:val="Paragraphedeliste"/>
        <w:ind w:left="1060" w:firstLine="0"/>
      </w:pPr>
    </w:p>
    <w:p w14:paraId="6479A347" w14:textId="77777777" w:rsidR="00AC729A" w:rsidRPr="00BE3BDB" w:rsidRDefault="00F577B6" w:rsidP="00AC729A">
      <w:pPr>
        <w:pStyle w:val="Paragraphedeliste"/>
        <w:numPr>
          <w:ilvl w:val="0"/>
          <w:numId w:val="15"/>
        </w:numPr>
      </w:pPr>
      <w:r w:rsidRPr="00BE3BDB">
        <w:t xml:space="preserve">En deuxième position, l’item </w:t>
      </w:r>
      <w:r>
        <w:t>2</w:t>
      </w:r>
      <w:r w:rsidRPr="00BE3BDB">
        <w:t xml:space="preserve"> : « Les efforts écologiques de GICA améliorent mon opinion sur la marque », enregistre une moyenne de 3,5714 et une valeur t de 5,665, toujours significativement supérieure à la valeur critique. Le niveau de significativité reste très fort (</w:t>
      </w:r>
      <w:proofErr w:type="spellStart"/>
      <w:r w:rsidRPr="00BE3BDB">
        <w:t>Sig</w:t>
      </w:r>
      <w:proofErr w:type="spellEnd"/>
      <w:r w:rsidRPr="00BE3BDB">
        <w:t>. = 0,000), traduisant un accord clair des répondants à cette affirmation.</w:t>
      </w:r>
      <w:r w:rsidR="00AC729A" w:rsidRPr="00AC729A">
        <w:t xml:space="preserve"> qui traduit aussi un effet direct entre l’engagement environnemental perçu et l’image de la marque. Durant mon immersion au sein de la cimenterie SCHB à Constantine, j’ai pu constater plusieurs actions qui vont dans ce sens : campagnes de reboisement autour du site, installations de filtres à manches et électrostatiques dans les zones de broyage, ainsi que des partenariats avec des entreprises agréées pour le traitement des déchets. Ces éléments peuvent contribuer à renforcer cette perception positive.</w:t>
      </w:r>
    </w:p>
    <w:p w14:paraId="2979D7DA" w14:textId="77777777" w:rsidR="00F577B6" w:rsidRPr="00BE3BDB" w:rsidRDefault="00F577B6" w:rsidP="006F6589">
      <w:pPr>
        <w:pStyle w:val="Paragraphedeliste"/>
        <w:numPr>
          <w:ilvl w:val="0"/>
          <w:numId w:val="15"/>
        </w:numPr>
      </w:pPr>
      <w:r w:rsidRPr="00BE3BDB">
        <w:t xml:space="preserve">L’item 1 : « GICA respecte ses engagements écologiques » se classe en troisième position avec une moyenne de 3,4857 et une valeur t de 5,005, également supérieure à 2,61, avec un niveau de signification de 0,000. Les résultats montrent donc que les répondants ont une perception positive mais légèrement plus modérée sur le respect concret des engagements écologiques de </w:t>
      </w:r>
      <w:r w:rsidR="00AC729A">
        <w:t>SCHB-</w:t>
      </w:r>
      <w:r w:rsidRPr="00BE3BDB">
        <w:t>GICA.</w:t>
      </w:r>
      <w:r w:rsidR="00AC729A">
        <w:t xml:space="preserve"> </w:t>
      </w:r>
      <w:r w:rsidR="00AC729A" w:rsidRPr="00AC729A">
        <w:t>Toutefois, certains répondants restent probablement prudents et réticents par rapport à ce volet d'engagement écologique. Cela se manifeste à travers les différents discours perçus comme institutionnels. Cette modération pourrait être liée au fait que, bien que certaines actions existent, les résultats environnementaux (ex. : réduction mesurable de CO₂ ou de pollution de l’air) ne sont pas toujours communiqués de manière chiffrée et transparente. Ce qui oblige les répondants à rester réticents. De ce fait, il est impératif de respecter les volets environnementaux à travers ses activités, étant donné que ces dernières ont un impact négatif sur la localité</w:t>
      </w:r>
    </w:p>
    <w:p w14:paraId="425A7FBE" w14:textId="77777777" w:rsidR="00F577B6" w:rsidRPr="00BE3BDB" w:rsidRDefault="00F577B6" w:rsidP="006F6589">
      <w:pPr>
        <w:pStyle w:val="Paragraphedeliste"/>
        <w:numPr>
          <w:ilvl w:val="0"/>
          <w:numId w:val="15"/>
        </w:numPr>
      </w:pPr>
      <w:r w:rsidRPr="00BE3BDB">
        <w:t xml:space="preserve">Enfin, l’item </w:t>
      </w:r>
      <w:r>
        <w:t>4</w:t>
      </w:r>
      <w:r w:rsidRPr="00BE3BDB">
        <w:t xml:space="preserve"> : « La communication verte de GICA me rassure », obtient la moyenne la plus faible (3,3857), bien qu’elle reste au-dessus du point neutre. Sa valeur t (4,015) et son niveau de signification (0,000) </w:t>
      </w:r>
      <w:r w:rsidR="00AC729A" w:rsidRPr="00AC729A">
        <w:t xml:space="preserve">Confirment qu’il s’agit d’un item statistiquement significatif, avec un accord modéré de la part des répondants. Cela suggère que les répondants ne sont que modérément convaincus par le discours </w:t>
      </w:r>
      <w:r w:rsidR="00AC729A" w:rsidRPr="00AC729A">
        <w:lastRenderedPageBreak/>
        <w:t>environnemental diffusé par l’entreprise. Ce résultat appelle à une amélioration de la stratégie de communication environnementale, qui gagnerait à s’appuyer davantage sur des preuves concrètes, des résultats publiés et des témoignages de terrain. Par exemple, les campagnes de sensibilisation menées dans les universités lors de la Journée mondiale de l’environnement ou les ateliers d’éducation écologique peuvent être davantage valorisés</w:t>
      </w:r>
      <w:r w:rsidR="00AC729A">
        <w:t xml:space="preserve"> </w:t>
      </w:r>
      <w:r w:rsidRPr="00BE3BDB">
        <w:t>.</w:t>
      </w:r>
    </w:p>
    <w:p w14:paraId="24E362AF" w14:textId="77777777" w:rsidR="00F577B6" w:rsidRPr="00270E64" w:rsidRDefault="00F577B6" w:rsidP="00C61DD9">
      <w:r>
        <w:t xml:space="preserve">  </w:t>
      </w:r>
      <w:r w:rsidRPr="00AC488C">
        <w:t xml:space="preserve"> La moyenne globale des quatre items de la dimension “Confiance verte” est de 3,5071, avec un écart type de 0,6783. La valeur t globale de 6,255 et une signification bilatérale de 0,000 indiquent une fiabilité statistique forte. Ainsi, les résultats montrent que les répondants expriment globalement un accord positif concernant la confiance qu’ils accordent à GICA en matière d'engagements écologiques et de </w:t>
      </w:r>
      <w:r w:rsidR="00270E64">
        <w:t>communication environnementale.</w:t>
      </w:r>
      <w:r w:rsidR="00AC729A" w:rsidRPr="00AC729A">
        <w:t xml:space="preserve"> D’un point de vue économique et stratégique, cette confiance représente un atout symbolique fort pour SCHB-GICA. Elle améliore sa réputation, fidélise ses clients et partenaires, et renforce son positionnement comme entreprise industrielle responsable. Toutefois, pour maintenir ce capital de confiance, il est essentiel que l’entreprise renforce sa transparence, valorise ses actions concrètes (reboisement , gestion des déchets, filtres, campagnes) et publie des résultats mesurables sur ses performances environnementales.</w:t>
      </w:r>
    </w:p>
    <w:p w14:paraId="424D9211" w14:textId="77777777" w:rsidR="00F577B6" w:rsidRPr="0077731B" w:rsidRDefault="00F577B6" w:rsidP="000B457B">
      <w:pPr>
        <w:pStyle w:val="Titre3"/>
        <w:numPr>
          <w:ilvl w:val="2"/>
          <w:numId w:val="35"/>
        </w:numPr>
      </w:pPr>
      <w:bookmarkStart w:id="145" w:name="_Toc200825473"/>
      <w:r w:rsidRPr="0077731B">
        <w:t>Analyse de la deuxième dimension :</w:t>
      </w:r>
      <w:bookmarkEnd w:id="145"/>
      <w:r w:rsidRPr="0077731B">
        <w:t xml:space="preserve"> </w:t>
      </w:r>
    </w:p>
    <w:p w14:paraId="34E95C62" w14:textId="77777777" w:rsidR="00063796" w:rsidRPr="00063796" w:rsidRDefault="00063796" w:rsidP="00063796">
      <w:pPr>
        <w:pStyle w:val="Lgende"/>
        <w:jc w:val="center"/>
        <w:rPr>
          <w:rFonts w:cstheme="majorBidi"/>
          <w:b/>
          <w:bCs/>
          <w:i w:val="0"/>
          <w:iCs w:val="0"/>
          <w:color w:val="000000" w:themeColor="text1"/>
          <w:sz w:val="24"/>
          <w:szCs w:val="24"/>
        </w:rPr>
      </w:pPr>
      <w:bookmarkStart w:id="146" w:name="_Toc200731407"/>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14</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Analyse descriptive des données de la dimension perception de risque environnemental</w:t>
      </w:r>
      <w:bookmarkEnd w:id="146"/>
    </w:p>
    <w:p w14:paraId="7789FD01" w14:textId="77777777" w:rsidR="00F577B6" w:rsidRPr="00BE3BDB" w:rsidRDefault="00F577B6" w:rsidP="00063796">
      <w:pPr>
        <w:pStyle w:val="Lgende"/>
        <w:rPr>
          <w:rFonts w:cstheme="majorBidi"/>
        </w:rPr>
      </w:pPr>
      <w:r w:rsidRPr="00BE3BDB">
        <w:rPr>
          <w:rFonts w:cstheme="majorBidi"/>
        </w:rPr>
        <w:fldChar w:fldCharType="begin"/>
      </w:r>
      <w:r w:rsidRPr="00BE3BDB">
        <w:rPr>
          <w:rFonts w:cstheme="majorBidi"/>
        </w:rPr>
        <w:instrText xml:space="preserve"> LINK Excel.Sheet.12 "C:\\Users\\yahia cherif\\Desktop\\Analyse des données\\2025\\Asma\\ttableau.xlsx" Sheet1!R5C3:R10C10 \a \f 4 \h  \* MERGEFORMAT </w:instrText>
      </w:r>
      <w:r w:rsidRPr="00BE3BDB">
        <w:rPr>
          <w:rFonts w:cstheme="majorBidi"/>
        </w:rPr>
        <w:fldChar w:fldCharType="separat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1"/>
        <w:gridCol w:w="1432"/>
        <w:gridCol w:w="1295"/>
        <w:gridCol w:w="981"/>
        <w:gridCol w:w="825"/>
        <w:gridCol w:w="982"/>
        <w:gridCol w:w="942"/>
        <w:gridCol w:w="1794"/>
      </w:tblGrid>
      <w:tr w:rsidR="00F577B6" w:rsidRPr="00BE3BDB" w14:paraId="6D3C4C8B" w14:textId="77777777" w:rsidTr="00270E64">
        <w:trPr>
          <w:cantSplit/>
          <w:trHeight w:val="279"/>
        </w:trPr>
        <w:tc>
          <w:tcPr>
            <w:tcW w:w="1395" w:type="dxa"/>
            <w:shd w:val="clear" w:color="auto" w:fill="auto"/>
            <w:noWrap/>
            <w:vAlign w:val="bottom"/>
            <w:hideMark/>
          </w:tcPr>
          <w:p w14:paraId="03BC14AA" w14:textId="77777777" w:rsidR="00F577B6" w:rsidRPr="00270E64" w:rsidRDefault="00F577B6" w:rsidP="00270E64">
            <w:pPr>
              <w:pStyle w:val="Sansinterligne"/>
              <w:spacing w:line="360" w:lineRule="auto"/>
              <w:jc w:val="center"/>
              <w:rPr>
                <w:sz w:val="24"/>
                <w:szCs w:val="24"/>
                <w:lang w:eastAsia="fr-FR"/>
              </w:rPr>
            </w:pPr>
          </w:p>
        </w:tc>
        <w:tc>
          <w:tcPr>
            <w:tcW w:w="1192" w:type="dxa"/>
            <w:shd w:val="clear" w:color="auto" w:fill="auto"/>
            <w:noWrap/>
            <w:vAlign w:val="bottom"/>
            <w:hideMark/>
          </w:tcPr>
          <w:p w14:paraId="617176A0" w14:textId="77777777" w:rsidR="00F577B6" w:rsidRPr="00270E64" w:rsidRDefault="00F577B6" w:rsidP="00270E64">
            <w:pPr>
              <w:pStyle w:val="Sansinterligne"/>
              <w:spacing w:line="360" w:lineRule="auto"/>
              <w:rPr>
                <w:b/>
                <w:bCs/>
                <w:color w:val="000000"/>
                <w:sz w:val="24"/>
                <w:szCs w:val="24"/>
                <w:lang w:eastAsia="fr-FR"/>
              </w:rPr>
            </w:pPr>
            <w:r w:rsidRPr="00270E64">
              <w:rPr>
                <w:b/>
                <w:bCs/>
                <w:color w:val="000000"/>
                <w:sz w:val="24"/>
                <w:szCs w:val="24"/>
                <w:lang w:eastAsia="fr-FR"/>
              </w:rPr>
              <w:t>Moyenne</w:t>
            </w:r>
          </w:p>
        </w:tc>
        <w:tc>
          <w:tcPr>
            <w:tcW w:w="1295" w:type="dxa"/>
            <w:shd w:val="clear" w:color="auto" w:fill="auto"/>
            <w:noWrap/>
            <w:vAlign w:val="bottom"/>
            <w:hideMark/>
          </w:tcPr>
          <w:p w14:paraId="58E0D328" w14:textId="77777777" w:rsidR="00F577B6" w:rsidRPr="00270E64" w:rsidRDefault="00F577B6" w:rsidP="00270E64">
            <w:pPr>
              <w:pStyle w:val="Sansinterligne"/>
              <w:spacing w:line="360" w:lineRule="auto"/>
              <w:ind w:firstLine="0"/>
              <w:rPr>
                <w:b/>
                <w:bCs/>
                <w:color w:val="000000"/>
                <w:sz w:val="24"/>
                <w:szCs w:val="24"/>
                <w:lang w:eastAsia="fr-FR"/>
              </w:rPr>
            </w:pPr>
            <w:r w:rsidRPr="00270E64">
              <w:rPr>
                <w:b/>
                <w:bCs/>
                <w:color w:val="000000"/>
                <w:sz w:val="24"/>
                <w:szCs w:val="24"/>
                <w:lang w:eastAsia="fr-FR"/>
              </w:rPr>
              <w:t>Ecart type</w:t>
            </w:r>
          </w:p>
        </w:tc>
        <w:tc>
          <w:tcPr>
            <w:tcW w:w="824" w:type="dxa"/>
            <w:shd w:val="clear" w:color="auto" w:fill="auto"/>
            <w:noWrap/>
            <w:vAlign w:val="bottom"/>
            <w:hideMark/>
          </w:tcPr>
          <w:p w14:paraId="4411891C" w14:textId="77777777" w:rsidR="00F577B6" w:rsidRPr="00270E64" w:rsidRDefault="00F577B6" w:rsidP="00270E64">
            <w:pPr>
              <w:pStyle w:val="Sansinterligne"/>
              <w:spacing w:line="360" w:lineRule="auto"/>
              <w:rPr>
                <w:b/>
                <w:bCs/>
                <w:color w:val="000000"/>
                <w:sz w:val="24"/>
                <w:szCs w:val="24"/>
                <w:lang w:eastAsia="fr-FR"/>
              </w:rPr>
            </w:pPr>
            <w:r w:rsidRPr="00270E64">
              <w:rPr>
                <w:b/>
                <w:bCs/>
                <w:color w:val="000000"/>
                <w:sz w:val="24"/>
                <w:szCs w:val="24"/>
                <w:lang w:eastAsia="fr-FR"/>
              </w:rPr>
              <w:t>t</w:t>
            </w:r>
          </w:p>
        </w:tc>
        <w:tc>
          <w:tcPr>
            <w:tcW w:w="825" w:type="dxa"/>
            <w:shd w:val="clear" w:color="auto" w:fill="auto"/>
            <w:noWrap/>
            <w:vAlign w:val="bottom"/>
            <w:hideMark/>
          </w:tcPr>
          <w:p w14:paraId="6FC5E05E" w14:textId="77777777" w:rsidR="00F577B6" w:rsidRPr="00270E64" w:rsidRDefault="00F577B6" w:rsidP="00270E64">
            <w:pPr>
              <w:pStyle w:val="Sansinterligne"/>
              <w:spacing w:line="360" w:lineRule="auto"/>
              <w:rPr>
                <w:b/>
                <w:bCs/>
                <w:color w:val="000000"/>
                <w:sz w:val="24"/>
                <w:szCs w:val="24"/>
                <w:lang w:eastAsia="fr-FR"/>
              </w:rPr>
            </w:pPr>
            <w:r w:rsidRPr="00270E64">
              <w:rPr>
                <w:b/>
                <w:bCs/>
                <w:color w:val="000000"/>
                <w:sz w:val="24"/>
                <w:szCs w:val="24"/>
                <w:lang w:eastAsia="fr-FR"/>
              </w:rPr>
              <w:t>ddl</w:t>
            </w:r>
          </w:p>
        </w:tc>
        <w:tc>
          <w:tcPr>
            <w:tcW w:w="942" w:type="dxa"/>
            <w:shd w:val="clear" w:color="auto" w:fill="auto"/>
            <w:noWrap/>
            <w:vAlign w:val="bottom"/>
            <w:hideMark/>
          </w:tcPr>
          <w:p w14:paraId="153D7741" w14:textId="77777777" w:rsidR="00F577B6" w:rsidRPr="00270E64" w:rsidRDefault="00F577B6" w:rsidP="00270E64">
            <w:pPr>
              <w:pStyle w:val="Sansinterligne"/>
              <w:spacing w:line="360" w:lineRule="auto"/>
              <w:rPr>
                <w:b/>
                <w:bCs/>
                <w:color w:val="000000"/>
                <w:sz w:val="24"/>
                <w:szCs w:val="24"/>
                <w:lang w:eastAsia="fr-FR"/>
              </w:rPr>
            </w:pPr>
            <w:proofErr w:type="spellStart"/>
            <w:r w:rsidRPr="00270E64">
              <w:rPr>
                <w:b/>
                <w:bCs/>
                <w:color w:val="000000"/>
                <w:sz w:val="24"/>
                <w:szCs w:val="24"/>
                <w:lang w:eastAsia="fr-FR"/>
              </w:rPr>
              <w:t>Sig</w:t>
            </w:r>
            <w:proofErr w:type="spellEnd"/>
            <w:r w:rsidRPr="00270E64">
              <w:rPr>
                <w:b/>
                <w:bCs/>
                <w:color w:val="000000"/>
                <w:sz w:val="24"/>
                <w:szCs w:val="24"/>
                <w:lang w:eastAsia="fr-FR"/>
              </w:rPr>
              <w:t xml:space="preserve">. </w:t>
            </w:r>
          </w:p>
        </w:tc>
        <w:tc>
          <w:tcPr>
            <w:tcW w:w="942" w:type="dxa"/>
            <w:shd w:val="clear" w:color="auto" w:fill="auto"/>
            <w:noWrap/>
            <w:vAlign w:val="bottom"/>
            <w:hideMark/>
          </w:tcPr>
          <w:p w14:paraId="7214AAE3" w14:textId="77777777" w:rsidR="00270E64" w:rsidRPr="00270E64" w:rsidRDefault="00F577B6" w:rsidP="00270E64">
            <w:pPr>
              <w:pStyle w:val="Sansinterligne"/>
              <w:spacing w:line="360" w:lineRule="auto"/>
              <w:ind w:firstLine="0"/>
              <w:rPr>
                <w:b/>
                <w:bCs/>
                <w:color w:val="000000"/>
                <w:sz w:val="24"/>
                <w:szCs w:val="24"/>
                <w:lang w:eastAsia="fr-FR"/>
              </w:rPr>
            </w:pPr>
            <w:proofErr w:type="spellStart"/>
            <w:r w:rsidRPr="00270E64">
              <w:rPr>
                <w:b/>
                <w:bCs/>
                <w:color w:val="000000"/>
                <w:sz w:val="24"/>
                <w:szCs w:val="24"/>
                <w:lang w:eastAsia="fr-FR"/>
              </w:rPr>
              <w:t>Clasifi</w:t>
            </w:r>
            <w:proofErr w:type="spellEnd"/>
            <w:r w:rsidR="00270E64" w:rsidRPr="00270E64">
              <w:rPr>
                <w:b/>
                <w:bCs/>
                <w:color w:val="000000"/>
                <w:sz w:val="24"/>
                <w:szCs w:val="24"/>
                <w:lang w:eastAsia="fr-FR"/>
              </w:rPr>
              <w:t>_</w:t>
            </w:r>
          </w:p>
          <w:p w14:paraId="1DECC219" w14:textId="77777777" w:rsidR="00F577B6" w:rsidRPr="00270E64" w:rsidRDefault="00F577B6" w:rsidP="00270E64">
            <w:pPr>
              <w:pStyle w:val="Sansinterligne"/>
              <w:spacing w:line="360" w:lineRule="auto"/>
              <w:ind w:firstLine="0"/>
              <w:rPr>
                <w:b/>
                <w:bCs/>
                <w:color w:val="000000"/>
                <w:sz w:val="24"/>
                <w:szCs w:val="24"/>
                <w:lang w:eastAsia="fr-FR"/>
              </w:rPr>
            </w:pPr>
            <w:r w:rsidRPr="00270E64">
              <w:rPr>
                <w:b/>
                <w:bCs/>
                <w:color w:val="000000"/>
                <w:sz w:val="24"/>
                <w:szCs w:val="24"/>
                <w:lang w:eastAsia="fr-FR"/>
              </w:rPr>
              <w:t>cation</w:t>
            </w:r>
          </w:p>
        </w:tc>
        <w:tc>
          <w:tcPr>
            <w:tcW w:w="1794" w:type="dxa"/>
            <w:shd w:val="clear" w:color="auto" w:fill="auto"/>
            <w:noWrap/>
            <w:vAlign w:val="bottom"/>
            <w:hideMark/>
          </w:tcPr>
          <w:p w14:paraId="1EDF07D6" w14:textId="77777777" w:rsidR="00F577B6" w:rsidRPr="00270E64" w:rsidRDefault="00F577B6" w:rsidP="00270E64">
            <w:pPr>
              <w:pStyle w:val="Sansinterligne"/>
              <w:spacing w:line="360" w:lineRule="auto"/>
              <w:rPr>
                <w:b/>
                <w:bCs/>
                <w:color w:val="000000"/>
                <w:sz w:val="24"/>
                <w:szCs w:val="24"/>
                <w:lang w:eastAsia="fr-FR"/>
              </w:rPr>
            </w:pPr>
            <w:r w:rsidRPr="00270E64">
              <w:rPr>
                <w:b/>
                <w:bCs/>
                <w:color w:val="000000"/>
                <w:sz w:val="24"/>
                <w:szCs w:val="24"/>
                <w:lang w:eastAsia="fr-FR"/>
              </w:rPr>
              <w:t>Niveau d'accord</w:t>
            </w:r>
          </w:p>
        </w:tc>
      </w:tr>
      <w:tr w:rsidR="00F577B6" w:rsidRPr="00BE3BDB" w14:paraId="569849B9" w14:textId="77777777" w:rsidTr="00270E64">
        <w:trPr>
          <w:trHeight w:val="279"/>
        </w:trPr>
        <w:tc>
          <w:tcPr>
            <w:tcW w:w="1395" w:type="dxa"/>
            <w:shd w:val="clear" w:color="auto" w:fill="auto"/>
            <w:noWrap/>
            <w:vAlign w:val="bottom"/>
            <w:hideMark/>
          </w:tcPr>
          <w:p w14:paraId="3D516C5A" w14:textId="77777777" w:rsidR="00F577B6" w:rsidRPr="00270E64" w:rsidRDefault="00F577B6" w:rsidP="00270E64">
            <w:pPr>
              <w:pStyle w:val="Sansinterligne"/>
              <w:spacing w:line="360" w:lineRule="auto"/>
              <w:ind w:firstLine="0"/>
              <w:jc w:val="center"/>
              <w:rPr>
                <w:b/>
                <w:bCs/>
                <w:color w:val="000000"/>
                <w:sz w:val="24"/>
                <w:szCs w:val="24"/>
                <w:lang w:eastAsia="fr-FR"/>
              </w:rPr>
            </w:pPr>
            <w:r w:rsidRPr="00270E64">
              <w:rPr>
                <w:b/>
                <w:bCs/>
                <w:color w:val="000000"/>
                <w:sz w:val="24"/>
                <w:szCs w:val="24"/>
                <w:lang w:eastAsia="fr-FR"/>
              </w:rPr>
              <w:t>item 1</w:t>
            </w:r>
          </w:p>
        </w:tc>
        <w:tc>
          <w:tcPr>
            <w:tcW w:w="1192" w:type="dxa"/>
            <w:shd w:val="clear" w:color="auto" w:fill="auto"/>
            <w:noWrap/>
            <w:vAlign w:val="bottom"/>
            <w:hideMark/>
          </w:tcPr>
          <w:p w14:paraId="77B69C46" w14:textId="77777777" w:rsidR="00F577B6" w:rsidRPr="00AC488C" w:rsidRDefault="00F577B6" w:rsidP="00270E64">
            <w:pPr>
              <w:pStyle w:val="Sansinterligne"/>
              <w:spacing w:line="360" w:lineRule="auto"/>
              <w:rPr>
                <w:color w:val="000000"/>
                <w:lang w:eastAsia="fr-FR"/>
              </w:rPr>
            </w:pPr>
            <w:r w:rsidRPr="00AC488C">
              <w:rPr>
                <w:color w:val="000000"/>
                <w:lang w:eastAsia="fr-FR"/>
              </w:rPr>
              <w:t>3,6</w:t>
            </w:r>
          </w:p>
        </w:tc>
        <w:tc>
          <w:tcPr>
            <w:tcW w:w="1295" w:type="dxa"/>
            <w:shd w:val="clear" w:color="auto" w:fill="auto"/>
            <w:noWrap/>
            <w:vAlign w:val="bottom"/>
            <w:hideMark/>
          </w:tcPr>
          <w:p w14:paraId="339612A1" w14:textId="77777777" w:rsidR="00F577B6" w:rsidRPr="00AC488C" w:rsidRDefault="00F577B6" w:rsidP="00270E64">
            <w:pPr>
              <w:pStyle w:val="Sansinterligne"/>
              <w:spacing w:line="360" w:lineRule="auto"/>
              <w:rPr>
                <w:color w:val="000000"/>
                <w:lang w:eastAsia="fr-FR"/>
              </w:rPr>
            </w:pPr>
            <w:r w:rsidRPr="00AC488C">
              <w:rPr>
                <w:color w:val="000000"/>
                <w:lang w:eastAsia="fr-FR"/>
              </w:rPr>
              <w:t>0,85804</w:t>
            </w:r>
          </w:p>
        </w:tc>
        <w:tc>
          <w:tcPr>
            <w:tcW w:w="824" w:type="dxa"/>
            <w:shd w:val="clear" w:color="auto" w:fill="auto"/>
            <w:noWrap/>
            <w:vAlign w:val="bottom"/>
            <w:hideMark/>
          </w:tcPr>
          <w:p w14:paraId="1F55853B" w14:textId="77777777" w:rsidR="00F577B6" w:rsidRPr="00AC488C" w:rsidRDefault="00F577B6" w:rsidP="00270E64">
            <w:pPr>
              <w:pStyle w:val="Sansinterligne"/>
              <w:spacing w:line="360" w:lineRule="auto"/>
              <w:rPr>
                <w:color w:val="000000"/>
                <w:lang w:eastAsia="fr-FR"/>
              </w:rPr>
            </w:pPr>
            <w:r w:rsidRPr="00AC488C">
              <w:rPr>
                <w:color w:val="000000"/>
                <w:lang w:eastAsia="fr-FR"/>
              </w:rPr>
              <w:t>5,85</w:t>
            </w:r>
          </w:p>
        </w:tc>
        <w:tc>
          <w:tcPr>
            <w:tcW w:w="825" w:type="dxa"/>
            <w:shd w:val="clear" w:color="auto" w:fill="auto"/>
            <w:noWrap/>
            <w:vAlign w:val="bottom"/>
            <w:hideMark/>
          </w:tcPr>
          <w:p w14:paraId="2EE4DAA3" w14:textId="77777777" w:rsidR="00F577B6" w:rsidRPr="00AC488C" w:rsidRDefault="00F577B6" w:rsidP="00270E64">
            <w:pPr>
              <w:pStyle w:val="Sansinterligne"/>
              <w:spacing w:line="360" w:lineRule="auto"/>
              <w:rPr>
                <w:color w:val="000000"/>
                <w:lang w:eastAsia="fr-FR"/>
              </w:rPr>
            </w:pPr>
            <w:r w:rsidRPr="00AC488C">
              <w:rPr>
                <w:color w:val="000000"/>
                <w:lang w:eastAsia="fr-FR"/>
              </w:rPr>
              <w:t>69</w:t>
            </w:r>
          </w:p>
        </w:tc>
        <w:tc>
          <w:tcPr>
            <w:tcW w:w="942" w:type="dxa"/>
            <w:shd w:val="clear" w:color="auto" w:fill="auto"/>
            <w:noWrap/>
            <w:vAlign w:val="bottom"/>
            <w:hideMark/>
          </w:tcPr>
          <w:p w14:paraId="1CA46D84" w14:textId="77777777" w:rsidR="00F577B6" w:rsidRPr="00AC488C" w:rsidRDefault="00F577B6" w:rsidP="00270E64">
            <w:pPr>
              <w:pStyle w:val="Sansinterligne"/>
              <w:spacing w:line="360" w:lineRule="auto"/>
              <w:rPr>
                <w:color w:val="000000"/>
                <w:lang w:eastAsia="fr-FR"/>
              </w:rPr>
            </w:pPr>
            <w:r w:rsidRPr="00AC488C">
              <w:rPr>
                <w:color w:val="000000"/>
                <w:lang w:eastAsia="fr-FR"/>
              </w:rPr>
              <w:t>0.000</w:t>
            </w:r>
          </w:p>
        </w:tc>
        <w:tc>
          <w:tcPr>
            <w:tcW w:w="942" w:type="dxa"/>
            <w:shd w:val="clear" w:color="auto" w:fill="auto"/>
            <w:noWrap/>
            <w:vAlign w:val="bottom"/>
            <w:hideMark/>
          </w:tcPr>
          <w:p w14:paraId="6B0A33AC" w14:textId="77777777" w:rsidR="00F577B6" w:rsidRPr="00AC488C" w:rsidRDefault="00F577B6" w:rsidP="00270E64">
            <w:pPr>
              <w:pStyle w:val="Sansinterligne"/>
              <w:spacing w:line="360" w:lineRule="auto"/>
              <w:rPr>
                <w:color w:val="000000"/>
                <w:lang w:eastAsia="fr-FR"/>
              </w:rPr>
            </w:pPr>
            <w:r w:rsidRPr="00AC488C">
              <w:rPr>
                <w:color w:val="000000"/>
                <w:lang w:eastAsia="fr-FR"/>
              </w:rPr>
              <w:t>1</w:t>
            </w:r>
          </w:p>
        </w:tc>
        <w:tc>
          <w:tcPr>
            <w:tcW w:w="1794" w:type="dxa"/>
            <w:shd w:val="clear" w:color="auto" w:fill="auto"/>
            <w:noWrap/>
            <w:vAlign w:val="bottom"/>
            <w:hideMark/>
          </w:tcPr>
          <w:p w14:paraId="016D3BB5" w14:textId="77777777" w:rsidR="00F577B6" w:rsidRPr="00AC488C" w:rsidRDefault="00F577B6" w:rsidP="00270E64">
            <w:pPr>
              <w:pStyle w:val="Sansinterligne"/>
              <w:spacing w:line="360" w:lineRule="auto"/>
              <w:rPr>
                <w:color w:val="000000"/>
                <w:lang w:eastAsia="fr-FR"/>
              </w:rPr>
            </w:pPr>
            <w:r w:rsidRPr="00AC488C">
              <w:rPr>
                <w:color w:val="000000"/>
                <w:lang w:eastAsia="fr-FR"/>
              </w:rPr>
              <w:t>D'accord</w:t>
            </w:r>
          </w:p>
        </w:tc>
      </w:tr>
      <w:tr w:rsidR="00F577B6" w:rsidRPr="00BE3BDB" w14:paraId="0306DA6B" w14:textId="77777777" w:rsidTr="00270E64">
        <w:trPr>
          <w:cantSplit/>
          <w:trHeight w:val="279"/>
        </w:trPr>
        <w:tc>
          <w:tcPr>
            <w:tcW w:w="1395" w:type="dxa"/>
            <w:shd w:val="clear" w:color="auto" w:fill="auto"/>
            <w:noWrap/>
            <w:vAlign w:val="bottom"/>
            <w:hideMark/>
          </w:tcPr>
          <w:p w14:paraId="2B51162D" w14:textId="77777777" w:rsidR="00F577B6" w:rsidRPr="00270E64" w:rsidRDefault="00F577B6" w:rsidP="00270E64">
            <w:pPr>
              <w:pStyle w:val="Sansinterligne"/>
              <w:spacing w:line="360" w:lineRule="auto"/>
              <w:ind w:firstLine="0"/>
              <w:jc w:val="center"/>
              <w:rPr>
                <w:b/>
                <w:bCs/>
                <w:color w:val="000000"/>
                <w:sz w:val="24"/>
                <w:szCs w:val="24"/>
                <w:lang w:eastAsia="fr-FR"/>
              </w:rPr>
            </w:pPr>
            <w:r w:rsidRPr="00270E64">
              <w:rPr>
                <w:b/>
                <w:bCs/>
                <w:color w:val="000000"/>
                <w:sz w:val="24"/>
                <w:szCs w:val="24"/>
                <w:lang w:eastAsia="fr-FR"/>
              </w:rPr>
              <w:t>Item 2</w:t>
            </w:r>
          </w:p>
        </w:tc>
        <w:tc>
          <w:tcPr>
            <w:tcW w:w="1192" w:type="dxa"/>
            <w:shd w:val="clear" w:color="auto" w:fill="auto"/>
            <w:noWrap/>
            <w:vAlign w:val="bottom"/>
            <w:hideMark/>
          </w:tcPr>
          <w:p w14:paraId="60CC84BA" w14:textId="77777777" w:rsidR="00F577B6" w:rsidRPr="00AC488C" w:rsidRDefault="00F577B6" w:rsidP="00270E64">
            <w:pPr>
              <w:pStyle w:val="Sansinterligne"/>
              <w:spacing w:line="360" w:lineRule="auto"/>
              <w:rPr>
                <w:color w:val="000000"/>
                <w:lang w:eastAsia="fr-FR"/>
              </w:rPr>
            </w:pPr>
            <w:r w:rsidRPr="00AC488C">
              <w:rPr>
                <w:color w:val="000000"/>
                <w:lang w:eastAsia="fr-FR"/>
              </w:rPr>
              <w:t>3,5</w:t>
            </w:r>
          </w:p>
        </w:tc>
        <w:tc>
          <w:tcPr>
            <w:tcW w:w="1295" w:type="dxa"/>
            <w:shd w:val="clear" w:color="auto" w:fill="auto"/>
            <w:noWrap/>
            <w:vAlign w:val="bottom"/>
            <w:hideMark/>
          </w:tcPr>
          <w:p w14:paraId="210CBF3F" w14:textId="77777777" w:rsidR="00F577B6" w:rsidRPr="00AC488C" w:rsidRDefault="00F577B6" w:rsidP="00270E64">
            <w:pPr>
              <w:pStyle w:val="Sansinterligne"/>
              <w:spacing w:line="360" w:lineRule="auto"/>
              <w:rPr>
                <w:color w:val="000000"/>
                <w:lang w:eastAsia="fr-FR"/>
              </w:rPr>
            </w:pPr>
            <w:r w:rsidRPr="00AC488C">
              <w:rPr>
                <w:color w:val="000000"/>
                <w:lang w:eastAsia="fr-FR"/>
              </w:rPr>
              <w:t>1,01795</w:t>
            </w:r>
          </w:p>
        </w:tc>
        <w:tc>
          <w:tcPr>
            <w:tcW w:w="824" w:type="dxa"/>
            <w:shd w:val="clear" w:color="auto" w:fill="auto"/>
            <w:noWrap/>
            <w:vAlign w:val="bottom"/>
            <w:hideMark/>
          </w:tcPr>
          <w:p w14:paraId="0111880A" w14:textId="77777777" w:rsidR="00F577B6" w:rsidRPr="00AC488C" w:rsidRDefault="00F577B6" w:rsidP="00270E64">
            <w:pPr>
              <w:pStyle w:val="Sansinterligne"/>
              <w:spacing w:line="360" w:lineRule="auto"/>
              <w:rPr>
                <w:color w:val="000000"/>
                <w:lang w:eastAsia="fr-FR"/>
              </w:rPr>
            </w:pPr>
            <w:r w:rsidRPr="00AC488C">
              <w:rPr>
                <w:color w:val="000000"/>
                <w:lang w:eastAsia="fr-FR"/>
              </w:rPr>
              <w:t>4,11</w:t>
            </w:r>
          </w:p>
        </w:tc>
        <w:tc>
          <w:tcPr>
            <w:tcW w:w="825" w:type="dxa"/>
            <w:shd w:val="clear" w:color="auto" w:fill="auto"/>
            <w:noWrap/>
            <w:vAlign w:val="bottom"/>
            <w:hideMark/>
          </w:tcPr>
          <w:p w14:paraId="189CAB4C" w14:textId="77777777" w:rsidR="00F577B6" w:rsidRPr="00AC488C" w:rsidRDefault="00F577B6" w:rsidP="00270E64">
            <w:pPr>
              <w:pStyle w:val="Sansinterligne"/>
              <w:spacing w:line="360" w:lineRule="auto"/>
              <w:rPr>
                <w:color w:val="000000"/>
                <w:lang w:eastAsia="fr-FR"/>
              </w:rPr>
            </w:pPr>
            <w:r w:rsidRPr="00AC488C">
              <w:rPr>
                <w:color w:val="000000"/>
                <w:lang w:eastAsia="fr-FR"/>
              </w:rPr>
              <w:t>69</w:t>
            </w:r>
          </w:p>
        </w:tc>
        <w:tc>
          <w:tcPr>
            <w:tcW w:w="942" w:type="dxa"/>
            <w:shd w:val="clear" w:color="auto" w:fill="auto"/>
            <w:noWrap/>
            <w:vAlign w:val="bottom"/>
            <w:hideMark/>
          </w:tcPr>
          <w:p w14:paraId="4D6436E9" w14:textId="77777777" w:rsidR="00F577B6" w:rsidRPr="00AC488C" w:rsidRDefault="00F577B6" w:rsidP="00270E64">
            <w:pPr>
              <w:pStyle w:val="Sansinterligne"/>
              <w:spacing w:line="360" w:lineRule="auto"/>
              <w:rPr>
                <w:color w:val="000000"/>
                <w:lang w:eastAsia="fr-FR"/>
              </w:rPr>
            </w:pPr>
            <w:r w:rsidRPr="00AC488C">
              <w:rPr>
                <w:color w:val="000000"/>
                <w:lang w:eastAsia="fr-FR"/>
              </w:rPr>
              <w:t>0.000</w:t>
            </w:r>
          </w:p>
        </w:tc>
        <w:tc>
          <w:tcPr>
            <w:tcW w:w="942" w:type="dxa"/>
            <w:shd w:val="clear" w:color="auto" w:fill="auto"/>
            <w:noWrap/>
            <w:vAlign w:val="bottom"/>
            <w:hideMark/>
          </w:tcPr>
          <w:p w14:paraId="189B65BF" w14:textId="77777777" w:rsidR="00F577B6" w:rsidRPr="00AC488C" w:rsidRDefault="00F577B6" w:rsidP="00270E64">
            <w:pPr>
              <w:pStyle w:val="Sansinterligne"/>
              <w:spacing w:line="360" w:lineRule="auto"/>
              <w:rPr>
                <w:color w:val="000000"/>
                <w:lang w:eastAsia="fr-FR"/>
              </w:rPr>
            </w:pPr>
            <w:r w:rsidRPr="00AC488C">
              <w:rPr>
                <w:color w:val="000000"/>
                <w:lang w:eastAsia="fr-FR"/>
              </w:rPr>
              <w:t>4</w:t>
            </w:r>
          </w:p>
        </w:tc>
        <w:tc>
          <w:tcPr>
            <w:tcW w:w="1794" w:type="dxa"/>
            <w:shd w:val="clear" w:color="auto" w:fill="auto"/>
            <w:noWrap/>
            <w:vAlign w:val="bottom"/>
            <w:hideMark/>
          </w:tcPr>
          <w:p w14:paraId="1C9B0B22" w14:textId="77777777" w:rsidR="00F577B6" w:rsidRPr="00AC488C" w:rsidRDefault="00F577B6" w:rsidP="00270E64">
            <w:pPr>
              <w:pStyle w:val="Sansinterligne"/>
              <w:spacing w:line="360" w:lineRule="auto"/>
              <w:rPr>
                <w:color w:val="000000"/>
                <w:lang w:eastAsia="fr-FR"/>
              </w:rPr>
            </w:pPr>
            <w:r w:rsidRPr="00AC488C">
              <w:rPr>
                <w:color w:val="000000"/>
                <w:lang w:eastAsia="fr-FR"/>
              </w:rPr>
              <w:t>D'accord</w:t>
            </w:r>
          </w:p>
        </w:tc>
      </w:tr>
      <w:tr w:rsidR="00F577B6" w:rsidRPr="00BE3BDB" w14:paraId="04B37F3D" w14:textId="77777777" w:rsidTr="00270E64">
        <w:trPr>
          <w:cantSplit/>
          <w:trHeight w:val="279"/>
        </w:trPr>
        <w:tc>
          <w:tcPr>
            <w:tcW w:w="1395" w:type="dxa"/>
            <w:shd w:val="clear" w:color="auto" w:fill="auto"/>
            <w:noWrap/>
            <w:vAlign w:val="bottom"/>
            <w:hideMark/>
          </w:tcPr>
          <w:p w14:paraId="38F5DDCA" w14:textId="77777777" w:rsidR="00F577B6" w:rsidRPr="00270E64" w:rsidRDefault="00F577B6" w:rsidP="00270E64">
            <w:pPr>
              <w:pStyle w:val="Sansinterligne"/>
              <w:spacing w:line="360" w:lineRule="auto"/>
              <w:ind w:firstLine="0"/>
              <w:jc w:val="center"/>
              <w:rPr>
                <w:b/>
                <w:bCs/>
                <w:color w:val="000000"/>
                <w:sz w:val="24"/>
                <w:szCs w:val="24"/>
                <w:lang w:eastAsia="fr-FR"/>
              </w:rPr>
            </w:pPr>
            <w:r w:rsidRPr="00270E64">
              <w:rPr>
                <w:b/>
                <w:bCs/>
                <w:color w:val="000000"/>
                <w:sz w:val="24"/>
                <w:szCs w:val="24"/>
                <w:lang w:eastAsia="fr-FR"/>
              </w:rPr>
              <w:t>Item 3</w:t>
            </w:r>
          </w:p>
        </w:tc>
        <w:tc>
          <w:tcPr>
            <w:tcW w:w="1192" w:type="dxa"/>
            <w:shd w:val="clear" w:color="auto" w:fill="auto"/>
            <w:noWrap/>
            <w:vAlign w:val="bottom"/>
            <w:hideMark/>
          </w:tcPr>
          <w:p w14:paraId="4B4A5A96" w14:textId="77777777" w:rsidR="00F577B6" w:rsidRPr="00AC488C" w:rsidRDefault="00F577B6" w:rsidP="00270E64">
            <w:pPr>
              <w:pStyle w:val="Sansinterligne"/>
              <w:spacing w:line="360" w:lineRule="auto"/>
              <w:rPr>
                <w:color w:val="000000"/>
                <w:lang w:eastAsia="fr-FR"/>
              </w:rPr>
            </w:pPr>
            <w:r w:rsidRPr="00AC488C">
              <w:rPr>
                <w:color w:val="000000"/>
                <w:lang w:eastAsia="fr-FR"/>
              </w:rPr>
              <w:t>3,5143</w:t>
            </w:r>
          </w:p>
        </w:tc>
        <w:tc>
          <w:tcPr>
            <w:tcW w:w="1295" w:type="dxa"/>
            <w:shd w:val="clear" w:color="auto" w:fill="auto"/>
            <w:noWrap/>
            <w:vAlign w:val="bottom"/>
            <w:hideMark/>
          </w:tcPr>
          <w:p w14:paraId="7E8212EA" w14:textId="77777777" w:rsidR="00F577B6" w:rsidRPr="00AC488C" w:rsidRDefault="00F577B6" w:rsidP="00270E64">
            <w:pPr>
              <w:pStyle w:val="Sansinterligne"/>
              <w:spacing w:line="360" w:lineRule="auto"/>
              <w:rPr>
                <w:color w:val="000000"/>
                <w:lang w:eastAsia="fr-FR"/>
              </w:rPr>
            </w:pPr>
            <w:r w:rsidRPr="00AC488C">
              <w:rPr>
                <w:color w:val="000000"/>
                <w:lang w:eastAsia="fr-FR"/>
              </w:rPr>
              <w:t>0,94398</w:t>
            </w:r>
          </w:p>
        </w:tc>
        <w:tc>
          <w:tcPr>
            <w:tcW w:w="824" w:type="dxa"/>
            <w:shd w:val="clear" w:color="auto" w:fill="auto"/>
            <w:noWrap/>
            <w:vAlign w:val="bottom"/>
            <w:hideMark/>
          </w:tcPr>
          <w:p w14:paraId="5F1CA6D3" w14:textId="77777777" w:rsidR="00F577B6" w:rsidRPr="00AC488C" w:rsidRDefault="00F577B6" w:rsidP="00270E64">
            <w:pPr>
              <w:pStyle w:val="Sansinterligne"/>
              <w:spacing w:line="360" w:lineRule="auto"/>
              <w:rPr>
                <w:color w:val="000000"/>
                <w:lang w:eastAsia="fr-FR"/>
              </w:rPr>
            </w:pPr>
            <w:r w:rsidRPr="00AC488C">
              <w:rPr>
                <w:color w:val="000000"/>
                <w:lang w:eastAsia="fr-FR"/>
              </w:rPr>
              <w:t>4,558</w:t>
            </w:r>
          </w:p>
        </w:tc>
        <w:tc>
          <w:tcPr>
            <w:tcW w:w="825" w:type="dxa"/>
            <w:shd w:val="clear" w:color="auto" w:fill="auto"/>
            <w:noWrap/>
            <w:vAlign w:val="bottom"/>
            <w:hideMark/>
          </w:tcPr>
          <w:p w14:paraId="6938C464" w14:textId="77777777" w:rsidR="00F577B6" w:rsidRPr="00AC488C" w:rsidRDefault="00F577B6" w:rsidP="00270E64">
            <w:pPr>
              <w:pStyle w:val="Sansinterligne"/>
              <w:spacing w:line="360" w:lineRule="auto"/>
              <w:rPr>
                <w:color w:val="000000"/>
                <w:lang w:eastAsia="fr-FR"/>
              </w:rPr>
            </w:pPr>
            <w:r w:rsidRPr="00AC488C">
              <w:rPr>
                <w:color w:val="000000"/>
                <w:lang w:eastAsia="fr-FR"/>
              </w:rPr>
              <w:t>69</w:t>
            </w:r>
          </w:p>
        </w:tc>
        <w:tc>
          <w:tcPr>
            <w:tcW w:w="942" w:type="dxa"/>
            <w:shd w:val="clear" w:color="auto" w:fill="auto"/>
            <w:noWrap/>
            <w:vAlign w:val="bottom"/>
            <w:hideMark/>
          </w:tcPr>
          <w:p w14:paraId="41D32511" w14:textId="77777777" w:rsidR="00F577B6" w:rsidRPr="00AC488C" w:rsidRDefault="00F577B6" w:rsidP="00270E64">
            <w:pPr>
              <w:pStyle w:val="Sansinterligne"/>
              <w:spacing w:line="360" w:lineRule="auto"/>
              <w:rPr>
                <w:color w:val="000000"/>
                <w:lang w:eastAsia="fr-FR"/>
              </w:rPr>
            </w:pPr>
            <w:r w:rsidRPr="00AC488C">
              <w:rPr>
                <w:color w:val="000000"/>
                <w:lang w:eastAsia="fr-FR"/>
              </w:rPr>
              <w:t>0.000</w:t>
            </w:r>
          </w:p>
        </w:tc>
        <w:tc>
          <w:tcPr>
            <w:tcW w:w="942" w:type="dxa"/>
            <w:shd w:val="clear" w:color="auto" w:fill="auto"/>
            <w:noWrap/>
            <w:vAlign w:val="bottom"/>
            <w:hideMark/>
          </w:tcPr>
          <w:p w14:paraId="5C41D6DD" w14:textId="77777777" w:rsidR="00F577B6" w:rsidRPr="00AC488C" w:rsidRDefault="00F577B6" w:rsidP="00270E64">
            <w:pPr>
              <w:pStyle w:val="Sansinterligne"/>
              <w:spacing w:line="360" w:lineRule="auto"/>
              <w:rPr>
                <w:color w:val="000000"/>
                <w:lang w:eastAsia="fr-FR"/>
              </w:rPr>
            </w:pPr>
            <w:r w:rsidRPr="00AC488C">
              <w:rPr>
                <w:color w:val="000000"/>
                <w:lang w:eastAsia="fr-FR"/>
              </w:rPr>
              <w:t>3</w:t>
            </w:r>
          </w:p>
        </w:tc>
        <w:tc>
          <w:tcPr>
            <w:tcW w:w="1794" w:type="dxa"/>
            <w:shd w:val="clear" w:color="auto" w:fill="auto"/>
            <w:noWrap/>
            <w:vAlign w:val="bottom"/>
            <w:hideMark/>
          </w:tcPr>
          <w:p w14:paraId="64DCC662" w14:textId="77777777" w:rsidR="00F577B6" w:rsidRPr="00AC488C" w:rsidRDefault="00F577B6" w:rsidP="00270E64">
            <w:pPr>
              <w:pStyle w:val="Sansinterligne"/>
              <w:spacing w:line="360" w:lineRule="auto"/>
              <w:rPr>
                <w:color w:val="000000"/>
                <w:lang w:eastAsia="fr-FR"/>
              </w:rPr>
            </w:pPr>
            <w:r w:rsidRPr="00AC488C">
              <w:rPr>
                <w:color w:val="000000"/>
                <w:lang w:eastAsia="fr-FR"/>
              </w:rPr>
              <w:t>D'accord</w:t>
            </w:r>
          </w:p>
        </w:tc>
      </w:tr>
      <w:tr w:rsidR="00F577B6" w:rsidRPr="00BE3BDB" w14:paraId="74A59072" w14:textId="77777777" w:rsidTr="00270E64">
        <w:trPr>
          <w:cantSplit/>
          <w:trHeight w:val="279"/>
        </w:trPr>
        <w:tc>
          <w:tcPr>
            <w:tcW w:w="1395" w:type="dxa"/>
            <w:shd w:val="clear" w:color="auto" w:fill="auto"/>
            <w:noWrap/>
            <w:vAlign w:val="bottom"/>
            <w:hideMark/>
          </w:tcPr>
          <w:p w14:paraId="7524EE45" w14:textId="77777777" w:rsidR="00F577B6" w:rsidRPr="00270E64" w:rsidRDefault="00F577B6" w:rsidP="00270E64">
            <w:pPr>
              <w:pStyle w:val="Sansinterligne"/>
              <w:spacing w:line="360" w:lineRule="auto"/>
              <w:ind w:firstLine="0"/>
              <w:jc w:val="center"/>
              <w:rPr>
                <w:b/>
                <w:bCs/>
                <w:color w:val="000000"/>
                <w:sz w:val="24"/>
                <w:szCs w:val="24"/>
                <w:lang w:eastAsia="fr-FR"/>
              </w:rPr>
            </w:pPr>
            <w:r w:rsidRPr="00270E64">
              <w:rPr>
                <w:b/>
                <w:bCs/>
                <w:color w:val="000000"/>
                <w:sz w:val="24"/>
                <w:szCs w:val="24"/>
                <w:lang w:eastAsia="fr-FR"/>
              </w:rPr>
              <w:t>Item 4</w:t>
            </w:r>
          </w:p>
        </w:tc>
        <w:tc>
          <w:tcPr>
            <w:tcW w:w="1192" w:type="dxa"/>
            <w:shd w:val="clear" w:color="auto" w:fill="auto"/>
            <w:noWrap/>
            <w:vAlign w:val="bottom"/>
            <w:hideMark/>
          </w:tcPr>
          <w:p w14:paraId="24D5C63A" w14:textId="77777777" w:rsidR="00F577B6" w:rsidRPr="00AC488C" w:rsidRDefault="00F577B6" w:rsidP="00270E64">
            <w:pPr>
              <w:pStyle w:val="Sansinterligne"/>
              <w:spacing w:line="360" w:lineRule="auto"/>
              <w:rPr>
                <w:color w:val="000000"/>
                <w:lang w:eastAsia="fr-FR"/>
              </w:rPr>
            </w:pPr>
            <w:r w:rsidRPr="00AC488C">
              <w:rPr>
                <w:color w:val="000000"/>
                <w:lang w:eastAsia="fr-FR"/>
              </w:rPr>
              <w:t>3,5857</w:t>
            </w:r>
          </w:p>
        </w:tc>
        <w:tc>
          <w:tcPr>
            <w:tcW w:w="1295" w:type="dxa"/>
            <w:shd w:val="clear" w:color="auto" w:fill="auto"/>
            <w:noWrap/>
            <w:vAlign w:val="bottom"/>
            <w:hideMark/>
          </w:tcPr>
          <w:p w14:paraId="38226DF8" w14:textId="77777777" w:rsidR="00F577B6" w:rsidRPr="00AC488C" w:rsidRDefault="00F577B6" w:rsidP="00270E64">
            <w:pPr>
              <w:pStyle w:val="Sansinterligne"/>
              <w:spacing w:line="360" w:lineRule="auto"/>
              <w:rPr>
                <w:color w:val="000000"/>
                <w:lang w:eastAsia="fr-FR"/>
              </w:rPr>
            </w:pPr>
            <w:r w:rsidRPr="00AC488C">
              <w:rPr>
                <w:color w:val="000000"/>
                <w:lang w:eastAsia="fr-FR"/>
              </w:rPr>
              <w:t>0,71207</w:t>
            </w:r>
          </w:p>
        </w:tc>
        <w:tc>
          <w:tcPr>
            <w:tcW w:w="824" w:type="dxa"/>
            <w:shd w:val="clear" w:color="auto" w:fill="auto"/>
            <w:noWrap/>
            <w:vAlign w:val="bottom"/>
            <w:hideMark/>
          </w:tcPr>
          <w:p w14:paraId="1BE1A733" w14:textId="77777777" w:rsidR="00F577B6" w:rsidRPr="00AC488C" w:rsidRDefault="00F577B6" w:rsidP="00270E64">
            <w:pPr>
              <w:pStyle w:val="Sansinterligne"/>
              <w:spacing w:line="360" w:lineRule="auto"/>
              <w:rPr>
                <w:color w:val="000000"/>
                <w:lang w:eastAsia="fr-FR"/>
              </w:rPr>
            </w:pPr>
            <w:r w:rsidRPr="00AC488C">
              <w:rPr>
                <w:color w:val="000000"/>
                <w:lang w:eastAsia="fr-FR"/>
              </w:rPr>
              <w:t>6,882</w:t>
            </w:r>
          </w:p>
        </w:tc>
        <w:tc>
          <w:tcPr>
            <w:tcW w:w="825" w:type="dxa"/>
            <w:shd w:val="clear" w:color="auto" w:fill="auto"/>
            <w:noWrap/>
            <w:vAlign w:val="bottom"/>
            <w:hideMark/>
          </w:tcPr>
          <w:p w14:paraId="3AD81CC7" w14:textId="77777777" w:rsidR="00F577B6" w:rsidRPr="00AC488C" w:rsidRDefault="00F577B6" w:rsidP="00270E64">
            <w:pPr>
              <w:pStyle w:val="Sansinterligne"/>
              <w:spacing w:line="360" w:lineRule="auto"/>
              <w:rPr>
                <w:color w:val="000000"/>
                <w:lang w:eastAsia="fr-FR"/>
              </w:rPr>
            </w:pPr>
            <w:r w:rsidRPr="00AC488C">
              <w:rPr>
                <w:color w:val="000000"/>
                <w:lang w:eastAsia="fr-FR"/>
              </w:rPr>
              <w:t>69</w:t>
            </w:r>
          </w:p>
        </w:tc>
        <w:tc>
          <w:tcPr>
            <w:tcW w:w="942" w:type="dxa"/>
            <w:shd w:val="clear" w:color="auto" w:fill="auto"/>
            <w:noWrap/>
            <w:vAlign w:val="bottom"/>
            <w:hideMark/>
          </w:tcPr>
          <w:p w14:paraId="0FD4E28D" w14:textId="77777777" w:rsidR="00F577B6" w:rsidRPr="00AC488C" w:rsidRDefault="00F577B6" w:rsidP="00270E64">
            <w:pPr>
              <w:pStyle w:val="Sansinterligne"/>
              <w:spacing w:line="360" w:lineRule="auto"/>
              <w:rPr>
                <w:color w:val="000000"/>
                <w:lang w:eastAsia="fr-FR"/>
              </w:rPr>
            </w:pPr>
            <w:r w:rsidRPr="00AC488C">
              <w:rPr>
                <w:color w:val="000000"/>
                <w:lang w:eastAsia="fr-FR"/>
              </w:rPr>
              <w:t>0.000</w:t>
            </w:r>
          </w:p>
        </w:tc>
        <w:tc>
          <w:tcPr>
            <w:tcW w:w="942" w:type="dxa"/>
            <w:shd w:val="clear" w:color="auto" w:fill="auto"/>
            <w:noWrap/>
            <w:vAlign w:val="bottom"/>
            <w:hideMark/>
          </w:tcPr>
          <w:p w14:paraId="7503F00B" w14:textId="77777777" w:rsidR="00F577B6" w:rsidRPr="00AC488C" w:rsidRDefault="00F577B6" w:rsidP="00270E64">
            <w:pPr>
              <w:pStyle w:val="Sansinterligne"/>
              <w:spacing w:line="360" w:lineRule="auto"/>
              <w:rPr>
                <w:color w:val="000000"/>
                <w:lang w:eastAsia="fr-FR"/>
              </w:rPr>
            </w:pPr>
            <w:r w:rsidRPr="00AC488C">
              <w:rPr>
                <w:color w:val="000000"/>
                <w:lang w:eastAsia="fr-FR"/>
              </w:rPr>
              <w:t>2</w:t>
            </w:r>
          </w:p>
        </w:tc>
        <w:tc>
          <w:tcPr>
            <w:tcW w:w="1794" w:type="dxa"/>
            <w:shd w:val="clear" w:color="auto" w:fill="auto"/>
            <w:noWrap/>
            <w:vAlign w:val="bottom"/>
            <w:hideMark/>
          </w:tcPr>
          <w:p w14:paraId="331CD85F" w14:textId="77777777" w:rsidR="00F577B6" w:rsidRPr="00AC488C" w:rsidRDefault="00F577B6" w:rsidP="00270E64">
            <w:pPr>
              <w:pStyle w:val="Sansinterligne"/>
              <w:spacing w:line="360" w:lineRule="auto"/>
              <w:rPr>
                <w:color w:val="000000"/>
                <w:lang w:eastAsia="fr-FR"/>
              </w:rPr>
            </w:pPr>
            <w:r w:rsidRPr="00AC488C">
              <w:rPr>
                <w:color w:val="000000"/>
                <w:lang w:eastAsia="fr-FR"/>
              </w:rPr>
              <w:t>D'accord</w:t>
            </w:r>
          </w:p>
        </w:tc>
      </w:tr>
      <w:tr w:rsidR="00F577B6" w:rsidRPr="00BE3BDB" w14:paraId="4B4867AB" w14:textId="77777777" w:rsidTr="00270E64">
        <w:trPr>
          <w:cantSplit/>
          <w:trHeight w:val="279"/>
        </w:trPr>
        <w:tc>
          <w:tcPr>
            <w:tcW w:w="1395" w:type="dxa"/>
            <w:shd w:val="clear" w:color="auto" w:fill="auto"/>
            <w:noWrap/>
            <w:vAlign w:val="bottom"/>
            <w:hideMark/>
          </w:tcPr>
          <w:p w14:paraId="0EA360C0" w14:textId="77777777" w:rsidR="00F577B6" w:rsidRPr="00270E64" w:rsidRDefault="00F577B6" w:rsidP="00270E64">
            <w:pPr>
              <w:pStyle w:val="Sansinterligne"/>
              <w:spacing w:line="360" w:lineRule="auto"/>
              <w:ind w:firstLine="0"/>
              <w:jc w:val="center"/>
              <w:rPr>
                <w:b/>
                <w:bCs/>
                <w:color w:val="000000"/>
                <w:sz w:val="24"/>
                <w:szCs w:val="24"/>
                <w:lang w:eastAsia="fr-FR"/>
              </w:rPr>
            </w:pPr>
            <w:r w:rsidRPr="00270E64">
              <w:rPr>
                <w:b/>
                <w:bCs/>
                <w:color w:val="000000"/>
                <w:sz w:val="24"/>
                <w:szCs w:val="24"/>
                <w:lang w:eastAsia="fr-FR"/>
              </w:rPr>
              <w:t>P</w:t>
            </w:r>
            <w:r w:rsidR="00270E64" w:rsidRPr="00270E64">
              <w:rPr>
                <w:b/>
                <w:bCs/>
                <w:color w:val="000000"/>
                <w:sz w:val="24"/>
                <w:szCs w:val="24"/>
                <w:lang w:eastAsia="fr-FR"/>
              </w:rPr>
              <w:t xml:space="preserve">erception de </w:t>
            </w:r>
            <w:r w:rsidRPr="00270E64">
              <w:rPr>
                <w:b/>
                <w:bCs/>
                <w:color w:val="000000"/>
                <w:sz w:val="24"/>
                <w:szCs w:val="24"/>
                <w:lang w:eastAsia="fr-FR"/>
              </w:rPr>
              <w:t>risque environnemental</w:t>
            </w:r>
          </w:p>
        </w:tc>
        <w:tc>
          <w:tcPr>
            <w:tcW w:w="1192" w:type="dxa"/>
            <w:shd w:val="clear" w:color="auto" w:fill="auto"/>
            <w:noWrap/>
            <w:vAlign w:val="bottom"/>
            <w:hideMark/>
          </w:tcPr>
          <w:p w14:paraId="2CC358A1" w14:textId="77777777" w:rsidR="00F577B6" w:rsidRPr="00AC488C" w:rsidRDefault="00F577B6" w:rsidP="00270E64">
            <w:pPr>
              <w:pStyle w:val="Sansinterligne"/>
              <w:spacing w:line="360" w:lineRule="auto"/>
              <w:rPr>
                <w:color w:val="000000"/>
                <w:lang w:eastAsia="fr-FR"/>
              </w:rPr>
            </w:pPr>
            <w:r w:rsidRPr="00AC488C">
              <w:rPr>
                <w:color w:val="000000"/>
                <w:lang w:eastAsia="fr-FR"/>
              </w:rPr>
              <w:t>3,55</w:t>
            </w:r>
          </w:p>
        </w:tc>
        <w:tc>
          <w:tcPr>
            <w:tcW w:w="1295" w:type="dxa"/>
            <w:shd w:val="clear" w:color="auto" w:fill="auto"/>
            <w:noWrap/>
            <w:vAlign w:val="bottom"/>
            <w:hideMark/>
          </w:tcPr>
          <w:p w14:paraId="5D2BD8C6" w14:textId="77777777" w:rsidR="00F577B6" w:rsidRPr="00AC488C" w:rsidRDefault="00F577B6" w:rsidP="00270E64">
            <w:pPr>
              <w:pStyle w:val="Sansinterligne"/>
              <w:spacing w:line="360" w:lineRule="auto"/>
              <w:rPr>
                <w:color w:val="000000"/>
                <w:lang w:eastAsia="fr-FR"/>
              </w:rPr>
            </w:pPr>
            <w:r w:rsidRPr="00AC488C">
              <w:rPr>
                <w:color w:val="000000"/>
                <w:lang w:eastAsia="fr-FR"/>
              </w:rPr>
              <w:t>0,71297</w:t>
            </w:r>
          </w:p>
        </w:tc>
        <w:tc>
          <w:tcPr>
            <w:tcW w:w="824" w:type="dxa"/>
            <w:shd w:val="clear" w:color="auto" w:fill="auto"/>
            <w:noWrap/>
            <w:vAlign w:val="bottom"/>
            <w:hideMark/>
          </w:tcPr>
          <w:p w14:paraId="76281E49" w14:textId="77777777" w:rsidR="00F577B6" w:rsidRPr="00AC488C" w:rsidRDefault="00F577B6" w:rsidP="00270E64">
            <w:pPr>
              <w:pStyle w:val="Sansinterligne"/>
              <w:spacing w:line="360" w:lineRule="auto"/>
              <w:rPr>
                <w:color w:val="000000"/>
                <w:lang w:eastAsia="fr-FR"/>
              </w:rPr>
            </w:pPr>
            <w:r w:rsidRPr="00AC488C">
              <w:rPr>
                <w:color w:val="000000"/>
                <w:lang w:eastAsia="fr-FR"/>
              </w:rPr>
              <w:t>6,454</w:t>
            </w:r>
          </w:p>
        </w:tc>
        <w:tc>
          <w:tcPr>
            <w:tcW w:w="825" w:type="dxa"/>
            <w:shd w:val="clear" w:color="auto" w:fill="auto"/>
            <w:noWrap/>
            <w:vAlign w:val="bottom"/>
            <w:hideMark/>
          </w:tcPr>
          <w:p w14:paraId="7C1EC81C" w14:textId="77777777" w:rsidR="00F577B6" w:rsidRPr="00AC488C" w:rsidRDefault="00F577B6" w:rsidP="00270E64">
            <w:pPr>
              <w:pStyle w:val="Sansinterligne"/>
              <w:spacing w:line="360" w:lineRule="auto"/>
              <w:rPr>
                <w:color w:val="000000"/>
                <w:lang w:eastAsia="fr-FR"/>
              </w:rPr>
            </w:pPr>
            <w:r w:rsidRPr="00AC488C">
              <w:rPr>
                <w:color w:val="000000"/>
                <w:lang w:eastAsia="fr-FR"/>
              </w:rPr>
              <w:t>69</w:t>
            </w:r>
          </w:p>
        </w:tc>
        <w:tc>
          <w:tcPr>
            <w:tcW w:w="942" w:type="dxa"/>
            <w:shd w:val="clear" w:color="auto" w:fill="auto"/>
            <w:noWrap/>
            <w:vAlign w:val="bottom"/>
            <w:hideMark/>
          </w:tcPr>
          <w:p w14:paraId="43EFC219" w14:textId="77777777" w:rsidR="00F577B6" w:rsidRPr="00AC488C" w:rsidRDefault="00F577B6" w:rsidP="00270E64">
            <w:pPr>
              <w:pStyle w:val="Sansinterligne"/>
              <w:spacing w:line="360" w:lineRule="auto"/>
              <w:rPr>
                <w:color w:val="000000"/>
                <w:lang w:eastAsia="fr-FR"/>
              </w:rPr>
            </w:pPr>
            <w:r w:rsidRPr="00AC488C">
              <w:rPr>
                <w:color w:val="000000"/>
                <w:lang w:eastAsia="fr-FR"/>
              </w:rPr>
              <w:t>0.000</w:t>
            </w:r>
          </w:p>
        </w:tc>
        <w:tc>
          <w:tcPr>
            <w:tcW w:w="942" w:type="dxa"/>
            <w:shd w:val="clear" w:color="auto" w:fill="auto"/>
            <w:noWrap/>
            <w:vAlign w:val="bottom"/>
            <w:hideMark/>
          </w:tcPr>
          <w:p w14:paraId="5FF61086" w14:textId="77777777" w:rsidR="00F577B6" w:rsidRPr="00AC488C" w:rsidRDefault="00F577B6" w:rsidP="00270E64">
            <w:pPr>
              <w:pStyle w:val="Sansinterligne"/>
              <w:spacing w:line="360" w:lineRule="auto"/>
              <w:rPr>
                <w:color w:val="000000"/>
                <w:lang w:eastAsia="fr-FR"/>
              </w:rPr>
            </w:pPr>
            <w:r>
              <w:rPr>
                <w:color w:val="000000"/>
                <w:lang w:eastAsia="fr-FR"/>
              </w:rPr>
              <w:t>-</w:t>
            </w:r>
          </w:p>
        </w:tc>
        <w:tc>
          <w:tcPr>
            <w:tcW w:w="1794" w:type="dxa"/>
            <w:shd w:val="clear" w:color="auto" w:fill="auto"/>
            <w:noWrap/>
            <w:vAlign w:val="bottom"/>
            <w:hideMark/>
          </w:tcPr>
          <w:p w14:paraId="7DE4BD8B" w14:textId="77777777" w:rsidR="00F577B6" w:rsidRPr="00AC488C" w:rsidRDefault="00F577B6" w:rsidP="00270E64">
            <w:pPr>
              <w:pStyle w:val="Sansinterligne"/>
              <w:spacing w:line="360" w:lineRule="auto"/>
              <w:rPr>
                <w:color w:val="000000"/>
                <w:lang w:eastAsia="fr-FR"/>
              </w:rPr>
            </w:pPr>
            <w:r w:rsidRPr="00AC488C">
              <w:rPr>
                <w:color w:val="000000"/>
                <w:lang w:eastAsia="fr-FR"/>
              </w:rPr>
              <w:t>D'accord</w:t>
            </w:r>
          </w:p>
        </w:tc>
      </w:tr>
    </w:tbl>
    <w:p w14:paraId="33BDF3CC" w14:textId="77777777" w:rsidR="00F577B6" w:rsidRPr="00BE3BDB" w:rsidRDefault="00F577B6" w:rsidP="00F577B6">
      <w:pPr>
        <w:tabs>
          <w:tab w:val="left" w:pos="3375"/>
        </w:tabs>
        <w:ind w:left="720"/>
        <w:jc w:val="center"/>
        <w:rPr>
          <w:rFonts w:cstheme="majorBidi"/>
          <w:b/>
          <w:bCs/>
        </w:rPr>
      </w:pPr>
      <w:r w:rsidRPr="00BE3BDB">
        <w:rPr>
          <w:rFonts w:cstheme="majorBidi"/>
          <w:b/>
          <w:bCs/>
        </w:rPr>
        <w:fldChar w:fldCharType="end"/>
      </w:r>
      <w:r w:rsidRPr="00BE3BDB">
        <w:rPr>
          <w:rFonts w:cstheme="majorBidi"/>
        </w:rPr>
        <w:t xml:space="preserve"> 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193EA96F" w14:textId="77777777" w:rsidR="00F577B6" w:rsidRPr="00BE3BDB" w:rsidRDefault="00F577B6" w:rsidP="00C61DD9">
      <w:r w:rsidRPr="00BE3BDB">
        <w:lastRenderedPageBreak/>
        <w:t xml:space="preserve">        Le tableau présente les résultats de l’analyse descriptive des réponses relatives à la perception du risque environnemental lié aux activités de GICA, évaluée à travers quatre affirmations :</w:t>
      </w:r>
    </w:p>
    <w:p w14:paraId="13F6D660" w14:textId="77777777" w:rsidR="00AC729A" w:rsidRDefault="00F577B6" w:rsidP="00FB0F4A">
      <w:pPr>
        <w:pStyle w:val="Paragraphedeliste"/>
        <w:numPr>
          <w:ilvl w:val="0"/>
          <w:numId w:val="14"/>
        </w:numPr>
      </w:pPr>
      <w:r w:rsidRPr="00BE3BDB">
        <w:t xml:space="preserve">Item 1 : « Les activités de GICA présentent un risque pour l’environnement local » arrive en première position, avec une moyenne de 3,6 et une valeur t de 5,85, nettement supérieure à la valeur critique t (3). Le niveau de signification est de 0,000, ce qui indique que l’item est statistiquement significatif. </w:t>
      </w:r>
      <w:r w:rsidR="00AC729A" w:rsidRPr="00AC729A">
        <w:t>Il est évident que les répondants sont bien conscients des risques environnementaux liés à SCHB-GICA. Leur accord sur cette question montre une compréhension des impacts négatifs que peuvent avoir les processus industriels de fabrication du ciment, tels que les émissions de poussières, la consommation d'énergie et le stockage de déchets solides. Cette prise de conscience est tout à fait justifiée, étant donné que l'industrie du ciment est souvent associée à des émissions de CO₂ élevées et à une utilisation intensive des ressources. Cela souligne l'importance d'aborder ces enjeux environnementaux de manière proactive</w:t>
      </w:r>
    </w:p>
    <w:p w14:paraId="7F8AEC8D" w14:textId="77777777" w:rsidR="00AC729A" w:rsidRDefault="00F577B6" w:rsidP="00FB0F4A">
      <w:pPr>
        <w:pStyle w:val="Paragraphedeliste"/>
        <w:numPr>
          <w:ilvl w:val="0"/>
          <w:numId w:val="14"/>
        </w:numPr>
      </w:pPr>
      <w:r w:rsidRPr="00BE3BDB">
        <w:t xml:space="preserve">En deuxième position, l’item </w:t>
      </w:r>
      <w:r>
        <w:t>4</w:t>
      </w:r>
      <w:r w:rsidRPr="00BE3BDB">
        <w:t xml:space="preserve"> : « GICA fait suffisamment d’efforts pour réduire son impact », obtient une moyenne de 3,5857 et une valeur t de 6,882, très significative (</w:t>
      </w:r>
      <w:proofErr w:type="spellStart"/>
      <w:r w:rsidRPr="00BE3BDB">
        <w:t>Sig</w:t>
      </w:r>
      <w:proofErr w:type="spellEnd"/>
      <w:r w:rsidRPr="00BE3BDB">
        <w:t xml:space="preserve">. = 0,000). </w:t>
      </w:r>
      <w:r w:rsidR="00AC729A" w:rsidRPr="00AC729A">
        <w:t xml:space="preserve">Cela révèle une perception relativement positive des efforts de SCHB-GICA en matière de réduction de son impact, bien que cela soit perçu dans un contexte de risque global. Malgré la conscience de ce risque, les répondants reconnaissent également les initiatives concrètes mises en œuvre par l’entreprise pour atténuer ses effets environnementaux. Lors de mon immersion au sein de SCHB Constantine, j’ai observé plusieurs de ces efforts, notamment : - L’installation de filtres électrostatiques et de filtres à manches pour capturer les poussières issues du broyage et du four ; - Des actions de reboisement dans les zones périphériques de l’usine ; - Des mesures de valorisation énergétique de certains déchets à travers le procédé de </w:t>
      </w:r>
      <w:proofErr w:type="spellStart"/>
      <w:r w:rsidR="00AC729A" w:rsidRPr="00AC729A">
        <w:t>co-processing</w:t>
      </w:r>
      <w:proofErr w:type="spellEnd"/>
    </w:p>
    <w:p w14:paraId="0FA1C899" w14:textId="77777777" w:rsidR="00F577B6" w:rsidRPr="00BE3BDB" w:rsidRDefault="00F577B6" w:rsidP="00FB0F4A">
      <w:pPr>
        <w:pStyle w:val="Paragraphedeliste"/>
        <w:numPr>
          <w:ilvl w:val="0"/>
          <w:numId w:val="14"/>
        </w:numPr>
      </w:pPr>
      <w:r w:rsidRPr="00BE3BDB">
        <w:t xml:space="preserve">L’item </w:t>
      </w:r>
      <w:r>
        <w:t>3</w:t>
      </w:r>
      <w:r w:rsidRPr="00BE3BDB">
        <w:t xml:space="preserve"> </w:t>
      </w:r>
      <w:r w:rsidR="00AC729A" w:rsidRPr="00AC729A">
        <w:t xml:space="preserve">L’item 3, intitulé « Je suis inquiet(e) de l’impact environnemental de SCHB-GICA », se classe en troisième position avec une moyenne de 3,5143 et une valeur t de 4,558, ce qui est également significatif. Ce résultat témoigne d'une préoccupation notable parmi les répondants concernant l'empreinte écologique de l'entreprise, malgré la reconnaissance des efforts déployés pour atténuer cet impact. Cette inquiétude pourrait être attribuée à plusieurs facteurs. D'une part, il existe un </w:t>
      </w:r>
      <w:r w:rsidR="00AC729A" w:rsidRPr="00AC729A">
        <w:lastRenderedPageBreak/>
        <w:t>manque d'accès à des données quantitatives publiques, telles que les taux d'émission réels, ce qui peut engendrer un sentiment d'incertitude. D'autre part, les nuisances ressenties localement, telles que le bruit, les odeurs ou la circulation accrue de camions, peuvent également alimenter cette préoccupation. Il est donc essentiel pour SCHB-GICA de communiquer de manière transparente sur ses initiatives environnementales et de fournir des informations claires pour apaiser les inquiétudes des parties prenantes</w:t>
      </w:r>
      <w:r w:rsidRPr="00BE3BDB">
        <w:t>.</w:t>
      </w:r>
    </w:p>
    <w:p w14:paraId="4C99544C" w14:textId="77777777" w:rsidR="00F577B6" w:rsidRDefault="00F577B6" w:rsidP="006F6589">
      <w:pPr>
        <w:pStyle w:val="Paragraphedeliste"/>
        <w:numPr>
          <w:ilvl w:val="0"/>
          <w:numId w:val="14"/>
        </w:numPr>
      </w:pPr>
      <w:r w:rsidRPr="00BE3BDB">
        <w:t xml:space="preserve">Enfin, l’item </w:t>
      </w:r>
      <w:r>
        <w:t>2</w:t>
      </w:r>
      <w:r w:rsidRPr="00BE3BDB">
        <w:t xml:space="preserve"> : « </w:t>
      </w:r>
      <w:r w:rsidR="00AC729A" w:rsidRPr="00AC729A">
        <w:t>Les produits ou services de SCHB-GICA peuvent nuire à la santé ou à l'environnement », affiche une moyenne relativement faible de 3,5, mais avec une valeur t de 4,11 et un niveau de signification de 0,000, ce qui confirme que cet item est statistiquement significatif. Cela indique un accord modéré des participants concernant cette perception de risque direct lié aux produits ou services. Il en ressort une perception modérée, mais réelle, du risque indirect associé aux produits finis (ciment, clinker) ou à leur transport, bien que le lien direct entre le produit final et le danger environnemental soit moins évident pour les répondants</w:t>
      </w:r>
      <w:r w:rsidRPr="00BE3BDB">
        <w:t>.</w:t>
      </w:r>
    </w:p>
    <w:p w14:paraId="3143C2B9" w14:textId="77777777" w:rsidR="00AC729A" w:rsidRDefault="00F577B6" w:rsidP="00AC729A">
      <w:r>
        <w:t xml:space="preserve">  </w:t>
      </w:r>
      <w:r w:rsidRPr="00AC488C">
        <w:t xml:space="preserve"> La moyenne globale des items constituant la dimension “Perception de risque environnemental” est de 3,55, avec un écart type de 0,71297. La valeur t globale (6,454) et la significativité de 0,000 montrent que les résultats sont hautement significatifs. Ainsi, les répondants expriment un accord global sur le fait que les activités de GICA présentent un risque environnemental, </w:t>
      </w:r>
      <w:r w:rsidR="00AC729A" w:rsidRPr="00AC729A">
        <w:t>Tout en reconnaissant certains efforts fournis par l’entreprise pour limiter cet impact, cette ambivalence est tout à fait logique dans le contexte d’une entreprise comme SCHB, située à proximité de zones habitées et ayant un fort impact territorial. Elle souligne une double attente de la part du public</w:t>
      </w:r>
      <w:r w:rsidR="00AC729A">
        <w:t> :</w:t>
      </w:r>
    </w:p>
    <w:p w14:paraId="0F920841" w14:textId="77777777" w:rsidR="00AC729A" w:rsidRDefault="00AC729A" w:rsidP="00AC729A">
      <w:r>
        <w:t>1. Une exigence de réduction réelle de l’empreinte écologique,</w:t>
      </w:r>
    </w:p>
    <w:p w14:paraId="70535F4E" w14:textId="77777777" w:rsidR="00AC729A" w:rsidRDefault="00AC729A" w:rsidP="00AC729A">
      <w:r>
        <w:t>2. Et une demande de transparence accrue sur les indicateurs environnementaux.</w:t>
      </w:r>
    </w:p>
    <w:p w14:paraId="497C2E4B" w14:textId="77777777" w:rsidR="00AC729A" w:rsidRDefault="00AC729A" w:rsidP="00AC729A">
      <w:r>
        <w:t xml:space="preserve">D’un point de vue stratégique, cette perception de risque – bien qu’existante – n’a pas nécessairement un effet négatif direct sur l’image de l’entreprise. Au contraire, si elle est accompagnée d’efforts visibles, mesurables et bien communiqués, elle peut renforcer la crédibilité et la légitimité environnementale de l’entreprise. Des actions comme la participation aux événements environnementaux universitaires (ex. : Journée mondiale de l’environnement à l’Université Abdelhamid </w:t>
      </w:r>
      <w:proofErr w:type="spellStart"/>
      <w:r>
        <w:t>Mehri</w:t>
      </w:r>
      <w:proofErr w:type="spellEnd"/>
      <w:r>
        <w:t xml:space="preserve"> – Constantine 2) et les campagnes de sensibilisation auprès </w:t>
      </w:r>
      <w:r>
        <w:lastRenderedPageBreak/>
        <w:t>des jeunes contribuent à améliorer cette perception, en montrant l’implication de l’entreprise au-delà de ses obligations industrielles.</w:t>
      </w:r>
    </w:p>
    <w:p w14:paraId="3C08CFEF" w14:textId="77777777" w:rsidR="00F577B6" w:rsidRPr="00BE3BDB" w:rsidRDefault="00F577B6" w:rsidP="000B457B">
      <w:pPr>
        <w:pStyle w:val="Titre3"/>
        <w:numPr>
          <w:ilvl w:val="2"/>
          <w:numId w:val="35"/>
        </w:numPr>
      </w:pPr>
      <w:bookmarkStart w:id="147" w:name="_Toc200825474"/>
      <w:r w:rsidRPr="00BE3BDB">
        <w:t>Analyse de la troisième dimension :</w:t>
      </w:r>
      <w:bookmarkEnd w:id="147"/>
    </w:p>
    <w:p w14:paraId="391DD1C0" w14:textId="77777777" w:rsidR="00F577B6" w:rsidRPr="00063796" w:rsidRDefault="00063796" w:rsidP="00063796">
      <w:pPr>
        <w:pStyle w:val="Lgende"/>
        <w:jc w:val="center"/>
        <w:rPr>
          <w:rFonts w:cstheme="majorBidi"/>
          <w:b/>
          <w:bCs/>
          <w:i w:val="0"/>
          <w:iCs w:val="0"/>
          <w:color w:val="000000" w:themeColor="text1"/>
          <w:sz w:val="24"/>
          <w:szCs w:val="24"/>
        </w:rPr>
      </w:pPr>
      <w:bookmarkStart w:id="148" w:name="_Toc200731408"/>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15</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Analyse descriptive des données de la dimension crédibilité perçue de l’entreprise GICA</w:t>
      </w:r>
      <w:bookmarkEnd w:id="148"/>
    </w:p>
    <w:tbl>
      <w:tblPr>
        <w:tblW w:w="7892"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5"/>
        <w:gridCol w:w="1085"/>
        <w:gridCol w:w="926"/>
        <w:gridCol w:w="721"/>
        <w:gridCol w:w="720"/>
        <w:gridCol w:w="865"/>
        <w:gridCol w:w="1412"/>
        <w:gridCol w:w="1607"/>
      </w:tblGrid>
      <w:tr w:rsidR="00270E64" w:rsidRPr="00270E64" w14:paraId="7000C3FF" w14:textId="77777777" w:rsidTr="00270E64">
        <w:trPr>
          <w:cantSplit/>
          <w:trHeight w:val="266"/>
        </w:trPr>
        <w:tc>
          <w:tcPr>
            <w:tcW w:w="1017" w:type="dxa"/>
            <w:shd w:val="clear" w:color="auto" w:fill="auto"/>
            <w:noWrap/>
            <w:vAlign w:val="bottom"/>
            <w:hideMark/>
          </w:tcPr>
          <w:p w14:paraId="480488FE" w14:textId="77777777" w:rsidR="00F577B6" w:rsidRPr="00270E64" w:rsidRDefault="00F577B6" w:rsidP="00270E64">
            <w:pPr>
              <w:pStyle w:val="Sansinterligne"/>
              <w:spacing w:line="360" w:lineRule="auto"/>
              <w:rPr>
                <w:rFonts w:asciiTheme="majorBidi" w:hAnsiTheme="majorBidi" w:cstheme="majorBidi"/>
                <w:lang w:eastAsia="fr-FR"/>
              </w:rPr>
            </w:pPr>
          </w:p>
        </w:tc>
        <w:tc>
          <w:tcPr>
            <w:tcW w:w="984" w:type="dxa"/>
            <w:shd w:val="clear" w:color="auto" w:fill="auto"/>
            <w:noWrap/>
            <w:vAlign w:val="bottom"/>
            <w:hideMark/>
          </w:tcPr>
          <w:p w14:paraId="710854BB"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Moyenne</w:t>
            </w:r>
          </w:p>
        </w:tc>
        <w:tc>
          <w:tcPr>
            <w:tcW w:w="926" w:type="dxa"/>
            <w:shd w:val="clear" w:color="auto" w:fill="auto"/>
            <w:noWrap/>
            <w:vAlign w:val="bottom"/>
            <w:hideMark/>
          </w:tcPr>
          <w:p w14:paraId="67A78FAE"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Ecart type</w:t>
            </w:r>
          </w:p>
        </w:tc>
        <w:tc>
          <w:tcPr>
            <w:tcW w:w="721" w:type="dxa"/>
            <w:shd w:val="clear" w:color="auto" w:fill="auto"/>
            <w:noWrap/>
            <w:vAlign w:val="bottom"/>
            <w:hideMark/>
          </w:tcPr>
          <w:p w14:paraId="223FE8E5" w14:textId="77777777" w:rsidR="00F577B6" w:rsidRPr="00270E64" w:rsidRDefault="00F577B6" w:rsidP="00270E64">
            <w:pPr>
              <w:pStyle w:val="Sansinterligne"/>
              <w:spacing w:line="360" w:lineRule="auto"/>
              <w:rPr>
                <w:rFonts w:asciiTheme="majorBidi" w:hAnsiTheme="majorBidi" w:cstheme="majorBidi"/>
                <w:b/>
                <w:bCs/>
                <w:color w:val="000000"/>
                <w:lang w:eastAsia="fr-FR"/>
              </w:rPr>
            </w:pPr>
            <w:r w:rsidRPr="00270E64">
              <w:rPr>
                <w:rFonts w:asciiTheme="majorBidi" w:hAnsiTheme="majorBidi" w:cstheme="majorBidi"/>
                <w:b/>
                <w:bCs/>
                <w:color w:val="000000"/>
                <w:lang w:eastAsia="fr-FR"/>
              </w:rPr>
              <w:t>t</w:t>
            </w:r>
          </w:p>
        </w:tc>
        <w:tc>
          <w:tcPr>
            <w:tcW w:w="720" w:type="dxa"/>
            <w:shd w:val="clear" w:color="auto" w:fill="auto"/>
            <w:noWrap/>
            <w:vAlign w:val="bottom"/>
            <w:hideMark/>
          </w:tcPr>
          <w:p w14:paraId="08D65523"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ddl</w:t>
            </w:r>
          </w:p>
        </w:tc>
        <w:tc>
          <w:tcPr>
            <w:tcW w:w="720" w:type="dxa"/>
            <w:shd w:val="clear" w:color="auto" w:fill="auto"/>
            <w:noWrap/>
            <w:vAlign w:val="bottom"/>
            <w:hideMark/>
          </w:tcPr>
          <w:p w14:paraId="218CDF2E" w14:textId="77777777" w:rsidR="00F577B6" w:rsidRPr="00270E64" w:rsidRDefault="00F577B6" w:rsidP="00270E64">
            <w:pPr>
              <w:pStyle w:val="Sansinterligne"/>
              <w:spacing w:line="360" w:lineRule="auto"/>
              <w:rPr>
                <w:rFonts w:asciiTheme="majorBidi" w:hAnsiTheme="majorBidi" w:cstheme="majorBidi"/>
                <w:b/>
                <w:bCs/>
                <w:color w:val="000000"/>
                <w:lang w:eastAsia="fr-FR"/>
              </w:rPr>
            </w:pPr>
            <w:proofErr w:type="spellStart"/>
            <w:r w:rsidRPr="00270E64">
              <w:rPr>
                <w:rFonts w:asciiTheme="majorBidi" w:hAnsiTheme="majorBidi" w:cstheme="majorBidi"/>
                <w:b/>
                <w:bCs/>
                <w:color w:val="000000"/>
                <w:lang w:eastAsia="fr-FR"/>
              </w:rPr>
              <w:t>Sig</w:t>
            </w:r>
            <w:proofErr w:type="spellEnd"/>
          </w:p>
        </w:tc>
        <w:tc>
          <w:tcPr>
            <w:tcW w:w="1197" w:type="dxa"/>
            <w:shd w:val="clear" w:color="auto" w:fill="auto"/>
            <w:noWrap/>
            <w:vAlign w:val="bottom"/>
            <w:hideMark/>
          </w:tcPr>
          <w:p w14:paraId="345ABBC8"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Classification</w:t>
            </w:r>
          </w:p>
        </w:tc>
        <w:tc>
          <w:tcPr>
            <w:tcW w:w="1607" w:type="dxa"/>
            <w:shd w:val="clear" w:color="auto" w:fill="auto"/>
            <w:noWrap/>
            <w:vAlign w:val="bottom"/>
            <w:hideMark/>
          </w:tcPr>
          <w:p w14:paraId="17E2B9DB"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Niveau d'accord</w:t>
            </w:r>
          </w:p>
        </w:tc>
      </w:tr>
      <w:tr w:rsidR="00270E64" w:rsidRPr="00270E64" w14:paraId="2D9BB4FD" w14:textId="77777777" w:rsidTr="00270E64">
        <w:trPr>
          <w:trHeight w:val="266"/>
        </w:trPr>
        <w:tc>
          <w:tcPr>
            <w:tcW w:w="1017" w:type="dxa"/>
            <w:shd w:val="clear" w:color="auto" w:fill="auto"/>
            <w:noWrap/>
            <w:vAlign w:val="bottom"/>
            <w:hideMark/>
          </w:tcPr>
          <w:p w14:paraId="686C0BBD"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Item 1</w:t>
            </w:r>
          </w:p>
        </w:tc>
        <w:tc>
          <w:tcPr>
            <w:tcW w:w="984" w:type="dxa"/>
            <w:shd w:val="clear" w:color="auto" w:fill="auto"/>
            <w:noWrap/>
            <w:vAlign w:val="bottom"/>
            <w:hideMark/>
          </w:tcPr>
          <w:p w14:paraId="140B467A"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3,4143</w:t>
            </w:r>
          </w:p>
        </w:tc>
        <w:tc>
          <w:tcPr>
            <w:tcW w:w="926" w:type="dxa"/>
            <w:shd w:val="clear" w:color="auto" w:fill="auto"/>
            <w:noWrap/>
            <w:vAlign w:val="bottom"/>
            <w:hideMark/>
          </w:tcPr>
          <w:p w14:paraId="0F9B709E"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0,8252</w:t>
            </w:r>
          </w:p>
        </w:tc>
        <w:tc>
          <w:tcPr>
            <w:tcW w:w="721" w:type="dxa"/>
            <w:shd w:val="clear" w:color="auto" w:fill="auto"/>
            <w:noWrap/>
            <w:vAlign w:val="bottom"/>
            <w:hideMark/>
          </w:tcPr>
          <w:p w14:paraId="593C1D03"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4,2</w:t>
            </w:r>
          </w:p>
        </w:tc>
        <w:tc>
          <w:tcPr>
            <w:tcW w:w="720" w:type="dxa"/>
            <w:shd w:val="clear" w:color="auto" w:fill="auto"/>
            <w:noWrap/>
            <w:vAlign w:val="bottom"/>
            <w:hideMark/>
          </w:tcPr>
          <w:p w14:paraId="7231DE18"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69</w:t>
            </w:r>
          </w:p>
        </w:tc>
        <w:tc>
          <w:tcPr>
            <w:tcW w:w="720" w:type="dxa"/>
            <w:shd w:val="clear" w:color="auto" w:fill="auto"/>
            <w:noWrap/>
            <w:vAlign w:val="bottom"/>
            <w:hideMark/>
          </w:tcPr>
          <w:p w14:paraId="7E222F08"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0.000</w:t>
            </w:r>
          </w:p>
        </w:tc>
        <w:tc>
          <w:tcPr>
            <w:tcW w:w="1197" w:type="dxa"/>
            <w:shd w:val="clear" w:color="auto" w:fill="auto"/>
            <w:noWrap/>
            <w:vAlign w:val="bottom"/>
            <w:hideMark/>
          </w:tcPr>
          <w:p w14:paraId="007350E7"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1</w:t>
            </w:r>
          </w:p>
        </w:tc>
        <w:tc>
          <w:tcPr>
            <w:tcW w:w="1607" w:type="dxa"/>
            <w:shd w:val="clear" w:color="auto" w:fill="auto"/>
            <w:noWrap/>
            <w:vAlign w:val="bottom"/>
            <w:hideMark/>
          </w:tcPr>
          <w:p w14:paraId="62F35F4B"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D'accord</w:t>
            </w:r>
          </w:p>
        </w:tc>
      </w:tr>
      <w:tr w:rsidR="00270E64" w:rsidRPr="00270E64" w14:paraId="44C8CE29" w14:textId="77777777" w:rsidTr="00270E64">
        <w:trPr>
          <w:cantSplit/>
          <w:trHeight w:val="266"/>
        </w:trPr>
        <w:tc>
          <w:tcPr>
            <w:tcW w:w="1017" w:type="dxa"/>
            <w:shd w:val="clear" w:color="auto" w:fill="auto"/>
            <w:noWrap/>
            <w:vAlign w:val="bottom"/>
            <w:hideMark/>
          </w:tcPr>
          <w:p w14:paraId="497B0CB3"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Item 2</w:t>
            </w:r>
          </w:p>
        </w:tc>
        <w:tc>
          <w:tcPr>
            <w:tcW w:w="984" w:type="dxa"/>
            <w:shd w:val="clear" w:color="auto" w:fill="auto"/>
            <w:noWrap/>
            <w:vAlign w:val="bottom"/>
            <w:hideMark/>
          </w:tcPr>
          <w:p w14:paraId="10A3111D"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3,4</w:t>
            </w:r>
          </w:p>
        </w:tc>
        <w:tc>
          <w:tcPr>
            <w:tcW w:w="926" w:type="dxa"/>
            <w:shd w:val="clear" w:color="auto" w:fill="auto"/>
            <w:noWrap/>
            <w:vAlign w:val="bottom"/>
            <w:hideMark/>
          </w:tcPr>
          <w:p w14:paraId="5AD43018"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0,76896</w:t>
            </w:r>
          </w:p>
        </w:tc>
        <w:tc>
          <w:tcPr>
            <w:tcW w:w="721" w:type="dxa"/>
            <w:shd w:val="clear" w:color="auto" w:fill="auto"/>
            <w:noWrap/>
            <w:vAlign w:val="bottom"/>
            <w:hideMark/>
          </w:tcPr>
          <w:p w14:paraId="1945E927"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4,352</w:t>
            </w:r>
          </w:p>
        </w:tc>
        <w:tc>
          <w:tcPr>
            <w:tcW w:w="720" w:type="dxa"/>
            <w:shd w:val="clear" w:color="auto" w:fill="auto"/>
            <w:noWrap/>
            <w:vAlign w:val="bottom"/>
            <w:hideMark/>
          </w:tcPr>
          <w:p w14:paraId="2A0E4E3E"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69</w:t>
            </w:r>
          </w:p>
        </w:tc>
        <w:tc>
          <w:tcPr>
            <w:tcW w:w="720" w:type="dxa"/>
            <w:shd w:val="clear" w:color="auto" w:fill="auto"/>
            <w:noWrap/>
            <w:vAlign w:val="bottom"/>
            <w:hideMark/>
          </w:tcPr>
          <w:p w14:paraId="01DC6889" w14:textId="77777777" w:rsidR="00F577B6" w:rsidRPr="00270E64" w:rsidRDefault="00270E64"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0.00</w:t>
            </w:r>
          </w:p>
        </w:tc>
        <w:tc>
          <w:tcPr>
            <w:tcW w:w="1197" w:type="dxa"/>
            <w:shd w:val="clear" w:color="auto" w:fill="auto"/>
            <w:noWrap/>
            <w:vAlign w:val="bottom"/>
            <w:hideMark/>
          </w:tcPr>
          <w:p w14:paraId="7FA2F23C"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2</w:t>
            </w:r>
          </w:p>
        </w:tc>
        <w:tc>
          <w:tcPr>
            <w:tcW w:w="1607" w:type="dxa"/>
            <w:shd w:val="clear" w:color="auto" w:fill="auto"/>
            <w:noWrap/>
            <w:vAlign w:val="bottom"/>
            <w:hideMark/>
          </w:tcPr>
          <w:p w14:paraId="2933D6EB"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D'accord</w:t>
            </w:r>
          </w:p>
        </w:tc>
      </w:tr>
      <w:tr w:rsidR="00270E64" w:rsidRPr="00270E64" w14:paraId="5F062321" w14:textId="77777777" w:rsidTr="00270E64">
        <w:trPr>
          <w:cantSplit/>
          <w:trHeight w:val="266"/>
        </w:trPr>
        <w:tc>
          <w:tcPr>
            <w:tcW w:w="1017" w:type="dxa"/>
            <w:shd w:val="clear" w:color="auto" w:fill="auto"/>
            <w:noWrap/>
            <w:vAlign w:val="bottom"/>
            <w:hideMark/>
          </w:tcPr>
          <w:p w14:paraId="6699DE19"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Item 3</w:t>
            </w:r>
          </w:p>
        </w:tc>
        <w:tc>
          <w:tcPr>
            <w:tcW w:w="984" w:type="dxa"/>
            <w:shd w:val="clear" w:color="auto" w:fill="auto"/>
            <w:noWrap/>
            <w:vAlign w:val="bottom"/>
            <w:hideMark/>
          </w:tcPr>
          <w:p w14:paraId="37EA51CE"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3,3714</w:t>
            </w:r>
          </w:p>
        </w:tc>
        <w:tc>
          <w:tcPr>
            <w:tcW w:w="926" w:type="dxa"/>
            <w:shd w:val="clear" w:color="auto" w:fill="auto"/>
            <w:noWrap/>
            <w:vAlign w:val="bottom"/>
            <w:hideMark/>
          </w:tcPr>
          <w:p w14:paraId="335114D1"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0,80165</w:t>
            </w:r>
          </w:p>
        </w:tc>
        <w:tc>
          <w:tcPr>
            <w:tcW w:w="721" w:type="dxa"/>
            <w:shd w:val="clear" w:color="auto" w:fill="auto"/>
            <w:noWrap/>
            <w:vAlign w:val="bottom"/>
            <w:hideMark/>
          </w:tcPr>
          <w:p w14:paraId="48986C9E"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3,876</w:t>
            </w:r>
          </w:p>
        </w:tc>
        <w:tc>
          <w:tcPr>
            <w:tcW w:w="720" w:type="dxa"/>
            <w:shd w:val="clear" w:color="auto" w:fill="auto"/>
            <w:noWrap/>
            <w:vAlign w:val="bottom"/>
            <w:hideMark/>
          </w:tcPr>
          <w:p w14:paraId="1A8BC94F"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69</w:t>
            </w:r>
          </w:p>
        </w:tc>
        <w:tc>
          <w:tcPr>
            <w:tcW w:w="720" w:type="dxa"/>
            <w:shd w:val="clear" w:color="auto" w:fill="auto"/>
            <w:noWrap/>
            <w:vAlign w:val="bottom"/>
            <w:hideMark/>
          </w:tcPr>
          <w:p w14:paraId="7FB6A25A"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0.000</w:t>
            </w:r>
          </w:p>
        </w:tc>
        <w:tc>
          <w:tcPr>
            <w:tcW w:w="1197" w:type="dxa"/>
            <w:shd w:val="clear" w:color="auto" w:fill="auto"/>
            <w:noWrap/>
            <w:vAlign w:val="bottom"/>
            <w:hideMark/>
          </w:tcPr>
          <w:p w14:paraId="1C7F61EA"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3</w:t>
            </w:r>
          </w:p>
        </w:tc>
        <w:tc>
          <w:tcPr>
            <w:tcW w:w="1607" w:type="dxa"/>
            <w:shd w:val="clear" w:color="auto" w:fill="auto"/>
            <w:noWrap/>
            <w:vAlign w:val="bottom"/>
            <w:hideMark/>
          </w:tcPr>
          <w:p w14:paraId="5DDC145D"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Neutre</w:t>
            </w:r>
          </w:p>
        </w:tc>
      </w:tr>
      <w:tr w:rsidR="00270E64" w:rsidRPr="00270E64" w14:paraId="4D77181D" w14:textId="77777777" w:rsidTr="00270E64">
        <w:trPr>
          <w:cantSplit/>
          <w:trHeight w:val="266"/>
        </w:trPr>
        <w:tc>
          <w:tcPr>
            <w:tcW w:w="1017" w:type="dxa"/>
            <w:shd w:val="clear" w:color="auto" w:fill="auto"/>
            <w:noWrap/>
            <w:vAlign w:val="bottom"/>
            <w:hideMark/>
          </w:tcPr>
          <w:p w14:paraId="097E7FAF"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Item 4</w:t>
            </w:r>
          </w:p>
        </w:tc>
        <w:tc>
          <w:tcPr>
            <w:tcW w:w="984" w:type="dxa"/>
            <w:shd w:val="clear" w:color="auto" w:fill="auto"/>
            <w:noWrap/>
            <w:vAlign w:val="bottom"/>
            <w:hideMark/>
          </w:tcPr>
          <w:p w14:paraId="54F5161E"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2,9857</w:t>
            </w:r>
          </w:p>
        </w:tc>
        <w:tc>
          <w:tcPr>
            <w:tcW w:w="926" w:type="dxa"/>
            <w:shd w:val="clear" w:color="auto" w:fill="auto"/>
            <w:noWrap/>
            <w:vAlign w:val="bottom"/>
            <w:hideMark/>
          </w:tcPr>
          <w:p w14:paraId="595E69EB"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0,80744</w:t>
            </w:r>
          </w:p>
        </w:tc>
        <w:tc>
          <w:tcPr>
            <w:tcW w:w="721" w:type="dxa"/>
            <w:shd w:val="clear" w:color="auto" w:fill="auto"/>
            <w:noWrap/>
            <w:vAlign w:val="bottom"/>
            <w:hideMark/>
          </w:tcPr>
          <w:p w14:paraId="1612413A"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-0,148</w:t>
            </w:r>
          </w:p>
        </w:tc>
        <w:tc>
          <w:tcPr>
            <w:tcW w:w="720" w:type="dxa"/>
            <w:shd w:val="clear" w:color="auto" w:fill="auto"/>
            <w:noWrap/>
            <w:vAlign w:val="bottom"/>
            <w:hideMark/>
          </w:tcPr>
          <w:p w14:paraId="555D1447"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69</w:t>
            </w:r>
          </w:p>
        </w:tc>
        <w:tc>
          <w:tcPr>
            <w:tcW w:w="720" w:type="dxa"/>
            <w:shd w:val="clear" w:color="auto" w:fill="auto"/>
            <w:noWrap/>
            <w:vAlign w:val="bottom"/>
            <w:hideMark/>
          </w:tcPr>
          <w:p w14:paraId="6EDFC932"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0,883</w:t>
            </w:r>
          </w:p>
        </w:tc>
        <w:tc>
          <w:tcPr>
            <w:tcW w:w="1197" w:type="dxa"/>
            <w:shd w:val="clear" w:color="auto" w:fill="auto"/>
            <w:noWrap/>
            <w:vAlign w:val="bottom"/>
            <w:hideMark/>
          </w:tcPr>
          <w:p w14:paraId="1A368877"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4</w:t>
            </w:r>
          </w:p>
        </w:tc>
        <w:tc>
          <w:tcPr>
            <w:tcW w:w="1607" w:type="dxa"/>
            <w:shd w:val="clear" w:color="auto" w:fill="auto"/>
            <w:noWrap/>
            <w:vAlign w:val="bottom"/>
            <w:hideMark/>
          </w:tcPr>
          <w:p w14:paraId="391DF61A"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Neutre</w:t>
            </w:r>
          </w:p>
        </w:tc>
      </w:tr>
      <w:tr w:rsidR="00270E64" w:rsidRPr="00270E64" w14:paraId="0A4FDC85" w14:textId="77777777" w:rsidTr="00270E64">
        <w:trPr>
          <w:cantSplit/>
          <w:trHeight w:val="266"/>
        </w:trPr>
        <w:tc>
          <w:tcPr>
            <w:tcW w:w="1017" w:type="dxa"/>
            <w:shd w:val="clear" w:color="auto" w:fill="auto"/>
            <w:noWrap/>
            <w:vAlign w:val="bottom"/>
            <w:hideMark/>
          </w:tcPr>
          <w:p w14:paraId="6CE4F41D" w14:textId="77777777" w:rsidR="00F577B6" w:rsidRPr="00270E64" w:rsidRDefault="00F577B6" w:rsidP="00270E64">
            <w:pPr>
              <w:pStyle w:val="Sansinterligne"/>
              <w:spacing w:line="360" w:lineRule="auto"/>
              <w:ind w:firstLine="0"/>
              <w:rPr>
                <w:rFonts w:asciiTheme="majorBidi" w:hAnsiTheme="majorBidi" w:cstheme="majorBidi"/>
                <w:b/>
                <w:bCs/>
                <w:color w:val="000000"/>
                <w:lang w:eastAsia="fr-FR"/>
              </w:rPr>
            </w:pPr>
            <w:r w:rsidRPr="00270E64">
              <w:rPr>
                <w:rFonts w:asciiTheme="majorBidi" w:hAnsiTheme="majorBidi" w:cstheme="majorBidi"/>
                <w:b/>
                <w:bCs/>
                <w:color w:val="000000"/>
                <w:lang w:eastAsia="fr-FR"/>
              </w:rPr>
              <w:t>Crédibilité perçue</w:t>
            </w:r>
          </w:p>
        </w:tc>
        <w:tc>
          <w:tcPr>
            <w:tcW w:w="984" w:type="dxa"/>
            <w:shd w:val="clear" w:color="auto" w:fill="auto"/>
            <w:noWrap/>
            <w:vAlign w:val="bottom"/>
            <w:hideMark/>
          </w:tcPr>
          <w:p w14:paraId="2675E5BD"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3,2929</w:t>
            </w:r>
          </w:p>
        </w:tc>
        <w:tc>
          <w:tcPr>
            <w:tcW w:w="926" w:type="dxa"/>
            <w:shd w:val="clear" w:color="auto" w:fill="auto"/>
            <w:noWrap/>
            <w:vAlign w:val="bottom"/>
            <w:hideMark/>
          </w:tcPr>
          <w:p w14:paraId="13FB380A"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0,56301</w:t>
            </w:r>
          </w:p>
        </w:tc>
        <w:tc>
          <w:tcPr>
            <w:tcW w:w="721" w:type="dxa"/>
            <w:shd w:val="clear" w:color="auto" w:fill="auto"/>
            <w:noWrap/>
            <w:vAlign w:val="bottom"/>
            <w:hideMark/>
          </w:tcPr>
          <w:p w14:paraId="27A189D6"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4,352</w:t>
            </w:r>
          </w:p>
        </w:tc>
        <w:tc>
          <w:tcPr>
            <w:tcW w:w="720" w:type="dxa"/>
            <w:shd w:val="clear" w:color="auto" w:fill="auto"/>
            <w:noWrap/>
            <w:vAlign w:val="bottom"/>
            <w:hideMark/>
          </w:tcPr>
          <w:p w14:paraId="7B31A50A"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69</w:t>
            </w:r>
          </w:p>
        </w:tc>
        <w:tc>
          <w:tcPr>
            <w:tcW w:w="720" w:type="dxa"/>
            <w:shd w:val="clear" w:color="auto" w:fill="auto"/>
            <w:noWrap/>
            <w:vAlign w:val="bottom"/>
            <w:hideMark/>
          </w:tcPr>
          <w:p w14:paraId="3A9569B8" w14:textId="77777777" w:rsidR="00F577B6" w:rsidRPr="00270E64" w:rsidRDefault="00F577B6" w:rsidP="00270E64">
            <w:pPr>
              <w:pStyle w:val="Sansinterligne"/>
              <w:spacing w:line="360" w:lineRule="auto"/>
              <w:ind w:firstLine="0"/>
              <w:jc w:val="center"/>
              <w:rPr>
                <w:rFonts w:asciiTheme="majorBidi" w:hAnsiTheme="majorBidi" w:cstheme="majorBidi"/>
                <w:color w:val="000000"/>
                <w:lang w:eastAsia="fr-FR"/>
              </w:rPr>
            </w:pPr>
            <w:r w:rsidRPr="00270E64">
              <w:rPr>
                <w:rFonts w:asciiTheme="majorBidi" w:hAnsiTheme="majorBidi" w:cstheme="majorBidi"/>
                <w:color w:val="000000"/>
                <w:lang w:eastAsia="fr-FR"/>
              </w:rPr>
              <w:t>0.000</w:t>
            </w:r>
          </w:p>
        </w:tc>
        <w:tc>
          <w:tcPr>
            <w:tcW w:w="1197" w:type="dxa"/>
            <w:shd w:val="clear" w:color="auto" w:fill="auto"/>
            <w:noWrap/>
            <w:vAlign w:val="bottom"/>
            <w:hideMark/>
          </w:tcPr>
          <w:p w14:paraId="11057FB4"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w:t>
            </w:r>
          </w:p>
        </w:tc>
        <w:tc>
          <w:tcPr>
            <w:tcW w:w="1607" w:type="dxa"/>
            <w:shd w:val="clear" w:color="auto" w:fill="auto"/>
            <w:noWrap/>
            <w:vAlign w:val="bottom"/>
            <w:hideMark/>
          </w:tcPr>
          <w:p w14:paraId="1B00D749" w14:textId="77777777" w:rsidR="00F577B6" w:rsidRPr="00270E64" w:rsidRDefault="00F577B6" w:rsidP="00270E64">
            <w:pPr>
              <w:pStyle w:val="Sansinterligne"/>
              <w:spacing w:line="360" w:lineRule="auto"/>
              <w:jc w:val="center"/>
              <w:rPr>
                <w:rFonts w:asciiTheme="majorBidi" w:hAnsiTheme="majorBidi" w:cstheme="majorBidi"/>
                <w:color w:val="000000"/>
                <w:lang w:eastAsia="fr-FR"/>
              </w:rPr>
            </w:pPr>
            <w:r w:rsidRPr="00270E64">
              <w:rPr>
                <w:rFonts w:asciiTheme="majorBidi" w:hAnsiTheme="majorBidi" w:cstheme="majorBidi"/>
                <w:color w:val="000000"/>
                <w:lang w:eastAsia="fr-FR"/>
              </w:rPr>
              <w:t>Neutre</w:t>
            </w:r>
          </w:p>
        </w:tc>
      </w:tr>
    </w:tbl>
    <w:p w14:paraId="34CB9B5B" w14:textId="77777777" w:rsidR="00F577B6" w:rsidRPr="00BE3BDB" w:rsidRDefault="00F577B6" w:rsidP="00F577B6">
      <w:pPr>
        <w:pStyle w:val="Paragraphedeliste"/>
        <w:tabs>
          <w:tab w:val="left" w:pos="3375"/>
        </w:tabs>
        <w:ind w:left="1440"/>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0213BF04" w14:textId="77777777" w:rsidR="00F577B6" w:rsidRPr="00BE3BDB" w:rsidRDefault="00F577B6" w:rsidP="00C61DD9">
      <w:r w:rsidRPr="00BE3BDB">
        <w:t xml:space="preserve">     Le tableau ci-dessus analyse la perception des répondants quant à la crédibilité écologique de GICA, à travers quatre affirmations :</w:t>
      </w:r>
    </w:p>
    <w:p w14:paraId="4A939E78" w14:textId="77777777" w:rsidR="00F577B6" w:rsidRPr="00BE3BDB" w:rsidRDefault="00F577B6" w:rsidP="006F6589">
      <w:pPr>
        <w:pStyle w:val="Paragraphedeliste"/>
        <w:numPr>
          <w:ilvl w:val="0"/>
          <w:numId w:val="13"/>
        </w:numPr>
      </w:pPr>
      <w:r w:rsidRPr="00BE3BDB">
        <w:t xml:space="preserve">Item </w:t>
      </w:r>
      <w:r>
        <w:t>1</w:t>
      </w:r>
      <w:r w:rsidRPr="00BE3BDB">
        <w:t xml:space="preserve"> : « </w:t>
      </w:r>
      <w:r w:rsidR="00AC729A" w:rsidRPr="00AC729A">
        <w:t>SCHB-GICA fait ce qu’elle promet en matière d’écologie » se classe en première position, avec une moyenne de 3,4143 et une valeur t de 4,2, largement supérieure à la valeur critique de 3. De plus, le niveau de signification est de 0,000. Ces résultats indiquent que les répondants s'accordent globalement sur le fait que SCHB-GICA respecte ses engagements en matière d'écologie. Cela souligne l'importance de la responsabilité sociétale des entreprises (RSE), où toutes les parties prenantes sont impliquées</w:t>
      </w:r>
      <w:r w:rsidR="00AC729A">
        <w:t xml:space="preserve"> </w:t>
      </w:r>
    </w:p>
    <w:p w14:paraId="1C334D45" w14:textId="77777777" w:rsidR="00AC729A" w:rsidRPr="00AC729A" w:rsidRDefault="00F577B6" w:rsidP="00AC729A">
      <w:pPr>
        <w:pStyle w:val="Paragraphedeliste"/>
        <w:numPr>
          <w:ilvl w:val="0"/>
          <w:numId w:val="13"/>
        </w:numPr>
        <w:jc w:val="left"/>
      </w:pPr>
      <w:r w:rsidRPr="00BE3BDB">
        <w:t xml:space="preserve">En deuxième position, l’item </w:t>
      </w:r>
      <w:r>
        <w:t>2</w:t>
      </w:r>
      <w:r w:rsidRPr="00BE3BDB">
        <w:t xml:space="preserve"> : « Les actions de GICA correspondent à sa communication verte » obtient une moyenne de 3,4, avec une valeur t de 4,352 et une signification statistique forte (0,000). Cela reflète une certaine cohérence perçue entre les discours et les actions de l’entreprise</w:t>
      </w:r>
      <w:r w:rsidR="00AC729A">
        <w:t xml:space="preserve"> </w:t>
      </w:r>
      <w:r w:rsidR="00AC729A" w:rsidRPr="00AC729A">
        <w:t xml:space="preserve">Ce qui est constaté dans mon passage dans </w:t>
      </w:r>
      <w:r w:rsidR="00AC729A">
        <w:t>SCHB-GICA</w:t>
      </w:r>
      <w:r w:rsidR="00AC729A" w:rsidRPr="00AC729A">
        <w:t xml:space="preserve"> </w:t>
      </w:r>
    </w:p>
    <w:p w14:paraId="77281B37" w14:textId="77777777" w:rsidR="00F577B6" w:rsidRPr="00BE3BDB" w:rsidRDefault="00F577B6" w:rsidP="00AC729A">
      <w:pPr>
        <w:pStyle w:val="Paragraphedeliste"/>
        <w:ind w:left="1060" w:firstLine="0"/>
      </w:pPr>
    </w:p>
    <w:p w14:paraId="58A9144D" w14:textId="77777777" w:rsidR="00F577B6" w:rsidRPr="00BE3BDB" w:rsidRDefault="00F577B6" w:rsidP="006F6589">
      <w:pPr>
        <w:pStyle w:val="Paragraphedeliste"/>
        <w:numPr>
          <w:ilvl w:val="0"/>
          <w:numId w:val="13"/>
        </w:numPr>
      </w:pPr>
      <w:r w:rsidRPr="00BE3BDB">
        <w:t xml:space="preserve">L’item </w:t>
      </w:r>
      <w:r>
        <w:t>3</w:t>
      </w:r>
      <w:r w:rsidRPr="00BE3BDB">
        <w:t xml:space="preserve"> : « </w:t>
      </w:r>
      <w:r w:rsidR="00AC729A">
        <w:t>SCHB-</w:t>
      </w:r>
      <w:r w:rsidRPr="00BE3BDB">
        <w:t xml:space="preserve">GICA est transparente sur son impact environnemental </w:t>
      </w:r>
      <w:r w:rsidR="00AC729A" w:rsidRPr="00AC729A">
        <w:t xml:space="preserve">Il semble que SCHB-GICA ait une perception mitigée en ce qui concerne sa transparence sur </w:t>
      </w:r>
      <w:r w:rsidR="00AC729A" w:rsidRPr="00AC729A">
        <w:lastRenderedPageBreak/>
        <w:t>l'impact environnemental, avec une note de 3,3714. Bien que la valeur t de 3,876 soit significative (p &lt; 0,05), cela indique que les opinions sur la transparence de l'organisation varient. Certains peuvent la considérer comme transparente, tandis que d'autres peuvent avoir des réserves. Cela souligne l'importance pour SCHB-GICA de continuer à communiquer clairement sur ses actions et ses résultats environnementaux pour renforcer la confiance du public</w:t>
      </w:r>
      <w:r w:rsidR="00AC729A">
        <w:t xml:space="preserve"> </w:t>
      </w:r>
      <w:r w:rsidRPr="00BE3BDB">
        <w:t>.</w:t>
      </w:r>
    </w:p>
    <w:p w14:paraId="697CA99C" w14:textId="77777777" w:rsidR="00F577B6" w:rsidRPr="00BE3BDB" w:rsidRDefault="00F577B6" w:rsidP="006F6589">
      <w:pPr>
        <w:pStyle w:val="Paragraphedeliste"/>
        <w:numPr>
          <w:ilvl w:val="0"/>
          <w:numId w:val="13"/>
        </w:numPr>
      </w:pPr>
      <w:r w:rsidRPr="00BE3BDB">
        <w:t xml:space="preserve">Enfin, l’item </w:t>
      </w:r>
      <w:r>
        <w:t>4</w:t>
      </w:r>
      <w:r w:rsidRPr="00BE3BDB">
        <w:t xml:space="preserve">, formulé de manière inversée « GICA utilise un discours écologique sans preuves concrètes »), affiche la moyenne la plus basse (2,9857) et une valeur t non significative (-0,148 ; p = 0,883). Ce résultat suggère que les répondants n’expriment ni accord ni désaccord clair, ce qui peut indiquer une incertitude ou une variabilité d’opinion sur l’authenticité du discours écologique de </w:t>
      </w:r>
      <w:r w:rsidR="00AC729A">
        <w:t>SCHB-</w:t>
      </w:r>
      <w:r w:rsidRPr="00BE3BDB">
        <w:t>GICA.</w:t>
      </w:r>
    </w:p>
    <w:p w14:paraId="6E83A521" w14:textId="77777777" w:rsidR="00F577B6" w:rsidRPr="00AC488C" w:rsidRDefault="00F577B6" w:rsidP="00C61DD9">
      <w:r>
        <w:t xml:space="preserve">   </w:t>
      </w:r>
      <w:r w:rsidRPr="00AC488C">
        <w:t>La moyenne globale de la dimension “Crédibilité perçue” est de 3,2929, avec un écart type de 0,56301. La valeur t globale de 4,352 et la signification de 0,000 confirment la validité statistique des résultats. Le niveau d’accord général est classé comme neutre, ce qui signifie que la crédibilité de GICA en matière écologique est perçue de façon modérément favorable, mais reste à renforcer, notamment en matière de transparence et de preuves tangibles.</w:t>
      </w:r>
    </w:p>
    <w:p w14:paraId="4B62CC90" w14:textId="77777777" w:rsidR="00F577B6" w:rsidRPr="00BE3BDB" w:rsidRDefault="00F577B6" w:rsidP="000B457B">
      <w:pPr>
        <w:pStyle w:val="Titre3"/>
        <w:numPr>
          <w:ilvl w:val="2"/>
          <w:numId w:val="35"/>
        </w:numPr>
      </w:pPr>
      <w:bookmarkStart w:id="149" w:name="_Toc200825475"/>
      <w:r w:rsidRPr="00BE3BDB">
        <w:t>Analyse de l’axe :</w:t>
      </w:r>
      <w:bookmarkEnd w:id="149"/>
    </w:p>
    <w:p w14:paraId="284E879B" w14:textId="77777777" w:rsidR="00063796" w:rsidRPr="00063796" w:rsidRDefault="00063796" w:rsidP="00063796">
      <w:pPr>
        <w:pStyle w:val="Lgende"/>
        <w:jc w:val="center"/>
        <w:rPr>
          <w:rFonts w:cstheme="majorBidi"/>
          <w:i w:val="0"/>
          <w:iCs w:val="0"/>
          <w:color w:val="000000" w:themeColor="text1"/>
          <w:sz w:val="24"/>
          <w:szCs w:val="24"/>
        </w:rPr>
      </w:pPr>
      <w:bookmarkStart w:id="150" w:name="_Toc200731409"/>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16</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Analyse descriptive des données de l’axe Greenwashing</w:t>
      </w:r>
      <w:bookmarkEnd w:id="150"/>
    </w:p>
    <w:p w14:paraId="67B5103C" w14:textId="77777777" w:rsidR="00F577B6" w:rsidRPr="00BE3BDB" w:rsidRDefault="00F577B6" w:rsidP="00063796">
      <w:pPr>
        <w:pStyle w:val="Lgende"/>
        <w:rPr>
          <w:rFonts w:cstheme="majorBidi"/>
        </w:rPr>
      </w:pPr>
      <w:r w:rsidRPr="00BE3BDB">
        <w:rPr>
          <w:rFonts w:cstheme="majorBidi"/>
        </w:rPr>
        <w:fldChar w:fldCharType="begin"/>
      </w:r>
      <w:r w:rsidRPr="00BE3BDB">
        <w:rPr>
          <w:rFonts w:cstheme="majorBidi"/>
        </w:rPr>
        <w:instrText xml:space="preserve"> LINK Excel.Sheet.12 "C:\\Users\\yahia cherif\\Desktop\\Analyse des données\\2025\\Asma\\ttableau.xlsx" Sheet1!R4C11:R8C17 \a \f 4 \h  \* MERGEFORMAT </w:instrText>
      </w:r>
      <w:r w:rsidRPr="00BE3BDB">
        <w:rPr>
          <w:rFonts w:cstheme="majorBidi"/>
        </w:rPr>
        <w:fldChar w:fldCharType="separate"/>
      </w:r>
    </w:p>
    <w:tbl>
      <w:tblPr>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59"/>
        <w:gridCol w:w="1109"/>
        <w:gridCol w:w="1001"/>
        <w:gridCol w:w="815"/>
        <w:gridCol w:w="633"/>
        <w:gridCol w:w="1180"/>
        <w:gridCol w:w="1051"/>
      </w:tblGrid>
      <w:tr w:rsidR="00270E64" w:rsidRPr="00BE3BDB" w14:paraId="7740894B" w14:textId="77777777" w:rsidTr="00270E64">
        <w:trPr>
          <w:cantSplit/>
          <w:trHeight w:val="288"/>
        </w:trPr>
        <w:tc>
          <w:tcPr>
            <w:tcW w:w="3159" w:type="dxa"/>
            <w:shd w:val="clear" w:color="auto" w:fill="auto"/>
            <w:noWrap/>
            <w:vAlign w:val="bottom"/>
            <w:hideMark/>
          </w:tcPr>
          <w:p w14:paraId="283CC037" w14:textId="77777777" w:rsidR="00F577B6" w:rsidRPr="00270E64" w:rsidRDefault="00F577B6" w:rsidP="00270E64">
            <w:pPr>
              <w:pStyle w:val="Sansinterligne"/>
              <w:spacing w:line="480" w:lineRule="auto"/>
              <w:rPr>
                <w:rFonts w:asciiTheme="majorBidi" w:hAnsiTheme="majorBidi" w:cstheme="majorBidi"/>
                <w:b/>
                <w:bCs/>
                <w:sz w:val="24"/>
                <w:szCs w:val="24"/>
                <w:lang w:eastAsia="fr-FR"/>
              </w:rPr>
            </w:pPr>
          </w:p>
        </w:tc>
        <w:tc>
          <w:tcPr>
            <w:tcW w:w="1109" w:type="dxa"/>
            <w:shd w:val="clear" w:color="auto" w:fill="auto"/>
            <w:noWrap/>
            <w:vAlign w:val="bottom"/>
            <w:hideMark/>
          </w:tcPr>
          <w:p w14:paraId="3DA6BF78"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Moyenne</w:t>
            </w:r>
          </w:p>
        </w:tc>
        <w:tc>
          <w:tcPr>
            <w:tcW w:w="1001" w:type="dxa"/>
            <w:shd w:val="clear" w:color="auto" w:fill="auto"/>
            <w:noWrap/>
            <w:vAlign w:val="bottom"/>
            <w:hideMark/>
          </w:tcPr>
          <w:p w14:paraId="410C2EFE"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Ecart type</w:t>
            </w:r>
          </w:p>
        </w:tc>
        <w:tc>
          <w:tcPr>
            <w:tcW w:w="815" w:type="dxa"/>
            <w:shd w:val="clear" w:color="auto" w:fill="auto"/>
            <w:noWrap/>
            <w:vAlign w:val="bottom"/>
            <w:hideMark/>
          </w:tcPr>
          <w:p w14:paraId="0B739C4B" w14:textId="77777777" w:rsidR="00F577B6" w:rsidRPr="00270E64" w:rsidRDefault="00F577B6" w:rsidP="00270E64">
            <w:pPr>
              <w:pStyle w:val="Sansinterligne"/>
              <w:spacing w:line="480" w:lineRule="auto"/>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t</w:t>
            </w:r>
          </w:p>
        </w:tc>
        <w:tc>
          <w:tcPr>
            <w:tcW w:w="633" w:type="dxa"/>
            <w:shd w:val="clear" w:color="auto" w:fill="auto"/>
            <w:noWrap/>
            <w:vAlign w:val="bottom"/>
            <w:hideMark/>
          </w:tcPr>
          <w:p w14:paraId="6D3FB0CD"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ddl</w:t>
            </w:r>
          </w:p>
        </w:tc>
        <w:tc>
          <w:tcPr>
            <w:tcW w:w="1180" w:type="dxa"/>
            <w:shd w:val="clear" w:color="auto" w:fill="auto"/>
            <w:noWrap/>
            <w:vAlign w:val="bottom"/>
            <w:hideMark/>
          </w:tcPr>
          <w:p w14:paraId="3F6E9438" w14:textId="77777777" w:rsidR="00F577B6" w:rsidRPr="00270E64" w:rsidRDefault="00F577B6" w:rsidP="00270E64">
            <w:pPr>
              <w:pStyle w:val="Sansinterligne"/>
              <w:spacing w:line="480" w:lineRule="auto"/>
              <w:rPr>
                <w:rFonts w:asciiTheme="majorBidi" w:hAnsiTheme="majorBidi" w:cstheme="majorBidi"/>
                <w:b/>
                <w:bCs/>
                <w:color w:val="000000"/>
                <w:sz w:val="24"/>
                <w:szCs w:val="24"/>
                <w:lang w:eastAsia="fr-FR"/>
              </w:rPr>
            </w:pPr>
            <w:proofErr w:type="spellStart"/>
            <w:r w:rsidRPr="00270E64">
              <w:rPr>
                <w:rFonts w:asciiTheme="majorBidi" w:hAnsiTheme="majorBidi" w:cstheme="majorBidi"/>
                <w:b/>
                <w:bCs/>
                <w:color w:val="000000"/>
                <w:sz w:val="24"/>
                <w:szCs w:val="24"/>
                <w:lang w:eastAsia="fr-FR"/>
              </w:rPr>
              <w:t>Sig</w:t>
            </w:r>
            <w:proofErr w:type="spellEnd"/>
            <w:r w:rsidRPr="00270E64">
              <w:rPr>
                <w:rFonts w:asciiTheme="majorBidi" w:hAnsiTheme="majorBidi" w:cstheme="majorBidi"/>
                <w:b/>
                <w:bCs/>
                <w:color w:val="000000"/>
                <w:sz w:val="24"/>
                <w:szCs w:val="24"/>
                <w:lang w:eastAsia="fr-FR"/>
              </w:rPr>
              <w:t>.</w:t>
            </w:r>
          </w:p>
        </w:tc>
        <w:tc>
          <w:tcPr>
            <w:tcW w:w="1051" w:type="dxa"/>
            <w:shd w:val="clear" w:color="auto" w:fill="auto"/>
            <w:noWrap/>
            <w:vAlign w:val="bottom"/>
            <w:hideMark/>
          </w:tcPr>
          <w:p w14:paraId="103909FB"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Niveau d'accord</w:t>
            </w:r>
          </w:p>
        </w:tc>
      </w:tr>
      <w:tr w:rsidR="00270E64" w:rsidRPr="00BE3BDB" w14:paraId="562924CD" w14:textId="77777777" w:rsidTr="00270E64">
        <w:trPr>
          <w:trHeight w:val="288"/>
        </w:trPr>
        <w:tc>
          <w:tcPr>
            <w:tcW w:w="3159" w:type="dxa"/>
            <w:shd w:val="clear" w:color="auto" w:fill="auto"/>
            <w:noWrap/>
            <w:vAlign w:val="bottom"/>
            <w:hideMark/>
          </w:tcPr>
          <w:p w14:paraId="01DFFB69"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Confiance verte</w:t>
            </w:r>
          </w:p>
        </w:tc>
        <w:tc>
          <w:tcPr>
            <w:tcW w:w="1109" w:type="dxa"/>
            <w:shd w:val="clear" w:color="auto" w:fill="auto"/>
            <w:noWrap/>
            <w:vAlign w:val="bottom"/>
            <w:hideMark/>
          </w:tcPr>
          <w:p w14:paraId="08BC93AF"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3,5071</w:t>
            </w:r>
          </w:p>
        </w:tc>
        <w:tc>
          <w:tcPr>
            <w:tcW w:w="1001" w:type="dxa"/>
            <w:shd w:val="clear" w:color="auto" w:fill="auto"/>
            <w:noWrap/>
            <w:vAlign w:val="bottom"/>
            <w:hideMark/>
          </w:tcPr>
          <w:p w14:paraId="457A5E51"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0,6783</w:t>
            </w:r>
          </w:p>
        </w:tc>
        <w:tc>
          <w:tcPr>
            <w:tcW w:w="815" w:type="dxa"/>
            <w:shd w:val="clear" w:color="auto" w:fill="auto"/>
            <w:noWrap/>
            <w:vAlign w:val="bottom"/>
            <w:hideMark/>
          </w:tcPr>
          <w:p w14:paraId="02812DAD"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6,255</w:t>
            </w:r>
          </w:p>
        </w:tc>
        <w:tc>
          <w:tcPr>
            <w:tcW w:w="633" w:type="dxa"/>
            <w:shd w:val="clear" w:color="auto" w:fill="auto"/>
            <w:noWrap/>
            <w:vAlign w:val="bottom"/>
            <w:hideMark/>
          </w:tcPr>
          <w:p w14:paraId="30C1EB63"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69</w:t>
            </w:r>
          </w:p>
        </w:tc>
        <w:tc>
          <w:tcPr>
            <w:tcW w:w="1180" w:type="dxa"/>
            <w:shd w:val="clear" w:color="auto" w:fill="auto"/>
            <w:noWrap/>
            <w:vAlign w:val="bottom"/>
            <w:hideMark/>
          </w:tcPr>
          <w:p w14:paraId="1A700EE2" w14:textId="77777777" w:rsidR="00F577B6" w:rsidRPr="00270E64" w:rsidRDefault="00F577B6" w:rsidP="00270E64">
            <w:pPr>
              <w:pStyle w:val="Sansinterligne"/>
              <w:spacing w:line="480" w:lineRule="auto"/>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0.000</w:t>
            </w:r>
          </w:p>
        </w:tc>
        <w:tc>
          <w:tcPr>
            <w:tcW w:w="1051" w:type="dxa"/>
            <w:shd w:val="clear" w:color="auto" w:fill="auto"/>
            <w:noWrap/>
            <w:vAlign w:val="bottom"/>
            <w:hideMark/>
          </w:tcPr>
          <w:p w14:paraId="57F7BD61"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D'accord</w:t>
            </w:r>
          </w:p>
        </w:tc>
      </w:tr>
      <w:tr w:rsidR="00270E64" w:rsidRPr="00BE3BDB" w14:paraId="46C07649" w14:textId="77777777" w:rsidTr="00270E64">
        <w:trPr>
          <w:trHeight w:val="288"/>
        </w:trPr>
        <w:tc>
          <w:tcPr>
            <w:tcW w:w="3159" w:type="dxa"/>
            <w:shd w:val="clear" w:color="auto" w:fill="auto"/>
            <w:noWrap/>
            <w:vAlign w:val="bottom"/>
            <w:hideMark/>
          </w:tcPr>
          <w:p w14:paraId="0375C244" w14:textId="77777777" w:rsidR="00F577B6" w:rsidRPr="00270E64" w:rsidRDefault="00270E64"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 xml:space="preserve">Perception </w:t>
            </w:r>
            <w:r w:rsidR="00F577B6" w:rsidRPr="00270E64">
              <w:rPr>
                <w:rFonts w:asciiTheme="majorBidi" w:hAnsiTheme="majorBidi" w:cstheme="majorBidi"/>
                <w:b/>
                <w:bCs/>
                <w:color w:val="000000"/>
                <w:sz w:val="24"/>
                <w:szCs w:val="24"/>
                <w:lang w:eastAsia="fr-FR"/>
              </w:rPr>
              <w:t>de risque environnemental</w:t>
            </w:r>
          </w:p>
        </w:tc>
        <w:tc>
          <w:tcPr>
            <w:tcW w:w="1109" w:type="dxa"/>
            <w:shd w:val="clear" w:color="auto" w:fill="auto"/>
            <w:noWrap/>
            <w:vAlign w:val="bottom"/>
            <w:hideMark/>
          </w:tcPr>
          <w:p w14:paraId="57AA4C7F"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3,55</w:t>
            </w:r>
          </w:p>
        </w:tc>
        <w:tc>
          <w:tcPr>
            <w:tcW w:w="1001" w:type="dxa"/>
            <w:shd w:val="clear" w:color="auto" w:fill="auto"/>
            <w:noWrap/>
            <w:vAlign w:val="bottom"/>
            <w:hideMark/>
          </w:tcPr>
          <w:p w14:paraId="3B457AE7"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0,71297</w:t>
            </w:r>
          </w:p>
        </w:tc>
        <w:tc>
          <w:tcPr>
            <w:tcW w:w="815" w:type="dxa"/>
            <w:shd w:val="clear" w:color="auto" w:fill="auto"/>
            <w:noWrap/>
            <w:vAlign w:val="bottom"/>
            <w:hideMark/>
          </w:tcPr>
          <w:p w14:paraId="7388D6CB"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6,454</w:t>
            </w:r>
          </w:p>
        </w:tc>
        <w:tc>
          <w:tcPr>
            <w:tcW w:w="633" w:type="dxa"/>
            <w:shd w:val="clear" w:color="auto" w:fill="auto"/>
            <w:noWrap/>
            <w:vAlign w:val="bottom"/>
            <w:hideMark/>
          </w:tcPr>
          <w:p w14:paraId="63A512A5"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69</w:t>
            </w:r>
          </w:p>
        </w:tc>
        <w:tc>
          <w:tcPr>
            <w:tcW w:w="1180" w:type="dxa"/>
            <w:shd w:val="clear" w:color="auto" w:fill="auto"/>
            <w:noWrap/>
            <w:vAlign w:val="bottom"/>
            <w:hideMark/>
          </w:tcPr>
          <w:p w14:paraId="4EC9292B" w14:textId="77777777" w:rsidR="00F577B6" w:rsidRPr="00270E64" w:rsidRDefault="00F577B6" w:rsidP="00270E64">
            <w:pPr>
              <w:pStyle w:val="Sansinterligne"/>
              <w:spacing w:line="480" w:lineRule="auto"/>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0.000</w:t>
            </w:r>
          </w:p>
        </w:tc>
        <w:tc>
          <w:tcPr>
            <w:tcW w:w="1051" w:type="dxa"/>
            <w:shd w:val="clear" w:color="auto" w:fill="auto"/>
            <w:noWrap/>
            <w:vAlign w:val="bottom"/>
            <w:hideMark/>
          </w:tcPr>
          <w:p w14:paraId="163D3FAC"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D'accord</w:t>
            </w:r>
          </w:p>
        </w:tc>
      </w:tr>
      <w:tr w:rsidR="00270E64" w:rsidRPr="00BE3BDB" w14:paraId="40132F3C" w14:textId="77777777" w:rsidTr="00270E64">
        <w:trPr>
          <w:trHeight w:val="288"/>
        </w:trPr>
        <w:tc>
          <w:tcPr>
            <w:tcW w:w="3159" w:type="dxa"/>
            <w:shd w:val="clear" w:color="auto" w:fill="auto"/>
            <w:noWrap/>
            <w:vAlign w:val="bottom"/>
            <w:hideMark/>
          </w:tcPr>
          <w:p w14:paraId="6086AF53"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Crédibilité perçue</w:t>
            </w:r>
          </w:p>
        </w:tc>
        <w:tc>
          <w:tcPr>
            <w:tcW w:w="1109" w:type="dxa"/>
            <w:shd w:val="clear" w:color="auto" w:fill="auto"/>
            <w:noWrap/>
            <w:vAlign w:val="bottom"/>
            <w:hideMark/>
          </w:tcPr>
          <w:p w14:paraId="2A00F711"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3,2929</w:t>
            </w:r>
          </w:p>
        </w:tc>
        <w:tc>
          <w:tcPr>
            <w:tcW w:w="1001" w:type="dxa"/>
            <w:shd w:val="clear" w:color="auto" w:fill="auto"/>
            <w:noWrap/>
            <w:vAlign w:val="bottom"/>
            <w:hideMark/>
          </w:tcPr>
          <w:p w14:paraId="021320F2"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0,56301</w:t>
            </w:r>
          </w:p>
        </w:tc>
        <w:tc>
          <w:tcPr>
            <w:tcW w:w="815" w:type="dxa"/>
            <w:shd w:val="clear" w:color="auto" w:fill="auto"/>
            <w:noWrap/>
            <w:vAlign w:val="bottom"/>
            <w:hideMark/>
          </w:tcPr>
          <w:p w14:paraId="32E38841"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4,352</w:t>
            </w:r>
          </w:p>
        </w:tc>
        <w:tc>
          <w:tcPr>
            <w:tcW w:w="633" w:type="dxa"/>
            <w:shd w:val="clear" w:color="auto" w:fill="auto"/>
            <w:noWrap/>
            <w:vAlign w:val="bottom"/>
            <w:hideMark/>
          </w:tcPr>
          <w:p w14:paraId="5DEF0320"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69</w:t>
            </w:r>
          </w:p>
        </w:tc>
        <w:tc>
          <w:tcPr>
            <w:tcW w:w="1180" w:type="dxa"/>
            <w:shd w:val="clear" w:color="auto" w:fill="auto"/>
            <w:noWrap/>
            <w:vAlign w:val="bottom"/>
            <w:hideMark/>
          </w:tcPr>
          <w:p w14:paraId="3557C77B" w14:textId="77777777" w:rsidR="00F577B6" w:rsidRPr="00270E64" w:rsidRDefault="00F577B6" w:rsidP="00270E64">
            <w:pPr>
              <w:pStyle w:val="Sansinterligne"/>
              <w:spacing w:line="480" w:lineRule="auto"/>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0.000</w:t>
            </w:r>
          </w:p>
        </w:tc>
        <w:tc>
          <w:tcPr>
            <w:tcW w:w="1051" w:type="dxa"/>
            <w:shd w:val="clear" w:color="auto" w:fill="auto"/>
            <w:noWrap/>
            <w:vAlign w:val="bottom"/>
            <w:hideMark/>
          </w:tcPr>
          <w:p w14:paraId="038C7FE5"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Neutre</w:t>
            </w:r>
          </w:p>
        </w:tc>
      </w:tr>
      <w:tr w:rsidR="00270E64" w:rsidRPr="00BE3BDB" w14:paraId="7FA8A89F" w14:textId="77777777" w:rsidTr="00270E64">
        <w:trPr>
          <w:trHeight w:val="288"/>
        </w:trPr>
        <w:tc>
          <w:tcPr>
            <w:tcW w:w="3159" w:type="dxa"/>
            <w:shd w:val="clear" w:color="auto" w:fill="auto"/>
            <w:noWrap/>
            <w:vAlign w:val="bottom"/>
            <w:hideMark/>
          </w:tcPr>
          <w:p w14:paraId="3B07EFBB" w14:textId="77777777" w:rsidR="00F577B6" w:rsidRPr="00270E64" w:rsidRDefault="00F577B6" w:rsidP="00270E64">
            <w:pPr>
              <w:pStyle w:val="Sansinterligne"/>
              <w:spacing w:line="480" w:lineRule="auto"/>
              <w:ind w:firstLine="0"/>
              <w:rPr>
                <w:rFonts w:asciiTheme="majorBidi" w:hAnsiTheme="majorBidi" w:cstheme="majorBidi"/>
                <w:b/>
                <w:bCs/>
                <w:color w:val="000000"/>
                <w:sz w:val="24"/>
                <w:szCs w:val="24"/>
                <w:lang w:eastAsia="fr-FR"/>
              </w:rPr>
            </w:pPr>
            <w:r w:rsidRPr="00270E64">
              <w:rPr>
                <w:rFonts w:asciiTheme="majorBidi" w:hAnsiTheme="majorBidi" w:cstheme="majorBidi"/>
                <w:b/>
                <w:bCs/>
                <w:color w:val="000000"/>
                <w:sz w:val="24"/>
                <w:szCs w:val="24"/>
                <w:lang w:eastAsia="fr-FR"/>
              </w:rPr>
              <w:t>Greenwashing</w:t>
            </w:r>
          </w:p>
        </w:tc>
        <w:tc>
          <w:tcPr>
            <w:tcW w:w="1109" w:type="dxa"/>
            <w:shd w:val="clear" w:color="auto" w:fill="auto"/>
            <w:noWrap/>
            <w:vAlign w:val="bottom"/>
            <w:hideMark/>
          </w:tcPr>
          <w:p w14:paraId="3A84B818"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3,45</w:t>
            </w:r>
          </w:p>
        </w:tc>
        <w:tc>
          <w:tcPr>
            <w:tcW w:w="1001" w:type="dxa"/>
            <w:shd w:val="clear" w:color="auto" w:fill="auto"/>
            <w:noWrap/>
            <w:vAlign w:val="bottom"/>
            <w:hideMark/>
          </w:tcPr>
          <w:p w14:paraId="10973E6C"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0,5128</w:t>
            </w:r>
          </w:p>
        </w:tc>
        <w:tc>
          <w:tcPr>
            <w:tcW w:w="815" w:type="dxa"/>
            <w:shd w:val="clear" w:color="auto" w:fill="auto"/>
            <w:noWrap/>
            <w:vAlign w:val="bottom"/>
            <w:hideMark/>
          </w:tcPr>
          <w:p w14:paraId="15427693"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7,342</w:t>
            </w:r>
          </w:p>
        </w:tc>
        <w:tc>
          <w:tcPr>
            <w:tcW w:w="633" w:type="dxa"/>
            <w:shd w:val="clear" w:color="auto" w:fill="auto"/>
            <w:noWrap/>
            <w:vAlign w:val="bottom"/>
            <w:hideMark/>
          </w:tcPr>
          <w:p w14:paraId="31CBA7DD"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69</w:t>
            </w:r>
          </w:p>
        </w:tc>
        <w:tc>
          <w:tcPr>
            <w:tcW w:w="1180" w:type="dxa"/>
            <w:shd w:val="clear" w:color="auto" w:fill="auto"/>
            <w:noWrap/>
            <w:vAlign w:val="bottom"/>
            <w:hideMark/>
          </w:tcPr>
          <w:p w14:paraId="6CF3A78B" w14:textId="77777777" w:rsidR="00F577B6" w:rsidRPr="00270E64" w:rsidRDefault="00F577B6" w:rsidP="00270E64">
            <w:pPr>
              <w:pStyle w:val="Sansinterligne"/>
              <w:spacing w:line="480" w:lineRule="auto"/>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0.000</w:t>
            </w:r>
          </w:p>
        </w:tc>
        <w:tc>
          <w:tcPr>
            <w:tcW w:w="1051" w:type="dxa"/>
            <w:shd w:val="clear" w:color="auto" w:fill="auto"/>
            <w:noWrap/>
            <w:vAlign w:val="bottom"/>
            <w:hideMark/>
          </w:tcPr>
          <w:p w14:paraId="5A6F6CAA" w14:textId="77777777" w:rsidR="00F577B6" w:rsidRPr="00270E64" w:rsidRDefault="00F577B6" w:rsidP="00270E64">
            <w:pPr>
              <w:pStyle w:val="Sansinterligne"/>
              <w:spacing w:line="480" w:lineRule="auto"/>
              <w:ind w:firstLine="0"/>
              <w:rPr>
                <w:rFonts w:asciiTheme="majorBidi" w:hAnsiTheme="majorBidi" w:cstheme="majorBidi"/>
                <w:color w:val="000000"/>
                <w:sz w:val="24"/>
                <w:szCs w:val="24"/>
                <w:lang w:eastAsia="fr-FR"/>
              </w:rPr>
            </w:pPr>
            <w:r w:rsidRPr="00270E64">
              <w:rPr>
                <w:rFonts w:asciiTheme="majorBidi" w:hAnsiTheme="majorBidi" w:cstheme="majorBidi"/>
                <w:color w:val="000000"/>
                <w:sz w:val="24"/>
                <w:szCs w:val="24"/>
                <w:lang w:eastAsia="fr-FR"/>
              </w:rPr>
              <w:t>D'accord</w:t>
            </w:r>
          </w:p>
        </w:tc>
      </w:tr>
    </w:tbl>
    <w:p w14:paraId="0459C710" w14:textId="77777777" w:rsidR="00F577B6" w:rsidRPr="00BE3BDB" w:rsidRDefault="00F577B6" w:rsidP="00F577B6">
      <w:pPr>
        <w:pStyle w:val="Paragraphedeliste"/>
        <w:tabs>
          <w:tab w:val="left" w:pos="3375"/>
        </w:tabs>
        <w:ind w:left="1440"/>
        <w:jc w:val="center"/>
        <w:rPr>
          <w:rFonts w:cstheme="majorBidi"/>
        </w:rPr>
      </w:pPr>
      <w:r w:rsidRPr="00BE3BDB">
        <w:rPr>
          <w:rFonts w:cstheme="majorBidi"/>
          <w:b/>
          <w:bCs/>
        </w:rPr>
        <w:fldChar w:fldCharType="end"/>
      </w:r>
      <w:r w:rsidRPr="00BE3BDB">
        <w:rPr>
          <w:rFonts w:cstheme="majorBidi"/>
        </w:rPr>
        <w:t xml:space="preserve"> 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0336687D" w14:textId="77777777" w:rsidR="006A6BE2" w:rsidRPr="0077731B" w:rsidRDefault="00F577B6" w:rsidP="0077731B">
      <w:r w:rsidRPr="00BE3BDB">
        <w:t xml:space="preserve">      Le tableau met en évidence une perception globalement positive des répondants envers les pratiques environnementales de GICA. La confiance verte (3,5071) et la perception du </w:t>
      </w:r>
      <w:r w:rsidRPr="00BE3BDB">
        <w:lastRenderedPageBreak/>
        <w:t>risque environnemental (3,55) enregistrent des moyennes élevées et statistiquement significatives, indiquant un bon niveau d’accord. En revanche, la crédibilité perçue (3,2929) reste plus modérée, traduisant une certaine hésitation. L’indice global de greenwashing (3,45) suggère que, bien que GICA soit perçue favorablement sur le plan écologique, des doutes subsistent quant à la sincérité totale de son engagement environnemental</w:t>
      </w:r>
      <w:r w:rsidR="0077731B">
        <w:t>.</w:t>
      </w:r>
    </w:p>
    <w:p w14:paraId="59533550" w14:textId="77777777" w:rsidR="00F577B6" w:rsidRPr="00BE3BDB" w:rsidRDefault="00F577B6" w:rsidP="000B457B">
      <w:pPr>
        <w:pStyle w:val="Titre1"/>
        <w:numPr>
          <w:ilvl w:val="0"/>
          <w:numId w:val="35"/>
        </w:numPr>
      </w:pPr>
      <w:bookmarkStart w:id="151" w:name="_Toc200825476"/>
      <w:r w:rsidRPr="00BE3BDB">
        <w:t>Analyse des données concernant la partie Image de marque :</w:t>
      </w:r>
      <w:bookmarkEnd w:id="151"/>
    </w:p>
    <w:p w14:paraId="683116DA" w14:textId="77777777" w:rsidR="00063796" w:rsidRDefault="00F577B6" w:rsidP="000B457B">
      <w:pPr>
        <w:pStyle w:val="Titre2"/>
        <w:numPr>
          <w:ilvl w:val="1"/>
          <w:numId w:val="36"/>
        </w:numPr>
      </w:pPr>
      <w:bookmarkStart w:id="152" w:name="_Toc200825477"/>
      <w:r w:rsidRPr="0077731B">
        <w:t>La fiabilité de l’axe :</w:t>
      </w:r>
      <w:bookmarkEnd w:id="152"/>
      <w:r w:rsidRPr="0077731B">
        <w:t xml:space="preserve"> </w:t>
      </w:r>
    </w:p>
    <w:p w14:paraId="3E46A367" w14:textId="77777777" w:rsidR="00F577B6" w:rsidRPr="00063796" w:rsidRDefault="00063796" w:rsidP="00063796">
      <w:pPr>
        <w:pStyle w:val="Lgende"/>
        <w:jc w:val="center"/>
        <w:rPr>
          <w:rFonts w:cstheme="majorBidi"/>
          <w:b/>
          <w:bCs/>
          <w:i w:val="0"/>
          <w:iCs w:val="0"/>
          <w:color w:val="000000" w:themeColor="text1"/>
          <w:sz w:val="24"/>
          <w:szCs w:val="24"/>
        </w:rPr>
      </w:pPr>
      <w:bookmarkStart w:id="153" w:name="_Toc200731410"/>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17</w:t>
      </w:r>
      <w:r w:rsidRPr="00063796">
        <w:rPr>
          <w:rFonts w:cstheme="majorBidi"/>
          <w:b/>
          <w:bCs/>
          <w:i w:val="0"/>
          <w:iCs w:val="0"/>
          <w:color w:val="000000" w:themeColor="text1"/>
          <w:sz w:val="24"/>
          <w:szCs w:val="24"/>
        </w:rPr>
        <w:fldChar w:fldCharType="end"/>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fiabilité des parties de l’image de marque</w:t>
      </w:r>
      <w:bookmarkEnd w:id="153"/>
    </w:p>
    <w:tbl>
      <w:tblPr>
        <w:tblpPr w:leftFromText="141" w:rightFromText="141" w:vertAnchor="text" w:horzAnchor="margin" w:tblpXSpec="center" w:tblpY="249"/>
        <w:tblW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tblGrid>
      <w:tr w:rsidR="006A6BE2" w:rsidRPr="00BE3BDB" w14:paraId="211F2A60" w14:textId="77777777" w:rsidTr="006A6BE2">
        <w:trPr>
          <w:cantSplit/>
          <w:trHeight w:val="315"/>
        </w:trPr>
        <w:tc>
          <w:tcPr>
            <w:tcW w:w="2689" w:type="dxa"/>
            <w:shd w:val="clear" w:color="auto" w:fill="auto"/>
            <w:noWrap/>
            <w:vAlign w:val="bottom"/>
            <w:hideMark/>
          </w:tcPr>
          <w:p w14:paraId="36F78A13" w14:textId="77777777" w:rsidR="006A6BE2" w:rsidRPr="006A6BE2" w:rsidRDefault="006A6BE2" w:rsidP="006A6BE2">
            <w:pPr>
              <w:pStyle w:val="Sansinterligne"/>
              <w:spacing w:line="480" w:lineRule="auto"/>
              <w:jc w:val="center"/>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Alpha de Cronbach</w:t>
            </w:r>
          </w:p>
        </w:tc>
        <w:tc>
          <w:tcPr>
            <w:tcW w:w="2835" w:type="dxa"/>
            <w:shd w:val="clear" w:color="auto" w:fill="auto"/>
            <w:noWrap/>
            <w:vAlign w:val="bottom"/>
            <w:hideMark/>
          </w:tcPr>
          <w:p w14:paraId="5178C4B5" w14:textId="77777777" w:rsidR="006A6BE2" w:rsidRPr="006A6BE2" w:rsidRDefault="006A6BE2" w:rsidP="006A6BE2">
            <w:pPr>
              <w:pStyle w:val="Sansinterligne"/>
              <w:spacing w:line="480" w:lineRule="auto"/>
              <w:jc w:val="center"/>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Nombre d'éléments</w:t>
            </w:r>
          </w:p>
        </w:tc>
      </w:tr>
      <w:tr w:rsidR="006A6BE2" w:rsidRPr="00BE3BDB" w14:paraId="7DDE66D9" w14:textId="77777777" w:rsidTr="006A6BE2">
        <w:trPr>
          <w:cantSplit/>
          <w:trHeight w:val="70"/>
        </w:trPr>
        <w:tc>
          <w:tcPr>
            <w:tcW w:w="2689" w:type="dxa"/>
            <w:shd w:val="clear" w:color="auto" w:fill="auto"/>
            <w:noWrap/>
            <w:vAlign w:val="bottom"/>
            <w:hideMark/>
          </w:tcPr>
          <w:p w14:paraId="43A95774" w14:textId="77777777" w:rsidR="006A6BE2" w:rsidRPr="006A6BE2" w:rsidRDefault="006A6BE2" w:rsidP="006A6BE2">
            <w:pPr>
              <w:pStyle w:val="Sansinterligne"/>
              <w:spacing w:line="480" w:lineRule="auto"/>
              <w:jc w:val="center"/>
              <w:rPr>
                <w:rFonts w:asciiTheme="majorBidi" w:hAnsiTheme="majorBidi" w:cstheme="majorBidi"/>
                <w:sz w:val="24"/>
                <w:szCs w:val="24"/>
                <w:lang w:eastAsia="fr-FR"/>
              </w:rPr>
            </w:pPr>
            <w:r w:rsidRPr="006A6BE2">
              <w:rPr>
                <w:rFonts w:asciiTheme="majorBidi" w:hAnsiTheme="majorBidi" w:cstheme="majorBidi"/>
                <w:sz w:val="24"/>
                <w:szCs w:val="24"/>
                <w:lang w:eastAsia="fr-FR"/>
              </w:rPr>
              <w:t>0,908</w:t>
            </w:r>
          </w:p>
        </w:tc>
        <w:tc>
          <w:tcPr>
            <w:tcW w:w="2835" w:type="dxa"/>
            <w:shd w:val="clear" w:color="auto" w:fill="auto"/>
            <w:noWrap/>
            <w:vAlign w:val="bottom"/>
            <w:hideMark/>
          </w:tcPr>
          <w:p w14:paraId="528CC7EB" w14:textId="77777777" w:rsidR="006A6BE2" w:rsidRPr="006A6BE2" w:rsidRDefault="006A6BE2" w:rsidP="006A6BE2">
            <w:pPr>
              <w:pStyle w:val="Sansinterligne"/>
              <w:spacing w:line="480" w:lineRule="auto"/>
              <w:jc w:val="center"/>
              <w:rPr>
                <w:rFonts w:asciiTheme="majorBidi" w:hAnsiTheme="majorBidi" w:cstheme="majorBidi"/>
                <w:sz w:val="24"/>
                <w:szCs w:val="24"/>
                <w:lang w:eastAsia="fr-FR"/>
              </w:rPr>
            </w:pPr>
            <w:r w:rsidRPr="006A6BE2">
              <w:rPr>
                <w:rFonts w:asciiTheme="majorBidi" w:hAnsiTheme="majorBidi" w:cstheme="majorBidi"/>
                <w:sz w:val="24"/>
                <w:szCs w:val="24"/>
                <w:lang w:eastAsia="fr-FR"/>
              </w:rPr>
              <w:t>12</w:t>
            </w:r>
          </w:p>
        </w:tc>
      </w:tr>
    </w:tbl>
    <w:p w14:paraId="581C82EC" w14:textId="77777777" w:rsidR="006A6BE2" w:rsidRPr="00BE3BDB" w:rsidRDefault="006A6BE2" w:rsidP="006A6BE2">
      <w:pPr>
        <w:tabs>
          <w:tab w:val="left" w:pos="3375"/>
        </w:tabs>
        <w:ind w:left="720"/>
        <w:rPr>
          <w:rFonts w:cstheme="majorBidi"/>
        </w:rPr>
      </w:pPr>
    </w:p>
    <w:p w14:paraId="58D78DBF" w14:textId="77777777" w:rsidR="00F577B6" w:rsidRDefault="00F577B6" w:rsidP="006A6BE2">
      <w:pPr>
        <w:ind w:firstLine="0"/>
      </w:pPr>
      <w:r w:rsidRPr="00BE3BDB">
        <w:t xml:space="preserve"> </w:t>
      </w:r>
    </w:p>
    <w:p w14:paraId="6065B572" w14:textId="77777777" w:rsidR="00F577B6" w:rsidRPr="00BE3BDB" w:rsidRDefault="00F577B6" w:rsidP="00F577B6">
      <w:pPr>
        <w:pStyle w:val="Paragraphedeliste"/>
        <w:tabs>
          <w:tab w:val="left" w:pos="3375"/>
        </w:tabs>
        <w:ind w:left="1440"/>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38EEC72F" w14:textId="77777777" w:rsidR="00F577B6" w:rsidRPr="00BE3BDB" w:rsidRDefault="00F577B6" w:rsidP="00C61DD9">
      <w:r w:rsidRPr="00BE3BDB">
        <w:t xml:space="preserve">      Le coefficient Alpha de Cronbach obtenu pour l’axe Image de marque est de 0,908, ce qui indique une très bonne cohérence interne entre les 12 items constituant cette dimension. Cette valeur dépasse largement le seuil généralement admis de 0,7, garantissant ainsi la fiabilité des mesures utilisées pour évaluer la perception de l’image de marque de GICA. Cela signifie que les items sont fortement corrélés entre eux et qu’ils mesurent de manière cohérente le même construit latent, à savoir l’image de marque perçue par les répondants.</w:t>
      </w:r>
    </w:p>
    <w:p w14:paraId="3B5C17B6" w14:textId="77777777" w:rsidR="00F577B6" w:rsidRPr="0077731B" w:rsidRDefault="00F577B6" w:rsidP="000B457B">
      <w:pPr>
        <w:pStyle w:val="Titre2"/>
        <w:numPr>
          <w:ilvl w:val="1"/>
          <w:numId w:val="37"/>
        </w:numPr>
      </w:pPr>
      <w:bookmarkStart w:id="154" w:name="_Toc200825478"/>
      <w:r w:rsidRPr="0077731B">
        <w:t>Analyse de distribution des résultats de deuxième axe</w:t>
      </w:r>
      <w:bookmarkEnd w:id="154"/>
    </w:p>
    <w:p w14:paraId="57067F73" w14:textId="77777777" w:rsidR="00063796" w:rsidRPr="00063796" w:rsidRDefault="00063796" w:rsidP="00063796">
      <w:pPr>
        <w:pStyle w:val="Lgende"/>
        <w:jc w:val="center"/>
        <w:rPr>
          <w:rFonts w:cstheme="majorBidi"/>
          <w:i w:val="0"/>
          <w:iCs w:val="0"/>
          <w:color w:val="000000" w:themeColor="text1"/>
          <w:sz w:val="24"/>
          <w:szCs w:val="24"/>
        </w:rPr>
      </w:pPr>
      <w:bookmarkStart w:id="155" w:name="_Toc200731411"/>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18</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Analyse descriptive des données de l’axe Image de marque</w:t>
      </w:r>
      <w:bookmarkEnd w:id="155"/>
    </w:p>
    <w:p w14:paraId="2F5452EB" w14:textId="77777777" w:rsidR="00F577B6" w:rsidRPr="0001793C" w:rsidRDefault="00F577B6" w:rsidP="00063796">
      <w:pPr>
        <w:pStyle w:val="Lgende"/>
        <w:rPr>
          <w:rFonts w:cstheme="majorBidi"/>
        </w:rPr>
      </w:pPr>
      <w:r w:rsidRPr="0001793C">
        <w:rPr>
          <w:rFonts w:cstheme="majorBidi"/>
        </w:rPr>
        <w:fldChar w:fldCharType="begin"/>
      </w:r>
      <w:r w:rsidRPr="0001793C">
        <w:rPr>
          <w:rFonts w:cstheme="majorBidi"/>
        </w:rPr>
        <w:instrText xml:space="preserve"> LINK Excel.Sheet.12 "C:\\Users\\yahia cherif\\Desktop\\Analyse des données\\2025\\Asma\\ttableau.xlsx" "Sheet2!R4C3:R17C10" \a \f 4 \h  \* MERGEFORMAT </w:instrText>
      </w:r>
      <w:r w:rsidRPr="0001793C">
        <w:rPr>
          <w:rFonts w:cstheme="majorBidi"/>
        </w:rPr>
        <w:fldChar w:fldCharType="separate"/>
      </w:r>
    </w:p>
    <w:tbl>
      <w:tblPr>
        <w:tblpPr w:leftFromText="141" w:rightFromText="141" w:vertAnchor="text" w:tblpY="1"/>
        <w:tblOverlap w:val="never"/>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23"/>
        <w:gridCol w:w="1077"/>
        <w:gridCol w:w="1010"/>
        <w:gridCol w:w="892"/>
        <w:gridCol w:w="470"/>
        <w:gridCol w:w="794"/>
        <w:gridCol w:w="1512"/>
        <w:gridCol w:w="1584"/>
      </w:tblGrid>
      <w:tr w:rsidR="006A6BE2" w:rsidRPr="006A6BE2" w14:paraId="0CCF74E6" w14:textId="77777777" w:rsidTr="00F577B6">
        <w:trPr>
          <w:cantSplit/>
          <w:trHeight w:val="300"/>
        </w:trPr>
        <w:tc>
          <w:tcPr>
            <w:tcW w:w="1740" w:type="dxa"/>
            <w:shd w:val="clear" w:color="auto" w:fill="auto"/>
            <w:noWrap/>
            <w:vAlign w:val="bottom"/>
            <w:hideMark/>
          </w:tcPr>
          <w:p w14:paraId="50FDC9AD" w14:textId="77777777" w:rsidR="00F577B6" w:rsidRPr="006A6BE2" w:rsidRDefault="00F577B6" w:rsidP="006A6BE2">
            <w:pPr>
              <w:pStyle w:val="Sansinterligne"/>
              <w:spacing w:line="360" w:lineRule="auto"/>
              <w:rPr>
                <w:rFonts w:asciiTheme="majorBidi" w:hAnsiTheme="majorBidi" w:cstheme="majorBidi"/>
                <w:sz w:val="24"/>
                <w:szCs w:val="24"/>
                <w:lang w:eastAsia="fr-FR"/>
              </w:rPr>
            </w:pPr>
          </w:p>
        </w:tc>
        <w:tc>
          <w:tcPr>
            <w:tcW w:w="1000" w:type="dxa"/>
            <w:shd w:val="clear" w:color="auto" w:fill="auto"/>
            <w:noWrap/>
            <w:vAlign w:val="bottom"/>
            <w:hideMark/>
          </w:tcPr>
          <w:p w14:paraId="332ED68D" w14:textId="77777777" w:rsidR="00F577B6" w:rsidRPr="006A6BE2" w:rsidRDefault="00F577B6" w:rsidP="006A6BE2">
            <w:pPr>
              <w:pStyle w:val="Sansinterligne"/>
              <w:spacing w:line="360" w:lineRule="auto"/>
              <w:ind w:firstLine="0"/>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Moyenne</w:t>
            </w:r>
          </w:p>
        </w:tc>
        <w:tc>
          <w:tcPr>
            <w:tcW w:w="1020" w:type="dxa"/>
            <w:shd w:val="clear" w:color="auto" w:fill="auto"/>
            <w:noWrap/>
            <w:vAlign w:val="bottom"/>
            <w:hideMark/>
          </w:tcPr>
          <w:p w14:paraId="26E9BDDC" w14:textId="77777777" w:rsidR="00F577B6" w:rsidRPr="006A6BE2" w:rsidRDefault="00F577B6" w:rsidP="006A6BE2">
            <w:pPr>
              <w:pStyle w:val="Sansinterligne"/>
              <w:spacing w:line="360" w:lineRule="auto"/>
              <w:ind w:firstLine="0"/>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Ecart type</w:t>
            </w:r>
          </w:p>
        </w:tc>
        <w:tc>
          <w:tcPr>
            <w:tcW w:w="740" w:type="dxa"/>
            <w:shd w:val="clear" w:color="auto" w:fill="auto"/>
            <w:noWrap/>
            <w:vAlign w:val="bottom"/>
            <w:hideMark/>
          </w:tcPr>
          <w:p w14:paraId="70256434"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t</w:t>
            </w:r>
          </w:p>
        </w:tc>
        <w:tc>
          <w:tcPr>
            <w:tcW w:w="400" w:type="dxa"/>
            <w:shd w:val="clear" w:color="auto" w:fill="auto"/>
            <w:noWrap/>
            <w:vAlign w:val="bottom"/>
            <w:hideMark/>
          </w:tcPr>
          <w:p w14:paraId="65822370" w14:textId="77777777" w:rsidR="00F577B6" w:rsidRPr="006A6BE2" w:rsidRDefault="00F577B6" w:rsidP="006A6BE2">
            <w:pPr>
              <w:pStyle w:val="Sansinterligne"/>
              <w:spacing w:line="360" w:lineRule="auto"/>
              <w:ind w:firstLine="0"/>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ddl</w:t>
            </w:r>
          </w:p>
        </w:tc>
        <w:tc>
          <w:tcPr>
            <w:tcW w:w="580" w:type="dxa"/>
            <w:shd w:val="clear" w:color="auto" w:fill="auto"/>
            <w:noWrap/>
            <w:vAlign w:val="bottom"/>
            <w:hideMark/>
          </w:tcPr>
          <w:p w14:paraId="4C9665F7"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proofErr w:type="spellStart"/>
            <w:r w:rsidRPr="006A6BE2">
              <w:rPr>
                <w:rFonts w:asciiTheme="majorBidi" w:hAnsiTheme="majorBidi" w:cstheme="majorBidi"/>
                <w:b/>
                <w:bCs/>
                <w:color w:val="000000"/>
                <w:sz w:val="24"/>
                <w:szCs w:val="24"/>
                <w:lang w:eastAsia="fr-FR"/>
              </w:rPr>
              <w:t>Sig</w:t>
            </w:r>
            <w:proofErr w:type="spellEnd"/>
          </w:p>
        </w:tc>
        <w:tc>
          <w:tcPr>
            <w:tcW w:w="1340" w:type="dxa"/>
            <w:shd w:val="clear" w:color="auto" w:fill="auto"/>
            <w:noWrap/>
            <w:vAlign w:val="bottom"/>
            <w:hideMark/>
          </w:tcPr>
          <w:p w14:paraId="40D28C3F" w14:textId="77777777" w:rsidR="00F577B6" w:rsidRPr="006A6BE2" w:rsidRDefault="00F577B6" w:rsidP="006A6BE2">
            <w:pPr>
              <w:pStyle w:val="Sansinterligne"/>
              <w:spacing w:line="360" w:lineRule="auto"/>
              <w:ind w:firstLine="0"/>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Classification</w:t>
            </w:r>
          </w:p>
        </w:tc>
        <w:tc>
          <w:tcPr>
            <w:tcW w:w="1600" w:type="dxa"/>
            <w:shd w:val="clear" w:color="auto" w:fill="auto"/>
            <w:noWrap/>
            <w:vAlign w:val="bottom"/>
            <w:hideMark/>
          </w:tcPr>
          <w:p w14:paraId="685B2CB8" w14:textId="77777777" w:rsidR="00F577B6" w:rsidRPr="006A6BE2" w:rsidRDefault="00F577B6" w:rsidP="006A6BE2">
            <w:pPr>
              <w:pStyle w:val="Sansinterligne"/>
              <w:spacing w:line="360" w:lineRule="auto"/>
              <w:ind w:firstLine="0"/>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Niveau d'accord</w:t>
            </w:r>
          </w:p>
        </w:tc>
      </w:tr>
      <w:tr w:rsidR="006A6BE2" w:rsidRPr="006A6BE2" w14:paraId="64448B9D" w14:textId="77777777" w:rsidTr="00F577B6">
        <w:trPr>
          <w:cantSplit/>
          <w:trHeight w:val="300"/>
        </w:trPr>
        <w:tc>
          <w:tcPr>
            <w:tcW w:w="1740" w:type="dxa"/>
            <w:shd w:val="clear" w:color="auto" w:fill="auto"/>
            <w:noWrap/>
            <w:vAlign w:val="bottom"/>
            <w:hideMark/>
          </w:tcPr>
          <w:p w14:paraId="0DC45E2B"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1</w:t>
            </w:r>
          </w:p>
        </w:tc>
        <w:tc>
          <w:tcPr>
            <w:tcW w:w="1000" w:type="dxa"/>
            <w:shd w:val="clear" w:color="auto" w:fill="auto"/>
            <w:noWrap/>
            <w:vAlign w:val="bottom"/>
            <w:hideMark/>
          </w:tcPr>
          <w:p w14:paraId="415D5D74"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3,9143</w:t>
            </w:r>
          </w:p>
        </w:tc>
        <w:tc>
          <w:tcPr>
            <w:tcW w:w="1020" w:type="dxa"/>
            <w:shd w:val="clear" w:color="auto" w:fill="auto"/>
            <w:noWrap/>
            <w:vAlign w:val="bottom"/>
            <w:hideMark/>
          </w:tcPr>
          <w:p w14:paraId="35D7101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0,67551</w:t>
            </w:r>
          </w:p>
        </w:tc>
        <w:tc>
          <w:tcPr>
            <w:tcW w:w="740" w:type="dxa"/>
            <w:shd w:val="clear" w:color="auto" w:fill="auto"/>
            <w:noWrap/>
            <w:vAlign w:val="bottom"/>
            <w:hideMark/>
          </w:tcPr>
          <w:p w14:paraId="16904FB8"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11,324</w:t>
            </w:r>
          </w:p>
        </w:tc>
        <w:tc>
          <w:tcPr>
            <w:tcW w:w="400" w:type="dxa"/>
            <w:shd w:val="clear" w:color="auto" w:fill="auto"/>
            <w:noWrap/>
            <w:vAlign w:val="bottom"/>
            <w:hideMark/>
          </w:tcPr>
          <w:p w14:paraId="394EFCC4"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2643CA84"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11BCDF3B"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4</w:t>
            </w:r>
          </w:p>
        </w:tc>
        <w:tc>
          <w:tcPr>
            <w:tcW w:w="1600" w:type="dxa"/>
            <w:shd w:val="clear" w:color="auto" w:fill="auto"/>
            <w:noWrap/>
            <w:vAlign w:val="bottom"/>
            <w:hideMark/>
          </w:tcPr>
          <w:p w14:paraId="15CC9388"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44B3AD91" w14:textId="77777777" w:rsidTr="00F577B6">
        <w:trPr>
          <w:cantSplit/>
          <w:trHeight w:val="300"/>
        </w:trPr>
        <w:tc>
          <w:tcPr>
            <w:tcW w:w="1740" w:type="dxa"/>
            <w:shd w:val="clear" w:color="auto" w:fill="auto"/>
            <w:noWrap/>
            <w:vAlign w:val="bottom"/>
            <w:hideMark/>
          </w:tcPr>
          <w:p w14:paraId="34AD039E"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2</w:t>
            </w:r>
          </w:p>
        </w:tc>
        <w:tc>
          <w:tcPr>
            <w:tcW w:w="1000" w:type="dxa"/>
            <w:shd w:val="clear" w:color="auto" w:fill="auto"/>
            <w:noWrap/>
            <w:vAlign w:val="bottom"/>
            <w:hideMark/>
          </w:tcPr>
          <w:p w14:paraId="6C70885B"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3,7143</w:t>
            </w:r>
          </w:p>
        </w:tc>
        <w:tc>
          <w:tcPr>
            <w:tcW w:w="1020" w:type="dxa"/>
            <w:shd w:val="clear" w:color="auto" w:fill="auto"/>
            <w:noWrap/>
            <w:vAlign w:val="bottom"/>
            <w:hideMark/>
          </w:tcPr>
          <w:p w14:paraId="342C0199"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0,68404</w:t>
            </w:r>
          </w:p>
        </w:tc>
        <w:tc>
          <w:tcPr>
            <w:tcW w:w="740" w:type="dxa"/>
            <w:shd w:val="clear" w:color="auto" w:fill="auto"/>
            <w:noWrap/>
            <w:vAlign w:val="bottom"/>
            <w:hideMark/>
          </w:tcPr>
          <w:p w14:paraId="17460BD9"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8,737</w:t>
            </w:r>
          </w:p>
        </w:tc>
        <w:tc>
          <w:tcPr>
            <w:tcW w:w="400" w:type="dxa"/>
            <w:shd w:val="clear" w:color="auto" w:fill="auto"/>
            <w:noWrap/>
            <w:vAlign w:val="bottom"/>
            <w:hideMark/>
          </w:tcPr>
          <w:p w14:paraId="75413F5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63273588"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723D8F46"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8</w:t>
            </w:r>
          </w:p>
        </w:tc>
        <w:tc>
          <w:tcPr>
            <w:tcW w:w="1600" w:type="dxa"/>
            <w:shd w:val="clear" w:color="auto" w:fill="auto"/>
            <w:noWrap/>
            <w:vAlign w:val="bottom"/>
            <w:hideMark/>
          </w:tcPr>
          <w:p w14:paraId="3EAE6DB6"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5C76B40A" w14:textId="77777777" w:rsidTr="00F577B6">
        <w:trPr>
          <w:cantSplit/>
          <w:trHeight w:val="300"/>
        </w:trPr>
        <w:tc>
          <w:tcPr>
            <w:tcW w:w="1740" w:type="dxa"/>
            <w:shd w:val="clear" w:color="auto" w:fill="auto"/>
            <w:noWrap/>
            <w:vAlign w:val="bottom"/>
            <w:hideMark/>
          </w:tcPr>
          <w:p w14:paraId="3C167455"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3</w:t>
            </w:r>
          </w:p>
        </w:tc>
        <w:tc>
          <w:tcPr>
            <w:tcW w:w="1000" w:type="dxa"/>
            <w:shd w:val="clear" w:color="auto" w:fill="auto"/>
            <w:noWrap/>
            <w:vAlign w:val="bottom"/>
            <w:hideMark/>
          </w:tcPr>
          <w:p w14:paraId="4479C6DB"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3,8429</w:t>
            </w:r>
          </w:p>
        </w:tc>
        <w:tc>
          <w:tcPr>
            <w:tcW w:w="1020" w:type="dxa"/>
            <w:shd w:val="clear" w:color="auto" w:fill="auto"/>
            <w:noWrap/>
            <w:vAlign w:val="bottom"/>
            <w:hideMark/>
          </w:tcPr>
          <w:p w14:paraId="0ECEA191"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0,62868</w:t>
            </w:r>
          </w:p>
        </w:tc>
        <w:tc>
          <w:tcPr>
            <w:tcW w:w="740" w:type="dxa"/>
            <w:shd w:val="clear" w:color="auto" w:fill="auto"/>
            <w:noWrap/>
            <w:vAlign w:val="bottom"/>
            <w:hideMark/>
          </w:tcPr>
          <w:p w14:paraId="281901A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11,217</w:t>
            </w:r>
          </w:p>
        </w:tc>
        <w:tc>
          <w:tcPr>
            <w:tcW w:w="400" w:type="dxa"/>
            <w:shd w:val="clear" w:color="auto" w:fill="auto"/>
            <w:noWrap/>
            <w:vAlign w:val="bottom"/>
            <w:hideMark/>
          </w:tcPr>
          <w:p w14:paraId="6260620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269E10B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18F34832"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w:t>
            </w:r>
          </w:p>
        </w:tc>
        <w:tc>
          <w:tcPr>
            <w:tcW w:w="1600" w:type="dxa"/>
            <w:shd w:val="clear" w:color="auto" w:fill="auto"/>
            <w:noWrap/>
            <w:vAlign w:val="bottom"/>
            <w:hideMark/>
          </w:tcPr>
          <w:p w14:paraId="48255D3C"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370F4B45" w14:textId="77777777" w:rsidTr="00F577B6">
        <w:trPr>
          <w:cantSplit/>
          <w:trHeight w:val="300"/>
        </w:trPr>
        <w:tc>
          <w:tcPr>
            <w:tcW w:w="1740" w:type="dxa"/>
            <w:shd w:val="clear" w:color="auto" w:fill="auto"/>
            <w:noWrap/>
            <w:vAlign w:val="bottom"/>
            <w:hideMark/>
          </w:tcPr>
          <w:p w14:paraId="50E5DD64"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4</w:t>
            </w:r>
          </w:p>
        </w:tc>
        <w:tc>
          <w:tcPr>
            <w:tcW w:w="1000" w:type="dxa"/>
            <w:shd w:val="clear" w:color="auto" w:fill="auto"/>
            <w:noWrap/>
            <w:vAlign w:val="bottom"/>
            <w:hideMark/>
          </w:tcPr>
          <w:p w14:paraId="1D6B258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3,7</w:t>
            </w:r>
          </w:p>
        </w:tc>
        <w:tc>
          <w:tcPr>
            <w:tcW w:w="1020" w:type="dxa"/>
            <w:shd w:val="clear" w:color="auto" w:fill="auto"/>
            <w:noWrap/>
            <w:vAlign w:val="bottom"/>
            <w:hideMark/>
          </w:tcPr>
          <w:p w14:paraId="328BDB4D"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0,87394</w:t>
            </w:r>
          </w:p>
        </w:tc>
        <w:tc>
          <w:tcPr>
            <w:tcW w:w="740" w:type="dxa"/>
            <w:shd w:val="clear" w:color="auto" w:fill="auto"/>
            <w:noWrap/>
            <w:vAlign w:val="bottom"/>
            <w:hideMark/>
          </w:tcPr>
          <w:p w14:paraId="3A68ED58"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6,701</w:t>
            </w:r>
          </w:p>
        </w:tc>
        <w:tc>
          <w:tcPr>
            <w:tcW w:w="400" w:type="dxa"/>
            <w:shd w:val="clear" w:color="auto" w:fill="auto"/>
            <w:noWrap/>
            <w:vAlign w:val="bottom"/>
            <w:hideMark/>
          </w:tcPr>
          <w:p w14:paraId="666610AC"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749A902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68999ADC"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10</w:t>
            </w:r>
          </w:p>
        </w:tc>
        <w:tc>
          <w:tcPr>
            <w:tcW w:w="1600" w:type="dxa"/>
            <w:shd w:val="clear" w:color="auto" w:fill="auto"/>
            <w:noWrap/>
            <w:vAlign w:val="bottom"/>
            <w:hideMark/>
          </w:tcPr>
          <w:p w14:paraId="67D6D0A5"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4A1FCC27" w14:textId="77777777" w:rsidTr="00F577B6">
        <w:trPr>
          <w:cantSplit/>
          <w:trHeight w:val="300"/>
        </w:trPr>
        <w:tc>
          <w:tcPr>
            <w:tcW w:w="1740" w:type="dxa"/>
            <w:shd w:val="clear" w:color="auto" w:fill="auto"/>
            <w:noWrap/>
            <w:vAlign w:val="bottom"/>
            <w:hideMark/>
          </w:tcPr>
          <w:p w14:paraId="60C75D2C"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5</w:t>
            </w:r>
          </w:p>
        </w:tc>
        <w:tc>
          <w:tcPr>
            <w:tcW w:w="1000" w:type="dxa"/>
            <w:shd w:val="clear" w:color="auto" w:fill="auto"/>
            <w:noWrap/>
            <w:vAlign w:val="bottom"/>
            <w:hideMark/>
          </w:tcPr>
          <w:p w14:paraId="5B4E4949"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3,7857</w:t>
            </w:r>
          </w:p>
        </w:tc>
        <w:tc>
          <w:tcPr>
            <w:tcW w:w="1020" w:type="dxa"/>
            <w:shd w:val="clear" w:color="auto" w:fill="auto"/>
            <w:noWrap/>
            <w:vAlign w:val="bottom"/>
            <w:hideMark/>
          </w:tcPr>
          <w:p w14:paraId="655E495D"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0,81459</w:t>
            </w:r>
          </w:p>
        </w:tc>
        <w:tc>
          <w:tcPr>
            <w:tcW w:w="740" w:type="dxa"/>
            <w:shd w:val="clear" w:color="auto" w:fill="auto"/>
            <w:noWrap/>
            <w:vAlign w:val="bottom"/>
            <w:hideMark/>
          </w:tcPr>
          <w:p w14:paraId="6D315870"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8,07</w:t>
            </w:r>
          </w:p>
        </w:tc>
        <w:tc>
          <w:tcPr>
            <w:tcW w:w="400" w:type="dxa"/>
            <w:shd w:val="clear" w:color="auto" w:fill="auto"/>
            <w:noWrap/>
            <w:vAlign w:val="bottom"/>
            <w:hideMark/>
          </w:tcPr>
          <w:p w14:paraId="191AB0DC"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2FFF9840"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7B80AF28"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7</w:t>
            </w:r>
          </w:p>
        </w:tc>
        <w:tc>
          <w:tcPr>
            <w:tcW w:w="1600" w:type="dxa"/>
            <w:shd w:val="clear" w:color="auto" w:fill="auto"/>
            <w:noWrap/>
            <w:vAlign w:val="bottom"/>
            <w:hideMark/>
          </w:tcPr>
          <w:p w14:paraId="12CC7E8E"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0B4C999D" w14:textId="77777777" w:rsidTr="00F577B6">
        <w:trPr>
          <w:cantSplit/>
          <w:trHeight w:val="300"/>
        </w:trPr>
        <w:tc>
          <w:tcPr>
            <w:tcW w:w="1740" w:type="dxa"/>
            <w:shd w:val="clear" w:color="auto" w:fill="auto"/>
            <w:noWrap/>
            <w:vAlign w:val="bottom"/>
            <w:hideMark/>
          </w:tcPr>
          <w:p w14:paraId="40E7C158"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6</w:t>
            </w:r>
          </w:p>
        </w:tc>
        <w:tc>
          <w:tcPr>
            <w:tcW w:w="1000" w:type="dxa"/>
            <w:shd w:val="clear" w:color="auto" w:fill="auto"/>
            <w:noWrap/>
            <w:vAlign w:val="bottom"/>
            <w:hideMark/>
          </w:tcPr>
          <w:p w14:paraId="15F12A4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3,6429</w:t>
            </w:r>
          </w:p>
        </w:tc>
        <w:tc>
          <w:tcPr>
            <w:tcW w:w="1020" w:type="dxa"/>
            <w:shd w:val="clear" w:color="auto" w:fill="auto"/>
            <w:noWrap/>
            <w:vAlign w:val="bottom"/>
            <w:hideMark/>
          </w:tcPr>
          <w:p w14:paraId="5FEEDEEC"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0,66016</w:t>
            </w:r>
          </w:p>
        </w:tc>
        <w:tc>
          <w:tcPr>
            <w:tcW w:w="740" w:type="dxa"/>
            <w:shd w:val="clear" w:color="auto" w:fill="auto"/>
            <w:noWrap/>
            <w:vAlign w:val="bottom"/>
            <w:hideMark/>
          </w:tcPr>
          <w:p w14:paraId="69EADF5F"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8,147</w:t>
            </w:r>
          </w:p>
        </w:tc>
        <w:tc>
          <w:tcPr>
            <w:tcW w:w="400" w:type="dxa"/>
            <w:shd w:val="clear" w:color="auto" w:fill="auto"/>
            <w:noWrap/>
            <w:vAlign w:val="bottom"/>
            <w:hideMark/>
          </w:tcPr>
          <w:p w14:paraId="72881EF8"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6B18F9A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382EEC6A"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11</w:t>
            </w:r>
          </w:p>
        </w:tc>
        <w:tc>
          <w:tcPr>
            <w:tcW w:w="1600" w:type="dxa"/>
            <w:shd w:val="clear" w:color="auto" w:fill="auto"/>
            <w:noWrap/>
            <w:vAlign w:val="bottom"/>
            <w:hideMark/>
          </w:tcPr>
          <w:p w14:paraId="7B306982"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70488E07" w14:textId="77777777" w:rsidTr="00F577B6">
        <w:trPr>
          <w:cantSplit/>
          <w:trHeight w:val="300"/>
        </w:trPr>
        <w:tc>
          <w:tcPr>
            <w:tcW w:w="1740" w:type="dxa"/>
            <w:shd w:val="clear" w:color="auto" w:fill="auto"/>
            <w:noWrap/>
            <w:vAlign w:val="bottom"/>
            <w:hideMark/>
          </w:tcPr>
          <w:p w14:paraId="14ADD968"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7</w:t>
            </w:r>
          </w:p>
        </w:tc>
        <w:tc>
          <w:tcPr>
            <w:tcW w:w="1000" w:type="dxa"/>
            <w:shd w:val="clear" w:color="auto" w:fill="auto"/>
            <w:noWrap/>
            <w:vAlign w:val="bottom"/>
            <w:hideMark/>
          </w:tcPr>
          <w:p w14:paraId="6C7A1530"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3,5072</w:t>
            </w:r>
          </w:p>
        </w:tc>
        <w:tc>
          <w:tcPr>
            <w:tcW w:w="1020" w:type="dxa"/>
            <w:shd w:val="clear" w:color="auto" w:fill="auto"/>
            <w:noWrap/>
            <w:vAlign w:val="bottom"/>
            <w:hideMark/>
          </w:tcPr>
          <w:p w14:paraId="228BCB4D"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0,69923</w:t>
            </w:r>
          </w:p>
        </w:tc>
        <w:tc>
          <w:tcPr>
            <w:tcW w:w="740" w:type="dxa"/>
            <w:shd w:val="clear" w:color="auto" w:fill="auto"/>
            <w:noWrap/>
            <w:vAlign w:val="bottom"/>
            <w:hideMark/>
          </w:tcPr>
          <w:p w14:paraId="6802FBFF"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6,026</w:t>
            </w:r>
          </w:p>
        </w:tc>
        <w:tc>
          <w:tcPr>
            <w:tcW w:w="400" w:type="dxa"/>
            <w:shd w:val="clear" w:color="auto" w:fill="auto"/>
            <w:noWrap/>
            <w:vAlign w:val="bottom"/>
            <w:hideMark/>
          </w:tcPr>
          <w:p w14:paraId="558A5A39"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68</w:t>
            </w:r>
          </w:p>
        </w:tc>
        <w:tc>
          <w:tcPr>
            <w:tcW w:w="580" w:type="dxa"/>
            <w:shd w:val="clear" w:color="auto" w:fill="auto"/>
            <w:noWrap/>
            <w:vAlign w:val="bottom"/>
            <w:hideMark/>
          </w:tcPr>
          <w:p w14:paraId="37B42ED3"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167520A2"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12</w:t>
            </w:r>
          </w:p>
        </w:tc>
        <w:tc>
          <w:tcPr>
            <w:tcW w:w="1600" w:type="dxa"/>
            <w:shd w:val="clear" w:color="auto" w:fill="auto"/>
            <w:noWrap/>
            <w:vAlign w:val="bottom"/>
            <w:hideMark/>
          </w:tcPr>
          <w:p w14:paraId="2671A15F"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5B24864F" w14:textId="77777777" w:rsidTr="00F577B6">
        <w:trPr>
          <w:cantSplit/>
          <w:trHeight w:val="300"/>
        </w:trPr>
        <w:tc>
          <w:tcPr>
            <w:tcW w:w="1740" w:type="dxa"/>
            <w:shd w:val="clear" w:color="auto" w:fill="auto"/>
            <w:noWrap/>
            <w:vAlign w:val="bottom"/>
            <w:hideMark/>
          </w:tcPr>
          <w:p w14:paraId="2A7D9E8D"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lastRenderedPageBreak/>
              <w:t>Item 8</w:t>
            </w:r>
          </w:p>
        </w:tc>
        <w:tc>
          <w:tcPr>
            <w:tcW w:w="1000" w:type="dxa"/>
            <w:shd w:val="clear" w:color="auto" w:fill="auto"/>
            <w:noWrap/>
            <w:vAlign w:val="bottom"/>
            <w:hideMark/>
          </w:tcPr>
          <w:p w14:paraId="30385261"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3,9571</w:t>
            </w:r>
          </w:p>
        </w:tc>
        <w:tc>
          <w:tcPr>
            <w:tcW w:w="1020" w:type="dxa"/>
            <w:shd w:val="clear" w:color="auto" w:fill="auto"/>
            <w:noWrap/>
            <w:vAlign w:val="bottom"/>
            <w:hideMark/>
          </w:tcPr>
          <w:p w14:paraId="7BBD0DD4"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0,64686</w:t>
            </w:r>
          </w:p>
        </w:tc>
        <w:tc>
          <w:tcPr>
            <w:tcW w:w="740" w:type="dxa"/>
            <w:shd w:val="clear" w:color="auto" w:fill="auto"/>
            <w:noWrap/>
            <w:vAlign w:val="bottom"/>
            <w:hideMark/>
          </w:tcPr>
          <w:p w14:paraId="1EC87FDE"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12,38</w:t>
            </w:r>
          </w:p>
        </w:tc>
        <w:tc>
          <w:tcPr>
            <w:tcW w:w="400" w:type="dxa"/>
            <w:shd w:val="clear" w:color="auto" w:fill="auto"/>
            <w:noWrap/>
            <w:vAlign w:val="bottom"/>
            <w:hideMark/>
          </w:tcPr>
          <w:p w14:paraId="0CDE3940"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4446F84F"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71B0C10B"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2</w:t>
            </w:r>
          </w:p>
        </w:tc>
        <w:tc>
          <w:tcPr>
            <w:tcW w:w="1600" w:type="dxa"/>
            <w:shd w:val="clear" w:color="auto" w:fill="auto"/>
            <w:noWrap/>
            <w:vAlign w:val="bottom"/>
            <w:hideMark/>
          </w:tcPr>
          <w:p w14:paraId="24EAB4BD"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6D804298" w14:textId="77777777" w:rsidTr="00F577B6">
        <w:trPr>
          <w:cantSplit/>
          <w:trHeight w:val="300"/>
        </w:trPr>
        <w:tc>
          <w:tcPr>
            <w:tcW w:w="1740" w:type="dxa"/>
            <w:shd w:val="clear" w:color="auto" w:fill="auto"/>
            <w:noWrap/>
            <w:vAlign w:val="bottom"/>
            <w:hideMark/>
          </w:tcPr>
          <w:p w14:paraId="234161C3"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9</w:t>
            </w:r>
          </w:p>
        </w:tc>
        <w:tc>
          <w:tcPr>
            <w:tcW w:w="1000" w:type="dxa"/>
            <w:shd w:val="clear" w:color="auto" w:fill="auto"/>
            <w:noWrap/>
            <w:vAlign w:val="bottom"/>
            <w:hideMark/>
          </w:tcPr>
          <w:p w14:paraId="1E50403F"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3,8714</w:t>
            </w:r>
          </w:p>
        </w:tc>
        <w:tc>
          <w:tcPr>
            <w:tcW w:w="1020" w:type="dxa"/>
            <w:shd w:val="clear" w:color="auto" w:fill="auto"/>
            <w:noWrap/>
            <w:vAlign w:val="bottom"/>
            <w:hideMark/>
          </w:tcPr>
          <w:p w14:paraId="07BD7287"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0,65765</w:t>
            </w:r>
          </w:p>
        </w:tc>
        <w:tc>
          <w:tcPr>
            <w:tcW w:w="740" w:type="dxa"/>
            <w:shd w:val="clear" w:color="auto" w:fill="auto"/>
            <w:noWrap/>
            <w:vAlign w:val="bottom"/>
            <w:hideMark/>
          </w:tcPr>
          <w:p w14:paraId="09DF5D05"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11,086</w:t>
            </w:r>
          </w:p>
        </w:tc>
        <w:tc>
          <w:tcPr>
            <w:tcW w:w="400" w:type="dxa"/>
            <w:shd w:val="clear" w:color="auto" w:fill="auto"/>
            <w:noWrap/>
            <w:vAlign w:val="bottom"/>
            <w:hideMark/>
          </w:tcPr>
          <w:p w14:paraId="5900303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77470FBD"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7C33AA5C"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5</w:t>
            </w:r>
          </w:p>
        </w:tc>
        <w:tc>
          <w:tcPr>
            <w:tcW w:w="1600" w:type="dxa"/>
            <w:shd w:val="clear" w:color="auto" w:fill="auto"/>
            <w:noWrap/>
            <w:vAlign w:val="bottom"/>
            <w:hideMark/>
          </w:tcPr>
          <w:p w14:paraId="651B906B"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435E9655" w14:textId="77777777" w:rsidTr="00F577B6">
        <w:trPr>
          <w:cantSplit/>
          <w:trHeight w:val="300"/>
        </w:trPr>
        <w:tc>
          <w:tcPr>
            <w:tcW w:w="1740" w:type="dxa"/>
            <w:shd w:val="clear" w:color="auto" w:fill="auto"/>
            <w:noWrap/>
            <w:vAlign w:val="bottom"/>
            <w:hideMark/>
          </w:tcPr>
          <w:p w14:paraId="6C87A65F"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10</w:t>
            </w:r>
          </w:p>
        </w:tc>
        <w:tc>
          <w:tcPr>
            <w:tcW w:w="1000" w:type="dxa"/>
            <w:shd w:val="clear" w:color="auto" w:fill="auto"/>
            <w:noWrap/>
            <w:vAlign w:val="bottom"/>
            <w:hideMark/>
          </w:tcPr>
          <w:p w14:paraId="2B066CBF"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3,7143</w:t>
            </w:r>
          </w:p>
        </w:tc>
        <w:tc>
          <w:tcPr>
            <w:tcW w:w="1020" w:type="dxa"/>
            <w:shd w:val="clear" w:color="auto" w:fill="auto"/>
            <w:noWrap/>
            <w:vAlign w:val="bottom"/>
            <w:hideMark/>
          </w:tcPr>
          <w:p w14:paraId="308693F5"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0,74489</w:t>
            </w:r>
          </w:p>
        </w:tc>
        <w:tc>
          <w:tcPr>
            <w:tcW w:w="740" w:type="dxa"/>
            <w:shd w:val="clear" w:color="auto" w:fill="auto"/>
            <w:noWrap/>
            <w:vAlign w:val="bottom"/>
            <w:hideMark/>
          </w:tcPr>
          <w:p w14:paraId="35E6FD2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8,023</w:t>
            </w:r>
          </w:p>
        </w:tc>
        <w:tc>
          <w:tcPr>
            <w:tcW w:w="400" w:type="dxa"/>
            <w:shd w:val="clear" w:color="auto" w:fill="auto"/>
            <w:noWrap/>
            <w:vAlign w:val="bottom"/>
            <w:hideMark/>
          </w:tcPr>
          <w:p w14:paraId="798B01F5"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64D6FBB4"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26831138"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9</w:t>
            </w:r>
          </w:p>
        </w:tc>
        <w:tc>
          <w:tcPr>
            <w:tcW w:w="1600" w:type="dxa"/>
            <w:shd w:val="clear" w:color="auto" w:fill="auto"/>
            <w:noWrap/>
            <w:vAlign w:val="bottom"/>
            <w:hideMark/>
          </w:tcPr>
          <w:p w14:paraId="0D38493E"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35905E55" w14:textId="77777777" w:rsidTr="00F577B6">
        <w:trPr>
          <w:cantSplit/>
          <w:trHeight w:val="300"/>
        </w:trPr>
        <w:tc>
          <w:tcPr>
            <w:tcW w:w="1740" w:type="dxa"/>
            <w:shd w:val="clear" w:color="auto" w:fill="auto"/>
            <w:noWrap/>
            <w:vAlign w:val="bottom"/>
            <w:hideMark/>
          </w:tcPr>
          <w:p w14:paraId="1EBA074F"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11</w:t>
            </w:r>
          </w:p>
        </w:tc>
        <w:tc>
          <w:tcPr>
            <w:tcW w:w="1000" w:type="dxa"/>
            <w:shd w:val="clear" w:color="auto" w:fill="auto"/>
            <w:noWrap/>
            <w:vAlign w:val="bottom"/>
            <w:hideMark/>
          </w:tcPr>
          <w:p w14:paraId="61B71FA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3,9714</w:t>
            </w:r>
          </w:p>
        </w:tc>
        <w:tc>
          <w:tcPr>
            <w:tcW w:w="1020" w:type="dxa"/>
            <w:shd w:val="clear" w:color="auto" w:fill="auto"/>
            <w:noWrap/>
            <w:vAlign w:val="bottom"/>
            <w:hideMark/>
          </w:tcPr>
          <w:p w14:paraId="49469EEA"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0,85077</w:t>
            </w:r>
          </w:p>
        </w:tc>
        <w:tc>
          <w:tcPr>
            <w:tcW w:w="740" w:type="dxa"/>
            <w:shd w:val="clear" w:color="auto" w:fill="auto"/>
            <w:noWrap/>
            <w:vAlign w:val="bottom"/>
            <w:hideMark/>
          </w:tcPr>
          <w:p w14:paraId="354B4EE6"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9,553</w:t>
            </w:r>
          </w:p>
        </w:tc>
        <w:tc>
          <w:tcPr>
            <w:tcW w:w="400" w:type="dxa"/>
            <w:shd w:val="clear" w:color="auto" w:fill="auto"/>
            <w:noWrap/>
            <w:vAlign w:val="bottom"/>
            <w:hideMark/>
          </w:tcPr>
          <w:p w14:paraId="251EA9DE"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24677B19"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30EA3291"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w:t>
            </w:r>
          </w:p>
        </w:tc>
        <w:tc>
          <w:tcPr>
            <w:tcW w:w="1600" w:type="dxa"/>
            <w:shd w:val="clear" w:color="auto" w:fill="auto"/>
            <w:noWrap/>
            <w:vAlign w:val="bottom"/>
            <w:hideMark/>
          </w:tcPr>
          <w:p w14:paraId="23A2BF44"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6DC5B558" w14:textId="77777777" w:rsidTr="00F577B6">
        <w:trPr>
          <w:cantSplit/>
          <w:trHeight w:val="300"/>
        </w:trPr>
        <w:tc>
          <w:tcPr>
            <w:tcW w:w="1740" w:type="dxa"/>
            <w:shd w:val="clear" w:color="auto" w:fill="auto"/>
            <w:noWrap/>
            <w:vAlign w:val="bottom"/>
            <w:hideMark/>
          </w:tcPr>
          <w:p w14:paraId="7E7FB96B" w14:textId="77777777" w:rsidR="00F577B6" w:rsidRPr="006A6BE2" w:rsidRDefault="00F577B6" w:rsidP="006A6BE2">
            <w:pPr>
              <w:pStyle w:val="Sansinterligne"/>
              <w:spacing w:line="360" w:lineRule="auto"/>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Item 12</w:t>
            </w:r>
          </w:p>
        </w:tc>
        <w:tc>
          <w:tcPr>
            <w:tcW w:w="1000" w:type="dxa"/>
            <w:shd w:val="clear" w:color="auto" w:fill="auto"/>
            <w:noWrap/>
            <w:vAlign w:val="bottom"/>
            <w:hideMark/>
          </w:tcPr>
          <w:p w14:paraId="04F93636"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3,9286</w:t>
            </w:r>
          </w:p>
        </w:tc>
        <w:tc>
          <w:tcPr>
            <w:tcW w:w="1020" w:type="dxa"/>
            <w:shd w:val="clear" w:color="auto" w:fill="auto"/>
            <w:noWrap/>
            <w:vAlign w:val="bottom"/>
            <w:hideMark/>
          </w:tcPr>
          <w:p w14:paraId="67A15E4D"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0,8899</w:t>
            </w:r>
          </w:p>
        </w:tc>
        <w:tc>
          <w:tcPr>
            <w:tcW w:w="740" w:type="dxa"/>
            <w:shd w:val="clear" w:color="auto" w:fill="auto"/>
            <w:noWrap/>
            <w:vAlign w:val="bottom"/>
            <w:hideMark/>
          </w:tcPr>
          <w:p w14:paraId="34ABA204"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8,73</w:t>
            </w:r>
          </w:p>
        </w:tc>
        <w:tc>
          <w:tcPr>
            <w:tcW w:w="400" w:type="dxa"/>
            <w:shd w:val="clear" w:color="auto" w:fill="auto"/>
            <w:noWrap/>
            <w:vAlign w:val="bottom"/>
            <w:hideMark/>
          </w:tcPr>
          <w:p w14:paraId="37733877"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5A49EBDF"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60EA9E28"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w:t>
            </w:r>
          </w:p>
        </w:tc>
        <w:tc>
          <w:tcPr>
            <w:tcW w:w="1600" w:type="dxa"/>
            <w:shd w:val="clear" w:color="auto" w:fill="auto"/>
            <w:noWrap/>
            <w:vAlign w:val="bottom"/>
            <w:hideMark/>
          </w:tcPr>
          <w:p w14:paraId="23C23DB3"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r w:rsidR="006A6BE2" w:rsidRPr="006A6BE2" w14:paraId="7922AB7C" w14:textId="77777777" w:rsidTr="00F577B6">
        <w:trPr>
          <w:cantSplit/>
          <w:trHeight w:val="300"/>
        </w:trPr>
        <w:tc>
          <w:tcPr>
            <w:tcW w:w="1740" w:type="dxa"/>
            <w:shd w:val="clear" w:color="auto" w:fill="auto"/>
            <w:noWrap/>
            <w:vAlign w:val="bottom"/>
            <w:hideMark/>
          </w:tcPr>
          <w:p w14:paraId="54CAEF72" w14:textId="77777777" w:rsidR="00F577B6" w:rsidRPr="006A6BE2" w:rsidRDefault="00F577B6" w:rsidP="006A6BE2">
            <w:pPr>
              <w:pStyle w:val="Sansinterligne"/>
              <w:spacing w:line="360" w:lineRule="auto"/>
              <w:ind w:firstLine="0"/>
              <w:rPr>
                <w:rFonts w:asciiTheme="majorBidi" w:hAnsiTheme="majorBidi" w:cstheme="majorBidi"/>
                <w:b/>
                <w:bCs/>
                <w:color w:val="000000"/>
                <w:sz w:val="24"/>
                <w:szCs w:val="24"/>
                <w:lang w:eastAsia="fr-FR"/>
              </w:rPr>
            </w:pPr>
            <w:r w:rsidRPr="006A6BE2">
              <w:rPr>
                <w:rFonts w:asciiTheme="majorBidi" w:hAnsiTheme="majorBidi" w:cstheme="majorBidi"/>
                <w:b/>
                <w:bCs/>
                <w:color w:val="000000"/>
                <w:sz w:val="24"/>
                <w:szCs w:val="24"/>
                <w:lang w:eastAsia="fr-FR"/>
              </w:rPr>
              <w:t>Image de marque</w:t>
            </w:r>
          </w:p>
        </w:tc>
        <w:tc>
          <w:tcPr>
            <w:tcW w:w="1000" w:type="dxa"/>
            <w:shd w:val="clear" w:color="auto" w:fill="auto"/>
            <w:noWrap/>
            <w:vAlign w:val="bottom"/>
            <w:hideMark/>
          </w:tcPr>
          <w:p w14:paraId="0850D9A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3,7968</w:t>
            </w:r>
          </w:p>
        </w:tc>
        <w:tc>
          <w:tcPr>
            <w:tcW w:w="1020" w:type="dxa"/>
            <w:shd w:val="clear" w:color="auto" w:fill="auto"/>
            <w:noWrap/>
            <w:vAlign w:val="bottom"/>
            <w:hideMark/>
          </w:tcPr>
          <w:p w14:paraId="20B9E0F0"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0,52247</w:t>
            </w:r>
          </w:p>
        </w:tc>
        <w:tc>
          <w:tcPr>
            <w:tcW w:w="740" w:type="dxa"/>
            <w:shd w:val="clear" w:color="auto" w:fill="auto"/>
            <w:noWrap/>
            <w:vAlign w:val="bottom"/>
            <w:hideMark/>
          </w:tcPr>
          <w:p w14:paraId="15F71CCC"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12,759</w:t>
            </w:r>
          </w:p>
        </w:tc>
        <w:tc>
          <w:tcPr>
            <w:tcW w:w="400" w:type="dxa"/>
            <w:shd w:val="clear" w:color="auto" w:fill="auto"/>
            <w:noWrap/>
            <w:vAlign w:val="bottom"/>
            <w:hideMark/>
          </w:tcPr>
          <w:p w14:paraId="44188E22"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69</w:t>
            </w:r>
          </w:p>
        </w:tc>
        <w:tc>
          <w:tcPr>
            <w:tcW w:w="580" w:type="dxa"/>
            <w:shd w:val="clear" w:color="auto" w:fill="auto"/>
            <w:noWrap/>
            <w:vAlign w:val="bottom"/>
            <w:hideMark/>
          </w:tcPr>
          <w:p w14:paraId="7D1187E3" w14:textId="77777777" w:rsidR="00F577B6" w:rsidRPr="006A6BE2" w:rsidRDefault="00F577B6" w:rsidP="006A6BE2">
            <w:pPr>
              <w:pStyle w:val="Sansinterligne"/>
              <w:spacing w:line="360" w:lineRule="auto"/>
              <w:ind w:firstLine="0"/>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0.000</w:t>
            </w:r>
          </w:p>
        </w:tc>
        <w:tc>
          <w:tcPr>
            <w:tcW w:w="1340" w:type="dxa"/>
            <w:shd w:val="clear" w:color="auto" w:fill="auto"/>
            <w:noWrap/>
            <w:vAlign w:val="bottom"/>
            <w:hideMark/>
          </w:tcPr>
          <w:p w14:paraId="249711FE"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w:t>
            </w:r>
          </w:p>
        </w:tc>
        <w:tc>
          <w:tcPr>
            <w:tcW w:w="1600" w:type="dxa"/>
            <w:shd w:val="clear" w:color="auto" w:fill="auto"/>
            <w:noWrap/>
            <w:vAlign w:val="bottom"/>
            <w:hideMark/>
          </w:tcPr>
          <w:p w14:paraId="529A00EF" w14:textId="77777777" w:rsidR="00F577B6" w:rsidRPr="006A6BE2" w:rsidRDefault="00F577B6" w:rsidP="006A6BE2">
            <w:pPr>
              <w:pStyle w:val="Sansinterligne"/>
              <w:spacing w:line="360" w:lineRule="auto"/>
              <w:rPr>
                <w:rFonts w:asciiTheme="majorBidi" w:hAnsiTheme="majorBidi" w:cstheme="majorBidi"/>
                <w:color w:val="000000"/>
                <w:sz w:val="24"/>
                <w:szCs w:val="24"/>
                <w:lang w:eastAsia="fr-FR"/>
              </w:rPr>
            </w:pPr>
            <w:r w:rsidRPr="006A6BE2">
              <w:rPr>
                <w:rFonts w:asciiTheme="majorBidi" w:hAnsiTheme="majorBidi" w:cstheme="majorBidi"/>
                <w:color w:val="000000"/>
                <w:sz w:val="24"/>
                <w:szCs w:val="24"/>
                <w:lang w:eastAsia="fr-FR"/>
              </w:rPr>
              <w:t>D'accord</w:t>
            </w:r>
          </w:p>
        </w:tc>
      </w:tr>
    </w:tbl>
    <w:p w14:paraId="4219AC02" w14:textId="77777777" w:rsidR="00F577B6" w:rsidRPr="0001793C" w:rsidRDefault="00F577B6" w:rsidP="00F577B6">
      <w:pPr>
        <w:pStyle w:val="Paragraphedeliste"/>
        <w:jc w:val="center"/>
        <w:rPr>
          <w:rFonts w:cstheme="majorBidi"/>
        </w:rPr>
      </w:pPr>
      <w:r w:rsidRPr="0001793C">
        <w:rPr>
          <w:rFonts w:cstheme="majorBidi"/>
          <w:b/>
          <w:bCs/>
        </w:rPr>
        <w:fldChar w:fldCharType="end"/>
      </w:r>
      <w:r w:rsidRPr="0001793C">
        <w:rPr>
          <w:rFonts w:cstheme="majorBidi"/>
          <w:b/>
          <w:bCs/>
        </w:rPr>
        <w:br w:type="textWrapping" w:clear="all"/>
      </w: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6DE89B38" w14:textId="77777777" w:rsidR="00F577B6" w:rsidRPr="00BE3BDB" w:rsidRDefault="00F577B6" w:rsidP="00C61DD9">
      <w:r w:rsidRPr="00BE3BDB">
        <w:rPr>
          <w:b/>
          <w:bCs/>
        </w:rPr>
        <w:t xml:space="preserve">     </w:t>
      </w:r>
      <w:r w:rsidRPr="00BE3BDB">
        <w:t>Le tableau ci-dessus analyse la perception des répondants quant à l’image de marque de GICA, à travers douze affirmations :</w:t>
      </w:r>
    </w:p>
    <w:p w14:paraId="0F97B306" w14:textId="77777777" w:rsidR="00AC729A" w:rsidRPr="00AC729A" w:rsidRDefault="00F577B6" w:rsidP="00AC729A">
      <w:pPr>
        <w:pStyle w:val="Paragraphedeliste"/>
        <w:numPr>
          <w:ilvl w:val="0"/>
          <w:numId w:val="12"/>
        </w:numPr>
        <w:jc w:val="left"/>
      </w:pPr>
      <w:r w:rsidRPr="00BE3BDB">
        <w:t xml:space="preserve">Item </w:t>
      </w:r>
      <w:r>
        <w:t>11</w:t>
      </w:r>
      <w:r w:rsidRPr="00BE3BDB">
        <w:t xml:space="preserve"> : « GICA est perçue comme une marque sérieuse et professionnelle » se positionne en première place, avec une moyenne de 3,9714 et une valeur t de 9,553, largement supérieure à la valeur critique, avec un niveau de signification de 0,000. </w:t>
      </w:r>
      <w:r w:rsidR="00AC729A" w:rsidRPr="00AC729A">
        <w:t>Ce résultat indique un fort consensus des répondants sur le sérieux et le professionnalisme associés à la marque SCHB-GICA. Cette perception est sans doute liée à la rigueur perçue dans les processus industriels, à son statut de groupe public, ainsi qu’à la stabilité de son image</w:t>
      </w:r>
    </w:p>
    <w:p w14:paraId="49BBB470" w14:textId="77777777" w:rsidR="00F577B6" w:rsidRPr="00BE3BDB" w:rsidRDefault="00F577B6" w:rsidP="00FB0F4A">
      <w:pPr>
        <w:pStyle w:val="Paragraphedeliste"/>
        <w:numPr>
          <w:ilvl w:val="0"/>
          <w:numId w:val="12"/>
        </w:numPr>
      </w:pPr>
      <w:r w:rsidRPr="00BE3BDB">
        <w:t xml:space="preserve">Item </w:t>
      </w:r>
      <w:r>
        <w:t>8</w:t>
      </w:r>
      <w:r w:rsidRPr="00BE3BDB">
        <w:t>: « L’apparence visuelle (logo, couleur, nom) de GICA renforce son image positive » arrive en deuxième position, avec une moyenne de 3,9571 et une valeur t de 12,38, signe d’une perception très positive de l’identité visuelle, qui joue un rôle clé dans la construction de l’image de la marque.</w:t>
      </w:r>
    </w:p>
    <w:p w14:paraId="4105FC90" w14:textId="77777777" w:rsidR="00F577B6" w:rsidRPr="00BE3BDB" w:rsidRDefault="00F577B6" w:rsidP="006F6589">
      <w:pPr>
        <w:pStyle w:val="Paragraphedeliste"/>
        <w:numPr>
          <w:ilvl w:val="0"/>
          <w:numId w:val="12"/>
        </w:numPr>
      </w:pPr>
      <w:r w:rsidRPr="00BE3BDB">
        <w:t xml:space="preserve">Item </w:t>
      </w:r>
      <w:r>
        <w:t>12</w:t>
      </w:r>
      <w:r w:rsidRPr="00BE3BDB">
        <w:t xml:space="preserve"> : « GICA reflète une image cohérente et bien définie » se place en troisième position, avec une moyenne de 3,9286 et une valeur t de 8,73. Les répondants reconnaissent ainsi une identité claire et stable, renforçant la crédibilité de la marque.</w:t>
      </w:r>
    </w:p>
    <w:p w14:paraId="1DB6EBEB" w14:textId="77777777" w:rsidR="00AC729A" w:rsidRDefault="00F577B6" w:rsidP="00FB0F4A">
      <w:pPr>
        <w:pStyle w:val="Paragraphedeliste"/>
        <w:numPr>
          <w:ilvl w:val="0"/>
          <w:numId w:val="12"/>
        </w:numPr>
      </w:pPr>
      <w:r w:rsidRPr="00BE3BDB">
        <w:t xml:space="preserve">Item </w:t>
      </w:r>
      <w:r>
        <w:t>1</w:t>
      </w:r>
      <w:r w:rsidRPr="00BE3BDB">
        <w:t xml:space="preserve"> : « L’identité de la marque GICA est forte et facilement reconnaissable » obtient une moyenne de 3,9143 et une valeur t élevée de 11,324. </w:t>
      </w:r>
      <w:r w:rsidR="00AC729A" w:rsidRPr="00AC729A">
        <w:t>Ce résultat confirme la capacité de la marque à se distinguer efficacement dans l’esprit des clients confirme cette reconnaissance. La marque se distingue aisément de ses concurrents, notamment par sa longévité, ses standards de production, et ses initiatives institutionnelles locales</w:t>
      </w:r>
    </w:p>
    <w:p w14:paraId="0D85546A" w14:textId="77777777" w:rsidR="00F577B6" w:rsidRPr="00BE3BDB" w:rsidRDefault="00F577B6" w:rsidP="00FB0F4A">
      <w:pPr>
        <w:pStyle w:val="Paragraphedeliste"/>
        <w:numPr>
          <w:ilvl w:val="0"/>
          <w:numId w:val="12"/>
        </w:numPr>
      </w:pPr>
      <w:r w:rsidRPr="00BE3BDB">
        <w:lastRenderedPageBreak/>
        <w:t xml:space="preserve">Item </w:t>
      </w:r>
      <w:r>
        <w:t>9</w:t>
      </w:r>
      <w:r w:rsidRPr="00BE3BDB">
        <w:t xml:space="preserve"> : « GICA offre quelque chose d’unique sur le marché du ciment » arrive en cinquième position, avec une moyenne de 3,8714 et une valeur t de 11,086, indiquant que les répondants perçoivent la marque comme innovante et différenciante</w:t>
      </w:r>
      <w:r w:rsidR="00AC729A">
        <w:t xml:space="preserve"> </w:t>
      </w:r>
      <w:r w:rsidRPr="00BE3BDB">
        <w:t>.</w:t>
      </w:r>
    </w:p>
    <w:p w14:paraId="4F042945" w14:textId="77777777" w:rsidR="00F577B6" w:rsidRPr="00BE3BDB" w:rsidRDefault="00F577B6" w:rsidP="006F6589">
      <w:pPr>
        <w:pStyle w:val="Paragraphedeliste"/>
        <w:numPr>
          <w:ilvl w:val="0"/>
          <w:numId w:val="12"/>
        </w:numPr>
      </w:pPr>
      <w:r w:rsidRPr="00BE3BDB">
        <w:t xml:space="preserve">Item </w:t>
      </w:r>
      <w:r>
        <w:t>3</w:t>
      </w:r>
      <w:r w:rsidRPr="00BE3BDB">
        <w:t xml:space="preserve"> : « GICA se distingue des autres marques de ciment » obtient une moyenne de 3,8429 et une valeur t de 11,217, témoignant d’une perception claire de la singularité de la marque dans son secteur.</w:t>
      </w:r>
    </w:p>
    <w:p w14:paraId="6DB00FD5" w14:textId="77777777" w:rsidR="00AC729A" w:rsidRDefault="00F577B6" w:rsidP="00AC729A">
      <w:pPr>
        <w:pStyle w:val="Paragraphedeliste"/>
        <w:numPr>
          <w:ilvl w:val="0"/>
          <w:numId w:val="12"/>
        </w:numPr>
      </w:pPr>
      <w:r w:rsidRPr="00BE3BDB">
        <w:t xml:space="preserve">Item </w:t>
      </w:r>
      <w:r>
        <w:t>5</w:t>
      </w:r>
      <w:r w:rsidRPr="00BE3BDB">
        <w:t xml:space="preserve"> : « L’image de GICA est différente des autres entreprises du secteur » est classée en septième position avec une moyenne de 3,7857 et une valeur t de 8,07, renforçant l’idée d’une image distinctive.</w:t>
      </w:r>
    </w:p>
    <w:p w14:paraId="165C616E" w14:textId="77777777" w:rsidR="00AC729A" w:rsidRPr="00AC729A" w:rsidRDefault="00AC729A" w:rsidP="00AC729A">
      <w:pPr>
        <w:pStyle w:val="Paragraphedeliste"/>
        <w:ind w:left="1060" w:firstLine="0"/>
        <w:rPr>
          <w:b/>
          <w:bCs/>
        </w:rPr>
      </w:pPr>
      <w:r w:rsidRPr="00AC729A">
        <w:t xml:space="preserve"> </w:t>
      </w:r>
      <w:r w:rsidRPr="00AC729A">
        <w:rPr>
          <w:b/>
          <w:bCs/>
        </w:rPr>
        <w:t xml:space="preserve">Il est a noté   que Items 9, 3 et 5: mesurent la différenciation de GICA </w:t>
      </w:r>
    </w:p>
    <w:p w14:paraId="711286F5" w14:textId="77777777" w:rsidR="00F577B6" w:rsidRPr="00AC729A" w:rsidRDefault="00AC729A" w:rsidP="00AC729A">
      <w:pPr>
        <w:pStyle w:val="Paragraphedeliste"/>
        <w:ind w:left="1060" w:firstLine="0"/>
        <w:rPr>
          <w:b/>
          <w:bCs/>
        </w:rPr>
      </w:pPr>
      <w:r w:rsidRPr="00AC729A">
        <w:rPr>
          <w:b/>
          <w:bCs/>
        </w:rPr>
        <w:t xml:space="preserve">et montrent  davantage que les répondants perçoivent la marque comme innovante et singulière, ce qui est un atout stratégique dans un secteur perçu comme technique et peu différencié. Ce positionnement peut être appuyé par des pratiques comme l’intégration de la valorisation des déchets, le </w:t>
      </w:r>
      <w:proofErr w:type="spellStart"/>
      <w:r w:rsidRPr="00AC729A">
        <w:rPr>
          <w:b/>
          <w:bCs/>
        </w:rPr>
        <w:t>co-processing</w:t>
      </w:r>
      <w:proofErr w:type="spellEnd"/>
      <w:r w:rsidRPr="00AC729A">
        <w:rPr>
          <w:b/>
          <w:bCs/>
        </w:rPr>
        <w:t>, et les initiatives RSE visibles.</w:t>
      </w:r>
    </w:p>
    <w:p w14:paraId="6ED06893" w14:textId="77777777" w:rsidR="00AC729A" w:rsidRPr="00BE3BDB" w:rsidRDefault="00AC729A" w:rsidP="00AC729A">
      <w:pPr>
        <w:pStyle w:val="Paragraphedeliste"/>
        <w:ind w:left="1060" w:firstLine="0"/>
      </w:pPr>
    </w:p>
    <w:p w14:paraId="4C48CE1B" w14:textId="77777777" w:rsidR="00F577B6" w:rsidRPr="00BE3BDB" w:rsidRDefault="00F577B6" w:rsidP="006F6589">
      <w:pPr>
        <w:pStyle w:val="Paragraphedeliste"/>
        <w:numPr>
          <w:ilvl w:val="0"/>
          <w:numId w:val="12"/>
        </w:numPr>
      </w:pPr>
      <w:r w:rsidRPr="00BE3BDB">
        <w:t xml:space="preserve">Item </w:t>
      </w:r>
      <w:r>
        <w:t>2</w:t>
      </w:r>
      <w:r w:rsidRPr="00BE3BDB">
        <w:t xml:space="preserve"> : « Je reconnais facilement GICA parmi les autres marques concurrentes » obtient une moyenne de 3,7143 et une valeur t de 8,023, ce qui traduit une bonne reconnaissance visuelle et mémorielle de la marque.</w:t>
      </w:r>
    </w:p>
    <w:p w14:paraId="2017C1A5" w14:textId="77777777" w:rsidR="00AC729A" w:rsidRPr="00AC729A" w:rsidRDefault="00F577B6" w:rsidP="00AC729A">
      <w:pPr>
        <w:pStyle w:val="Paragraphedeliste"/>
        <w:numPr>
          <w:ilvl w:val="0"/>
          <w:numId w:val="12"/>
        </w:numPr>
        <w:jc w:val="left"/>
      </w:pPr>
      <w:r w:rsidRPr="00BE3BDB">
        <w:t>Item 1</w:t>
      </w:r>
      <w:r>
        <w:t>0</w:t>
      </w:r>
      <w:r w:rsidRPr="00BE3BDB">
        <w:t xml:space="preserve"> : « L’image de GICA donne une impression de solidité et de fiabilité » arrive en </w:t>
      </w:r>
      <w:r>
        <w:t xml:space="preserve">neuvième </w:t>
      </w:r>
      <w:r w:rsidRPr="00BE3BDB">
        <w:t xml:space="preserve">position, avec une moyenne de 3,7143 et une valeur t de 8,737, </w:t>
      </w:r>
      <w:r w:rsidR="00AC729A" w:rsidRPr="00AC729A">
        <w:t>confirmant que la marque inspire confiance dans la stabilité technique et organisationnelle de l’entreprise</w:t>
      </w:r>
      <w:r w:rsidR="00AC729A">
        <w:t xml:space="preserve"> (SCCHB-GICA)</w:t>
      </w:r>
      <w:r w:rsidR="00AC729A" w:rsidRPr="00AC729A">
        <w:t>.</w:t>
      </w:r>
    </w:p>
    <w:p w14:paraId="4A6C96A1" w14:textId="77777777" w:rsidR="00F577B6" w:rsidRPr="00BE3BDB" w:rsidRDefault="00F577B6" w:rsidP="00AC729A">
      <w:pPr>
        <w:pStyle w:val="Paragraphedeliste"/>
        <w:ind w:left="1060" w:firstLine="0"/>
      </w:pPr>
    </w:p>
    <w:p w14:paraId="42DB8777" w14:textId="77777777" w:rsidR="00AC729A" w:rsidRPr="00AC729A" w:rsidRDefault="00F577B6" w:rsidP="00AC729A">
      <w:pPr>
        <w:pStyle w:val="Paragraphedeliste"/>
        <w:numPr>
          <w:ilvl w:val="0"/>
          <w:numId w:val="12"/>
        </w:numPr>
        <w:jc w:val="left"/>
      </w:pPr>
      <w:r w:rsidRPr="00BE3BDB">
        <w:t xml:space="preserve">Item </w:t>
      </w:r>
      <w:r>
        <w:t>4</w:t>
      </w:r>
      <w:r w:rsidRPr="00BE3BDB">
        <w:t xml:space="preserve"> : « La communication de GICA rend la marque attrayante à mes yeux » obtient une moyenne de 3,6429 et une valeur t de 8,147, </w:t>
      </w:r>
      <w:r w:rsidR="00AC729A" w:rsidRPr="00AC729A">
        <w:t>montrant que les stratégies de communication sont perçues comme efficaces et séduisantes en termes de créativité, accessibilité, et transparence environnementale.</w:t>
      </w:r>
    </w:p>
    <w:p w14:paraId="7AE8A60F" w14:textId="77777777" w:rsidR="00F577B6" w:rsidRPr="00BE3BDB" w:rsidRDefault="00F577B6" w:rsidP="00FB0F4A">
      <w:pPr>
        <w:pStyle w:val="Paragraphedeliste"/>
        <w:numPr>
          <w:ilvl w:val="0"/>
          <w:numId w:val="12"/>
        </w:numPr>
      </w:pPr>
      <w:r w:rsidRPr="00BE3BDB">
        <w:t xml:space="preserve">Item </w:t>
      </w:r>
      <w:r>
        <w:t>6</w:t>
      </w:r>
      <w:r w:rsidRPr="00BE3BDB">
        <w:t xml:space="preserve"> : « GICA est une marque que j’estime valorisante pour une entreprise ou un projet de construction » obtient une moyenne de 3,5072 et une valeur t de 6,026, indiquant un accord plus modéré mais toujours favorable sur le rôle valorisant de la marque.</w:t>
      </w:r>
    </w:p>
    <w:p w14:paraId="4A3798BE" w14:textId="77777777" w:rsidR="00F577B6" w:rsidRPr="00BE3BDB" w:rsidRDefault="00F577B6" w:rsidP="006F6589">
      <w:pPr>
        <w:pStyle w:val="Paragraphedeliste"/>
        <w:numPr>
          <w:ilvl w:val="0"/>
          <w:numId w:val="12"/>
        </w:numPr>
      </w:pPr>
      <w:r w:rsidRPr="00BE3BDB">
        <w:lastRenderedPageBreak/>
        <w:t xml:space="preserve">Item </w:t>
      </w:r>
      <w:r>
        <w:t>7</w:t>
      </w:r>
      <w:r w:rsidRPr="00BE3BDB">
        <w:t xml:space="preserve"> : « GICA représente bien les valeurs d’une entreprise industrielle moderne » est en dernière position, avec une moyenne de 3,7 et une valeur t de 6,701, ce qui reste un accord clair sur la modernité et les valeurs véhiculées par la marque.</w:t>
      </w:r>
    </w:p>
    <w:p w14:paraId="51EB7E46" w14:textId="77777777" w:rsidR="006D432A" w:rsidRPr="00063796" w:rsidRDefault="00F577B6" w:rsidP="00063796">
      <w:r>
        <w:t xml:space="preserve">   </w:t>
      </w:r>
      <w:r w:rsidRPr="00497693">
        <w:t>Conclusion générale de la dimension : La moyenne globale de la dimension « Image de marque » est de 3,7968, avec un écart type de 0,52247. La valeur t globale de 12,759 et la signification statistique de 0,000 confirment la robustesse et la validité des résultats. L’ensemble des items montre un niveau d’accord général clairement positif, attestant que GICA bénéficie d’une image forte, cohérente et valorisante. La marque est perçue comme sérieuse, professionnelle, distinctive, et son identité visuelle contribue fortement à cette image favorable.</w:t>
      </w:r>
    </w:p>
    <w:p w14:paraId="525827AF" w14:textId="77777777" w:rsidR="00F577B6" w:rsidRPr="0077731B" w:rsidRDefault="00F577B6" w:rsidP="000B457B">
      <w:pPr>
        <w:pStyle w:val="Titre2"/>
        <w:numPr>
          <w:ilvl w:val="1"/>
          <w:numId w:val="38"/>
        </w:numPr>
      </w:pPr>
      <w:bookmarkStart w:id="156" w:name="_Toc200825479"/>
      <w:r w:rsidRPr="0077731B">
        <w:t>Tester les hypothèses et discuter les résultats de l’étude</w:t>
      </w:r>
      <w:bookmarkEnd w:id="156"/>
      <w:r w:rsidRPr="0077731B">
        <w:t xml:space="preserve"> </w:t>
      </w:r>
    </w:p>
    <w:p w14:paraId="1AF73FC4" w14:textId="77777777" w:rsidR="00F577B6" w:rsidRPr="0077731B" w:rsidRDefault="00F577B6" w:rsidP="000B457B">
      <w:pPr>
        <w:pStyle w:val="Titre3"/>
        <w:numPr>
          <w:ilvl w:val="2"/>
          <w:numId w:val="38"/>
        </w:numPr>
      </w:pPr>
      <w:bookmarkStart w:id="157" w:name="_Toc200825480"/>
      <w:r w:rsidRPr="0077731B">
        <w:t>La fiabilité de questionnaire :</w:t>
      </w:r>
      <w:bookmarkEnd w:id="157"/>
    </w:p>
    <w:p w14:paraId="1A55F7DB" w14:textId="77777777" w:rsidR="00F577B6" w:rsidRPr="00063796" w:rsidRDefault="00063796" w:rsidP="00063796">
      <w:pPr>
        <w:pStyle w:val="Lgende"/>
        <w:jc w:val="center"/>
        <w:rPr>
          <w:rFonts w:cstheme="majorBidi"/>
          <w:i w:val="0"/>
          <w:iCs w:val="0"/>
          <w:color w:val="000000" w:themeColor="text1"/>
          <w:sz w:val="24"/>
          <w:szCs w:val="24"/>
        </w:rPr>
      </w:pPr>
      <w:bookmarkStart w:id="158" w:name="_Toc200731412"/>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19</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fiabilité de questionnaire</w:t>
      </w:r>
      <w:bookmarkEnd w:id="158"/>
    </w:p>
    <w:tbl>
      <w:tblPr>
        <w:tblpPr w:leftFromText="141" w:rightFromText="141" w:vertAnchor="text" w:horzAnchor="page" w:tblpXSpec="center" w:tblpY="-70"/>
        <w:tblW w:w="5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0"/>
        <w:gridCol w:w="2787"/>
      </w:tblGrid>
      <w:tr w:rsidR="00F577B6" w:rsidRPr="006A6BE2" w14:paraId="07DA0E08" w14:textId="77777777" w:rsidTr="006A6BE2">
        <w:trPr>
          <w:cantSplit/>
          <w:trHeight w:val="284"/>
        </w:trPr>
        <w:tc>
          <w:tcPr>
            <w:tcW w:w="2620" w:type="dxa"/>
            <w:shd w:val="clear" w:color="auto" w:fill="auto"/>
            <w:noWrap/>
            <w:vAlign w:val="bottom"/>
            <w:hideMark/>
          </w:tcPr>
          <w:p w14:paraId="6F124221" w14:textId="77777777" w:rsidR="00F577B6" w:rsidRPr="006A6BE2" w:rsidRDefault="00F577B6" w:rsidP="006A6BE2">
            <w:pPr>
              <w:pStyle w:val="Sansinterligne"/>
              <w:spacing w:line="480" w:lineRule="auto"/>
              <w:jc w:val="center"/>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Alpha de Cronbach</w:t>
            </w:r>
          </w:p>
        </w:tc>
        <w:tc>
          <w:tcPr>
            <w:tcW w:w="2787" w:type="dxa"/>
            <w:shd w:val="clear" w:color="auto" w:fill="auto"/>
            <w:noWrap/>
            <w:vAlign w:val="bottom"/>
            <w:hideMark/>
          </w:tcPr>
          <w:p w14:paraId="2A7FE752" w14:textId="77777777" w:rsidR="00F577B6" w:rsidRPr="006A6BE2" w:rsidRDefault="00F577B6" w:rsidP="006A6BE2">
            <w:pPr>
              <w:pStyle w:val="Sansinterligne"/>
              <w:spacing w:line="480" w:lineRule="auto"/>
              <w:jc w:val="center"/>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Nombre d'éléments</w:t>
            </w:r>
          </w:p>
        </w:tc>
      </w:tr>
      <w:tr w:rsidR="00F577B6" w:rsidRPr="006A6BE2" w14:paraId="592DCB1F" w14:textId="77777777" w:rsidTr="006A6BE2">
        <w:trPr>
          <w:cantSplit/>
          <w:trHeight w:val="284"/>
        </w:trPr>
        <w:tc>
          <w:tcPr>
            <w:tcW w:w="2620" w:type="dxa"/>
            <w:shd w:val="clear" w:color="auto" w:fill="auto"/>
            <w:noWrap/>
            <w:vAlign w:val="bottom"/>
            <w:hideMark/>
          </w:tcPr>
          <w:p w14:paraId="53590932" w14:textId="77777777" w:rsidR="00F577B6" w:rsidRPr="006A6BE2" w:rsidRDefault="00F577B6" w:rsidP="006A6BE2">
            <w:pPr>
              <w:pStyle w:val="Sansinterligne"/>
              <w:spacing w:line="480" w:lineRule="auto"/>
              <w:jc w:val="center"/>
              <w:rPr>
                <w:rFonts w:asciiTheme="majorBidi" w:hAnsiTheme="majorBidi" w:cstheme="majorBidi"/>
                <w:sz w:val="24"/>
                <w:szCs w:val="24"/>
                <w:lang w:eastAsia="fr-FR"/>
              </w:rPr>
            </w:pPr>
            <w:r w:rsidRPr="006A6BE2">
              <w:rPr>
                <w:rFonts w:asciiTheme="majorBidi" w:hAnsiTheme="majorBidi" w:cstheme="majorBidi"/>
                <w:sz w:val="24"/>
                <w:szCs w:val="24"/>
                <w:lang w:eastAsia="fr-FR"/>
              </w:rPr>
              <w:t>0,918</w:t>
            </w:r>
          </w:p>
        </w:tc>
        <w:tc>
          <w:tcPr>
            <w:tcW w:w="2787" w:type="dxa"/>
            <w:shd w:val="clear" w:color="auto" w:fill="auto"/>
            <w:noWrap/>
            <w:vAlign w:val="bottom"/>
            <w:hideMark/>
          </w:tcPr>
          <w:p w14:paraId="19C29729" w14:textId="77777777" w:rsidR="00F577B6" w:rsidRPr="006A6BE2" w:rsidRDefault="00F577B6" w:rsidP="006A6BE2">
            <w:pPr>
              <w:pStyle w:val="Sansinterligne"/>
              <w:spacing w:line="480" w:lineRule="auto"/>
              <w:jc w:val="center"/>
              <w:rPr>
                <w:rFonts w:asciiTheme="majorBidi" w:hAnsiTheme="majorBidi" w:cstheme="majorBidi"/>
                <w:sz w:val="24"/>
                <w:szCs w:val="24"/>
                <w:lang w:eastAsia="fr-FR"/>
              </w:rPr>
            </w:pPr>
            <w:r w:rsidRPr="006A6BE2">
              <w:rPr>
                <w:rFonts w:asciiTheme="majorBidi" w:hAnsiTheme="majorBidi" w:cstheme="majorBidi"/>
                <w:sz w:val="24"/>
                <w:szCs w:val="24"/>
                <w:lang w:eastAsia="fr-FR"/>
              </w:rPr>
              <w:t>24</w:t>
            </w:r>
          </w:p>
        </w:tc>
      </w:tr>
    </w:tbl>
    <w:p w14:paraId="4CD64C30" w14:textId="77777777" w:rsidR="00F577B6" w:rsidRPr="00BE3BDB" w:rsidRDefault="00F577B6" w:rsidP="00F577B6">
      <w:pPr>
        <w:tabs>
          <w:tab w:val="left" w:pos="3375"/>
        </w:tabs>
        <w:ind w:left="720"/>
        <w:jc w:val="center"/>
        <w:rPr>
          <w:rFonts w:cstheme="majorBidi"/>
        </w:rPr>
      </w:pPr>
      <w:r w:rsidRPr="00BE3BDB">
        <w:rPr>
          <w:rFonts w:cstheme="majorBidi"/>
        </w:rPr>
        <w:fldChar w:fldCharType="begin"/>
      </w:r>
      <w:r w:rsidRPr="00BE3BDB">
        <w:rPr>
          <w:rFonts w:cstheme="majorBidi"/>
        </w:rPr>
        <w:instrText xml:space="preserve"> LINK Excel.Sheet.12 "C:\\Users\\yahia cherif\\Desktop\\Analyse des données\\2025\\Asma\\ttableau.xlsx" Sheet1!R5C5:R6C6 \a \f 4 \h  \* MERGEFORMAT </w:instrText>
      </w:r>
      <w:r w:rsidRPr="00BE3BDB">
        <w:rPr>
          <w:rFonts w:cstheme="majorBidi"/>
        </w:rPr>
        <w:fldChar w:fldCharType="separate"/>
      </w:r>
    </w:p>
    <w:p w14:paraId="5435A4CE" w14:textId="77777777" w:rsidR="00F577B6" w:rsidRDefault="00F577B6" w:rsidP="00F577B6">
      <w:pPr>
        <w:tabs>
          <w:tab w:val="left" w:pos="3375"/>
        </w:tabs>
        <w:ind w:left="720"/>
        <w:jc w:val="center"/>
        <w:rPr>
          <w:rFonts w:cstheme="majorBidi"/>
        </w:rPr>
      </w:pPr>
      <w:r w:rsidRPr="00BE3BDB">
        <w:rPr>
          <w:rFonts w:cstheme="majorBidi"/>
        </w:rPr>
        <w:fldChar w:fldCharType="end"/>
      </w:r>
    </w:p>
    <w:p w14:paraId="290044BC" w14:textId="77777777" w:rsidR="00F577B6" w:rsidRPr="00BE3BDB" w:rsidRDefault="00F577B6" w:rsidP="00F577B6">
      <w:pPr>
        <w:tabs>
          <w:tab w:val="left" w:pos="3375"/>
        </w:tabs>
        <w:ind w:left="720"/>
        <w:jc w:val="center"/>
        <w:rPr>
          <w:rFonts w:cstheme="majorBidi"/>
        </w:rPr>
      </w:pPr>
      <w:r w:rsidRPr="00BE3BDB">
        <w:rPr>
          <w:rFonts w:cstheme="majorBidi"/>
        </w:rPr>
        <w:t xml:space="preserve"> 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0A59A83B" w14:textId="77777777" w:rsidR="00F577B6" w:rsidRPr="00BE3BDB" w:rsidRDefault="00F577B6" w:rsidP="00C61DD9">
      <w:r w:rsidRPr="00BE3BDB">
        <w:t xml:space="preserve">      L’analyse réalisée avec SPSS montre un coefficient alpha de Cronbach de 0,918 pour les 24 items du questionnaire. Ce résultat indique une excellente cohérence interne, confirmant que les questions sont homogènes et que le questionnaire est fiable pour mesurer les variables étudiées.</w:t>
      </w:r>
    </w:p>
    <w:p w14:paraId="2C97A14C" w14:textId="77777777" w:rsidR="00F577B6" w:rsidRPr="0077731B" w:rsidRDefault="00F577B6" w:rsidP="000B457B">
      <w:pPr>
        <w:pStyle w:val="Titre2"/>
        <w:numPr>
          <w:ilvl w:val="1"/>
          <w:numId w:val="38"/>
        </w:numPr>
      </w:pPr>
      <w:bookmarkStart w:id="159" w:name="_Toc200825481"/>
      <w:r w:rsidRPr="0077731B">
        <w:t>Tester les hypothèses :</w:t>
      </w:r>
      <w:bookmarkEnd w:id="159"/>
      <w:r w:rsidRPr="0077731B">
        <w:t xml:space="preserve"> </w:t>
      </w:r>
    </w:p>
    <w:p w14:paraId="5013AD7C" w14:textId="77777777" w:rsidR="00F577B6" w:rsidRPr="00BE3BDB" w:rsidRDefault="00F577B6" w:rsidP="00C61DD9">
      <w:r w:rsidRPr="00BE3BDB">
        <w:t xml:space="preserve">      Dans le cadre de cette étude, nous cherchons à évaluer l’impact du greenwashing sur l’image de marque de l’entreprise GICA, dans un contexte de sensibilité croissante aux enjeux environnementaux. L’objectif est de tester si certaines dimensions du greenwashing influencent positivement la perception que les consommateurs ont de la marque.</w:t>
      </w:r>
    </w:p>
    <w:p w14:paraId="1DF355D3" w14:textId="77777777" w:rsidR="00F577B6" w:rsidRPr="00BE3BDB" w:rsidRDefault="00F577B6" w:rsidP="00C61DD9">
      <w:r w:rsidRPr="00BE3BDB">
        <w:t xml:space="preserve">      L’hypothèse principale ainsi que les sous-hypothèses sont formulées comme suit, avec un seuil de signification statistique fixé à alpha = 5% (0,05) :</w:t>
      </w:r>
    </w:p>
    <w:p w14:paraId="1B304916" w14:textId="77777777" w:rsidR="00F577B6" w:rsidRPr="00C61DD9" w:rsidRDefault="00F577B6" w:rsidP="006F6589">
      <w:pPr>
        <w:pStyle w:val="Paragraphedeliste"/>
        <w:numPr>
          <w:ilvl w:val="0"/>
          <w:numId w:val="11"/>
        </w:numPr>
        <w:rPr>
          <w:b/>
          <w:bCs/>
        </w:rPr>
      </w:pPr>
      <w:r w:rsidRPr="00C61DD9">
        <w:rPr>
          <w:b/>
          <w:bCs/>
        </w:rPr>
        <w:t xml:space="preserve">H1 </w:t>
      </w:r>
      <w:r w:rsidRPr="00BE3BDB">
        <w:t>: Le greenwashing a un impact positif et significatif sur l’image de marque de l’entreprise GICA au seuil alpha de 5 %.</w:t>
      </w:r>
    </w:p>
    <w:p w14:paraId="267084C5" w14:textId="77777777" w:rsidR="00F577B6" w:rsidRPr="00BE3BDB" w:rsidRDefault="00F577B6" w:rsidP="00C61DD9">
      <w:r w:rsidRPr="00BE3BDB">
        <w:rPr>
          <w:b/>
          <w:bCs/>
        </w:rPr>
        <w:lastRenderedPageBreak/>
        <w:t xml:space="preserve">           </w:t>
      </w:r>
      <w:r w:rsidRPr="00BE3BDB">
        <w:t xml:space="preserve">     Cette hypothèse principale est déclinée en trois sous-hypothèses spécifiques :</w:t>
      </w:r>
    </w:p>
    <w:p w14:paraId="45A240C0" w14:textId="77777777" w:rsidR="00F577B6" w:rsidRPr="00BE3BDB" w:rsidRDefault="00F577B6" w:rsidP="006F6589">
      <w:pPr>
        <w:pStyle w:val="Paragraphedeliste"/>
        <w:numPr>
          <w:ilvl w:val="0"/>
          <w:numId w:val="10"/>
        </w:numPr>
      </w:pPr>
      <w:r w:rsidRPr="00C61DD9">
        <w:rPr>
          <w:b/>
          <w:bCs/>
        </w:rPr>
        <w:t xml:space="preserve">H1.1 : </w:t>
      </w:r>
      <w:r w:rsidRPr="00BE3BDB">
        <w:t>La confiance verte a un impact positif et significatif sur l’image de marque de l’entreprise GICA au seuil alpha de 5 %.</w:t>
      </w:r>
    </w:p>
    <w:p w14:paraId="7C9ACEA7" w14:textId="77777777" w:rsidR="00F577B6" w:rsidRPr="00C61DD9" w:rsidRDefault="00F577B6" w:rsidP="006F6589">
      <w:pPr>
        <w:pStyle w:val="Paragraphedeliste"/>
        <w:numPr>
          <w:ilvl w:val="0"/>
          <w:numId w:val="10"/>
        </w:numPr>
        <w:rPr>
          <w:b/>
          <w:bCs/>
        </w:rPr>
      </w:pPr>
      <w:r w:rsidRPr="00C61DD9">
        <w:rPr>
          <w:b/>
          <w:bCs/>
        </w:rPr>
        <w:t xml:space="preserve">H1.2 : </w:t>
      </w:r>
      <w:r w:rsidRPr="00BE3BDB">
        <w:t>La perception du risque environnemental a un impact positif et significatif sur l’image de marque de l’entreprise GICA au seuil alpha de 5 %.</w:t>
      </w:r>
    </w:p>
    <w:p w14:paraId="59F6D2C1" w14:textId="77777777" w:rsidR="00F577B6" w:rsidRDefault="00F577B6" w:rsidP="006F6589">
      <w:pPr>
        <w:pStyle w:val="Paragraphedeliste"/>
        <w:numPr>
          <w:ilvl w:val="0"/>
          <w:numId w:val="10"/>
        </w:numPr>
      </w:pPr>
      <w:r w:rsidRPr="00C61DD9">
        <w:rPr>
          <w:b/>
          <w:bCs/>
        </w:rPr>
        <w:t xml:space="preserve">H1.3 : </w:t>
      </w:r>
      <w:r w:rsidRPr="00BE3BDB">
        <w:t>La crédibilité perçue a un impact positif et significatif sur l’image de marque de l’entreprise GICA au seuil alpha de 5 %.</w:t>
      </w:r>
    </w:p>
    <w:p w14:paraId="6D001A24" w14:textId="77777777" w:rsidR="00F577B6" w:rsidRPr="00497693" w:rsidRDefault="00F577B6" w:rsidP="00C61DD9">
      <w:r w:rsidRPr="00497693">
        <w:rPr>
          <w:b/>
          <w:bCs/>
        </w:rPr>
        <w:t xml:space="preserve">     </w:t>
      </w:r>
      <w:r w:rsidRPr="00497693">
        <w:t>Ces hypothèses seront testées à l’aide d’analyses statistiques appropriées (régression linéaire, corrélation</w:t>
      </w:r>
      <w:r>
        <w:t xml:space="preserve"> </w:t>
      </w:r>
      <w:r w:rsidRPr="00497693">
        <w:t>, etc.), après vérification de la fiabilité des instruments de mesure.</w:t>
      </w:r>
    </w:p>
    <w:p w14:paraId="37F7C3BA" w14:textId="77777777" w:rsidR="00F577B6" w:rsidRPr="0077731B" w:rsidRDefault="00F577B6" w:rsidP="000B457B">
      <w:pPr>
        <w:pStyle w:val="Titre3"/>
        <w:numPr>
          <w:ilvl w:val="2"/>
          <w:numId w:val="38"/>
        </w:numPr>
      </w:pPr>
      <w:bookmarkStart w:id="160" w:name="_Toc200825482"/>
      <w:r w:rsidRPr="0077731B">
        <w:t>L’hypothèse principale</w:t>
      </w:r>
      <w:bookmarkEnd w:id="160"/>
    </w:p>
    <w:p w14:paraId="371C78BC" w14:textId="77777777" w:rsidR="006A6BE2" w:rsidRPr="006A6BE2" w:rsidRDefault="00F577B6" w:rsidP="00C61DD9">
      <w:r w:rsidRPr="00C61DD9">
        <w:rPr>
          <w:b/>
          <w:bCs/>
        </w:rPr>
        <w:t>H1</w:t>
      </w:r>
      <w:r w:rsidRPr="00497693">
        <w:t xml:space="preserve">: le greenwashing a un impact positif significatif sur l'image de marque de l'entreprise </w:t>
      </w:r>
      <w:proofErr w:type="spellStart"/>
      <w:r w:rsidRPr="00497693">
        <w:t>Gica</w:t>
      </w:r>
      <w:proofErr w:type="spellEnd"/>
      <w:r w:rsidRPr="00497693">
        <w:t xml:space="preserve"> au seuil alpha 5%.</w:t>
      </w:r>
    </w:p>
    <w:p w14:paraId="5A5086AF" w14:textId="77777777" w:rsidR="00F577B6" w:rsidRPr="0077731B" w:rsidRDefault="00F577B6" w:rsidP="000B457B">
      <w:pPr>
        <w:pStyle w:val="Titre4"/>
        <w:numPr>
          <w:ilvl w:val="3"/>
          <w:numId w:val="38"/>
        </w:numPr>
      </w:pPr>
      <w:r w:rsidRPr="0077731B">
        <w:t>Coefficient de corrélation (R carré):</w:t>
      </w:r>
    </w:p>
    <w:p w14:paraId="5E4BBEDD" w14:textId="77777777" w:rsidR="00F577B6" w:rsidRPr="00063796" w:rsidRDefault="00063796" w:rsidP="00063796">
      <w:pPr>
        <w:pStyle w:val="Lgende"/>
        <w:jc w:val="center"/>
        <w:rPr>
          <w:rFonts w:cstheme="majorBidi"/>
          <w:b/>
          <w:bCs/>
          <w:i w:val="0"/>
          <w:iCs w:val="0"/>
          <w:color w:val="000000" w:themeColor="text1"/>
          <w:sz w:val="24"/>
          <w:szCs w:val="24"/>
        </w:rPr>
      </w:pPr>
      <w:bookmarkStart w:id="161" w:name="_Toc200731413"/>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20</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corrélation</w:t>
      </w:r>
      <w:bookmarkEnd w:id="161"/>
    </w:p>
    <w:tbl>
      <w:tblPr>
        <w:tblpPr w:leftFromText="141" w:rightFromText="141" w:vertAnchor="text" w:horzAnchor="page" w:tblpXSpec="center" w:tblpY="-1"/>
        <w:tblW w:w="8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62"/>
        <w:gridCol w:w="1203"/>
        <w:gridCol w:w="1061"/>
        <w:gridCol w:w="1651"/>
        <w:gridCol w:w="3585"/>
      </w:tblGrid>
      <w:tr w:rsidR="00F577B6" w:rsidRPr="006A6BE2" w14:paraId="09AF8659" w14:textId="77777777" w:rsidTr="006A6BE2">
        <w:trPr>
          <w:cantSplit/>
          <w:trHeight w:val="285"/>
        </w:trPr>
        <w:tc>
          <w:tcPr>
            <w:tcW w:w="1462" w:type="dxa"/>
            <w:shd w:val="clear" w:color="auto" w:fill="auto"/>
            <w:noWrap/>
            <w:vAlign w:val="bottom"/>
            <w:hideMark/>
          </w:tcPr>
          <w:p w14:paraId="1AE61594" w14:textId="77777777" w:rsidR="00F577B6" w:rsidRPr="006A6BE2" w:rsidRDefault="00F577B6" w:rsidP="006A6BE2">
            <w:pPr>
              <w:pStyle w:val="Sansinterligne"/>
              <w:spacing w:line="360" w:lineRule="auto"/>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Modèle</w:t>
            </w:r>
          </w:p>
        </w:tc>
        <w:tc>
          <w:tcPr>
            <w:tcW w:w="1203" w:type="dxa"/>
            <w:shd w:val="clear" w:color="auto" w:fill="auto"/>
            <w:noWrap/>
            <w:vAlign w:val="bottom"/>
            <w:hideMark/>
          </w:tcPr>
          <w:p w14:paraId="07D69AD2" w14:textId="77777777" w:rsidR="00F577B6" w:rsidRPr="006A6BE2" w:rsidRDefault="00F577B6" w:rsidP="006A6BE2">
            <w:pPr>
              <w:pStyle w:val="Sansinterligne"/>
              <w:spacing w:line="360" w:lineRule="auto"/>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R</w:t>
            </w:r>
          </w:p>
        </w:tc>
        <w:tc>
          <w:tcPr>
            <w:tcW w:w="1061" w:type="dxa"/>
            <w:shd w:val="clear" w:color="auto" w:fill="auto"/>
            <w:noWrap/>
            <w:vAlign w:val="bottom"/>
            <w:hideMark/>
          </w:tcPr>
          <w:p w14:paraId="4EFE2BC7" w14:textId="77777777" w:rsidR="00F577B6" w:rsidRPr="006A6BE2" w:rsidRDefault="00F577B6" w:rsidP="006A6BE2">
            <w:pPr>
              <w:pStyle w:val="Sansinterligne"/>
              <w:spacing w:line="360" w:lineRule="auto"/>
              <w:ind w:firstLine="0"/>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R-deux</w:t>
            </w:r>
          </w:p>
        </w:tc>
        <w:tc>
          <w:tcPr>
            <w:tcW w:w="1651" w:type="dxa"/>
            <w:shd w:val="clear" w:color="auto" w:fill="auto"/>
            <w:noWrap/>
            <w:vAlign w:val="bottom"/>
            <w:hideMark/>
          </w:tcPr>
          <w:p w14:paraId="07E241B2" w14:textId="77777777" w:rsidR="00F577B6" w:rsidRPr="006A6BE2" w:rsidRDefault="00F577B6" w:rsidP="006A6BE2">
            <w:pPr>
              <w:pStyle w:val="Sansinterligne"/>
              <w:spacing w:line="360" w:lineRule="auto"/>
              <w:ind w:firstLine="0"/>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R-deux ajusté</w:t>
            </w:r>
          </w:p>
        </w:tc>
        <w:tc>
          <w:tcPr>
            <w:tcW w:w="3585" w:type="dxa"/>
            <w:shd w:val="clear" w:color="auto" w:fill="auto"/>
            <w:noWrap/>
            <w:vAlign w:val="bottom"/>
            <w:hideMark/>
          </w:tcPr>
          <w:p w14:paraId="0DFEF952" w14:textId="77777777" w:rsidR="00F577B6" w:rsidRPr="006A6BE2" w:rsidRDefault="00F577B6" w:rsidP="006A6BE2">
            <w:pPr>
              <w:pStyle w:val="Sansinterligne"/>
              <w:spacing w:line="360" w:lineRule="auto"/>
              <w:ind w:firstLine="0"/>
              <w:rPr>
                <w:rFonts w:asciiTheme="majorBidi" w:hAnsiTheme="majorBidi" w:cstheme="majorBidi"/>
                <w:b/>
                <w:bCs/>
                <w:sz w:val="24"/>
                <w:szCs w:val="24"/>
                <w:lang w:eastAsia="fr-FR"/>
              </w:rPr>
            </w:pPr>
            <w:r w:rsidRPr="006A6BE2">
              <w:rPr>
                <w:rFonts w:asciiTheme="majorBidi" w:hAnsiTheme="majorBidi" w:cstheme="majorBidi"/>
                <w:b/>
                <w:bCs/>
                <w:sz w:val="24"/>
                <w:szCs w:val="24"/>
                <w:lang w:eastAsia="fr-FR"/>
              </w:rPr>
              <w:t>Erreur standard de l'estimation</w:t>
            </w:r>
          </w:p>
        </w:tc>
      </w:tr>
      <w:tr w:rsidR="00F577B6" w:rsidRPr="006A6BE2" w14:paraId="11D99A49" w14:textId="77777777" w:rsidTr="006A6BE2">
        <w:trPr>
          <w:cantSplit/>
          <w:trHeight w:val="285"/>
        </w:trPr>
        <w:tc>
          <w:tcPr>
            <w:tcW w:w="1462" w:type="dxa"/>
            <w:shd w:val="clear" w:color="auto" w:fill="auto"/>
            <w:noWrap/>
            <w:vAlign w:val="bottom"/>
            <w:hideMark/>
          </w:tcPr>
          <w:p w14:paraId="2DC1C9B8" w14:textId="77777777" w:rsidR="00F577B6" w:rsidRPr="006A6BE2" w:rsidRDefault="00F577B6" w:rsidP="006A6BE2">
            <w:pPr>
              <w:pStyle w:val="Sansinterligne"/>
              <w:spacing w:line="360" w:lineRule="auto"/>
              <w:rPr>
                <w:rFonts w:asciiTheme="majorBidi" w:hAnsiTheme="majorBidi" w:cstheme="majorBidi"/>
                <w:sz w:val="24"/>
                <w:szCs w:val="24"/>
                <w:lang w:eastAsia="fr-FR"/>
              </w:rPr>
            </w:pPr>
            <w:r w:rsidRPr="006A6BE2">
              <w:rPr>
                <w:rFonts w:asciiTheme="majorBidi" w:hAnsiTheme="majorBidi" w:cstheme="majorBidi"/>
                <w:sz w:val="24"/>
                <w:szCs w:val="24"/>
                <w:lang w:eastAsia="fr-FR"/>
              </w:rPr>
              <w:t>1</w:t>
            </w:r>
          </w:p>
        </w:tc>
        <w:tc>
          <w:tcPr>
            <w:tcW w:w="1203" w:type="dxa"/>
            <w:shd w:val="clear" w:color="auto" w:fill="auto"/>
            <w:noWrap/>
            <w:vAlign w:val="bottom"/>
            <w:hideMark/>
          </w:tcPr>
          <w:p w14:paraId="7E6452F5" w14:textId="77777777" w:rsidR="00F577B6" w:rsidRPr="006A6BE2" w:rsidRDefault="00F577B6" w:rsidP="006A6BE2">
            <w:pPr>
              <w:pStyle w:val="Sansinterligne"/>
              <w:spacing w:line="360" w:lineRule="auto"/>
              <w:rPr>
                <w:rFonts w:asciiTheme="majorBidi" w:hAnsiTheme="majorBidi" w:cstheme="majorBidi"/>
                <w:sz w:val="24"/>
                <w:szCs w:val="24"/>
                <w:lang w:eastAsia="fr-FR"/>
              </w:rPr>
            </w:pPr>
            <w:r w:rsidRPr="006A6BE2">
              <w:rPr>
                <w:rFonts w:asciiTheme="majorBidi" w:hAnsiTheme="majorBidi" w:cstheme="majorBidi"/>
                <w:sz w:val="24"/>
                <w:szCs w:val="24"/>
                <w:lang w:eastAsia="fr-FR"/>
              </w:rPr>
              <w:t>0,625</w:t>
            </w:r>
          </w:p>
        </w:tc>
        <w:tc>
          <w:tcPr>
            <w:tcW w:w="1061" w:type="dxa"/>
            <w:shd w:val="clear" w:color="auto" w:fill="auto"/>
            <w:noWrap/>
            <w:vAlign w:val="bottom"/>
            <w:hideMark/>
          </w:tcPr>
          <w:p w14:paraId="69CF8D44" w14:textId="77777777" w:rsidR="00F577B6" w:rsidRPr="006A6BE2" w:rsidRDefault="00F577B6" w:rsidP="006A6BE2">
            <w:pPr>
              <w:pStyle w:val="Sansinterligne"/>
              <w:spacing w:line="360" w:lineRule="auto"/>
              <w:rPr>
                <w:rFonts w:asciiTheme="majorBidi" w:hAnsiTheme="majorBidi" w:cstheme="majorBidi"/>
                <w:sz w:val="24"/>
                <w:szCs w:val="24"/>
                <w:lang w:eastAsia="fr-FR"/>
              </w:rPr>
            </w:pPr>
            <w:r w:rsidRPr="006A6BE2">
              <w:rPr>
                <w:rFonts w:asciiTheme="majorBidi" w:hAnsiTheme="majorBidi" w:cstheme="majorBidi"/>
                <w:sz w:val="24"/>
                <w:szCs w:val="24"/>
                <w:lang w:eastAsia="fr-FR"/>
              </w:rPr>
              <w:t>0,39</w:t>
            </w:r>
          </w:p>
        </w:tc>
        <w:tc>
          <w:tcPr>
            <w:tcW w:w="1651" w:type="dxa"/>
            <w:shd w:val="clear" w:color="auto" w:fill="auto"/>
            <w:noWrap/>
            <w:vAlign w:val="bottom"/>
            <w:hideMark/>
          </w:tcPr>
          <w:p w14:paraId="5A6B6B1A" w14:textId="77777777" w:rsidR="00F577B6" w:rsidRPr="006A6BE2" w:rsidRDefault="00F577B6" w:rsidP="006A6BE2">
            <w:pPr>
              <w:pStyle w:val="Sansinterligne"/>
              <w:spacing w:line="360" w:lineRule="auto"/>
              <w:rPr>
                <w:rFonts w:asciiTheme="majorBidi" w:hAnsiTheme="majorBidi" w:cstheme="majorBidi"/>
                <w:sz w:val="24"/>
                <w:szCs w:val="24"/>
                <w:lang w:eastAsia="fr-FR"/>
              </w:rPr>
            </w:pPr>
            <w:r w:rsidRPr="006A6BE2">
              <w:rPr>
                <w:rFonts w:asciiTheme="majorBidi" w:hAnsiTheme="majorBidi" w:cstheme="majorBidi"/>
                <w:sz w:val="24"/>
                <w:szCs w:val="24"/>
                <w:lang w:eastAsia="fr-FR"/>
              </w:rPr>
              <w:t>0,381</w:t>
            </w:r>
          </w:p>
        </w:tc>
        <w:tc>
          <w:tcPr>
            <w:tcW w:w="3585" w:type="dxa"/>
            <w:shd w:val="clear" w:color="auto" w:fill="auto"/>
            <w:noWrap/>
            <w:vAlign w:val="bottom"/>
            <w:hideMark/>
          </w:tcPr>
          <w:p w14:paraId="65F8B8E2" w14:textId="77777777" w:rsidR="00F577B6" w:rsidRPr="006A6BE2" w:rsidRDefault="00F577B6" w:rsidP="006A6BE2">
            <w:pPr>
              <w:pStyle w:val="Sansinterligne"/>
              <w:spacing w:line="360" w:lineRule="auto"/>
              <w:rPr>
                <w:rFonts w:asciiTheme="majorBidi" w:hAnsiTheme="majorBidi" w:cstheme="majorBidi"/>
                <w:sz w:val="24"/>
                <w:szCs w:val="24"/>
                <w:lang w:eastAsia="fr-FR"/>
              </w:rPr>
            </w:pPr>
            <w:r w:rsidRPr="006A6BE2">
              <w:rPr>
                <w:rFonts w:asciiTheme="majorBidi" w:hAnsiTheme="majorBidi" w:cstheme="majorBidi"/>
                <w:sz w:val="24"/>
                <w:szCs w:val="24"/>
                <w:lang w:eastAsia="fr-FR"/>
              </w:rPr>
              <w:t>0,41098</w:t>
            </w:r>
          </w:p>
        </w:tc>
      </w:tr>
    </w:tbl>
    <w:p w14:paraId="64009060" w14:textId="77777777" w:rsidR="00F577B6" w:rsidRPr="00BE3BDB" w:rsidRDefault="00F577B6" w:rsidP="00F577B6">
      <w:pPr>
        <w:tabs>
          <w:tab w:val="left" w:pos="3375"/>
        </w:tabs>
        <w:ind w:left="1080"/>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04AF9303" w14:textId="77777777" w:rsidR="00F577B6" w:rsidRPr="00BE3BDB" w:rsidRDefault="00F577B6" w:rsidP="00C61DD9">
      <w:r w:rsidRPr="00BE3BDB">
        <w:t xml:space="preserve">      Dans le tableau des coefficients de corrélation, nous observons que le coefficient de détermination R² est égal à 0,390. Cela indique que les dimensions du greenwashing expliquent 39 % de la variation de l’image de marque de l’entreprise GICA. De plus, la corrélation multiple R est de 0,625, ce qui traduit une relation positive et relativement </w:t>
      </w:r>
      <w:r>
        <w:t>modérée</w:t>
      </w:r>
      <w:r w:rsidRPr="00BE3BDB">
        <w:t xml:space="preserve"> entre le greenwashing et l’image de marque. </w:t>
      </w:r>
    </w:p>
    <w:p w14:paraId="5EA78F4A" w14:textId="77777777" w:rsidR="00F577B6" w:rsidRPr="0077731B" w:rsidRDefault="00F577B6" w:rsidP="000B457B">
      <w:pPr>
        <w:pStyle w:val="Titre4"/>
        <w:numPr>
          <w:ilvl w:val="3"/>
          <w:numId w:val="38"/>
        </w:numPr>
      </w:pPr>
      <w:r w:rsidRPr="0077731B">
        <w:t xml:space="preserve"> Analyse de la variance ANOVA</w:t>
      </w:r>
    </w:p>
    <w:p w14:paraId="5D30E25F" w14:textId="77777777" w:rsidR="00F577B6" w:rsidRPr="00063796" w:rsidRDefault="00063796" w:rsidP="00063796">
      <w:pPr>
        <w:pStyle w:val="Lgende"/>
        <w:jc w:val="center"/>
        <w:rPr>
          <w:rFonts w:cstheme="majorBidi"/>
          <w:b/>
          <w:bCs/>
          <w:i w:val="0"/>
          <w:iCs w:val="0"/>
          <w:color w:val="000000" w:themeColor="text1"/>
          <w:sz w:val="24"/>
          <w:szCs w:val="24"/>
        </w:rPr>
      </w:pPr>
      <w:bookmarkStart w:id="162" w:name="_Toc200731414"/>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21</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La variance ANOVA</w:t>
      </w:r>
      <w:bookmarkEnd w:id="162"/>
    </w:p>
    <w:tbl>
      <w:tblPr>
        <w:tblStyle w:val="Grilledutableau"/>
        <w:tblW w:w="9299" w:type="dxa"/>
        <w:tblInd w:w="466" w:type="dxa"/>
        <w:tblLook w:val="04A0" w:firstRow="1" w:lastRow="0" w:firstColumn="1" w:lastColumn="0" w:noHBand="0" w:noVBand="1"/>
      </w:tblPr>
      <w:tblGrid>
        <w:gridCol w:w="1882"/>
        <w:gridCol w:w="2085"/>
        <w:gridCol w:w="1011"/>
        <w:gridCol w:w="1639"/>
        <w:gridCol w:w="1266"/>
        <w:gridCol w:w="1416"/>
      </w:tblGrid>
      <w:tr w:rsidR="00F577B6" w:rsidRPr="00BE3BDB" w14:paraId="39E533DB" w14:textId="77777777" w:rsidTr="0056640B">
        <w:trPr>
          <w:trHeight w:val="277"/>
        </w:trPr>
        <w:tc>
          <w:tcPr>
            <w:tcW w:w="1882" w:type="dxa"/>
            <w:noWrap/>
            <w:hideMark/>
          </w:tcPr>
          <w:p w14:paraId="37694435"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Modèle</w:t>
            </w:r>
          </w:p>
        </w:tc>
        <w:tc>
          <w:tcPr>
            <w:tcW w:w="2085" w:type="dxa"/>
            <w:noWrap/>
            <w:hideMark/>
          </w:tcPr>
          <w:p w14:paraId="5C6A7C18"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Somme des carrés</w:t>
            </w:r>
          </w:p>
        </w:tc>
        <w:tc>
          <w:tcPr>
            <w:tcW w:w="1011" w:type="dxa"/>
            <w:noWrap/>
            <w:hideMark/>
          </w:tcPr>
          <w:p w14:paraId="7C27928F"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ddl</w:t>
            </w:r>
          </w:p>
        </w:tc>
        <w:tc>
          <w:tcPr>
            <w:tcW w:w="1639" w:type="dxa"/>
            <w:noWrap/>
            <w:hideMark/>
          </w:tcPr>
          <w:p w14:paraId="152E8318"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Carré moyen</w:t>
            </w:r>
          </w:p>
        </w:tc>
        <w:tc>
          <w:tcPr>
            <w:tcW w:w="1266" w:type="dxa"/>
            <w:noWrap/>
            <w:hideMark/>
          </w:tcPr>
          <w:p w14:paraId="3467EF09"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F</w:t>
            </w:r>
          </w:p>
        </w:tc>
        <w:tc>
          <w:tcPr>
            <w:tcW w:w="1416" w:type="dxa"/>
            <w:noWrap/>
            <w:hideMark/>
          </w:tcPr>
          <w:p w14:paraId="1249F268" w14:textId="77777777" w:rsidR="00F577B6" w:rsidRPr="0056640B" w:rsidRDefault="00F577B6" w:rsidP="006A6BE2">
            <w:pPr>
              <w:pStyle w:val="Sansinterligne"/>
              <w:spacing w:line="360" w:lineRule="auto"/>
              <w:rPr>
                <w:rFonts w:asciiTheme="majorBidi" w:hAnsiTheme="majorBidi" w:cstheme="majorBidi"/>
                <w:b/>
                <w:bCs/>
              </w:rPr>
            </w:pPr>
            <w:proofErr w:type="spellStart"/>
            <w:r w:rsidRPr="0056640B">
              <w:rPr>
                <w:rFonts w:asciiTheme="majorBidi" w:hAnsiTheme="majorBidi" w:cstheme="majorBidi"/>
                <w:b/>
                <w:bCs/>
              </w:rPr>
              <w:t>Sig</w:t>
            </w:r>
            <w:proofErr w:type="spellEnd"/>
            <w:r w:rsidRPr="0056640B">
              <w:rPr>
                <w:rFonts w:asciiTheme="majorBidi" w:hAnsiTheme="majorBidi" w:cstheme="majorBidi"/>
                <w:b/>
                <w:bCs/>
              </w:rPr>
              <w:t>.</w:t>
            </w:r>
          </w:p>
        </w:tc>
      </w:tr>
      <w:tr w:rsidR="00F577B6" w:rsidRPr="00BE3BDB" w14:paraId="4E529118" w14:textId="77777777" w:rsidTr="0056640B">
        <w:trPr>
          <w:trHeight w:val="277"/>
        </w:trPr>
        <w:tc>
          <w:tcPr>
            <w:tcW w:w="1882" w:type="dxa"/>
            <w:noWrap/>
            <w:hideMark/>
          </w:tcPr>
          <w:p w14:paraId="29033B9E"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Régression</w:t>
            </w:r>
          </w:p>
        </w:tc>
        <w:tc>
          <w:tcPr>
            <w:tcW w:w="2085" w:type="dxa"/>
            <w:noWrap/>
            <w:hideMark/>
          </w:tcPr>
          <w:p w14:paraId="7C12D4D1"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7,35</w:t>
            </w:r>
          </w:p>
        </w:tc>
        <w:tc>
          <w:tcPr>
            <w:tcW w:w="1011" w:type="dxa"/>
            <w:noWrap/>
            <w:hideMark/>
          </w:tcPr>
          <w:p w14:paraId="797B4D82"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1</w:t>
            </w:r>
          </w:p>
        </w:tc>
        <w:tc>
          <w:tcPr>
            <w:tcW w:w="1639" w:type="dxa"/>
            <w:noWrap/>
            <w:hideMark/>
          </w:tcPr>
          <w:p w14:paraId="0A597089"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7,35</w:t>
            </w:r>
          </w:p>
        </w:tc>
        <w:tc>
          <w:tcPr>
            <w:tcW w:w="1266" w:type="dxa"/>
            <w:noWrap/>
            <w:hideMark/>
          </w:tcPr>
          <w:p w14:paraId="243EF86F"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43,514</w:t>
            </w:r>
          </w:p>
        </w:tc>
        <w:tc>
          <w:tcPr>
            <w:tcW w:w="1416" w:type="dxa"/>
            <w:noWrap/>
            <w:hideMark/>
          </w:tcPr>
          <w:p w14:paraId="1ECD8ACD"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0,000</w:t>
            </w:r>
          </w:p>
        </w:tc>
      </w:tr>
      <w:tr w:rsidR="00F577B6" w:rsidRPr="00BE3BDB" w14:paraId="75962E1B" w14:textId="77777777" w:rsidTr="0056640B">
        <w:trPr>
          <w:trHeight w:val="277"/>
        </w:trPr>
        <w:tc>
          <w:tcPr>
            <w:tcW w:w="1882" w:type="dxa"/>
            <w:noWrap/>
            <w:hideMark/>
          </w:tcPr>
          <w:p w14:paraId="50952F84"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 xml:space="preserve">de </w:t>
            </w:r>
            <w:proofErr w:type="spellStart"/>
            <w:r w:rsidRPr="0056640B">
              <w:rPr>
                <w:rFonts w:asciiTheme="majorBidi" w:hAnsiTheme="majorBidi" w:cstheme="majorBidi"/>
                <w:b/>
                <w:bCs/>
              </w:rPr>
              <w:t>Student</w:t>
            </w:r>
            <w:proofErr w:type="spellEnd"/>
          </w:p>
        </w:tc>
        <w:tc>
          <w:tcPr>
            <w:tcW w:w="2085" w:type="dxa"/>
            <w:noWrap/>
            <w:hideMark/>
          </w:tcPr>
          <w:p w14:paraId="064CC714"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11,486</w:t>
            </w:r>
          </w:p>
        </w:tc>
        <w:tc>
          <w:tcPr>
            <w:tcW w:w="1011" w:type="dxa"/>
            <w:noWrap/>
            <w:hideMark/>
          </w:tcPr>
          <w:p w14:paraId="4A7E01DD"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68</w:t>
            </w:r>
          </w:p>
        </w:tc>
        <w:tc>
          <w:tcPr>
            <w:tcW w:w="1639" w:type="dxa"/>
            <w:noWrap/>
            <w:hideMark/>
          </w:tcPr>
          <w:p w14:paraId="5F1A4C95"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0,169</w:t>
            </w:r>
          </w:p>
        </w:tc>
        <w:tc>
          <w:tcPr>
            <w:tcW w:w="1266" w:type="dxa"/>
            <w:noWrap/>
            <w:hideMark/>
          </w:tcPr>
          <w:p w14:paraId="0EF8CD0B" w14:textId="77777777" w:rsidR="00F577B6" w:rsidRPr="0056640B" w:rsidRDefault="00F577B6" w:rsidP="006A6BE2">
            <w:pPr>
              <w:pStyle w:val="Sansinterligne"/>
              <w:spacing w:line="360" w:lineRule="auto"/>
              <w:rPr>
                <w:rFonts w:asciiTheme="majorBidi" w:hAnsiTheme="majorBidi" w:cstheme="majorBidi"/>
              </w:rPr>
            </w:pPr>
          </w:p>
        </w:tc>
        <w:tc>
          <w:tcPr>
            <w:tcW w:w="1416" w:type="dxa"/>
            <w:noWrap/>
            <w:hideMark/>
          </w:tcPr>
          <w:p w14:paraId="79DEDB76" w14:textId="77777777" w:rsidR="00F577B6" w:rsidRPr="0056640B" w:rsidRDefault="00F577B6" w:rsidP="006A6BE2">
            <w:pPr>
              <w:pStyle w:val="Sansinterligne"/>
              <w:spacing w:line="360" w:lineRule="auto"/>
              <w:rPr>
                <w:rFonts w:asciiTheme="majorBidi" w:hAnsiTheme="majorBidi" w:cstheme="majorBidi"/>
              </w:rPr>
            </w:pPr>
          </w:p>
        </w:tc>
      </w:tr>
      <w:tr w:rsidR="00F577B6" w:rsidRPr="00BE3BDB" w14:paraId="188E15A0" w14:textId="77777777" w:rsidTr="0056640B">
        <w:trPr>
          <w:trHeight w:val="277"/>
        </w:trPr>
        <w:tc>
          <w:tcPr>
            <w:tcW w:w="1882" w:type="dxa"/>
            <w:noWrap/>
            <w:hideMark/>
          </w:tcPr>
          <w:p w14:paraId="1D73C5E9" w14:textId="77777777" w:rsidR="00F577B6" w:rsidRPr="0056640B" w:rsidRDefault="00F577B6" w:rsidP="006A6BE2">
            <w:pPr>
              <w:pStyle w:val="Sansinterligne"/>
              <w:spacing w:line="360" w:lineRule="auto"/>
              <w:rPr>
                <w:rFonts w:asciiTheme="majorBidi" w:hAnsiTheme="majorBidi" w:cstheme="majorBidi"/>
                <w:b/>
                <w:bCs/>
              </w:rPr>
            </w:pPr>
            <w:r w:rsidRPr="0056640B">
              <w:rPr>
                <w:rFonts w:asciiTheme="majorBidi" w:hAnsiTheme="majorBidi" w:cstheme="majorBidi"/>
                <w:b/>
                <w:bCs/>
              </w:rPr>
              <w:t>Total</w:t>
            </w:r>
          </w:p>
        </w:tc>
        <w:tc>
          <w:tcPr>
            <w:tcW w:w="2085" w:type="dxa"/>
            <w:noWrap/>
            <w:hideMark/>
          </w:tcPr>
          <w:p w14:paraId="7D7C381C"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18,836</w:t>
            </w:r>
          </w:p>
        </w:tc>
        <w:tc>
          <w:tcPr>
            <w:tcW w:w="1011" w:type="dxa"/>
            <w:noWrap/>
            <w:hideMark/>
          </w:tcPr>
          <w:p w14:paraId="21817A6B" w14:textId="77777777" w:rsidR="00F577B6" w:rsidRPr="0056640B" w:rsidRDefault="00F577B6" w:rsidP="006A6BE2">
            <w:pPr>
              <w:pStyle w:val="Sansinterligne"/>
              <w:spacing w:line="360" w:lineRule="auto"/>
              <w:rPr>
                <w:rFonts w:asciiTheme="majorBidi" w:hAnsiTheme="majorBidi" w:cstheme="majorBidi"/>
              </w:rPr>
            </w:pPr>
            <w:r w:rsidRPr="0056640B">
              <w:rPr>
                <w:rFonts w:asciiTheme="majorBidi" w:hAnsiTheme="majorBidi" w:cstheme="majorBidi"/>
              </w:rPr>
              <w:t>69</w:t>
            </w:r>
          </w:p>
        </w:tc>
        <w:tc>
          <w:tcPr>
            <w:tcW w:w="1639" w:type="dxa"/>
            <w:noWrap/>
            <w:hideMark/>
          </w:tcPr>
          <w:p w14:paraId="7F42123D" w14:textId="77777777" w:rsidR="00F577B6" w:rsidRPr="0056640B" w:rsidRDefault="00F577B6" w:rsidP="006A6BE2">
            <w:pPr>
              <w:pStyle w:val="Sansinterligne"/>
              <w:spacing w:line="360" w:lineRule="auto"/>
              <w:rPr>
                <w:rFonts w:asciiTheme="majorBidi" w:hAnsiTheme="majorBidi" w:cstheme="majorBidi"/>
              </w:rPr>
            </w:pPr>
          </w:p>
        </w:tc>
        <w:tc>
          <w:tcPr>
            <w:tcW w:w="1266" w:type="dxa"/>
            <w:noWrap/>
            <w:hideMark/>
          </w:tcPr>
          <w:p w14:paraId="24C2B748" w14:textId="77777777" w:rsidR="00F577B6" w:rsidRPr="0056640B" w:rsidRDefault="00F577B6" w:rsidP="006A6BE2">
            <w:pPr>
              <w:pStyle w:val="Sansinterligne"/>
              <w:spacing w:line="360" w:lineRule="auto"/>
              <w:rPr>
                <w:rFonts w:asciiTheme="majorBidi" w:hAnsiTheme="majorBidi" w:cstheme="majorBidi"/>
              </w:rPr>
            </w:pPr>
          </w:p>
        </w:tc>
        <w:tc>
          <w:tcPr>
            <w:tcW w:w="1416" w:type="dxa"/>
            <w:noWrap/>
            <w:hideMark/>
          </w:tcPr>
          <w:p w14:paraId="5CFE0837" w14:textId="77777777" w:rsidR="00F577B6" w:rsidRPr="0056640B" w:rsidRDefault="00F577B6" w:rsidP="006A6BE2">
            <w:pPr>
              <w:pStyle w:val="Sansinterligne"/>
              <w:spacing w:line="360" w:lineRule="auto"/>
              <w:rPr>
                <w:rFonts w:asciiTheme="majorBidi" w:hAnsiTheme="majorBidi" w:cstheme="majorBidi"/>
              </w:rPr>
            </w:pPr>
          </w:p>
        </w:tc>
      </w:tr>
    </w:tbl>
    <w:p w14:paraId="1DE06754" w14:textId="77777777" w:rsidR="00F577B6" w:rsidRPr="00497693" w:rsidRDefault="00F577B6" w:rsidP="00F577B6">
      <w:pPr>
        <w:tabs>
          <w:tab w:val="left" w:pos="3375"/>
        </w:tabs>
        <w:ind w:left="1080"/>
        <w:jc w:val="center"/>
        <w:rPr>
          <w:rFonts w:cstheme="majorBidi"/>
        </w:rPr>
      </w:pPr>
      <w:r w:rsidRPr="00BE3BDB">
        <w:rPr>
          <w:rFonts w:cstheme="majorBidi"/>
        </w:rPr>
        <w:lastRenderedPageBreak/>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44E8D0F1" w14:textId="77777777" w:rsidR="00F577B6" w:rsidRPr="00BE3BDB" w:rsidRDefault="00F577B6" w:rsidP="00C61DD9">
      <w:r w:rsidRPr="00BE3BDB">
        <w:t xml:space="preserve">     On note dans le tableau ci-dessus l’importance de l’influence mutuelle en</w:t>
      </w:r>
      <w:r>
        <w:t>tre</w:t>
      </w:r>
      <w:r w:rsidRPr="00BE3BDB">
        <w:t xml:space="preserve"> l’image de marque de l’entreprise GICA.</w:t>
      </w:r>
    </w:p>
    <w:p w14:paraId="32A475B5" w14:textId="77777777" w:rsidR="00F577B6" w:rsidRPr="00BE3BDB" w:rsidRDefault="00F577B6" w:rsidP="00C61DD9">
      <w:r w:rsidRPr="00BE3BDB">
        <w:t xml:space="preserve">       D’après le tableau précédent, la valeur de significativité est égale à 0,000, ce qui est inférieure à 0,05. Cela confirme donc la validité du modèle linéaire, et nous permet d’accepter l’hypothèse H1 : le greenwashing a un impact positif et significatif sur l’image de marque de l’entreprise GICA.</w:t>
      </w:r>
    </w:p>
    <w:p w14:paraId="6A447785" w14:textId="77777777" w:rsidR="00F577B6" w:rsidRPr="00BE3BDB" w:rsidRDefault="00F577B6" w:rsidP="000B457B">
      <w:pPr>
        <w:pStyle w:val="Titre4"/>
        <w:numPr>
          <w:ilvl w:val="3"/>
          <w:numId w:val="38"/>
        </w:numPr>
      </w:pPr>
      <w:r w:rsidRPr="00BE3BDB">
        <w:t>Coefficients de régression</w:t>
      </w:r>
    </w:p>
    <w:p w14:paraId="5FAA1031" w14:textId="77777777" w:rsidR="00F577B6" w:rsidRPr="00063796" w:rsidRDefault="00063796" w:rsidP="00063796">
      <w:pPr>
        <w:pStyle w:val="Lgende"/>
        <w:jc w:val="center"/>
        <w:rPr>
          <w:rFonts w:cstheme="majorBidi"/>
          <w:b/>
          <w:bCs/>
          <w:i w:val="0"/>
          <w:iCs w:val="0"/>
          <w:color w:val="000000" w:themeColor="text1"/>
          <w:sz w:val="24"/>
          <w:szCs w:val="24"/>
        </w:rPr>
      </w:pPr>
      <w:bookmarkStart w:id="163" w:name="_Toc200731415"/>
      <w:r w:rsidRPr="00063796">
        <w:rPr>
          <w:b/>
          <w:bCs/>
          <w:i w:val="0"/>
          <w:iCs w:val="0"/>
          <w:color w:val="000000" w:themeColor="text1"/>
          <w:sz w:val="24"/>
          <w:szCs w:val="24"/>
        </w:rPr>
        <w:t xml:space="preserve">Tableau  </w:t>
      </w:r>
      <w:r w:rsidRPr="00063796">
        <w:rPr>
          <w:b/>
          <w:bCs/>
          <w:i w:val="0"/>
          <w:iCs w:val="0"/>
          <w:color w:val="000000" w:themeColor="text1"/>
          <w:sz w:val="24"/>
          <w:szCs w:val="24"/>
        </w:rPr>
        <w:fldChar w:fldCharType="begin"/>
      </w:r>
      <w:r w:rsidRPr="00063796">
        <w:rPr>
          <w:b/>
          <w:bCs/>
          <w:i w:val="0"/>
          <w:iCs w:val="0"/>
          <w:color w:val="000000" w:themeColor="text1"/>
          <w:sz w:val="24"/>
          <w:szCs w:val="24"/>
        </w:rPr>
        <w:instrText xml:space="preserve"> SEQ Tableau_ \* ARABIC </w:instrText>
      </w:r>
      <w:r w:rsidRPr="00063796">
        <w:rPr>
          <w:b/>
          <w:bCs/>
          <w:i w:val="0"/>
          <w:iCs w:val="0"/>
          <w:color w:val="000000" w:themeColor="text1"/>
          <w:sz w:val="24"/>
          <w:szCs w:val="24"/>
        </w:rPr>
        <w:fldChar w:fldCharType="separate"/>
      </w:r>
      <w:r w:rsidR="00B55438">
        <w:rPr>
          <w:b/>
          <w:bCs/>
          <w:i w:val="0"/>
          <w:iCs w:val="0"/>
          <w:noProof/>
          <w:color w:val="000000" w:themeColor="text1"/>
          <w:sz w:val="24"/>
          <w:szCs w:val="24"/>
        </w:rPr>
        <w:t>22</w:t>
      </w:r>
      <w:r w:rsidRPr="00063796">
        <w:rPr>
          <w:b/>
          <w:bCs/>
          <w:i w:val="0"/>
          <w:iCs w:val="0"/>
          <w:color w:val="000000" w:themeColor="text1"/>
          <w:sz w:val="24"/>
          <w:szCs w:val="24"/>
        </w:rPr>
        <w:fldChar w:fldCharType="end"/>
      </w:r>
      <w:r w:rsidRPr="00063796">
        <w:rPr>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coefficients de régression</w:t>
      </w:r>
      <w:bookmarkEnd w:id="163"/>
    </w:p>
    <w:tbl>
      <w:tblPr>
        <w:tblpPr w:leftFromText="141" w:rightFromText="141" w:vertAnchor="text" w:horzAnchor="margin" w:tblpY="19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4"/>
        <w:gridCol w:w="1161"/>
        <w:gridCol w:w="2194"/>
        <w:gridCol w:w="2826"/>
        <w:gridCol w:w="1020"/>
        <w:gridCol w:w="1020"/>
      </w:tblGrid>
      <w:tr w:rsidR="00F577B6" w:rsidRPr="0056640B" w14:paraId="51E07207" w14:textId="77777777" w:rsidTr="0077731B">
        <w:trPr>
          <w:trHeight w:val="304"/>
        </w:trPr>
        <w:tc>
          <w:tcPr>
            <w:tcW w:w="1894" w:type="dxa"/>
            <w:shd w:val="clear" w:color="auto" w:fill="auto"/>
            <w:noWrap/>
            <w:vAlign w:val="bottom"/>
            <w:hideMark/>
          </w:tcPr>
          <w:p w14:paraId="1A3C10B4" w14:textId="77777777" w:rsidR="00F577B6" w:rsidRPr="0056640B" w:rsidRDefault="00F577B6" w:rsidP="0056640B">
            <w:pPr>
              <w:pStyle w:val="Sansinterligne"/>
              <w:spacing w:line="360" w:lineRule="auto"/>
              <w:rPr>
                <w:rFonts w:asciiTheme="majorBidi" w:hAnsiTheme="majorBidi" w:cstheme="majorBidi"/>
                <w:sz w:val="24"/>
                <w:szCs w:val="24"/>
                <w:lang w:eastAsia="fr-FR"/>
              </w:rPr>
            </w:pPr>
          </w:p>
        </w:tc>
        <w:tc>
          <w:tcPr>
            <w:tcW w:w="3355" w:type="dxa"/>
            <w:gridSpan w:val="2"/>
            <w:shd w:val="clear" w:color="auto" w:fill="auto"/>
            <w:noWrap/>
            <w:vAlign w:val="bottom"/>
            <w:hideMark/>
          </w:tcPr>
          <w:p w14:paraId="0D598842" w14:textId="77777777" w:rsidR="00F577B6" w:rsidRPr="0056640B" w:rsidRDefault="00F577B6" w:rsidP="0077731B">
            <w:pPr>
              <w:pStyle w:val="Sansinterligne"/>
              <w:spacing w:line="360" w:lineRule="auto"/>
              <w:ind w:firstLine="0"/>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Coefficients non standardisés</w:t>
            </w:r>
          </w:p>
        </w:tc>
        <w:tc>
          <w:tcPr>
            <w:tcW w:w="2826" w:type="dxa"/>
            <w:shd w:val="clear" w:color="auto" w:fill="auto"/>
            <w:noWrap/>
            <w:vAlign w:val="bottom"/>
            <w:hideMark/>
          </w:tcPr>
          <w:p w14:paraId="3ECD0EAA" w14:textId="77777777" w:rsidR="00F577B6" w:rsidRPr="0056640B" w:rsidRDefault="00F577B6" w:rsidP="0077731B">
            <w:pPr>
              <w:pStyle w:val="Sansinterligne"/>
              <w:spacing w:line="360" w:lineRule="auto"/>
              <w:ind w:firstLine="0"/>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Coefficients</w:t>
            </w:r>
            <w:r w:rsidR="0077731B">
              <w:rPr>
                <w:rFonts w:asciiTheme="majorBidi" w:hAnsiTheme="majorBidi" w:cstheme="majorBidi"/>
                <w:b/>
                <w:bCs/>
                <w:color w:val="000000"/>
                <w:sz w:val="24"/>
                <w:szCs w:val="24"/>
                <w:lang w:eastAsia="fr-FR"/>
              </w:rPr>
              <w:t xml:space="preserve"> </w:t>
            </w:r>
            <w:r w:rsidRPr="0056640B">
              <w:rPr>
                <w:rFonts w:asciiTheme="majorBidi" w:hAnsiTheme="majorBidi" w:cstheme="majorBidi"/>
                <w:b/>
                <w:bCs/>
                <w:color w:val="000000"/>
                <w:sz w:val="24"/>
                <w:szCs w:val="24"/>
                <w:lang w:eastAsia="fr-FR"/>
              </w:rPr>
              <w:t>Standardisés</w:t>
            </w:r>
          </w:p>
        </w:tc>
        <w:tc>
          <w:tcPr>
            <w:tcW w:w="1020" w:type="dxa"/>
            <w:vMerge w:val="restart"/>
            <w:shd w:val="clear" w:color="auto" w:fill="auto"/>
            <w:noWrap/>
            <w:vAlign w:val="bottom"/>
            <w:hideMark/>
          </w:tcPr>
          <w:p w14:paraId="5BB85C8F"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t</w:t>
            </w:r>
          </w:p>
        </w:tc>
        <w:tc>
          <w:tcPr>
            <w:tcW w:w="965" w:type="dxa"/>
            <w:vMerge w:val="restart"/>
            <w:shd w:val="clear" w:color="auto" w:fill="auto"/>
            <w:noWrap/>
            <w:vAlign w:val="bottom"/>
            <w:hideMark/>
          </w:tcPr>
          <w:p w14:paraId="4AC3BAC2"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roofErr w:type="spellStart"/>
            <w:r w:rsidRPr="0056640B">
              <w:rPr>
                <w:rFonts w:asciiTheme="majorBidi" w:hAnsiTheme="majorBidi" w:cstheme="majorBidi"/>
                <w:b/>
                <w:bCs/>
                <w:color w:val="000000"/>
                <w:sz w:val="24"/>
                <w:szCs w:val="24"/>
                <w:lang w:eastAsia="fr-FR"/>
              </w:rPr>
              <w:t>Sig</w:t>
            </w:r>
            <w:proofErr w:type="spellEnd"/>
            <w:r w:rsidRPr="0056640B">
              <w:rPr>
                <w:rFonts w:asciiTheme="majorBidi" w:hAnsiTheme="majorBidi" w:cstheme="majorBidi"/>
                <w:b/>
                <w:bCs/>
                <w:color w:val="000000"/>
                <w:sz w:val="24"/>
                <w:szCs w:val="24"/>
                <w:lang w:eastAsia="fr-FR"/>
              </w:rPr>
              <w:t>.</w:t>
            </w:r>
          </w:p>
        </w:tc>
      </w:tr>
      <w:tr w:rsidR="00F577B6" w:rsidRPr="0056640B" w14:paraId="63CAC1A9" w14:textId="77777777" w:rsidTr="0077731B">
        <w:trPr>
          <w:cantSplit/>
          <w:trHeight w:val="304"/>
        </w:trPr>
        <w:tc>
          <w:tcPr>
            <w:tcW w:w="1894" w:type="dxa"/>
            <w:shd w:val="clear" w:color="auto" w:fill="auto"/>
            <w:noWrap/>
            <w:vAlign w:val="bottom"/>
            <w:hideMark/>
          </w:tcPr>
          <w:p w14:paraId="2A83504F"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p>
        </w:tc>
        <w:tc>
          <w:tcPr>
            <w:tcW w:w="1161" w:type="dxa"/>
            <w:shd w:val="clear" w:color="auto" w:fill="auto"/>
            <w:noWrap/>
            <w:vAlign w:val="bottom"/>
            <w:hideMark/>
          </w:tcPr>
          <w:p w14:paraId="0AACB168"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B</w:t>
            </w:r>
          </w:p>
        </w:tc>
        <w:tc>
          <w:tcPr>
            <w:tcW w:w="2194" w:type="dxa"/>
            <w:shd w:val="clear" w:color="auto" w:fill="auto"/>
            <w:noWrap/>
            <w:vAlign w:val="bottom"/>
            <w:hideMark/>
          </w:tcPr>
          <w:p w14:paraId="1E1E99EE"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Erreur standard</w:t>
            </w:r>
          </w:p>
        </w:tc>
        <w:tc>
          <w:tcPr>
            <w:tcW w:w="2826" w:type="dxa"/>
            <w:shd w:val="clear" w:color="auto" w:fill="auto"/>
            <w:noWrap/>
            <w:vAlign w:val="bottom"/>
            <w:hideMark/>
          </w:tcPr>
          <w:p w14:paraId="17040D50"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Bêta</w:t>
            </w:r>
          </w:p>
        </w:tc>
        <w:tc>
          <w:tcPr>
            <w:tcW w:w="1020" w:type="dxa"/>
            <w:vMerge/>
            <w:vAlign w:val="center"/>
            <w:hideMark/>
          </w:tcPr>
          <w:p w14:paraId="117F8557"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
        </w:tc>
        <w:tc>
          <w:tcPr>
            <w:tcW w:w="965" w:type="dxa"/>
            <w:vMerge/>
            <w:vAlign w:val="center"/>
            <w:hideMark/>
          </w:tcPr>
          <w:p w14:paraId="642B14D3"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
        </w:tc>
      </w:tr>
      <w:tr w:rsidR="00F577B6" w:rsidRPr="0056640B" w14:paraId="4F37D02C" w14:textId="77777777" w:rsidTr="0077731B">
        <w:trPr>
          <w:cantSplit/>
          <w:trHeight w:val="304"/>
        </w:trPr>
        <w:tc>
          <w:tcPr>
            <w:tcW w:w="1894" w:type="dxa"/>
            <w:shd w:val="clear" w:color="auto" w:fill="auto"/>
            <w:noWrap/>
            <w:vAlign w:val="bottom"/>
            <w:hideMark/>
          </w:tcPr>
          <w:p w14:paraId="74745685"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(Constante)</w:t>
            </w:r>
          </w:p>
        </w:tc>
        <w:tc>
          <w:tcPr>
            <w:tcW w:w="1161" w:type="dxa"/>
            <w:shd w:val="clear" w:color="auto" w:fill="auto"/>
            <w:noWrap/>
            <w:vAlign w:val="bottom"/>
            <w:hideMark/>
          </w:tcPr>
          <w:p w14:paraId="2E281C43"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1,601</w:t>
            </w:r>
          </w:p>
        </w:tc>
        <w:tc>
          <w:tcPr>
            <w:tcW w:w="2194" w:type="dxa"/>
            <w:shd w:val="clear" w:color="auto" w:fill="auto"/>
            <w:noWrap/>
            <w:vAlign w:val="bottom"/>
            <w:hideMark/>
          </w:tcPr>
          <w:p w14:paraId="53D0F833"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0,336</w:t>
            </w:r>
          </w:p>
        </w:tc>
        <w:tc>
          <w:tcPr>
            <w:tcW w:w="2826" w:type="dxa"/>
            <w:shd w:val="clear" w:color="auto" w:fill="auto"/>
            <w:noWrap/>
            <w:vAlign w:val="bottom"/>
            <w:hideMark/>
          </w:tcPr>
          <w:p w14:paraId="12CEAFC5"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p>
        </w:tc>
        <w:tc>
          <w:tcPr>
            <w:tcW w:w="1020" w:type="dxa"/>
            <w:shd w:val="clear" w:color="auto" w:fill="auto"/>
            <w:noWrap/>
            <w:vAlign w:val="bottom"/>
            <w:hideMark/>
          </w:tcPr>
          <w:p w14:paraId="1E39D9FB"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4,758</w:t>
            </w:r>
          </w:p>
        </w:tc>
        <w:tc>
          <w:tcPr>
            <w:tcW w:w="965" w:type="dxa"/>
            <w:shd w:val="clear" w:color="auto" w:fill="auto"/>
            <w:noWrap/>
            <w:vAlign w:val="bottom"/>
            <w:hideMark/>
          </w:tcPr>
          <w:p w14:paraId="2C6C3B9D"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0.000</w:t>
            </w:r>
          </w:p>
        </w:tc>
      </w:tr>
      <w:tr w:rsidR="00F577B6" w:rsidRPr="0056640B" w14:paraId="0EE90E8D" w14:textId="77777777" w:rsidTr="0077731B">
        <w:trPr>
          <w:cantSplit/>
          <w:trHeight w:val="304"/>
        </w:trPr>
        <w:tc>
          <w:tcPr>
            <w:tcW w:w="1894" w:type="dxa"/>
            <w:shd w:val="clear" w:color="auto" w:fill="auto"/>
            <w:noWrap/>
            <w:vAlign w:val="bottom"/>
            <w:hideMark/>
          </w:tcPr>
          <w:p w14:paraId="2B3A1588"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greenwashing</w:t>
            </w:r>
          </w:p>
        </w:tc>
        <w:tc>
          <w:tcPr>
            <w:tcW w:w="1161" w:type="dxa"/>
            <w:shd w:val="clear" w:color="auto" w:fill="auto"/>
            <w:noWrap/>
            <w:vAlign w:val="bottom"/>
            <w:hideMark/>
          </w:tcPr>
          <w:p w14:paraId="6E58CB4F"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0,636</w:t>
            </w:r>
          </w:p>
        </w:tc>
        <w:tc>
          <w:tcPr>
            <w:tcW w:w="2194" w:type="dxa"/>
            <w:shd w:val="clear" w:color="auto" w:fill="auto"/>
            <w:noWrap/>
            <w:vAlign w:val="bottom"/>
            <w:hideMark/>
          </w:tcPr>
          <w:p w14:paraId="5F7C8BC9"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0,096</w:t>
            </w:r>
          </w:p>
        </w:tc>
        <w:tc>
          <w:tcPr>
            <w:tcW w:w="2826" w:type="dxa"/>
            <w:shd w:val="clear" w:color="auto" w:fill="auto"/>
            <w:noWrap/>
            <w:vAlign w:val="bottom"/>
            <w:hideMark/>
          </w:tcPr>
          <w:p w14:paraId="480B820C"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0,625</w:t>
            </w:r>
          </w:p>
        </w:tc>
        <w:tc>
          <w:tcPr>
            <w:tcW w:w="1020" w:type="dxa"/>
            <w:shd w:val="clear" w:color="auto" w:fill="auto"/>
            <w:noWrap/>
            <w:vAlign w:val="bottom"/>
            <w:hideMark/>
          </w:tcPr>
          <w:p w14:paraId="7C88F301"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6,597</w:t>
            </w:r>
          </w:p>
        </w:tc>
        <w:tc>
          <w:tcPr>
            <w:tcW w:w="965" w:type="dxa"/>
            <w:shd w:val="clear" w:color="auto" w:fill="auto"/>
            <w:noWrap/>
            <w:vAlign w:val="bottom"/>
            <w:hideMark/>
          </w:tcPr>
          <w:p w14:paraId="2CDF55BD"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0.000</w:t>
            </w:r>
          </w:p>
        </w:tc>
      </w:tr>
    </w:tbl>
    <w:p w14:paraId="1DDFF75D" w14:textId="77777777" w:rsidR="00F577B6" w:rsidRPr="00BE3BDB" w:rsidRDefault="00F577B6" w:rsidP="00F577B6">
      <w:pPr>
        <w:tabs>
          <w:tab w:val="left" w:pos="3375"/>
        </w:tabs>
        <w:ind w:left="1080"/>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342170D8" w14:textId="77777777" w:rsidR="00F577B6" w:rsidRPr="00BE3BDB" w:rsidRDefault="00F577B6" w:rsidP="00C61DD9">
      <w:r>
        <w:t xml:space="preserve">   </w:t>
      </w:r>
      <w:r w:rsidRPr="00BE3BDB">
        <w:t>D’après les résultats du tableau précédent, nous constatons que le modèle qui exprime la relation entre le greenwashing et  l'image de marque de l'entreprise GICA est :</w:t>
      </w:r>
    </w:p>
    <w:p w14:paraId="01F2E1F1" w14:textId="77777777" w:rsidR="00F577B6" w:rsidRPr="00BE3BDB" w:rsidRDefault="00F577B6" w:rsidP="00F577B6">
      <w:pPr>
        <w:tabs>
          <w:tab w:val="left" w:pos="3375"/>
        </w:tabs>
        <w:jc w:val="center"/>
        <w:rPr>
          <w:rFonts w:cstheme="majorBidi"/>
        </w:rPr>
      </w:pPr>
      <w:r w:rsidRPr="00BE3BDB">
        <w:rPr>
          <w:rFonts w:cstheme="majorBidi"/>
        </w:rPr>
        <w:t>Y = 0,636 X + 1,601</w:t>
      </w:r>
    </w:p>
    <w:p w14:paraId="5DD29B5D" w14:textId="77777777" w:rsidR="00F577B6" w:rsidRPr="00497693" w:rsidRDefault="00F577B6" w:rsidP="00C61DD9">
      <w:r w:rsidRPr="00BE3BDB">
        <w:t>Où Y représente la variable dépendante et X la variable indépendante (greenwashing), et 0,636 est la valeur de β correspondant à la pente de l’équation de régression.</w:t>
      </w:r>
      <w:r w:rsidRPr="00497693">
        <w:t xml:space="preserve"> </w:t>
      </w:r>
    </w:p>
    <w:p w14:paraId="739F1D32" w14:textId="77777777" w:rsidR="00F577B6" w:rsidRPr="00BE3BDB" w:rsidRDefault="00F577B6" w:rsidP="000B457B">
      <w:pPr>
        <w:pStyle w:val="Titre3"/>
        <w:numPr>
          <w:ilvl w:val="2"/>
          <w:numId w:val="38"/>
        </w:numPr>
      </w:pPr>
      <w:bookmarkStart w:id="164" w:name="_Toc200825483"/>
      <w:r w:rsidRPr="00BE3BDB">
        <w:t>Première sous hypothèse :</w:t>
      </w:r>
      <w:bookmarkEnd w:id="164"/>
      <w:r w:rsidRPr="00BE3BDB">
        <w:t xml:space="preserve"> </w:t>
      </w:r>
    </w:p>
    <w:p w14:paraId="3A2FF2E9" w14:textId="77777777" w:rsidR="0056640B" w:rsidRPr="00063796" w:rsidRDefault="00F577B6" w:rsidP="00063796">
      <w:r w:rsidRPr="00BE3BDB">
        <w:rPr>
          <w:b/>
          <w:bCs/>
        </w:rPr>
        <w:t xml:space="preserve">H1.1:   </w:t>
      </w:r>
      <w:r w:rsidRPr="00BE3BDB">
        <w:t xml:space="preserve">la confiance verte a un impact positif significatif sur l'image de marque de l'entreprise </w:t>
      </w:r>
      <w:proofErr w:type="spellStart"/>
      <w:r w:rsidRPr="00BE3BDB">
        <w:t>Gica</w:t>
      </w:r>
      <w:proofErr w:type="spellEnd"/>
      <w:r w:rsidRPr="00BE3BDB">
        <w:t xml:space="preserve"> au seuil alpha 5%.</w:t>
      </w:r>
    </w:p>
    <w:p w14:paraId="5C86B646" w14:textId="77777777" w:rsidR="00F577B6" w:rsidRPr="00BE3BDB" w:rsidRDefault="00F577B6" w:rsidP="000B457B">
      <w:pPr>
        <w:pStyle w:val="Titre4"/>
        <w:numPr>
          <w:ilvl w:val="3"/>
          <w:numId w:val="38"/>
        </w:numPr>
      </w:pPr>
      <w:r w:rsidRPr="00BE3BDB">
        <w:t xml:space="preserve"> Coefficient de corrélation (R carré)</w:t>
      </w:r>
    </w:p>
    <w:p w14:paraId="370B8F45" w14:textId="77777777" w:rsidR="00F577B6" w:rsidRPr="00063796" w:rsidRDefault="00063796" w:rsidP="00063796">
      <w:pPr>
        <w:pStyle w:val="Lgende"/>
        <w:jc w:val="center"/>
        <w:rPr>
          <w:rFonts w:cstheme="majorBidi"/>
          <w:i w:val="0"/>
          <w:iCs w:val="0"/>
          <w:color w:val="000000" w:themeColor="text1"/>
          <w:sz w:val="24"/>
          <w:szCs w:val="24"/>
        </w:rPr>
      </w:pPr>
      <w:bookmarkStart w:id="165" w:name="_Toc200731416"/>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23</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corrélation</w:t>
      </w:r>
      <w:bookmarkEnd w:id="165"/>
    </w:p>
    <w:tbl>
      <w:tblPr>
        <w:tblpPr w:leftFromText="141" w:rightFromText="141" w:vertAnchor="text" w:horzAnchor="margin" w:tblpXSpec="center" w:tblpY="354"/>
        <w:tblW w:w="9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9"/>
        <w:gridCol w:w="1159"/>
        <w:gridCol w:w="1159"/>
        <w:gridCol w:w="1892"/>
        <w:gridCol w:w="3420"/>
      </w:tblGrid>
      <w:tr w:rsidR="0056640B" w:rsidRPr="0056640B" w14:paraId="193301A8" w14:textId="77777777" w:rsidTr="0056640B">
        <w:trPr>
          <w:cantSplit/>
          <w:trHeight w:val="187"/>
        </w:trPr>
        <w:tc>
          <w:tcPr>
            <w:tcW w:w="1379" w:type="dxa"/>
            <w:shd w:val="clear" w:color="auto" w:fill="auto"/>
            <w:noWrap/>
            <w:vAlign w:val="bottom"/>
            <w:hideMark/>
          </w:tcPr>
          <w:p w14:paraId="51841CDD" w14:textId="77777777" w:rsidR="0056640B" w:rsidRPr="0056640B" w:rsidRDefault="0056640B" w:rsidP="0056640B">
            <w:pPr>
              <w:pStyle w:val="Sansinterligne"/>
              <w:spacing w:line="480" w:lineRule="auto"/>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Modèle</w:t>
            </w:r>
          </w:p>
        </w:tc>
        <w:tc>
          <w:tcPr>
            <w:tcW w:w="1159" w:type="dxa"/>
            <w:shd w:val="clear" w:color="auto" w:fill="auto"/>
            <w:noWrap/>
            <w:vAlign w:val="bottom"/>
            <w:hideMark/>
          </w:tcPr>
          <w:p w14:paraId="5454191C" w14:textId="77777777" w:rsidR="0056640B" w:rsidRPr="0056640B" w:rsidRDefault="0056640B" w:rsidP="0056640B">
            <w:pPr>
              <w:pStyle w:val="Sansinterligne"/>
              <w:spacing w:line="480" w:lineRule="auto"/>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R</w:t>
            </w:r>
          </w:p>
        </w:tc>
        <w:tc>
          <w:tcPr>
            <w:tcW w:w="1159" w:type="dxa"/>
            <w:shd w:val="clear" w:color="auto" w:fill="auto"/>
            <w:noWrap/>
            <w:vAlign w:val="bottom"/>
            <w:hideMark/>
          </w:tcPr>
          <w:p w14:paraId="3954244F" w14:textId="77777777" w:rsidR="0056640B" w:rsidRPr="0056640B" w:rsidRDefault="0056640B" w:rsidP="0056640B">
            <w:pPr>
              <w:pStyle w:val="Sansinterligne"/>
              <w:spacing w:line="480" w:lineRule="auto"/>
              <w:ind w:firstLine="0"/>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R-deux</w:t>
            </w:r>
          </w:p>
        </w:tc>
        <w:tc>
          <w:tcPr>
            <w:tcW w:w="1892" w:type="dxa"/>
            <w:shd w:val="clear" w:color="auto" w:fill="auto"/>
            <w:noWrap/>
            <w:vAlign w:val="bottom"/>
            <w:hideMark/>
          </w:tcPr>
          <w:p w14:paraId="6C01BC12" w14:textId="77777777" w:rsidR="0056640B" w:rsidRPr="0056640B" w:rsidRDefault="0056640B" w:rsidP="0056640B">
            <w:pPr>
              <w:pStyle w:val="Sansinterligne"/>
              <w:spacing w:line="480" w:lineRule="auto"/>
              <w:ind w:firstLine="0"/>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R-deux ajusté</w:t>
            </w:r>
          </w:p>
        </w:tc>
        <w:tc>
          <w:tcPr>
            <w:tcW w:w="3420" w:type="dxa"/>
            <w:shd w:val="clear" w:color="auto" w:fill="auto"/>
            <w:noWrap/>
            <w:vAlign w:val="bottom"/>
            <w:hideMark/>
          </w:tcPr>
          <w:p w14:paraId="1998E26C" w14:textId="77777777" w:rsidR="0056640B" w:rsidRPr="0056640B" w:rsidRDefault="0056640B" w:rsidP="0056640B">
            <w:pPr>
              <w:pStyle w:val="Sansinterligne"/>
              <w:spacing w:line="480" w:lineRule="auto"/>
              <w:ind w:firstLine="0"/>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Erreur standard de l'estimation</w:t>
            </w:r>
          </w:p>
        </w:tc>
      </w:tr>
      <w:tr w:rsidR="0056640B" w:rsidRPr="0056640B" w14:paraId="1D092037" w14:textId="77777777" w:rsidTr="0056640B">
        <w:trPr>
          <w:cantSplit/>
          <w:trHeight w:val="187"/>
        </w:trPr>
        <w:tc>
          <w:tcPr>
            <w:tcW w:w="1379" w:type="dxa"/>
            <w:shd w:val="clear" w:color="auto" w:fill="auto"/>
            <w:noWrap/>
            <w:vAlign w:val="bottom"/>
            <w:hideMark/>
          </w:tcPr>
          <w:p w14:paraId="54D35B41" w14:textId="77777777" w:rsidR="0056640B" w:rsidRPr="0056640B" w:rsidRDefault="0056640B"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lastRenderedPageBreak/>
              <w:t>1</w:t>
            </w:r>
          </w:p>
        </w:tc>
        <w:tc>
          <w:tcPr>
            <w:tcW w:w="1159" w:type="dxa"/>
            <w:shd w:val="clear" w:color="auto" w:fill="auto"/>
            <w:noWrap/>
            <w:vAlign w:val="bottom"/>
            <w:hideMark/>
          </w:tcPr>
          <w:p w14:paraId="4B60A28E" w14:textId="77777777" w:rsidR="0056640B" w:rsidRPr="0056640B" w:rsidRDefault="0056640B"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0,624</w:t>
            </w:r>
          </w:p>
        </w:tc>
        <w:tc>
          <w:tcPr>
            <w:tcW w:w="1159" w:type="dxa"/>
            <w:shd w:val="clear" w:color="auto" w:fill="auto"/>
            <w:noWrap/>
            <w:vAlign w:val="bottom"/>
            <w:hideMark/>
          </w:tcPr>
          <w:p w14:paraId="55490889" w14:textId="77777777" w:rsidR="0056640B" w:rsidRPr="0056640B" w:rsidRDefault="0056640B"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0,389</w:t>
            </w:r>
          </w:p>
        </w:tc>
        <w:tc>
          <w:tcPr>
            <w:tcW w:w="1892" w:type="dxa"/>
            <w:shd w:val="clear" w:color="auto" w:fill="auto"/>
            <w:noWrap/>
            <w:vAlign w:val="bottom"/>
            <w:hideMark/>
          </w:tcPr>
          <w:p w14:paraId="6DD95FA3" w14:textId="77777777" w:rsidR="0056640B" w:rsidRPr="0056640B" w:rsidRDefault="0056640B"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0,38</w:t>
            </w:r>
          </w:p>
        </w:tc>
        <w:tc>
          <w:tcPr>
            <w:tcW w:w="3420" w:type="dxa"/>
            <w:shd w:val="clear" w:color="auto" w:fill="auto"/>
            <w:noWrap/>
            <w:vAlign w:val="bottom"/>
            <w:hideMark/>
          </w:tcPr>
          <w:p w14:paraId="4736D152" w14:textId="77777777" w:rsidR="0056640B" w:rsidRPr="0056640B" w:rsidRDefault="0056640B"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0,41126</w:t>
            </w:r>
          </w:p>
        </w:tc>
      </w:tr>
    </w:tbl>
    <w:p w14:paraId="0225A744" w14:textId="77777777" w:rsidR="00F577B6" w:rsidRPr="00BE3BDB" w:rsidRDefault="0056640B" w:rsidP="0056640B">
      <w:pPr>
        <w:pStyle w:val="Paragraphedeliste"/>
        <w:tabs>
          <w:tab w:val="left" w:pos="3375"/>
        </w:tabs>
        <w:ind w:left="360"/>
        <w:jc w:val="center"/>
        <w:rPr>
          <w:rFonts w:cstheme="majorBidi"/>
        </w:rPr>
      </w:pPr>
      <w:r w:rsidRPr="00BE3BDB">
        <w:rPr>
          <w:rFonts w:cstheme="majorBidi"/>
        </w:rPr>
        <w:t xml:space="preserve"> </w:t>
      </w:r>
      <w:r w:rsidR="00F577B6" w:rsidRPr="00BE3BDB">
        <w:rPr>
          <w:rFonts w:cstheme="majorBidi"/>
        </w:rPr>
        <w:t xml:space="preserve">Source : établi par l’étudiante à partir des résultats du </w:t>
      </w:r>
      <w:proofErr w:type="spellStart"/>
      <w:r w:rsidR="00F577B6" w:rsidRPr="00BE3BDB">
        <w:rPr>
          <w:rFonts w:cstheme="majorBidi"/>
        </w:rPr>
        <w:t>spss</w:t>
      </w:r>
      <w:proofErr w:type="spellEnd"/>
      <w:r w:rsidR="00F577B6" w:rsidRPr="00BE3BDB">
        <w:rPr>
          <w:rFonts w:cstheme="majorBidi"/>
        </w:rPr>
        <w:t xml:space="preserve"> v27</w:t>
      </w:r>
    </w:p>
    <w:p w14:paraId="798E818A" w14:textId="77777777" w:rsidR="00F577B6" w:rsidRPr="00025076" w:rsidRDefault="00F577B6" w:rsidP="00C61DD9">
      <w:r>
        <w:t xml:space="preserve">   </w:t>
      </w:r>
      <w:r w:rsidRPr="00BE3BDB">
        <w:t>Le coefficient de corrélation</w:t>
      </w:r>
      <w:r>
        <w:t xml:space="preserve"> </w:t>
      </w:r>
      <w:r w:rsidRPr="00BE3BDB">
        <w:t>R est de 0,624, indiquant une relation positive modéré</w:t>
      </w:r>
      <w:r>
        <w:t>e</w:t>
      </w:r>
      <w:r w:rsidRPr="00BE3BDB">
        <w:t xml:space="preserve"> entre la confiance verte et l’image de marque de l’entreprise GICA. Le coefficient de détermination   R </w:t>
      </w:r>
      <w:r>
        <w:t>- deux</w:t>
      </w:r>
      <w:r w:rsidRPr="00BE3BDB">
        <w:t xml:space="preserve">  =0,389 signifie que 38,9 % de la variation de l’image de marque est expliquée par la confiance verte.</w:t>
      </w:r>
    </w:p>
    <w:p w14:paraId="6B0C80EC" w14:textId="77777777" w:rsidR="00F577B6" w:rsidRPr="00BE3BDB" w:rsidRDefault="00F577B6" w:rsidP="000B457B">
      <w:pPr>
        <w:pStyle w:val="Titre4"/>
        <w:numPr>
          <w:ilvl w:val="3"/>
          <w:numId w:val="38"/>
        </w:numPr>
      </w:pPr>
      <w:r w:rsidRPr="00BE3BDB">
        <w:t xml:space="preserve"> Analyse de la variance ANOVA</w:t>
      </w:r>
    </w:p>
    <w:p w14:paraId="59BABCF8" w14:textId="77777777" w:rsidR="00F577B6" w:rsidRPr="00063796" w:rsidRDefault="00063796" w:rsidP="00063796">
      <w:pPr>
        <w:pStyle w:val="Lgende"/>
        <w:jc w:val="center"/>
        <w:rPr>
          <w:rFonts w:cstheme="majorBidi"/>
          <w:b/>
          <w:bCs/>
          <w:i w:val="0"/>
          <w:iCs w:val="0"/>
          <w:color w:val="000000" w:themeColor="text1"/>
          <w:sz w:val="24"/>
          <w:szCs w:val="24"/>
        </w:rPr>
      </w:pPr>
      <w:bookmarkStart w:id="166" w:name="_Toc200731417"/>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24</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variance ANOVA</w:t>
      </w:r>
      <w:bookmarkEnd w:id="166"/>
    </w:p>
    <w:tbl>
      <w:tblPr>
        <w:tblStyle w:val="Grilledutableau"/>
        <w:tblW w:w="8261" w:type="dxa"/>
        <w:tblInd w:w="406" w:type="dxa"/>
        <w:tblLook w:val="04A0" w:firstRow="1" w:lastRow="0" w:firstColumn="1" w:lastColumn="0" w:noHBand="0" w:noVBand="1"/>
      </w:tblPr>
      <w:tblGrid>
        <w:gridCol w:w="1581"/>
        <w:gridCol w:w="2243"/>
        <w:gridCol w:w="677"/>
        <w:gridCol w:w="1602"/>
        <w:gridCol w:w="1079"/>
        <w:gridCol w:w="1079"/>
      </w:tblGrid>
      <w:tr w:rsidR="00F577B6" w:rsidRPr="0056640B" w14:paraId="5172FB06" w14:textId="77777777" w:rsidTr="0056640B">
        <w:trPr>
          <w:trHeight w:val="274"/>
        </w:trPr>
        <w:tc>
          <w:tcPr>
            <w:tcW w:w="1581" w:type="dxa"/>
            <w:noWrap/>
            <w:hideMark/>
          </w:tcPr>
          <w:p w14:paraId="6BF04AD6"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Modèle</w:t>
            </w:r>
          </w:p>
        </w:tc>
        <w:tc>
          <w:tcPr>
            <w:tcW w:w="2243" w:type="dxa"/>
            <w:noWrap/>
            <w:hideMark/>
          </w:tcPr>
          <w:p w14:paraId="7C73DE49"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Somme des carrés</w:t>
            </w:r>
          </w:p>
        </w:tc>
        <w:tc>
          <w:tcPr>
            <w:tcW w:w="677" w:type="dxa"/>
            <w:noWrap/>
            <w:hideMark/>
          </w:tcPr>
          <w:p w14:paraId="0423A21D"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ddl</w:t>
            </w:r>
          </w:p>
        </w:tc>
        <w:tc>
          <w:tcPr>
            <w:tcW w:w="1602" w:type="dxa"/>
            <w:noWrap/>
            <w:hideMark/>
          </w:tcPr>
          <w:p w14:paraId="660EF54B"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Carré moyen</w:t>
            </w:r>
          </w:p>
        </w:tc>
        <w:tc>
          <w:tcPr>
            <w:tcW w:w="1079" w:type="dxa"/>
            <w:noWrap/>
            <w:hideMark/>
          </w:tcPr>
          <w:p w14:paraId="66E53861"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F</w:t>
            </w:r>
          </w:p>
        </w:tc>
        <w:tc>
          <w:tcPr>
            <w:tcW w:w="1079" w:type="dxa"/>
            <w:noWrap/>
            <w:hideMark/>
          </w:tcPr>
          <w:p w14:paraId="02B0BDEE" w14:textId="77777777" w:rsidR="00F577B6" w:rsidRPr="0056640B" w:rsidRDefault="00F577B6" w:rsidP="0056640B">
            <w:pPr>
              <w:pStyle w:val="Sansinterligne"/>
              <w:spacing w:line="480" w:lineRule="auto"/>
              <w:rPr>
                <w:rFonts w:asciiTheme="majorBidi" w:hAnsiTheme="majorBidi" w:cstheme="majorBidi"/>
                <w:b/>
                <w:bCs/>
              </w:rPr>
            </w:pPr>
            <w:proofErr w:type="spellStart"/>
            <w:r w:rsidRPr="0056640B">
              <w:rPr>
                <w:rFonts w:asciiTheme="majorBidi" w:hAnsiTheme="majorBidi" w:cstheme="majorBidi"/>
                <w:b/>
                <w:bCs/>
              </w:rPr>
              <w:t>Sig</w:t>
            </w:r>
            <w:proofErr w:type="spellEnd"/>
            <w:r w:rsidRPr="0056640B">
              <w:rPr>
                <w:rFonts w:asciiTheme="majorBidi" w:hAnsiTheme="majorBidi" w:cstheme="majorBidi"/>
                <w:b/>
                <w:bCs/>
              </w:rPr>
              <w:t>.</w:t>
            </w:r>
          </w:p>
        </w:tc>
      </w:tr>
      <w:tr w:rsidR="00F577B6" w:rsidRPr="0056640B" w14:paraId="2369A499" w14:textId="77777777" w:rsidTr="0056640B">
        <w:trPr>
          <w:trHeight w:val="274"/>
        </w:trPr>
        <w:tc>
          <w:tcPr>
            <w:tcW w:w="1581" w:type="dxa"/>
            <w:noWrap/>
            <w:hideMark/>
          </w:tcPr>
          <w:p w14:paraId="4314EB6D"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Régression</w:t>
            </w:r>
          </w:p>
        </w:tc>
        <w:tc>
          <w:tcPr>
            <w:tcW w:w="2243" w:type="dxa"/>
            <w:noWrap/>
            <w:hideMark/>
          </w:tcPr>
          <w:p w14:paraId="149881B4"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7,334</w:t>
            </w:r>
          </w:p>
        </w:tc>
        <w:tc>
          <w:tcPr>
            <w:tcW w:w="677" w:type="dxa"/>
            <w:noWrap/>
            <w:hideMark/>
          </w:tcPr>
          <w:p w14:paraId="39B48658"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1</w:t>
            </w:r>
          </w:p>
        </w:tc>
        <w:tc>
          <w:tcPr>
            <w:tcW w:w="1602" w:type="dxa"/>
            <w:noWrap/>
            <w:hideMark/>
          </w:tcPr>
          <w:p w14:paraId="5D92C166"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7,334</w:t>
            </w:r>
          </w:p>
        </w:tc>
        <w:tc>
          <w:tcPr>
            <w:tcW w:w="1079" w:type="dxa"/>
            <w:noWrap/>
            <w:hideMark/>
          </w:tcPr>
          <w:p w14:paraId="62124151"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43,362</w:t>
            </w:r>
          </w:p>
        </w:tc>
        <w:tc>
          <w:tcPr>
            <w:tcW w:w="1079" w:type="dxa"/>
            <w:noWrap/>
            <w:hideMark/>
          </w:tcPr>
          <w:p w14:paraId="7160A367"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0,000</w:t>
            </w:r>
          </w:p>
        </w:tc>
      </w:tr>
      <w:tr w:rsidR="00F577B6" w:rsidRPr="0056640B" w14:paraId="3CE2C8F1" w14:textId="77777777" w:rsidTr="0056640B">
        <w:trPr>
          <w:trHeight w:val="274"/>
        </w:trPr>
        <w:tc>
          <w:tcPr>
            <w:tcW w:w="1581" w:type="dxa"/>
            <w:noWrap/>
            <w:hideMark/>
          </w:tcPr>
          <w:p w14:paraId="26DC56ED"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 xml:space="preserve">de </w:t>
            </w:r>
            <w:proofErr w:type="spellStart"/>
            <w:r w:rsidRPr="0056640B">
              <w:rPr>
                <w:rFonts w:asciiTheme="majorBidi" w:hAnsiTheme="majorBidi" w:cstheme="majorBidi"/>
                <w:b/>
                <w:bCs/>
              </w:rPr>
              <w:t>Student</w:t>
            </w:r>
            <w:proofErr w:type="spellEnd"/>
          </w:p>
        </w:tc>
        <w:tc>
          <w:tcPr>
            <w:tcW w:w="2243" w:type="dxa"/>
            <w:noWrap/>
            <w:hideMark/>
          </w:tcPr>
          <w:p w14:paraId="6DFF97AA"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11,501</w:t>
            </w:r>
          </w:p>
        </w:tc>
        <w:tc>
          <w:tcPr>
            <w:tcW w:w="677" w:type="dxa"/>
            <w:noWrap/>
            <w:hideMark/>
          </w:tcPr>
          <w:p w14:paraId="016A3F3C"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68</w:t>
            </w:r>
          </w:p>
        </w:tc>
        <w:tc>
          <w:tcPr>
            <w:tcW w:w="1602" w:type="dxa"/>
            <w:noWrap/>
            <w:hideMark/>
          </w:tcPr>
          <w:p w14:paraId="6408989E"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0,169</w:t>
            </w:r>
          </w:p>
        </w:tc>
        <w:tc>
          <w:tcPr>
            <w:tcW w:w="1079" w:type="dxa"/>
            <w:noWrap/>
            <w:hideMark/>
          </w:tcPr>
          <w:p w14:paraId="38D3CB9A" w14:textId="77777777" w:rsidR="00F577B6" w:rsidRPr="0056640B" w:rsidRDefault="00F577B6" w:rsidP="0056640B">
            <w:pPr>
              <w:pStyle w:val="Sansinterligne"/>
              <w:spacing w:line="480" w:lineRule="auto"/>
              <w:rPr>
                <w:rFonts w:asciiTheme="majorBidi" w:hAnsiTheme="majorBidi" w:cstheme="majorBidi"/>
              </w:rPr>
            </w:pPr>
          </w:p>
        </w:tc>
        <w:tc>
          <w:tcPr>
            <w:tcW w:w="1079" w:type="dxa"/>
            <w:noWrap/>
            <w:hideMark/>
          </w:tcPr>
          <w:p w14:paraId="3036AEF5" w14:textId="77777777" w:rsidR="00F577B6" w:rsidRPr="0056640B" w:rsidRDefault="00F577B6" w:rsidP="0056640B">
            <w:pPr>
              <w:pStyle w:val="Sansinterligne"/>
              <w:spacing w:line="480" w:lineRule="auto"/>
              <w:rPr>
                <w:rFonts w:asciiTheme="majorBidi" w:hAnsiTheme="majorBidi" w:cstheme="majorBidi"/>
              </w:rPr>
            </w:pPr>
          </w:p>
        </w:tc>
      </w:tr>
      <w:tr w:rsidR="00F577B6" w:rsidRPr="0056640B" w14:paraId="0D9E0EFA" w14:textId="77777777" w:rsidTr="0056640B">
        <w:trPr>
          <w:trHeight w:val="274"/>
        </w:trPr>
        <w:tc>
          <w:tcPr>
            <w:tcW w:w="1581" w:type="dxa"/>
            <w:noWrap/>
            <w:hideMark/>
          </w:tcPr>
          <w:p w14:paraId="63439A85"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Total</w:t>
            </w:r>
          </w:p>
        </w:tc>
        <w:tc>
          <w:tcPr>
            <w:tcW w:w="2243" w:type="dxa"/>
            <w:noWrap/>
            <w:hideMark/>
          </w:tcPr>
          <w:p w14:paraId="338BB968"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18,836</w:t>
            </w:r>
          </w:p>
        </w:tc>
        <w:tc>
          <w:tcPr>
            <w:tcW w:w="677" w:type="dxa"/>
            <w:noWrap/>
            <w:hideMark/>
          </w:tcPr>
          <w:p w14:paraId="1254A380"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69</w:t>
            </w:r>
          </w:p>
        </w:tc>
        <w:tc>
          <w:tcPr>
            <w:tcW w:w="1602" w:type="dxa"/>
            <w:noWrap/>
            <w:hideMark/>
          </w:tcPr>
          <w:p w14:paraId="54111B5F" w14:textId="77777777" w:rsidR="00F577B6" w:rsidRPr="0056640B" w:rsidRDefault="00F577B6" w:rsidP="0056640B">
            <w:pPr>
              <w:pStyle w:val="Sansinterligne"/>
              <w:spacing w:line="480" w:lineRule="auto"/>
              <w:rPr>
                <w:rFonts w:asciiTheme="majorBidi" w:hAnsiTheme="majorBidi" w:cstheme="majorBidi"/>
              </w:rPr>
            </w:pPr>
          </w:p>
        </w:tc>
        <w:tc>
          <w:tcPr>
            <w:tcW w:w="1079" w:type="dxa"/>
            <w:noWrap/>
            <w:hideMark/>
          </w:tcPr>
          <w:p w14:paraId="2F53FC5B" w14:textId="77777777" w:rsidR="00F577B6" w:rsidRPr="0056640B" w:rsidRDefault="00F577B6" w:rsidP="0056640B">
            <w:pPr>
              <w:pStyle w:val="Sansinterligne"/>
              <w:spacing w:line="480" w:lineRule="auto"/>
              <w:rPr>
                <w:rFonts w:asciiTheme="majorBidi" w:hAnsiTheme="majorBidi" w:cstheme="majorBidi"/>
              </w:rPr>
            </w:pPr>
          </w:p>
        </w:tc>
        <w:tc>
          <w:tcPr>
            <w:tcW w:w="1079" w:type="dxa"/>
            <w:noWrap/>
            <w:hideMark/>
          </w:tcPr>
          <w:p w14:paraId="4404F7AA" w14:textId="77777777" w:rsidR="00F577B6" w:rsidRPr="0056640B" w:rsidRDefault="00F577B6" w:rsidP="0056640B">
            <w:pPr>
              <w:pStyle w:val="Sansinterligne"/>
              <w:spacing w:line="480" w:lineRule="auto"/>
              <w:rPr>
                <w:rFonts w:asciiTheme="majorBidi" w:hAnsiTheme="majorBidi" w:cstheme="majorBidi"/>
              </w:rPr>
            </w:pPr>
          </w:p>
        </w:tc>
      </w:tr>
    </w:tbl>
    <w:p w14:paraId="03B1349C" w14:textId="77777777" w:rsidR="00F577B6" w:rsidRPr="00BE3BDB" w:rsidRDefault="00F577B6" w:rsidP="00F577B6">
      <w:pPr>
        <w:tabs>
          <w:tab w:val="left" w:pos="3375"/>
        </w:tabs>
        <w:ind w:left="1080"/>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403C0975" w14:textId="77777777" w:rsidR="00C61DD9" w:rsidRPr="00BE3BDB" w:rsidRDefault="00F577B6" w:rsidP="0077731B">
      <w:r w:rsidRPr="00BE3BDB">
        <w:t xml:space="preserve">    D’après le tableau ci-dessus,  La valeur de significativité est de 0,000, ce qui est inférieur à 0,05.Cela confirme la validité du modèle de régression linéaire, et permet de conclure que la confiance verte exerce un impact positif et significatif sur l’image de marque de l’entreprise GICA, au seuil alpha de 5 %.</w:t>
      </w:r>
    </w:p>
    <w:p w14:paraId="5A439D9A" w14:textId="77777777" w:rsidR="00F577B6" w:rsidRPr="0077731B" w:rsidRDefault="00F577B6" w:rsidP="000B457B">
      <w:pPr>
        <w:pStyle w:val="Titre4"/>
        <w:numPr>
          <w:ilvl w:val="3"/>
          <w:numId w:val="38"/>
        </w:numPr>
      </w:pPr>
      <w:r w:rsidRPr="0077731B">
        <w:t>Coefficients de régression</w:t>
      </w:r>
    </w:p>
    <w:p w14:paraId="6F01FD73" w14:textId="77777777" w:rsidR="00063796" w:rsidRPr="00063796" w:rsidRDefault="00063796" w:rsidP="00063796">
      <w:pPr>
        <w:pStyle w:val="Lgende"/>
        <w:jc w:val="center"/>
        <w:rPr>
          <w:rFonts w:cstheme="majorBidi"/>
          <w:i w:val="0"/>
          <w:iCs w:val="0"/>
          <w:color w:val="000000" w:themeColor="text1"/>
          <w:sz w:val="24"/>
          <w:szCs w:val="24"/>
        </w:rPr>
      </w:pPr>
      <w:bookmarkStart w:id="167" w:name="_Toc200731418"/>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25</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coefficients de régression</w:t>
      </w:r>
      <w:bookmarkEnd w:id="167"/>
    </w:p>
    <w:p w14:paraId="3A65232F" w14:textId="77777777" w:rsidR="00F577B6" w:rsidRPr="00063796" w:rsidRDefault="00F577B6" w:rsidP="00063796">
      <w:pPr>
        <w:pStyle w:val="Lgende"/>
        <w:rPr>
          <w:rFonts w:cstheme="majorBidi"/>
          <w:b/>
          <w:bCs/>
        </w:rPr>
      </w:pPr>
      <w:r w:rsidRPr="00063796">
        <w:rPr>
          <w:rFonts w:cstheme="majorBidi"/>
          <w:b/>
          <w:bCs/>
        </w:rPr>
        <w:fldChar w:fldCharType="begin"/>
      </w:r>
      <w:r w:rsidRPr="00063796">
        <w:rPr>
          <w:rFonts w:cstheme="majorBidi"/>
          <w:b/>
          <w:bCs/>
        </w:rPr>
        <w:instrText xml:space="preserve"> LINK Excel.Sheet.12 "C:\\Users\\yahia cherif\\Desktop\\Analyse des données\\2025\\Asma\\ttableau.xlsx" "Sheet3!R6C20:R9C25" \a \f 4 \h  \* MERGEFORMAT </w:instrText>
      </w:r>
      <w:r w:rsidRPr="00063796">
        <w:rPr>
          <w:rFonts w:cstheme="majorBidi"/>
          <w:b/>
          <w:bCs/>
        </w:rPr>
        <w:fldChar w:fldCharType="separate"/>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9"/>
        <w:gridCol w:w="1079"/>
        <w:gridCol w:w="2921"/>
        <w:gridCol w:w="2242"/>
        <w:gridCol w:w="1020"/>
        <w:gridCol w:w="1020"/>
      </w:tblGrid>
      <w:tr w:rsidR="00F577B6" w:rsidRPr="00063796" w14:paraId="0A0D4C42" w14:textId="77777777" w:rsidTr="0056640B">
        <w:trPr>
          <w:trHeight w:val="310"/>
        </w:trPr>
        <w:tc>
          <w:tcPr>
            <w:tcW w:w="1399" w:type="dxa"/>
            <w:shd w:val="clear" w:color="auto" w:fill="auto"/>
            <w:noWrap/>
            <w:vAlign w:val="bottom"/>
            <w:hideMark/>
          </w:tcPr>
          <w:p w14:paraId="55038609" w14:textId="77777777" w:rsidR="00F577B6" w:rsidRPr="00063796" w:rsidRDefault="00F577B6" w:rsidP="0056640B">
            <w:pPr>
              <w:pStyle w:val="Sansinterligne"/>
              <w:spacing w:line="360" w:lineRule="auto"/>
              <w:rPr>
                <w:rFonts w:asciiTheme="majorBidi" w:hAnsiTheme="majorBidi" w:cstheme="majorBidi"/>
                <w:b/>
                <w:bCs/>
                <w:sz w:val="24"/>
                <w:szCs w:val="24"/>
                <w:lang w:eastAsia="fr-FR"/>
              </w:rPr>
            </w:pPr>
          </w:p>
        </w:tc>
        <w:tc>
          <w:tcPr>
            <w:tcW w:w="4000" w:type="dxa"/>
            <w:gridSpan w:val="2"/>
            <w:shd w:val="clear" w:color="auto" w:fill="auto"/>
            <w:noWrap/>
            <w:vAlign w:val="bottom"/>
            <w:hideMark/>
          </w:tcPr>
          <w:p w14:paraId="0339D772"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Coefficients non standardisés</w:t>
            </w:r>
          </w:p>
        </w:tc>
        <w:tc>
          <w:tcPr>
            <w:tcW w:w="2242" w:type="dxa"/>
            <w:shd w:val="clear" w:color="auto" w:fill="auto"/>
            <w:noWrap/>
            <w:vAlign w:val="bottom"/>
            <w:hideMark/>
          </w:tcPr>
          <w:p w14:paraId="5D0AF186"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Coefficients standardisés</w:t>
            </w:r>
          </w:p>
        </w:tc>
        <w:tc>
          <w:tcPr>
            <w:tcW w:w="879" w:type="dxa"/>
            <w:vMerge w:val="restart"/>
            <w:shd w:val="clear" w:color="auto" w:fill="auto"/>
            <w:noWrap/>
            <w:vAlign w:val="bottom"/>
            <w:hideMark/>
          </w:tcPr>
          <w:p w14:paraId="07E09BF8"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t</w:t>
            </w:r>
          </w:p>
        </w:tc>
        <w:tc>
          <w:tcPr>
            <w:tcW w:w="880" w:type="dxa"/>
            <w:vMerge w:val="restart"/>
            <w:shd w:val="clear" w:color="auto" w:fill="auto"/>
            <w:noWrap/>
            <w:vAlign w:val="bottom"/>
            <w:hideMark/>
          </w:tcPr>
          <w:p w14:paraId="4ECC2DFE"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proofErr w:type="spellStart"/>
            <w:r w:rsidRPr="00063796">
              <w:rPr>
                <w:rFonts w:asciiTheme="majorBidi" w:hAnsiTheme="majorBidi" w:cstheme="majorBidi"/>
                <w:b/>
                <w:bCs/>
                <w:color w:val="000000"/>
                <w:sz w:val="24"/>
                <w:szCs w:val="24"/>
                <w:lang w:eastAsia="fr-FR"/>
              </w:rPr>
              <w:t>Sig</w:t>
            </w:r>
            <w:proofErr w:type="spellEnd"/>
            <w:r w:rsidRPr="00063796">
              <w:rPr>
                <w:rFonts w:asciiTheme="majorBidi" w:hAnsiTheme="majorBidi" w:cstheme="majorBidi"/>
                <w:b/>
                <w:bCs/>
                <w:color w:val="000000"/>
                <w:sz w:val="24"/>
                <w:szCs w:val="24"/>
                <w:lang w:eastAsia="fr-FR"/>
              </w:rPr>
              <w:t>.</w:t>
            </w:r>
          </w:p>
        </w:tc>
      </w:tr>
      <w:tr w:rsidR="00F577B6" w:rsidRPr="00063796" w14:paraId="3DB50A67" w14:textId="77777777" w:rsidTr="0056640B">
        <w:trPr>
          <w:cantSplit/>
          <w:trHeight w:val="310"/>
        </w:trPr>
        <w:tc>
          <w:tcPr>
            <w:tcW w:w="1399" w:type="dxa"/>
            <w:shd w:val="clear" w:color="auto" w:fill="auto"/>
            <w:noWrap/>
            <w:vAlign w:val="bottom"/>
            <w:hideMark/>
          </w:tcPr>
          <w:p w14:paraId="3B33316E"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p>
        </w:tc>
        <w:tc>
          <w:tcPr>
            <w:tcW w:w="1079" w:type="dxa"/>
            <w:shd w:val="clear" w:color="auto" w:fill="auto"/>
            <w:noWrap/>
            <w:vAlign w:val="bottom"/>
            <w:hideMark/>
          </w:tcPr>
          <w:p w14:paraId="35FC1E4E"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B</w:t>
            </w:r>
          </w:p>
        </w:tc>
        <w:tc>
          <w:tcPr>
            <w:tcW w:w="2921" w:type="dxa"/>
            <w:shd w:val="clear" w:color="auto" w:fill="auto"/>
            <w:noWrap/>
            <w:vAlign w:val="bottom"/>
            <w:hideMark/>
          </w:tcPr>
          <w:p w14:paraId="24236BE8"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Erreur standard</w:t>
            </w:r>
          </w:p>
        </w:tc>
        <w:tc>
          <w:tcPr>
            <w:tcW w:w="2242" w:type="dxa"/>
            <w:shd w:val="clear" w:color="auto" w:fill="auto"/>
            <w:noWrap/>
            <w:vAlign w:val="bottom"/>
            <w:hideMark/>
          </w:tcPr>
          <w:p w14:paraId="7DEF6763"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Bêta</w:t>
            </w:r>
          </w:p>
        </w:tc>
        <w:tc>
          <w:tcPr>
            <w:tcW w:w="879" w:type="dxa"/>
            <w:vMerge/>
            <w:vAlign w:val="center"/>
            <w:hideMark/>
          </w:tcPr>
          <w:p w14:paraId="645E4570"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p>
        </w:tc>
        <w:tc>
          <w:tcPr>
            <w:tcW w:w="880" w:type="dxa"/>
            <w:vMerge/>
            <w:vAlign w:val="center"/>
            <w:hideMark/>
          </w:tcPr>
          <w:p w14:paraId="0F9AB8ED"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p>
        </w:tc>
      </w:tr>
      <w:tr w:rsidR="00F577B6" w:rsidRPr="00063796" w14:paraId="62DF35C5" w14:textId="77777777" w:rsidTr="0056640B">
        <w:trPr>
          <w:cantSplit/>
          <w:trHeight w:val="310"/>
        </w:trPr>
        <w:tc>
          <w:tcPr>
            <w:tcW w:w="1399" w:type="dxa"/>
            <w:shd w:val="clear" w:color="auto" w:fill="auto"/>
            <w:noWrap/>
            <w:vAlign w:val="bottom"/>
            <w:hideMark/>
          </w:tcPr>
          <w:p w14:paraId="655CF4FF" w14:textId="77777777" w:rsidR="00F577B6" w:rsidRPr="00063796" w:rsidRDefault="00F577B6" w:rsidP="0056640B">
            <w:pPr>
              <w:pStyle w:val="Sansinterligne"/>
              <w:spacing w:line="360" w:lineRule="auto"/>
              <w:ind w:firstLine="0"/>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(Constante)</w:t>
            </w:r>
          </w:p>
        </w:tc>
        <w:tc>
          <w:tcPr>
            <w:tcW w:w="1079" w:type="dxa"/>
            <w:shd w:val="clear" w:color="auto" w:fill="auto"/>
            <w:noWrap/>
            <w:vAlign w:val="bottom"/>
            <w:hideMark/>
          </w:tcPr>
          <w:p w14:paraId="3A2FC3D6"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2,111</w:t>
            </w:r>
          </w:p>
        </w:tc>
        <w:tc>
          <w:tcPr>
            <w:tcW w:w="2921" w:type="dxa"/>
            <w:shd w:val="clear" w:color="auto" w:fill="auto"/>
            <w:noWrap/>
            <w:vAlign w:val="bottom"/>
            <w:hideMark/>
          </w:tcPr>
          <w:p w14:paraId="5578C37B"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0,261</w:t>
            </w:r>
          </w:p>
        </w:tc>
        <w:tc>
          <w:tcPr>
            <w:tcW w:w="2242" w:type="dxa"/>
            <w:shd w:val="clear" w:color="auto" w:fill="auto"/>
            <w:noWrap/>
            <w:vAlign w:val="bottom"/>
            <w:hideMark/>
          </w:tcPr>
          <w:p w14:paraId="14F01E40"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p>
        </w:tc>
        <w:tc>
          <w:tcPr>
            <w:tcW w:w="879" w:type="dxa"/>
            <w:shd w:val="clear" w:color="auto" w:fill="auto"/>
            <w:noWrap/>
            <w:vAlign w:val="bottom"/>
            <w:hideMark/>
          </w:tcPr>
          <w:p w14:paraId="5AC54B8C"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8,099</w:t>
            </w:r>
          </w:p>
        </w:tc>
        <w:tc>
          <w:tcPr>
            <w:tcW w:w="880" w:type="dxa"/>
            <w:shd w:val="clear" w:color="auto" w:fill="auto"/>
            <w:noWrap/>
            <w:vAlign w:val="bottom"/>
            <w:hideMark/>
          </w:tcPr>
          <w:p w14:paraId="5DF032F1"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0.000</w:t>
            </w:r>
          </w:p>
        </w:tc>
      </w:tr>
      <w:tr w:rsidR="00F577B6" w:rsidRPr="00063796" w14:paraId="483381B1" w14:textId="77777777" w:rsidTr="0056640B">
        <w:trPr>
          <w:cantSplit/>
          <w:trHeight w:val="310"/>
        </w:trPr>
        <w:tc>
          <w:tcPr>
            <w:tcW w:w="1399" w:type="dxa"/>
            <w:shd w:val="clear" w:color="auto" w:fill="auto"/>
            <w:noWrap/>
            <w:vAlign w:val="bottom"/>
            <w:hideMark/>
          </w:tcPr>
          <w:p w14:paraId="281EA7D3" w14:textId="77777777" w:rsidR="00F577B6" w:rsidRPr="00063796" w:rsidRDefault="00F577B6" w:rsidP="0056640B">
            <w:pPr>
              <w:pStyle w:val="Sansinterligne"/>
              <w:spacing w:line="360" w:lineRule="auto"/>
              <w:ind w:firstLine="0"/>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Confiance verte</w:t>
            </w:r>
          </w:p>
        </w:tc>
        <w:tc>
          <w:tcPr>
            <w:tcW w:w="1079" w:type="dxa"/>
            <w:shd w:val="clear" w:color="auto" w:fill="auto"/>
            <w:noWrap/>
            <w:vAlign w:val="bottom"/>
            <w:hideMark/>
          </w:tcPr>
          <w:p w14:paraId="3B191AA7"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0,481</w:t>
            </w:r>
          </w:p>
        </w:tc>
        <w:tc>
          <w:tcPr>
            <w:tcW w:w="2921" w:type="dxa"/>
            <w:shd w:val="clear" w:color="auto" w:fill="auto"/>
            <w:noWrap/>
            <w:vAlign w:val="bottom"/>
            <w:hideMark/>
          </w:tcPr>
          <w:p w14:paraId="4D2039B5"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0,073</w:t>
            </w:r>
          </w:p>
        </w:tc>
        <w:tc>
          <w:tcPr>
            <w:tcW w:w="2242" w:type="dxa"/>
            <w:shd w:val="clear" w:color="auto" w:fill="auto"/>
            <w:noWrap/>
            <w:vAlign w:val="bottom"/>
            <w:hideMark/>
          </w:tcPr>
          <w:p w14:paraId="6852A1B4"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0,624</w:t>
            </w:r>
          </w:p>
        </w:tc>
        <w:tc>
          <w:tcPr>
            <w:tcW w:w="879" w:type="dxa"/>
            <w:shd w:val="clear" w:color="auto" w:fill="auto"/>
            <w:noWrap/>
            <w:vAlign w:val="bottom"/>
            <w:hideMark/>
          </w:tcPr>
          <w:p w14:paraId="45126522"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6,585</w:t>
            </w:r>
          </w:p>
        </w:tc>
        <w:tc>
          <w:tcPr>
            <w:tcW w:w="880" w:type="dxa"/>
            <w:shd w:val="clear" w:color="auto" w:fill="auto"/>
            <w:noWrap/>
            <w:vAlign w:val="bottom"/>
            <w:hideMark/>
          </w:tcPr>
          <w:p w14:paraId="6DBEB505" w14:textId="77777777" w:rsidR="00F577B6" w:rsidRPr="00063796" w:rsidRDefault="00F577B6" w:rsidP="0056640B">
            <w:pPr>
              <w:pStyle w:val="Sansinterligne"/>
              <w:spacing w:line="360" w:lineRule="auto"/>
              <w:rPr>
                <w:rFonts w:asciiTheme="majorBidi" w:hAnsiTheme="majorBidi" w:cstheme="majorBidi"/>
                <w:b/>
                <w:bCs/>
                <w:color w:val="000000"/>
                <w:sz w:val="24"/>
                <w:szCs w:val="24"/>
                <w:lang w:eastAsia="fr-FR"/>
              </w:rPr>
            </w:pPr>
            <w:r w:rsidRPr="00063796">
              <w:rPr>
                <w:rFonts w:asciiTheme="majorBidi" w:hAnsiTheme="majorBidi" w:cstheme="majorBidi"/>
                <w:b/>
                <w:bCs/>
                <w:color w:val="000000"/>
                <w:sz w:val="24"/>
                <w:szCs w:val="24"/>
                <w:lang w:eastAsia="fr-FR"/>
              </w:rPr>
              <w:t>0.000</w:t>
            </w:r>
          </w:p>
        </w:tc>
      </w:tr>
    </w:tbl>
    <w:p w14:paraId="7B034D52" w14:textId="77777777" w:rsidR="00F577B6" w:rsidRPr="00BE3BDB" w:rsidRDefault="00F577B6" w:rsidP="00F577B6">
      <w:pPr>
        <w:tabs>
          <w:tab w:val="left" w:pos="3375"/>
        </w:tabs>
        <w:ind w:left="1080"/>
        <w:jc w:val="center"/>
        <w:rPr>
          <w:rFonts w:cstheme="majorBidi"/>
        </w:rPr>
      </w:pPr>
      <w:r w:rsidRPr="00063796">
        <w:rPr>
          <w:rFonts w:cstheme="majorBidi"/>
          <w:b/>
          <w:bCs/>
        </w:rPr>
        <w:fldChar w:fldCharType="end"/>
      </w:r>
      <w:r w:rsidRPr="00BE3BDB">
        <w:rPr>
          <w:rFonts w:cstheme="majorBidi"/>
        </w:rPr>
        <w:t xml:space="preserve"> 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48BA43D1" w14:textId="77777777" w:rsidR="00F577B6" w:rsidRPr="00BE3BDB" w:rsidRDefault="00F577B6" w:rsidP="00C61DD9">
      <w:r w:rsidRPr="00BE3BDB">
        <w:lastRenderedPageBreak/>
        <w:t xml:space="preserve">    D’après les résultats du tableau précédent, nous constatons que le modèle qui exprime la relation entre la confiance verte et l'image de marque de l'entreprise GICA est :</w:t>
      </w:r>
    </w:p>
    <w:p w14:paraId="2CC87AAD" w14:textId="77777777" w:rsidR="00F577B6" w:rsidRPr="00BE3BDB" w:rsidRDefault="00F577B6" w:rsidP="00F577B6">
      <w:pPr>
        <w:tabs>
          <w:tab w:val="left" w:pos="3375"/>
        </w:tabs>
        <w:jc w:val="center"/>
        <w:rPr>
          <w:rFonts w:cstheme="majorBidi"/>
        </w:rPr>
      </w:pPr>
      <w:r w:rsidRPr="00BE3BDB">
        <w:rPr>
          <w:rFonts w:cstheme="majorBidi"/>
        </w:rPr>
        <w:t>Y=0,481X+2,111</w:t>
      </w:r>
    </w:p>
    <w:p w14:paraId="2216F8D8" w14:textId="77777777" w:rsidR="00F577B6" w:rsidRPr="00025076" w:rsidRDefault="00F577B6" w:rsidP="00C61DD9">
      <w:r w:rsidRPr="00BE3BDB">
        <w:t xml:space="preserve">     Où Y représente la variable dépendante (image de marque) et X la variable indépendante (confiance verte), et 0,481 est la valeur de β correspondant à la pente de l’équation de régression.</w:t>
      </w:r>
    </w:p>
    <w:p w14:paraId="66554092" w14:textId="77777777" w:rsidR="00F577B6" w:rsidRPr="0077731B" w:rsidRDefault="00F577B6" w:rsidP="000B457B">
      <w:pPr>
        <w:pStyle w:val="Titre3"/>
        <w:numPr>
          <w:ilvl w:val="2"/>
          <w:numId w:val="38"/>
        </w:numPr>
      </w:pPr>
      <w:bookmarkStart w:id="168" w:name="_Toc200825484"/>
      <w:r w:rsidRPr="0077731B">
        <w:t>Deuxième sous hypothèse</w:t>
      </w:r>
      <w:bookmarkEnd w:id="168"/>
      <w:r w:rsidRPr="0077731B">
        <w:t> </w:t>
      </w:r>
    </w:p>
    <w:p w14:paraId="6F9B1387" w14:textId="77777777" w:rsidR="00F577B6" w:rsidRPr="00BE3BDB" w:rsidRDefault="00F577B6" w:rsidP="00C61DD9">
      <w:pPr>
        <w:rPr>
          <w:b/>
          <w:bCs/>
        </w:rPr>
      </w:pPr>
      <w:r w:rsidRPr="00BE3BDB">
        <w:t>La perception du risque environnementale a un impact positif significatif sur l'image de marque de l'entreprise GICA au seuil alpha 5%.</w:t>
      </w:r>
    </w:p>
    <w:p w14:paraId="2B4910DD" w14:textId="77777777" w:rsidR="00F577B6" w:rsidRPr="0077731B" w:rsidRDefault="00F577B6" w:rsidP="000B457B">
      <w:pPr>
        <w:pStyle w:val="Titre4"/>
        <w:numPr>
          <w:ilvl w:val="3"/>
          <w:numId w:val="38"/>
        </w:numPr>
      </w:pPr>
      <w:r w:rsidRPr="0077731B">
        <w:t xml:space="preserve"> Coefficient de corrélation</w:t>
      </w:r>
    </w:p>
    <w:p w14:paraId="2D18BAA3" w14:textId="77777777" w:rsidR="00F577B6" w:rsidRPr="00063796" w:rsidRDefault="00063796" w:rsidP="00063796">
      <w:pPr>
        <w:pStyle w:val="Lgende"/>
        <w:jc w:val="center"/>
        <w:rPr>
          <w:rFonts w:cstheme="majorBidi"/>
          <w:b/>
          <w:bCs/>
          <w:i w:val="0"/>
          <w:iCs w:val="0"/>
          <w:color w:val="000000" w:themeColor="text1"/>
          <w:sz w:val="24"/>
          <w:szCs w:val="24"/>
        </w:rPr>
      </w:pPr>
      <w:bookmarkStart w:id="169" w:name="_Toc200731419"/>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26</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corrélation</w:t>
      </w:r>
      <w:bookmarkEnd w:id="169"/>
    </w:p>
    <w:tbl>
      <w:tblPr>
        <w:tblpPr w:leftFromText="141" w:rightFromText="141" w:vertAnchor="text" w:horzAnchor="margin" w:tblpXSpec="center" w:tblpY="82"/>
        <w:tblW w:w="9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5"/>
        <w:gridCol w:w="1247"/>
        <w:gridCol w:w="1101"/>
        <w:gridCol w:w="1712"/>
        <w:gridCol w:w="3719"/>
      </w:tblGrid>
      <w:tr w:rsidR="00F577B6" w:rsidRPr="0056640B" w14:paraId="23E17792" w14:textId="77777777" w:rsidTr="0056640B">
        <w:trPr>
          <w:cantSplit/>
          <w:trHeight w:val="257"/>
        </w:trPr>
        <w:tc>
          <w:tcPr>
            <w:tcW w:w="1485" w:type="dxa"/>
            <w:shd w:val="clear" w:color="auto" w:fill="auto"/>
            <w:noWrap/>
            <w:vAlign w:val="bottom"/>
            <w:hideMark/>
          </w:tcPr>
          <w:p w14:paraId="28BCDC94" w14:textId="77777777" w:rsidR="00F577B6" w:rsidRPr="0056640B" w:rsidRDefault="00F577B6" w:rsidP="0056640B">
            <w:pPr>
              <w:pStyle w:val="Sansinterligne"/>
              <w:spacing w:line="480" w:lineRule="auto"/>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Modèle</w:t>
            </w:r>
          </w:p>
        </w:tc>
        <w:tc>
          <w:tcPr>
            <w:tcW w:w="1247" w:type="dxa"/>
            <w:shd w:val="clear" w:color="auto" w:fill="auto"/>
            <w:noWrap/>
            <w:vAlign w:val="bottom"/>
            <w:hideMark/>
          </w:tcPr>
          <w:p w14:paraId="7066D9AD" w14:textId="77777777" w:rsidR="00F577B6" w:rsidRPr="0056640B" w:rsidRDefault="00F577B6" w:rsidP="0056640B">
            <w:pPr>
              <w:pStyle w:val="Sansinterligne"/>
              <w:spacing w:line="480" w:lineRule="auto"/>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R</w:t>
            </w:r>
          </w:p>
        </w:tc>
        <w:tc>
          <w:tcPr>
            <w:tcW w:w="1101" w:type="dxa"/>
            <w:shd w:val="clear" w:color="auto" w:fill="auto"/>
            <w:noWrap/>
            <w:vAlign w:val="bottom"/>
            <w:hideMark/>
          </w:tcPr>
          <w:p w14:paraId="34B9BFBA" w14:textId="77777777" w:rsidR="00F577B6" w:rsidRPr="0056640B" w:rsidRDefault="00F577B6" w:rsidP="0056640B">
            <w:pPr>
              <w:pStyle w:val="Sansinterligne"/>
              <w:spacing w:line="480" w:lineRule="auto"/>
              <w:ind w:firstLine="0"/>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R-deux</w:t>
            </w:r>
          </w:p>
        </w:tc>
        <w:tc>
          <w:tcPr>
            <w:tcW w:w="1712" w:type="dxa"/>
            <w:shd w:val="clear" w:color="auto" w:fill="auto"/>
            <w:noWrap/>
            <w:vAlign w:val="bottom"/>
            <w:hideMark/>
          </w:tcPr>
          <w:p w14:paraId="54FD2267" w14:textId="77777777" w:rsidR="00F577B6" w:rsidRPr="0056640B" w:rsidRDefault="00F577B6" w:rsidP="0056640B">
            <w:pPr>
              <w:pStyle w:val="Sansinterligne"/>
              <w:spacing w:line="480" w:lineRule="auto"/>
              <w:ind w:firstLine="0"/>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R-deux ajusté</w:t>
            </w:r>
          </w:p>
        </w:tc>
        <w:tc>
          <w:tcPr>
            <w:tcW w:w="3719" w:type="dxa"/>
            <w:shd w:val="clear" w:color="auto" w:fill="auto"/>
            <w:noWrap/>
            <w:vAlign w:val="bottom"/>
            <w:hideMark/>
          </w:tcPr>
          <w:p w14:paraId="0E1DAF79" w14:textId="77777777" w:rsidR="00F577B6" w:rsidRPr="0056640B" w:rsidRDefault="00F577B6" w:rsidP="0056640B">
            <w:pPr>
              <w:pStyle w:val="Sansinterligne"/>
              <w:spacing w:line="480" w:lineRule="auto"/>
              <w:rPr>
                <w:rFonts w:asciiTheme="majorBidi" w:hAnsiTheme="majorBidi" w:cstheme="majorBidi"/>
                <w:b/>
                <w:bCs/>
                <w:sz w:val="24"/>
                <w:szCs w:val="24"/>
                <w:lang w:eastAsia="fr-FR"/>
              </w:rPr>
            </w:pPr>
            <w:r w:rsidRPr="0056640B">
              <w:rPr>
                <w:rFonts w:asciiTheme="majorBidi" w:hAnsiTheme="majorBidi" w:cstheme="majorBidi"/>
                <w:b/>
                <w:bCs/>
                <w:sz w:val="24"/>
                <w:szCs w:val="24"/>
                <w:lang w:eastAsia="fr-FR"/>
              </w:rPr>
              <w:t>Erreur standard de l'estimation</w:t>
            </w:r>
          </w:p>
        </w:tc>
      </w:tr>
      <w:tr w:rsidR="00F577B6" w:rsidRPr="0056640B" w14:paraId="25BB0A4A" w14:textId="77777777" w:rsidTr="0056640B">
        <w:trPr>
          <w:cantSplit/>
          <w:trHeight w:val="257"/>
        </w:trPr>
        <w:tc>
          <w:tcPr>
            <w:tcW w:w="1485" w:type="dxa"/>
            <w:shd w:val="clear" w:color="auto" w:fill="auto"/>
            <w:noWrap/>
            <w:vAlign w:val="bottom"/>
            <w:hideMark/>
          </w:tcPr>
          <w:p w14:paraId="1BB4E1E0" w14:textId="77777777" w:rsidR="00F577B6" w:rsidRPr="0056640B" w:rsidRDefault="00F577B6"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1</w:t>
            </w:r>
          </w:p>
        </w:tc>
        <w:tc>
          <w:tcPr>
            <w:tcW w:w="1247" w:type="dxa"/>
            <w:shd w:val="clear" w:color="auto" w:fill="auto"/>
            <w:noWrap/>
            <w:vAlign w:val="bottom"/>
            <w:hideMark/>
          </w:tcPr>
          <w:p w14:paraId="054A0CF2" w14:textId="77777777" w:rsidR="00F577B6" w:rsidRPr="0056640B" w:rsidRDefault="00F577B6"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0,374</w:t>
            </w:r>
          </w:p>
        </w:tc>
        <w:tc>
          <w:tcPr>
            <w:tcW w:w="1101" w:type="dxa"/>
            <w:shd w:val="clear" w:color="auto" w:fill="auto"/>
            <w:noWrap/>
            <w:vAlign w:val="bottom"/>
            <w:hideMark/>
          </w:tcPr>
          <w:p w14:paraId="04DF46BB" w14:textId="77777777" w:rsidR="00F577B6" w:rsidRPr="0056640B" w:rsidRDefault="00F577B6"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0,14</w:t>
            </w:r>
          </w:p>
        </w:tc>
        <w:tc>
          <w:tcPr>
            <w:tcW w:w="1712" w:type="dxa"/>
            <w:shd w:val="clear" w:color="auto" w:fill="auto"/>
            <w:noWrap/>
            <w:vAlign w:val="bottom"/>
            <w:hideMark/>
          </w:tcPr>
          <w:p w14:paraId="04A92ADC" w14:textId="77777777" w:rsidR="00F577B6" w:rsidRPr="0056640B" w:rsidRDefault="00F577B6"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0,127</w:t>
            </w:r>
          </w:p>
        </w:tc>
        <w:tc>
          <w:tcPr>
            <w:tcW w:w="3719" w:type="dxa"/>
            <w:shd w:val="clear" w:color="auto" w:fill="auto"/>
            <w:noWrap/>
            <w:vAlign w:val="bottom"/>
            <w:hideMark/>
          </w:tcPr>
          <w:p w14:paraId="68DDF2DD" w14:textId="77777777" w:rsidR="00F577B6" w:rsidRPr="0056640B" w:rsidRDefault="00F577B6" w:rsidP="0056640B">
            <w:pPr>
              <w:pStyle w:val="Sansinterligne"/>
              <w:spacing w:line="480" w:lineRule="auto"/>
              <w:rPr>
                <w:rFonts w:asciiTheme="majorBidi" w:hAnsiTheme="majorBidi" w:cstheme="majorBidi"/>
                <w:sz w:val="24"/>
                <w:szCs w:val="24"/>
                <w:lang w:eastAsia="fr-FR"/>
              </w:rPr>
            </w:pPr>
            <w:r w:rsidRPr="0056640B">
              <w:rPr>
                <w:rFonts w:asciiTheme="majorBidi" w:hAnsiTheme="majorBidi" w:cstheme="majorBidi"/>
                <w:sz w:val="24"/>
                <w:szCs w:val="24"/>
                <w:lang w:eastAsia="fr-FR"/>
              </w:rPr>
              <w:t>0,48806</w:t>
            </w:r>
          </w:p>
        </w:tc>
      </w:tr>
    </w:tbl>
    <w:p w14:paraId="138671FB" w14:textId="77777777" w:rsidR="00F577B6" w:rsidRPr="00BE3BDB" w:rsidRDefault="00F577B6" w:rsidP="00F577B6">
      <w:pPr>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27CF6D65" w14:textId="77777777" w:rsidR="00F577B6" w:rsidRPr="00BE3BDB" w:rsidRDefault="00F577B6" w:rsidP="00C61DD9">
      <w:r w:rsidRPr="00BE3BDB">
        <w:t xml:space="preserve">        Dans le tableau des coefficients de corrélation, nous constatons que le coefficient de détermination R² est de 0,140, ce qui signifie que 14 % de la variation de l’image de marque de l’entreprise GICA est expliquée par la perception du risque environnemental.</w:t>
      </w:r>
    </w:p>
    <w:p w14:paraId="5BA492E8" w14:textId="77777777" w:rsidR="00F577B6" w:rsidRPr="00BE3BDB" w:rsidRDefault="00F577B6" w:rsidP="00C61DD9">
      <w:r w:rsidRPr="00BE3BDB">
        <w:t xml:space="preserve">      La corrélation multiple R est de 0,374, indiquant une relation positive mais </w:t>
      </w:r>
      <w:r>
        <w:t>faible</w:t>
      </w:r>
      <w:r w:rsidRPr="00BE3BDB">
        <w:t xml:space="preserve"> entre la perception du risque environnemental et l’image de marque.</w:t>
      </w:r>
    </w:p>
    <w:p w14:paraId="53A4B89B" w14:textId="77777777" w:rsidR="00F577B6" w:rsidRPr="00BE3BDB" w:rsidRDefault="00F577B6" w:rsidP="00C61DD9">
      <w:r w:rsidRPr="00BE3BDB">
        <w:t xml:space="preserve">       Ces résultats soutiennent l’hypothèse selon laquelle la perception du risque environnemental a un impact positif significatif sur l’image de marque, au seuil alpha de 5 %.</w:t>
      </w:r>
    </w:p>
    <w:p w14:paraId="714AE27B" w14:textId="77777777" w:rsidR="00F577B6" w:rsidRPr="0077731B" w:rsidRDefault="00F577B6" w:rsidP="000B457B">
      <w:pPr>
        <w:pStyle w:val="Titre4"/>
        <w:numPr>
          <w:ilvl w:val="3"/>
          <w:numId w:val="38"/>
        </w:numPr>
      </w:pPr>
      <w:r w:rsidRPr="00BE3BDB">
        <w:t>Analyse de la variance ANOVA</w:t>
      </w:r>
    </w:p>
    <w:p w14:paraId="60DF7028" w14:textId="77777777" w:rsidR="00F577B6" w:rsidRPr="00063796" w:rsidRDefault="00063796" w:rsidP="00063796">
      <w:pPr>
        <w:pStyle w:val="Lgende"/>
        <w:jc w:val="center"/>
        <w:rPr>
          <w:rFonts w:cstheme="majorBidi"/>
          <w:i w:val="0"/>
          <w:iCs w:val="0"/>
          <w:color w:val="000000" w:themeColor="text1"/>
          <w:sz w:val="24"/>
          <w:szCs w:val="24"/>
        </w:rPr>
      </w:pPr>
      <w:bookmarkStart w:id="170" w:name="_Toc200731420"/>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27</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Variance ANOVA</w:t>
      </w:r>
      <w:bookmarkEnd w:id="170"/>
    </w:p>
    <w:tbl>
      <w:tblPr>
        <w:tblpPr w:leftFromText="141" w:rightFromText="141" w:vertAnchor="text" w:horzAnchor="margin" w:tblpXSpec="center" w:tblpY="109"/>
        <w:tblW w:w="6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00"/>
        <w:gridCol w:w="1820"/>
        <w:gridCol w:w="814"/>
        <w:gridCol w:w="1300"/>
        <w:gridCol w:w="1140"/>
        <w:gridCol w:w="1020"/>
      </w:tblGrid>
      <w:tr w:rsidR="00F577B6" w:rsidRPr="0056640B" w14:paraId="5056C4DB" w14:textId="77777777" w:rsidTr="00F577B6">
        <w:trPr>
          <w:cantSplit/>
          <w:trHeight w:val="300"/>
        </w:trPr>
        <w:tc>
          <w:tcPr>
            <w:tcW w:w="1120" w:type="dxa"/>
            <w:shd w:val="clear" w:color="auto" w:fill="auto"/>
            <w:noWrap/>
            <w:vAlign w:val="bottom"/>
            <w:hideMark/>
          </w:tcPr>
          <w:p w14:paraId="76DEA8E3" w14:textId="77777777" w:rsidR="00F577B6" w:rsidRPr="0056640B" w:rsidRDefault="00F577B6" w:rsidP="0056640B">
            <w:pPr>
              <w:pStyle w:val="Sansinterligne"/>
              <w:spacing w:line="360" w:lineRule="auto"/>
              <w:rPr>
                <w:rFonts w:asciiTheme="majorBidi" w:hAnsiTheme="majorBidi" w:cstheme="majorBidi"/>
                <w:sz w:val="24"/>
                <w:szCs w:val="24"/>
                <w:lang w:eastAsia="fr-FR"/>
              </w:rPr>
            </w:pPr>
          </w:p>
        </w:tc>
        <w:tc>
          <w:tcPr>
            <w:tcW w:w="1820" w:type="dxa"/>
            <w:shd w:val="clear" w:color="auto" w:fill="auto"/>
            <w:noWrap/>
            <w:vAlign w:val="bottom"/>
            <w:hideMark/>
          </w:tcPr>
          <w:p w14:paraId="5701FE0E"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Somme des carrés</w:t>
            </w:r>
          </w:p>
        </w:tc>
        <w:tc>
          <w:tcPr>
            <w:tcW w:w="422" w:type="dxa"/>
            <w:shd w:val="clear" w:color="auto" w:fill="auto"/>
            <w:noWrap/>
            <w:vAlign w:val="bottom"/>
            <w:hideMark/>
          </w:tcPr>
          <w:p w14:paraId="027C4704"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ddl</w:t>
            </w:r>
          </w:p>
        </w:tc>
        <w:tc>
          <w:tcPr>
            <w:tcW w:w="1300" w:type="dxa"/>
            <w:shd w:val="clear" w:color="auto" w:fill="auto"/>
            <w:noWrap/>
            <w:vAlign w:val="bottom"/>
            <w:hideMark/>
          </w:tcPr>
          <w:p w14:paraId="74BD1574"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Carré moyen</w:t>
            </w:r>
          </w:p>
        </w:tc>
        <w:tc>
          <w:tcPr>
            <w:tcW w:w="753" w:type="dxa"/>
            <w:shd w:val="clear" w:color="auto" w:fill="auto"/>
            <w:noWrap/>
            <w:vAlign w:val="bottom"/>
            <w:hideMark/>
          </w:tcPr>
          <w:p w14:paraId="14ECFB68"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F</w:t>
            </w:r>
          </w:p>
        </w:tc>
        <w:tc>
          <w:tcPr>
            <w:tcW w:w="757" w:type="dxa"/>
            <w:shd w:val="clear" w:color="auto" w:fill="auto"/>
            <w:noWrap/>
            <w:vAlign w:val="bottom"/>
            <w:hideMark/>
          </w:tcPr>
          <w:p w14:paraId="62757D5A"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roofErr w:type="spellStart"/>
            <w:r w:rsidRPr="0056640B">
              <w:rPr>
                <w:rFonts w:asciiTheme="majorBidi" w:hAnsiTheme="majorBidi" w:cstheme="majorBidi"/>
                <w:b/>
                <w:bCs/>
                <w:color w:val="000000"/>
                <w:sz w:val="24"/>
                <w:szCs w:val="24"/>
                <w:lang w:eastAsia="fr-FR"/>
              </w:rPr>
              <w:t>Sig</w:t>
            </w:r>
            <w:proofErr w:type="spellEnd"/>
            <w:r w:rsidRPr="0056640B">
              <w:rPr>
                <w:rFonts w:asciiTheme="majorBidi" w:hAnsiTheme="majorBidi" w:cstheme="majorBidi"/>
                <w:b/>
                <w:bCs/>
                <w:color w:val="000000"/>
                <w:sz w:val="24"/>
                <w:szCs w:val="24"/>
                <w:lang w:eastAsia="fr-FR"/>
              </w:rPr>
              <w:t>.</w:t>
            </w:r>
          </w:p>
        </w:tc>
      </w:tr>
      <w:tr w:rsidR="00F577B6" w:rsidRPr="0056640B" w14:paraId="3D023743" w14:textId="77777777" w:rsidTr="00F577B6">
        <w:trPr>
          <w:cantSplit/>
          <w:trHeight w:val="300"/>
        </w:trPr>
        <w:tc>
          <w:tcPr>
            <w:tcW w:w="1120" w:type="dxa"/>
            <w:shd w:val="clear" w:color="auto" w:fill="auto"/>
            <w:noWrap/>
            <w:vAlign w:val="bottom"/>
            <w:hideMark/>
          </w:tcPr>
          <w:p w14:paraId="2BCAD343"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Régression</w:t>
            </w:r>
          </w:p>
        </w:tc>
        <w:tc>
          <w:tcPr>
            <w:tcW w:w="1820" w:type="dxa"/>
            <w:shd w:val="clear" w:color="auto" w:fill="auto"/>
            <w:noWrap/>
            <w:vAlign w:val="bottom"/>
            <w:hideMark/>
          </w:tcPr>
          <w:p w14:paraId="1F1772AE"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2,638</w:t>
            </w:r>
          </w:p>
        </w:tc>
        <w:tc>
          <w:tcPr>
            <w:tcW w:w="422" w:type="dxa"/>
            <w:shd w:val="clear" w:color="auto" w:fill="auto"/>
            <w:noWrap/>
            <w:vAlign w:val="bottom"/>
            <w:hideMark/>
          </w:tcPr>
          <w:p w14:paraId="61973FAC"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1</w:t>
            </w:r>
          </w:p>
        </w:tc>
        <w:tc>
          <w:tcPr>
            <w:tcW w:w="1300" w:type="dxa"/>
            <w:shd w:val="clear" w:color="auto" w:fill="auto"/>
            <w:noWrap/>
            <w:vAlign w:val="bottom"/>
            <w:hideMark/>
          </w:tcPr>
          <w:p w14:paraId="027287C0"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2,638</w:t>
            </w:r>
          </w:p>
        </w:tc>
        <w:tc>
          <w:tcPr>
            <w:tcW w:w="753" w:type="dxa"/>
            <w:shd w:val="clear" w:color="auto" w:fill="auto"/>
            <w:noWrap/>
            <w:vAlign w:val="bottom"/>
            <w:hideMark/>
          </w:tcPr>
          <w:p w14:paraId="7ECE7131"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11,073</w:t>
            </w:r>
          </w:p>
        </w:tc>
        <w:tc>
          <w:tcPr>
            <w:tcW w:w="757" w:type="dxa"/>
            <w:shd w:val="clear" w:color="auto" w:fill="auto"/>
            <w:noWrap/>
            <w:vAlign w:val="bottom"/>
            <w:hideMark/>
          </w:tcPr>
          <w:p w14:paraId="50D95798"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0,001</w:t>
            </w:r>
          </w:p>
        </w:tc>
      </w:tr>
      <w:tr w:rsidR="00F577B6" w:rsidRPr="0056640B" w14:paraId="363C808F" w14:textId="77777777" w:rsidTr="00F577B6">
        <w:trPr>
          <w:cantSplit/>
          <w:trHeight w:val="300"/>
        </w:trPr>
        <w:tc>
          <w:tcPr>
            <w:tcW w:w="1120" w:type="dxa"/>
            <w:shd w:val="clear" w:color="auto" w:fill="auto"/>
            <w:noWrap/>
            <w:vAlign w:val="bottom"/>
            <w:hideMark/>
          </w:tcPr>
          <w:p w14:paraId="190EE567"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lastRenderedPageBreak/>
              <w:t xml:space="preserve">de </w:t>
            </w:r>
            <w:proofErr w:type="spellStart"/>
            <w:r w:rsidRPr="0056640B">
              <w:rPr>
                <w:rFonts w:asciiTheme="majorBidi" w:hAnsiTheme="majorBidi" w:cstheme="majorBidi"/>
                <w:b/>
                <w:bCs/>
                <w:color w:val="000000"/>
                <w:sz w:val="24"/>
                <w:szCs w:val="24"/>
                <w:lang w:eastAsia="fr-FR"/>
              </w:rPr>
              <w:t>Student</w:t>
            </w:r>
            <w:proofErr w:type="spellEnd"/>
          </w:p>
        </w:tc>
        <w:tc>
          <w:tcPr>
            <w:tcW w:w="1820" w:type="dxa"/>
            <w:shd w:val="clear" w:color="auto" w:fill="auto"/>
            <w:noWrap/>
            <w:vAlign w:val="bottom"/>
            <w:hideMark/>
          </w:tcPr>
          <w:p w14:paraId="6B834EA5"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16,198</w:t>
            </w:r>
          </w:p>
        </w:tc>
        <w:tc>
          <w:tcPr>
            <w:tcW w:w="422" w:type="dxa"/>
            <w:shd w:val="clear" w:color="auto" w:fill="auto"/>
            <w:noWrap/>
            <w:vAlign w:val="bottom"/>
            <w:hideMark/>
          </w:tcPr>
          <w:p w14:paraId="276D12EB"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68</w:t>
            </w:r>
          </w:p>
        </w:tc>
        <w:tc>
          <w:tcPr>
            <w:tcW w:w="1300" w:type="dxa"/>
            <w:shd w:val="clear" w:color="auto" w:fill="auto"/>
            <w:noWrap/>
            <w:vAlign w:val="bottom"/>
            <w:hideMark/>
          </w:tcPr>
          <w:p w14:paraId="1E7B8855"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0,238</w:t>
            </w:r>
          </w:p>
        </w:tc>
        <w:tc>
          <w:tcPr>
            <w:tcW w:w="753" w:type="dxa"/>
            <w:shd w:val="clear" w:color="auto" w:fill="auto"/>
            <w:noWrap/>
            <w:vAlign w:val="bottom"/>
            <w:hideMark/>
          </w:tcPr>
          <w:p w14:paraId="0429D8E2"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p>
        </w:tc>
        <w:tc>
          <w:tcPr>
            <w:tcW w:w="757" w:type="dxa"/>
            <w:shd w:val="clear" w:color="auto" w:fill="auto"/>
            <w:noWrap/>
            <w:vAlign w:val="bottom"/>
            <w:hideMark/>
          </w:tcPr>
          <w:p w14:paraId="54720BD3" w14:textId="77777777" w:rsidR="00F577B6" w:rsidRPr="0056640B" w:rsidRDefault="00F577B6" w:rsidP="0056640B">
            <w:pPr>
              <w:pStyle w:val="Sansinterligne"/>
              <w:spacing w:line="360" w:lineRule="auto"/>
              <w:rPr>
                <w:rFonts w:asciiTheme="majorBidi" w:hAnsiTheme="majorBidi" w:cstheme="majorBidi"/>
                <w:sz w:val="24"/>
                <w:szCs w:val="24"/>
                <w:lang w:eastAsia="fr-FR"/>
              </w:rPr>
            </w:pPr>
          </w:p>
        </w:tc>
      </w:tr>
      <w:tr w:rsidR="00F577B6" w:rsidRPr="0056640B" w14:paraId="5D2E9870" w14:textId="77777777" w:rsidTr="00F577B6">
        <w:trPr>
          <w:cantSplit/>
          <w:trHeight w:val="300"/>
        </w:trPr>
        <w:tc>
          <w:tcPr>
            <w:tcW w:w="1120" w:type="dxa"/>
            <w:shd w:val="clear" w:color="auto" w:fill="auto"/>
            <w:noWrap/>
            <w:vAlign w:val="bottom"/>
            <w:hideMark/>
          </w:tcPr>
          <w:p w14:paraId="4A1CBECC"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Total</w:t>
            </w:r>
          </w:p>
        </w:tc>
        <w:tc>
          <w:tcPr>
            <w:tcW w:w="1820" w:type="dxa"/>
            <w:shd w:val="clear" w:color="auto" w:fill="auto"/>
            <w:noWrap/>
            <w:vAlign w:val="bottom"/>
            <w:hideMark/>
          </w:tcPr>
          <w:p w14:paraId="4BD07193"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18,836</w:t>
            </w:r>
          </w:p>
        </w:tc>
        <w:tc>
          <w:tcPr>
            <w:tcW w:w="422" w:type="dxa"/>
            <w:shd w:val="clear" w:color="auto" w:fill="auto"/>
            <w:noWrap/>
            <w:vAlign w:val="bottom"/>
            <w:hideMark/>
          </w:tcPr>
          <w:p w14:paraId="16A1E999"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69</w:t>
            </w:r>
          </w:p>
        </w:tc>
        <w:tc>
          <w:tcPr>
            <w:tcW w:w="1300" w:type="dxa"/>
            <w:shd w:val="clear" w:color="auto" w:fill="auto"/>
            <w:noWrap/>
            <w:vAlign w:val="bottom"/>
            <w:hideMark/>
          </w:tcPr>
          <w:p w14:paraId="5C8B5A36"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p>
        </w:tc>
        <w:tc>
          <w:tcPr>
            <w:tcW w:w="753" w:type="dxa"/>
            <w:shd w:val="clear" w:color="auto" w:fill="auto"/>
            <w:noWrap/>
            <w:vAlign w:val="bottom"/>
            <w:hideMark/>
          </w:tcPr>
          <w:p w14:paraId="6910BC55" w14:textId="77777777" w:rsidR="00F577B6" w:rsidRPr="0056640B" w:rsidRDefault="00F577B6" w:rsidP="0056640B">
            <w:pPr>
              <w:pStyle w:val="Sansinterligne"/>
              <w:spacing w:line="360" w:lineRule="auto"/>
              <w:rPr>
                <w:rFonts w:asciiTheme="majorBidi" w:hAnsiTheme="majorBidi" w:cstheme="majorBidi"/>
                <w:sz w:val="24"/>
                <w:szCs w:val="24"/>
                <w:lang w:eastAsia="fr-FR"/>
              </w:rPr>
            </w:pPr>
          </w:p>
        </w:tc>
        <w:tc>
          <w:tcPr>
            <w:tcW w:w="757" w:type="dxa"/>
            <w:shd w:val="clear" w:color="auto" w:fill="auto"/>
            <w:noWrap/>
            <w:vAlign w:val="bottom"/>
            <w:hideMark/>
          </w:tcPr>
          <w:p w14:paraId="4215E63D" w14:textId="77777777" w:rsidR="00F577B6" w:rsidRPr="0056640B" w:rsidRDefault="00F577B6" w:rsidP="0056640B">
            <w:pPr>
              <w:pStyle w:val="Sansinterligne"/>
              <w:spacing w:line="360" w:lineRule="auto"/>
              <w:rPr>
                <w:rFonts w:asciiTheme="majorBidi" w:hAnsiTheme="majorBidi" w:cstheme="majorBidi"/>
                <w:sz w:val="24"/>
                <w:szCs w:val="24"/>
                <w:lang w:eastAsia="fr-FR"/>
              </w:rPr>
            </w:pPr>
          </w:p>
        </w:tc>
      </w:tr>
    </w:tbl>
    <w:p w14:paraId="5F9AD834" w14:textId="77777777" w:rsidR="00F577B6" w:rsidRPr="00BE3BDB" w:rsidRDefault="00F577B6" w:rsidP="00F577B6">
      <w:pPr>
        <w:pStyle w:val="Paragraphedeliste"/>
        <w:ind w:left="1800"/>
        <w:jc w:val="center"/>
        <w:rPr>
          <w:rFonts w:cstheme="majorBidi"/>
        </w:rPr>
      </w:pPr>
      <w:r w:rsidRPr="00BE3BDB">
        <w:rPr>
          <w:rFonts w:cstheme="majorBidi"/>
        </w:rPr>
        <w:fldChar w:fldCharType="begin"/>
      </w:r>
      <w:r w:rsidRPr="00BE3BDB">
        <w:rPr>
          <w:rFonts w:cstheme="majorBidi"/>
        </w:rPr>
        <w:instrText xml:space="preserve"> LINK Excel.Sheet.12 "C:\\Users\\yahia cherif\\Desktop\\Analyse des données\\2025\\Asma\\ttableau.xlsx" "Sheet4!R4C11:R7C16" \a \f 4 \h  \* MERGEFORMAT </w:instrText>
      </w:r>
      <w:r w:rsidRPr="00BE3BDB">
        <w:rPr>
          <w:rFonts w:cstheme="majorBidi"/>
        </w:rPr>
        <w:fldChar w:fldCharType="separate"/>
      </w:r>
    </w:p>
    <w:p w14:paraId="526522B9" w14:textId="77777777" w:rsidR="00F577B6" w:rsidRPr="00BE3BDB" w:rsidRDefault="00F577B6" w:rsidP="00F577B6">
      <w:pPr>
        <w:pStyle w:val="Paragraphedeliste"/>
        <w:ind w:left="1800"/>
        <w:jc w:val="center"/>
        <w:rPr>
          <w:rFonts w:cstheme="majorBidi"/>
        </w:rPr>
      </w:pPr>
      <w:r w:rsidRPr="00BE3BDB">
        <w:rPr>
          <w:rFonts w:cstheme="majorBidi"/>
        </w:rPr>
        <w:fldChar w:fldCharType="end"/>
      </w:r>
    </w:p>
    <w:p w14:paraId="0CF1F943" w14:textId="77777777" w:rsidR="00F577B6" w:rsidRPr="00BE3BDB" w:rsidRDefault="00F577B6" w:rsidP="00F577B6">
      <w:pPr>
        <w:rPr>
          <w:rFonts w:cstheme="majorBidi"/>
        </w:rPr>
      </w:pPr>
    </w:p>
    <w:p w14:paraId="39F441F4" w14:textId="77777777" w:rsidR="00F577B6" w:rsidRPr="00BE3BDB" w:rsidRDefault="00F577B6" w:rsidP="00F577B6">
      <w:pPr>
        <w:jc w:val="center"/>
        <w:rPr>
          <w:rFonts w:cstheme="majorBidi"/>
        </w:rPr>
      </w:pPr>
      <w:r w:rsidRPr="00BE3BDB">
        <w:rPr>
          <w:rFonts w:cstheme="majorBidi"/>
        </w:rPr>
        <w:t xml:space="preserve">Source : établi par l’étudiante à partir des résultats du </w:t>
      </w:r>
      <w:proofErr w:type="spellStart"/>
      <w:r w:rsidRPr="00BE3BDB">
        <w:rPr>
          <w:rFonts w:cstheme="majorBidi"/>
        </w:rPr>
        <w:t>spss</w:t>
      </w:r>
      <w:proofErr w:type="spellEnd"/>
      <w:r w:rsidRPr="00BE3BDB">
        <w:rPr>
          <w:rFonts w:cstheme="majorBidi"/>
        </w:rPr>
        <w:t xml:space="preserve"> v27</w:t>
      </w:r>
    </w:p>
    <w:p w14:paraId="6A92F379" w14:textId="77777777" w:rsidR="00F577B6" w:rsidRPr="00BE3BDB" w:rsidRDefault="00F577B6" w:rsidP="00C61DD9">
      <w:r w:rsidRPr="00BE3BDB">
        <w:t xml:space="preserve">      Le tableau ANOVA indique que la valeur de significativité est de 0,001, ce qui est inférieur à 0,05. Cela montre que le modèle est statistiquement significatif et que la variable indépendante (perception du risque environnemental) a un effet réel sur l’image de marque.</w:t>
      </w:r>
    </w:p>
    <w:p w14:paraId="22934DE3" w14:textId="77777777" w:rsidR="0056640B" w:rsidRPr="0077731B" w:rsidRDefault="00F577B6" w:rsidP="0077731B">
      <w:r>
        <w:t xml:space="preserve">    </w:t>
      </w:r>
      <w:r w:rsidRPr="0078031C">
        <w:t>Nous pouvons donc accepter l’hypothèse H1.3, affirmant que la perception du risque environnemental exerce un impact positif significatif sur l’image de marque de l’entreprise GICA.</w:t>
      </w:r>
    </w:p>
    <w:p w14:paraId="081FCAA5" w14:textId="77777777" w:rsidR="00F577B6" w:rsidRPr="0077731B" w:rsidRDefault="00F577B6" w:rsidP="000B457B">
      <w:pPr>
        <w:pStyle w:val="Titre4"/>
        <w:numPr>
          <w:ilvl w:val="3"/>
          <w:numId w:val="38"/>
        </w:numPr>
      </w:pPr>
      <w:r w:rsidRPr="0077731B">
        <w:t xml:space="preserve"> Coefficients de régression : </w:t>
      </w:r>
    </w:p>
    <w:p w14:paraId="46ADD2DD" w14:textId="77777777" w:rsidR="00F577B6" w:rsidRPr="00063796" w:rsidRDefault="00063796" w:rsidP="00063796">
      <w:pPr>
        <w:pStyle w:val="Lgende"/>
        <w:jc w:val="center"/>
        <w:rPr>
          <w:rFonts w:cstheme="majorBidi"/>
          <w:b/>
          <w:bCs/>
          <w:i w:val="0"/>
          <w:iCs w:val="0"/>
          <w:color w:val="000000" w:themeColor="text1"/>
          <w:sz w:val="24"/>
          <w:szCs w:val="24"/>
        </w:rPr>
      </w:pPr>
      <w:bookmarkStart w:id="171" w:name="_Toc200731421"/>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28</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Coefficients de régression</w:t>
      </w:r>
      <w:bookmarkEnd w:id="171"/>
    </w:p>
    <w:tbl>
      <w:tblPr>
        <w:tblStyle w:val="Grilledutableau"/>
        <w:tblW w:w="9685" w:type="dxa"/>
        <w:tblLook w:val="04A0" w:firstRow="1" w:lastRow="0" w:firstColumn="1" w:lastColumn="0" w:noHBand="0" w:noVBand="1"/>
      </w:tblPr>
      <w:tblGrid>
        <w:gridCol w:w="2307"/>
        <w:gridCol w:w="3076"/>
        <w:gridCol w:w="1137"/>
        <w:gridCol w:w="1755"/>
        <w:gridCol w:w="756"/>
        <w:gridCol w:w="756"/>
      </w:tblGrid>
      <w:tr w:rsidR="00F577B6" w:rsidRPr="0078031C" w14:paraId="6FA4C0CC" w14:textId="77777777" w:rsidTr="00F577B6">
        <w:trPr>
          <w:trHeight w:val="300"/>
        </w:trPr>
        <w:tc>
          <w:tcPr>
            <w:tcW w:w="2307" w:type="dxa"/>
            <w:noWrap/>
            <w:hideMark/>
          </w:tcPr>
          <w:p w14:paraId="157F4799" w14:textId="77777777" w:rsidR="00F577B6" w:rsidRPr="0056640B" w:rsidRDefault="00F577B6" w:rsidP="0056640B">
            <w:pPr>
              <w:pStyle w:val="Sansinterligne"/>
              <w:spacing w:line="360" w:lineRule="auto"/>
              <w:rPr>
                <w:rFonts w:asciiTheme="majorBidi" w:hAnsiTheme="majorBidi" w:cstheme="majorBidi"/>
              </w:rPr>
            </w:pPr>
          </w:p>
        </w:tc>
        <w:tc>
          <w:tcPr>
            <w:tcW w:w="4106" w:type="dxa"/>
            <w:gridSpan w:val="2"/>
            <w:noWrap/>
            <w:hideMark/>
          </w:tcPr>
          <w:p w14:paraId="4EEA6DDB"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Coefficients non standardisés</w:t>
            </w:r>
          </w:p>
        </w:tc>
        <w:tc>
          <w:tcPr>
            <w:tcW w:w="1755" w:type="dxa"/>
            <w:noWrap/>
            <w:hideMark/>
          </w:tcPr>
          <w:p w14:paraId="12854A05"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Coefficients standardisés</w:t>
            </w:r>
          </w:p>
        </w:tc>
        <w:tc>
          <w:tcPr>
            <w:tcW w:w="756" w:type="dxa"/>
            <w:vMerge w:val="restart"/>
            <w:noWrap/>
            <w:hideMark/>
          </w:tcPr>
          <w:p w14:paraId="1E756508"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t</w:t>
            </w:r>
          </w:p>
        </w:tc>
        <w:tc>
          <w:tcPr>
            <w:tcW w:w="756" w:type="dxa"/>
            <w:noWrap/>
            <w:hideMark/>
          </w:tcPr>
          <w:p w14:paraId="18B194C3" w14:textId="77777777" w:rsidR="00F577B6" w:rsidRPr="0056640B" w:rsidRDefault="00F577B6" w:rsidP="0056640B">
            <w:pPr>
              <w:pStyle w:val="Sansinterligne"/>
              <w:spacing w:line="360" w:lineRule="auto"/>
              <w:rPr>
                <w:rFonts w:asciiTheme="majorBidi" w:hAnsiTheme="majorBidi" w:cstheme="majorBidi"/>
                <w:b/>
                <w:bCs/>
              </w:rPr>
            </w:pPr>
            <w:proofErr w:type="spellStart"/>
            <w:r w:rsidRPr="0056640B">
              <w:rPr>
                <w:rFonts w:asciiTheme="majorBidi" w:hAnsiTheme="majorBidi" w:cstheme="majorBidi"/>
                <w:b/>
                <w:bCs/>
              </w:rPr>
              <w:t>Sig</w:t>
            </w:r>
            <w:proofErr w:type="spellEnd"/>
            <w:r w:rsidRPr="0056640B">
              <w:rPr>
                <w:rFonts w:asciiTheme="majorBidi" w:hAnsiTheme="majorBidi" w:cstheme="majorBidi"/>
                <w:b/>
                <w:bCs/>
              </w:rPr>
              <w:t>.</w:t>
            </w:r>
          </w:p>
        </w:tc>
      </w:tr>
      <w:tr w:rsidR="00F577B6" w:rsidRPr="0078031C" w14:paraId="0F39645B" w14:textId="77777777" w:rsidTr="00F577B6">
        <w:trPr>
          <w:trHeight w:val="300"/>
        </w:trPr>
        <w:tc>
          <w:tcPr>
            <w:tcW w:w="2307" w:type="dxa"/>
            <w:noWrap/>
            <w:hideMark/>
          </w:tcPr>
          <w:p w14:paraId="1E8548A6" w14:textId="77777777" w:rsidR="00F577B6" w:rsidRPr="0056640B" w:rsidRDefault="00F577B6" w:rsidP="0056640B">
            <w:pPr>
              <w:pStyle w:val="Sansinterligne"/>
              <w:spacing w:line="360" w:lineRule="auto"/>
              <w:rPr>
                <w:rFonts w:asciiTheme="majorBidi" w:hAnsiTheme="majorBidi" w:cstheme="majorBidi"/>
              </w:rPr>
            </w:pPr>
          </w:p>
        </w:tc>
        <w:tc>
          <w:tcPr>
            <w:tcW w:w="3076" w:type="dxa"/>
            <w:noWrap/>
            <w:hideMark/>
          </w:tcPr>
          <w:p w14:paraId="7A40C990"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B</w:t>
            </w:r>
          </w:p>
        </w:tc>
        <w:tc>
          <w:tcPr>
            <w:tcW w:w="1030" w:type="dxa"/>
            <w:noWrap/>
            <w:hideMark/>
          </w:tcPr>
          <w:p w14:paraId="2281A189"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Erreur standard</w:t>
            </w:r>
          </w:p>
        </w:tc>
        <w:tc>
          <w:tcPr>
            <w:tcW w:w="1755" w:type="dxa"/>
            <w:noWrap/>
            <w:hideMark/>
          </w:tcPr>
          <w:p w14:paraId="621EC0EF"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Bêta</w:t>
            </w:r>
          </w:p>
        </w:tc>
        <w:tc>
          <w:tcPr>
            <w:tcW w:w="756" w:type="dxa"/>
            <w:vMerge/>
            <w:hideMark/>
          </w:tcPr>
          <w:p w14:paraId="50DC8B8E" w14:textId="77777777" w:rsidR="00F577B6" w:rsidRPr="0056640B" w:rsidRDefault="00F577B6" w:rsidP="0056640B">
            <w:pPr>
              <w:pStyle w:val="Sansinterligne"/>
              <w:spacing w:line="360" w:lineRule="auto"/>
              <w:rPr>
                <w:rFonts w:asciiTheme="majorBidi" w:hAnsiTheme="majorBidi" w:cstheme="majorBidi"/>
                <w:b/>
                <w:bCs/>
              </w:rPr>
            </w:pPr>
          </w:p>
        </w:tc>
        <w:tc>
          <w:tcPr>
            <w:tcW w:w="761" w:type="dxa"/>
            <w:hideMark/>
          </w:tcPr>
          <w:p w14:paraId="37E2B4A8" w14:textId="77777777" w:rsidR="00F577B6" w:rsidRPr="0056640B" w:rsidRDefault="00F577B6" w:rsidP="0056640B">
            <w:pPr>
              <w:pStyle w:val="Sansinterligne"/>
              <w:spacing w:line="360" w:lineRule="auto"/>
              <w:rPr>
                <w:rFonts w:asciiTheme="majorBidi" w:hAnsiTheme="majorBidi" w:cstheme="majorBidi"/>
                <w:b/>
                <w:bCs/>
              </w:rPr>
            </w:pPr>
          </w:p>
        </w:tc>
      </w:tr>
      <w:tr w:rsidR="00F577B6" w:rsidRPr="0078031C" w14:paraId="75CCFE63" w14:textId="77777777" w:rsidTr="00F577B6">
        <w:trPr>
          <w:trHeight w:val="300"/>
        </w:trPr>
        <w:tc>
          <w:tcPr>
            <w:tcW w:w="2307" w:type="dxa"/>
            <w:noWrap/>
            <w:hideMark/>
          </w:tcPr>
          <w:p w14:paraId="27CBA9F0"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(Constante)</w:t>
            </w:r>
          </w:p>
        </w:tc>
        <w:tc>
          <w:tcPr>
            <w:tcW w:w="3076" w:type="dxa"/>
            <w:noWrap/>
            <w:hideMark/>
          </w:tcPr>
          <w:p w14:paraId="4B431C7A"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2,823</w:t>
            </w:r>
          </w:p>
        </w:tc>
        <w:tc>
          <w:tcPr>
            <w:tcW w:w="1030" w:type="dxa"/>
            <w:noWrap/>
            <w:hideMark/>
          </w:tcPr>
          <w:p w14:paraId="68A84850"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0,298</w:t>
            </w:r>
          </w:p>
        </w:tc>
        <w:tc>
          <w:tcPr>
            <w:tcW w:w="1755" w:type="dxa"/>
            <w:noWrap/>
            <w:hideMark/>
          </w:tcPr>
          <w:p w14:paraId="1AEB16A8" w14:textId="77777777" w:rsidR="00F577B6" w:rsidRPr="0056640B" w:rsidRDefault="00F577B6" w:rsidP="0056640B">
            <w:pPr>
              <w:pStyle w:val="Sansinterligne"/>
              <w:spacing w:line="360" w:lineRule="auto"/>
              <w:rPr>
                <w:rFonts w:asciiTheme="majorBidi" w:hAnsiTheme="majorBidi" w:cstheme="majorBidi"/>
              </w:rPr>
            </w:pPr>
          </w:p>
        </w:tc>
        <w:tc>
          <w:tcPr>
            <w:tcW w:w="756" w:type="dxa"/>
            <w:noWrap/>
            <w:hideMark/>
          </w:tcPr>
          <w:p w14:paraId="47D0EC98"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9,464</w:t>
            </w:r>
          </w:p>
        </w:tc>
        <w:tc>
          <w:tcPr>
            <w:tcW w:w="756" w:type="dxa"/>
            <w:noWrap/>
            <w:hideMark/>
          </w:tcPr>
          <w:p w14:paraId="35115A96"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0.000</w:t>
            </w:r>
          </w:p>
        </w:tc>
      </w:tr>
      <w:tr w:rsidR="00F577B6" w:rsidRPr="0078031C" w14:paraId="7BB85387" w14:textId="77777777" w:rsidTr="00F577B6">
        <w:trPr>
          <w:trHeight w:val="300"/>
        </w:trPr>
        <w:tc>
          <w:tcPr>
            <w:tcW w:w="2307" w:type="dxa"/>
            <w:noWrap/>
            <w:hideMark/>
          </w:tcPr>
          <w:p w14:paraId="54480A42"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perception de risque environnemental</w:t>
            </w:r>
          </w:p>
        </w:tc>
        <w:tc>
          <w:tcPr>
            <w:tcW w:w="3076" w:type="dxa"/>
            <w:noWrap/>
            <w:hideMark/>
          </w:tcPr>
          <w:p w14:paraId="6ABE6E33"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0,274</w:t>
            </w:r>
          </w:p>
        </w:tc>
        <w:tc>
          <w:tcPr>
            <w:tcW w:w="1030" w:type="dxa"/>
            <w:noWrap/>
            <w:hideMark/>
          </w:tcPr>
          <w:p w14:paraId="26968DC5"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0,082</w:t>
            </w:r>
          </w:p>
        </w:tc>
        <w:tc>
          <w:tcPr>
            <w:tcW w:w="1755" w:type="dxa"/>
            <w:noWrap/>
            <w:hideMark/>
          </w:tcPr>
          <w:p w14:paraId="78C97FFA"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0,374</w:t>
            </w:r>
          </w:p>
        </w:tc>
        <w:tc>
          <w:tcPr>
            <w:tcW w:w="756" w:type="dxa"/>
            <w:noWrap/>
            <w:hideMark/>
          </w:tcPr>
          <w:p w14:paraId="653F899D"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3,328</w:t>
            </w:r>
          </w:p>
        </w:tc>
        <w:tc>
          <w:tcPr>
            <w:tcW w:w="756" w:type="dxa"/>
            <w:noWrap/>
            <w:hideMark/>
          </w:tcPr>
          <w:p w14:paraId="518F262C"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0,001</w:t>
            </w:r>
          </w:p>
        </w:tc>
      </w:tr>
    </w:tbl>
    <w:p w14:paraId="6969514F" w14:textId="77777777" w:rsidR="00F577B6" w:rsidRDefault="00F577B6" w:rsidP="00F577B6">
      <w:pPr>
        <w:jc w:val="center"/>
        <w:rPr>
          <w:rFonts w:cstheme="majorBidi"/>
        </w:rPr>
      </w:pPr>
      <w:r w:rsidRPr="00170A79">
        <w:rPr>
          <w:rFonts w:cstheme="majorBidi"/>
        </w:rPr>
        <w:t xml:space="preserve">Source : établi par l’étudiante à partir des résultats du </w:t>
      </w:r>
      <w:proofErr w:type="spellStart"/>
      <w:r w:rsidRPr="00170A79">
        <w:rPr>
          <w:rFonts w:cstheme="majorBidi"/>
        </w:rPr>
        <w:t>spss</w:t>
      </w:r>
      <w:proofErr w:type="spellEnd"/>
      <w:r w:rsidRPr="00170A79">
        <w:rPr>
          <w:rFonts w:cstheme="majorBidi"/>
        </w:rPr>
        <w:t xml:space="preserve"> v27</w:t>
      </w:r>
    </w:p>
    <w:p w14:paraId="086139DD" w14:textId="77777777" w:rsidR="00F577B6" w:rsidRPr="00794C81" w:rsidRDefault="00F577B6" w:rsidP="00C61DD9">
      <w:r>
        <w:t xml:space="preserve">       </w:t>
      </w:r>
      <w:r w:rsidRPr="00794C81">
        <w:t>D’après les résultats du tableau des coefficients de régression, nous constatons que le modèle qui exprime la relation entre la perception du risque environnemental et l'image de marque de l'entreprise GICA est :</w:t>
      </w:r>
    </w:p>
    <w:p w14:paraId="14F597EC" w14:textId="77777777" w:rsidR="00F577B6" w:rsidRPr="00794C81" w:rsidRDefault="00F577B6" w:rsidP="00F577B6">
      <w:pPr>
        <w:jc w:val="center"/>
        <w:rPr>
          <w:rFonts w:cstheme="majorBidi"/>
        </w:rPr>
      </w:pPr>
      <w:r w:rsidRPr="00794C81">
        <w:rPr>
          <w:rFonts w:cstheme="majorBidi"/>
        </w:rPr>
        <w:t>Y = 0,274X + 2,823,</w:t>
      </w:r>
    </w:p>
    <w:p w14:paraId="2CD1FAE6" w14:textId="77777777" w:rsidR="00F577B6" w:rsidRDefault="00F577B6" w:rsidP="00F577B6">
      <w:pPr>
        <w:rPr>
          <w:rFonts w:cstheme="majorBidi"/>
        </w:rPr>
      </w:pPr>
      <w:r>
        <w:rPr>
          <w:rFonts w:cstheme="majorBidi"/>
        </w:rPr>
        <w:t xml:space="preserve">     O</w:t>
      </w:r>
      <w:r w:rsidRPr="00794C81">
        <w:rPr>
          <w:rFonts w:cstheme="majorBidi"/>
        </w:rPr>
        <w:t xml:space="preserve">ù Y représente la variable dépendante (image de marque) et X la variable indépendante (perception du risque environnemental), avec 0,274 comme valeur de </w:t>
      </w:r>
      <w:r w:rsidRPr="00794C81">
        <w:rPr>
          <w:rFonts w:cstheme="majorBidi" w:hint="eastAsia"/>
        </w:rPr>
        <w:t>β</w:t>
      </w:r>
      <w:r w:rsidRPr="00794C81">
        <w:rPr>
          <w:rFonts w:cstheme="majorBidi"/>
        </w:rPr>
        <w:t>, correspondant à la pente de l’équation de régression.</w:t>
      </w:r>
    </w:p>
    <w:p w14:paraId="0E930BF2" w14:textId="77777777" w:rsidR="00F577B6" w:rsidRPr="0077731B" w:rsidRDefault="00F577B6" w:rsidP="000B457B">
      <w:pPr>
        <w:pStyle w:val="Titre3"/>
        <w:numPr>
          <w:ilvl w:val="2"/>
          <w:numId w:val="38"/>
        </w:numPr>
      </w:pPr>
      <w:bookmarkStart w:id="172" w:name="_Toc200825485"/>
      <w:r w:rsidRPr="00CC131A">
        <w:lastRenderedPageBreak/>
        <w:t>Troisième sous hypothèse</w:t>
      </w:r>
      <w:bookmarkEnd w:id="172"/>
    </w:p>
    <w:p w14:paraId="3A3DF3D8" w14:textId="77777777" w:rsidR="00C61DD9" w:rsidRPr="00025076" w:rsidRDefault="00F577B6" w:rsidP="006F6589">
      <w:pPr>
        <w:pStyle w:val="Paragraphedeliste"/>
        <w:numPr>
          <w:ilvl w:val="0"/>
          <w:numId w:val="9"/>
        </w:numPr>
      </w:pPr>
      <w:r w:rsidRPr="00C61DD9">
        <w:rPr>
          <w:b/>
          <w:bCs/>
        </w:rPr>
        <w:t>H1.3 :</w:t>
      </w:r>
      <w:r w:rsidRPr="00CC131A">
        <w:t xml:space="preserve"> la crédibilité perçue a un impact positif significatif sur l'image de marque de l'entreprise GICA au seuil alpha 5%.</w:t>
      </w:r>
    </w:p>
    <w:p w14:paraId="75C07065" w14:textId="77777777" w:rsidR="0056640B" w:rsidRPr="0077731B" w:rsidRDefault="00F577B6" w:rsidP="000B457B">
      <w:pPr>
        <w:pStyle w:val="Titre4"/>
        <w:numPr>
          <w:ilvl w:val="3"/>
          <w:numId w:val="38"/>
        </w:numPr>
      </w:pPr>
      <w:r w:rsidRPr="0077731B">
        <w:t xml:space="preserve"> Coefficients de corrélation</w:t>
      </w:r>
    </w:p>
    <w:p w14:paraId="72A4C51B" w14:textId="77777777" w:rsidR="00F577B6" w:rsidRPr="00063796" w:rsidRDefault="00063796" w:rsidP="00063796">
      <w:pPr>
        <w:pStyle w:val="Lgende"/>
        <w:jc w:val="center"/>
        <w:rPr>
          <w:rFonts w:cstheme="majorBidi"/>
          <w:b/>
          <w:bCs/>
          <w:i w:val="0"/>
          <w:iCs w:val="0"/>
          <w:color w:val="000000" w:themeColor="text1"/>
          <w:sz w:val="24"/>
          <w:szCs w:val="24"/>
        </w:rPr>
      </w:pPr>
      <w:bookmarkStart w:id="173" w:name="_Toc200731422"/>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29</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coefficient de corrélation</w:t>
      </w:r>
      <w:bookmarkEnd w:id="173"/>
    </w:p>
    <w:tbl>
      <w:tblPr>
        <w:tblStyle w:val="Grilledutableau"/>
        <w:tblW w:w="9162" w:type="dxa"/>
        <w:tblInd w:w="-5" w:type="dxa"/>
        <w:tblLook w:val="04A0" w:firstRow="1" w:lastRow="0" w:firstColumn="1" w:lastColumn="0" w:noHBand="0" w:noVBand="1"/>
      </w:tblPr>
      <w:tblGrid>
        <w:gridCol w:w="1270"/>
        <w:gridCol w:w="1123"/>
        <w:gridCol w:w="989"/>
        <w:gridCol w:w="1822"/>
        <w:gridCol w:w="3958"/>
      </w:tblGrid>
      <w:tr w:rsidR="00F577B6" w:rsidRPr="0056640B" w14:paraId="2E5E8E69" w14:textId="77777777" w:rsidTr="0056640B">
        <w:trPr>
          <w:trHeight w:val="267"/>
        </w:trPr>
        <w:tc>
          <w:tcPr>
            <w:tcW w:w="1270" w:type="dxa"/>
            <w:noWrap/>
            <w:hideMark/>
          </w:tcPr>
          <w:p w14:paraId="362A84BC"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Modèle</w:t>
            </w:r>
          </w:p>
        </w:tc>
        <w:tc>
          <w:tcPr>
            <w:tcW w:w="1123" w:type="dxa"/>
            <w:noWrap/>
            <w:hideMark/>
          </w:tcPr>
          <w:p w14:paraId="1832F7BE"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R</w:t>
            </w:r>
          </w:p>
        </w:tc>
        <w:tc>
          <w:tcPr>
            <w:tcW w:w="989" w:type="dxa"/>
            <w:noWrap/>
            <w:hideMark/>
          </w:tcPr>
          <w:p w14:paraId="7656E686"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R-deux</w:t>
            </w:r>
          </w:p>
        </w:tc>
        <w:tc>
          <w:tcPr>
            <w:tcW w:w="1822" w:type="dxa"/>
            <w:noWrap/>
            <w:hideMark/>
          </w:tcPr>
          <w:p w14:paraId="7ED68CD9"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R-deux ajusté</w:t>
            </w:r>
          </w:p>
        </w:tc>
        <w:tc>
          <w:tcPr>
            <w:tcW w:w="3958" w:type="dxa"/>
            <w:noWrap/>
            <w:hideMark/>
          </w:tcPr>
          <w:p w14:paraId="07E66FE0" w14:textId="77777777" w:rsidR="00F577B6" w:rsidRPr="0056640B" w:rsidRDefault="00F577B6" w:rsidP="0056640B">
            <w:pPr>
              <w:pStyle w:val="Sansinterligne"/>
              <w:spacing w:line="360" w:lineRule="auto"/>
              <w:rPr>
                <w:rFonts w:asciiTheme="majorBidi" w:hAnsiTheme="majorBidi" w:cstheme="majorBidi"/>
                <w:b/>
                <w:bCs/>
              </w:rPr>
            </w:pPr>
            <w:r w:rsidRPr="0056640B">
              <w:rPr>
                <w:rFonts w:asciiTheme="majorBidi" w:hAnsiTheme="majorBidi" w:cstheme="majorBidi"/>
                <w:b/>
                <w:bCs/>
              </w:rPr>
              <w:t>Erreur standard de l'estimation</w:t>
            </w:r>
          </w:p>
        </w:tc>
      </w:tr>
      <w:tr w:rsidR="00F577B6" w:rsidRPr="0056640B" w14:paraId="19C8B947" w14:textId="77777777" w:rsidTr="0056640B">
        <w:trPr>
          <w:trHeight w:val="267"/>
        </w:trPr>
        <w:tc>
          <w:tcPr>
            <w:tcW w:w="1270" w:type="dxa"/>
            <w:noWrap/>
            <w:hideMark/>
          </w:tcPr>
          <w:p w14:paraId="7C8A2829"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1</w:t>
            </w:r>
          </w:p>
        </w:tc>
        <w:tc>
          <w:tcPr>
            <w:tcW w:w="1123" w:type="dxa"/>
            <w:noWrap/>
            <w:hideMark/>
          </w:tcPr>
          <w:p w14:paraId="5B339AD0"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0,481</w:t>
            </w:r>
          </w:p>
        </w:tc>
        <w:tc>
          <w:tcPr>
            <w:tcW w:w="989" w:type="dxa"/>
            <w:noWrap/>
            <w:hideMark/>
          </w:tcPr>
          <w:p w14:paraId="65C70962"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0,232</w:t>
            </w:r>
          </w:p>
        </w:tc>
        <w:tc>
          <w:tcPr>
            <w:tcW w:w="1822" w:type="dxa"/>
            <w:noWrap/>
            <w:hideMark/>
          </w:tcPr>
          <w:p w14:paraId="1FBFDD0E"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0,22</w:t>
            </w:r>
          </w:p>
        </w:tc>
        <w:tc>
          <w:tcPr>
            <w:tcW w:w="3958" w:type="dxa"/>
            <w:noWrap/>
            <w:hideMark/>
          </w:tcPr>
          <w:p w14:paraId="1E901D82" w14:textId="77777777" w:rsidR="00F577B6" w:rsidRPr="0056640B" w:rsidRDefault="00F577B6" w:rsidP="0056640B">
            <w:pPr>
              <w:pStyle w:val="Sansinterligne"/>
              <w:spacing w:line="360" w:lineRule="auto"/>
              <w:rPr>
                <w:rFonts w:asciiTheme="majorBidi" w:hAnsiTheme="majorBidi" w:cstheme="majorBidi"/>
              </w:rPr>
            </w:pPr>
            <w:r w:rsidRPr="0056640B">
              <w:rPr>
                <w:rFonts w:asciiTheme="majorBidi" w:hAnsiTheme="majorBidi" w:cstheme="majorBidi"/>
              </w:rPr>
              <w:t>0,46136</w:t>
            </w:r>
          </w:p>
        </w:tc>
      </w:tr>
    </w:tbl>
    <w:p w14:paraId="4478A359" w14:textId="77777777" w:rsidR="00F577B6" w:rsidRPr="00025076" w:rsidRDefault="00F577B6" w:rsidP="00F577B6">
      <w:pPr>
        <w:jc w:val="center"/>
        <w:rPr>
          <w:rFonts w:cstheme="majorBidi"/>
        </w:rPr>
      </w:pPr>
      <w:r w:rsidRPr="00170A79">
        <w:rPr>
          <w:rFonts w:cstheme="majorBidi"/>
        </w:rPr>
        <w:t xml:space="preserve">Source : établi par l’étudiante à partir des résultats du </w:t>
      </w:r>
      <w:proofErr w:type="spellStart"/>
      <w:r w:rsidRPr="00170A79">
        <w:rPr>
          <w:rFonts w:cstheme="majorBidi"/>
        </w:rPr>
        <w:t>spss</w:t>
      </w:r>
      <w:proofErr w:type="spellEnd"/>
      <w:r w:rsidRPr="00170A79">
        <w:rPr>
          <w:rFonts w:cstheme="majorBidi"/>
        </w:rPr>
        <w:t xml:space="preserve"> v27</w:t>
      </w:r>
    </w:p>
    <w:p w14:paraId="631F5CE7" w14:textId="77777777" w:rsidR="00F577B6" w:rsidRDefault="00F577B6" w:rsidP="00C61DD9">
      <w:r>
        <w:t xml:space="preserve">     </w:t>
      </w:r>
      <w:r w:rsidRPr="00231BF4">
        <w:t xml:space="preserve">Le tableau indique que le coefficient de détermination R² est égal à 0,232, ce qui signifie que la crédibilité perçue explique 23,2 % de la variation de l’image de marque de l’entreprise GICA. La corrélation multiple R est de 0,481, ce qui traduit une relation positive et </w:t>
      </w:r>
      <w:r>
        <w:t>faible</w:t>
      </w:r>
      <w:r w:rsidRPr="00231BF4">
        <w:t xml:space="preserve"> entre la crédibilité perçue et l’image de marque.</w:t>
      </w:r>
    </w:p>
    <w:p w14:paraId="453C0660" w14:textId="77777777" w:rsidR="00F577B6" w:rsidRPr="0077731B" w:rsidRDefault="00F577B6" w:rsidP="000B457B">
      <w:pPr>
        <w:pStyle w:val="Titre4"/>
        <w:numPr>
          <w:ilvl w:val="3"/>
          <w:numId w:val="38"/>
        </w:numPr>
      </w:pPr>
      <w:r w:rsidRPr="0077731B">
        <w:t xml:space="preserve"> Analyse de la variance ANOVA</w:t>
      </w:r>
    </w:p>
    <w:p w14:paraId="2ACD5F67" w14:textId="77777777" w:rsidR="00F577B6" w:rsidRPr="00063796" w:rsidRDefault="00063796" w:rsidP="00063796">
      <w:pPr>
        <w:pStyle w:val="Lgende"/>
        <w:jc w:val="center"/>
        <w:rPr>
          <w:rFonts w:cstheme="majorBidi"/>
          <w:b/>
          <w:bCs/>
          <w:i w:val="0"/>
          <w:iCs w:val="0"/>
          <w:color w:val="000000" w:themeColor="text1"/>
          <w:sz w:val="24"/>
          <w:szCs w:val="24"/>
        </w:rPr>
      </w:pPr>
      <w:bookmarkStart w:id="174" w:name="_Toc200731423"/>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30</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F577B6" w:rsidRPr="00063796">
        <w:rPr>
          <w:rFonts w:cstheme="majorBidi"/>
          <w:b/>
          <w:bCs/>
          <w:i w:val="0"/>
          <w:iCs w:val="0"/>
          <w:color w:val="000000" w:themeColor="text1"/>
          <w:sz w:val="24"/>
          <w:szCs w:val="24"/>
        </w:rPr>
        <w:t xml:space="preserve">: </w:t>
      </w:r>
      <w:r w:rsidR="00F577B6" w:rsidRPr="00063796">
        <w:rPr>
          <w:rFonts w:cstheme="majorBidi"/>
          <w:i w:val="0"/>
          <w:iCs w:val="0"/>
          <w:color w:val="000000" w:themeColor="text1"/>
          <w:sz w:val="24"/>
          <w:szCs w:val="24"/>
        </w:rPr>
        <w:t>variance ANOVA</w:t>
      </w:r>
      <w:bookmarkEnd w:id="174"/>
    </w:p>
    <w:tbl>
      <w:tblPr>
        <w:tblStyle w:val="Grilledutableau"/>
        <w:tblW w:w="8394" w:type="dxa"/>
        <w:tblInd w:w="337" w:type="dxa"/>
        <w:tblLook w:val="04A0" w:firstRow="1" w:lastRow="0" w:firstColumn="1" w:lastColumn="0" w:noHBand="0" w:noVBand="1"/>
      </w:tblPr>
      <w:tblGrid>
        <w:gridCol w:w="1613"/>
        <w:gridCol w:w="2288"/>
        <w:gridCol w:w="657"/>
        <w:gridCol w:w="1634"/>
        <w:gridCol w:w="1101"/>
        <w:gridCol w:w="1101"/>
      </w:tblGrid>
      <w:tr w:rsidR="00F577B6" w:rsidRPr="0056640B" w14:paraId="24F96808" w14:textId="77777777" w:rsidTr="00C61DD9">
        <w:trPr>
          <w:trHeight w:val="337"/>
        </w:trPr>
        <w:tc>
          <w:tcPr>
            <w:tcW w:w="1613" w:type="dxa"/>
            <w:noWrap/>
            <w:hideMark/>
          </w:tcPr>
          <w:p w14:paraId="23D1B3AF"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Modèle</w:t>
            </w:r>
          </w:p>
        </w:tc>
        <w:tc>
          <w:tcPr>
            <w:tcW w:w="2288" w:type="dxa"/>
            <w:noWrap/>
            <w:hideMark/>
          </w:tcPr>
          <w:p w14:paraId="3EE6FC11"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Somme des carrés</w:t>
            </w:r>
          </w:p>
        </w:tc>
        <w:tc>
          <w:tcPr>
            <w:tcW w:w="657" w:type="dxa"/>
            <w:noWrap/>
            <w:hideMark/>
          </w:tcPr>
          <w:p w14:paraId="3E60FA8F"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ddl</w:t>
            </w:r>
          </w:p>
        </w:tc>
        <w:tc>
          <w:tcPr>
            <w:tcW w:w="1634" w:type="dxa"/>
            <w:noWrap/>
            <w:hideMark/>
          </w:tcPr>
          <w:p w14:paraId="29790662"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Carré moyen</w:t>
            </w:r>
          </w:p>
        </w:tc>
        <w:tc>
          <w:tcPr>
            <w:tcW w:w="1101" w:type="dxa"/>
            <w:noWrap/>
            <w:hideMark/>
          </w:tcPr>
          <w:p w14:paraId="22F6AD8D"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F</w:t>
            </w:r>
          </w:p>
        </w:tc>
        <w:tc>
          <w:tcPr>
            <w:tcW w:w="1101" w:type="dxa"/>
            <w:noWrap/>
            <w:hideMark/>
          </w:tcPr>
          <w:p w14:paraId="6C6CCCCB" w14:textId="77777777" w:rsidR="00F577B6" w:rsidRPr="0056640B" w:rsidRDefault="00F577B6" w:rsidP="0056640B">
            <w:pPr>
              <w:pStyle w:val="Sansinterligne"/>
              <w:spacing w:line="480" w:lineRule="auto"/>
              <w:rPr>
                <w:rFonts w:asciiTheme="majorBidi" w:hAnsiTheme="majorBidi" w:cstheme="majorBidi"/>
                <w:b/>
                <w:bCs/>
              </w:rPr>
            </w:pPr>
            <w:proofErr w:type="spellStart"/>
            <w:r w:rsidRPr="0056640B">
              <w:rPr>
                <w:rFonts w:asciiTheme="majorBidi" w:hAnsiTheme="majorBidi" w:cstheme="majorBidi"/>
                <w:b/>
                <w:bCs/>
              </w:rPr>
              <w:t>Sig</w:t>
            </w:r>
            <w:proofErr w:type="spellEnd"/>
            <w:r w:rsidRPr="0056640B">
              <w:rPr>
                <w:rFonts w:asciiTheme="majorBidi" w:hAnsiTheme="majorBidi" w:cstheme="majorBidi"/>
                <w:b/>
                <w:bCs/>
              </w:rPr>
              <w:t>.</w:t>
            </w:r>
          </w:p>
        </w:tc>
      </w:tr>
      <w:tr w:rsidR="00F577B6" w:rsidRPr="0056640B" w14:paraId="5ADE3032" w14:textId="77777777" w:rsidTr="00C61DD9">
        <w:trPr>
          <w:trHeight w:val="337"/>
        </w:trPr>
        <w:tc>
          <w:tcPr>
            <w:tcW w:w="1613" w:type="dxa"/>
            <w:noWrap/>
            <w:hideMark/>
          </w:tcPr>
          <w:p w14:paraId="0F18BE1F"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Régression</w:t>
            </w:r>
          </w:p>
        </w:tc>
        <w:tc>
          <w:tcPr>
            <w:tcW w:w="2288" w:type="dxa"/>
            <w:noWrap/>
            <w:hideMark/>
          </w:tcPr>
          <w:p w14:paraId="43425C1D"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4,362</w:t>
            </w:r>
          </w:p>
        </w:tc>
        <w:tc>
          <w:tcPr>
            <w:tcW w:w="657" w:type="dxa"/>
            <w:noWrap/>
            <w:hideMark/>
          </w:tcPr>
          <w:p w14:paraId="63D4AEDB"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1</w:t>
            </w:r>
          </w:p>
        </w:tc>
        <w:tc>
          <w:tcPr>
            <w:tcW w:w="1634" w:type="dxa"/>
            <w:noWrap/>
            <w:hideMark/>
          </w:tcPr>
          <w:p w14:paraId="7144FE18"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4,362</w:t>
            </w:r>
          </w:p>
        </w:tc>
        <w:tc>
          <w:tcPr>
            <w:tcW w:w="1101" w:type="dxa"/>
            <w:noWrap/>
            <w:hideMark/>
          </w:tcPr>
          <w:p w14:paraId="7ED4C631"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20,491</w:t>
            </w:r>
          </w:p>
        </w:tc>
        <w:tc>
          <w:tcPr>
            <w:tcW w:w="1101" w:type="dxa"/>
            <w:noWrap/>
            <w:hideMark/>
          </w:tcPr>
          <w:p w14:paraId="43C44029"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0,000</w:t>
            </w:r>
          </w:p>
        </w:tc>
      </w:tr>
      <w:tr w:rsidR="00F577B6" w:rsidRPr="0056640B" w14:paraId="7BA64BBE" w14:textId="77777777" w:rsidTr="00C61DD9">
        <w:trPr>
          <w:trHeight w:val="337"/>
        </w:trPr>
        <w:tc>
          <w:tcPr>
            <w:tcW w:w="1613" w:type="dxa"/>
            <w:noWrap/>
            <w:hideMark/>
          </w:tcPr>
          <w:p w14:paraId="18EBDD10"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 xml:space="preserve">de </w:t>
            </w:r>
            <w:proofErr w:type="spellStart"/>
            <w:r w:rsidRPr="0056640B">
              <w:rPr>
                <w:rFonts w:asciiTheme="majorBidi" w:hAnsiTheme="majorBidi" w:cstheme="majorBidi"/>
                <w:b/>
                <w:bCs/>
              </w:rPr>
              <w:t>Student</w:t>
            </w:r>
            <w:proofErr w:type="spellEnd"/>
          </w:p>
        </w:tc>
        <w:tc>
          <w:tcPr>
            <w:tcW w:w="2288" w:type="dxa"/>
            <w:noWrap/>
            <w:hideMark/>
          </w:tcPr>
          <w:p w14:paraId="2B8C5BB2"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14,474</w:t>
            </w:r>
          </w:p>
        </w:tc>
        <w:tc>
          <w:tcPr>
            <w:tcW w:w="657" w:type="dxa"/>
            <w:noWrap/>
            <w:hideMark/>
          </w:tcPr>
          <w:p w14:paraId="42A68DEF"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68</w:t>
            </w:r>
          </w:p>
        </w:tc>
        <w:tc>
          <w:tcPr>
            <w:tcW w:w="1634" w:type="dxa"/>
            <w:noWrap/>
            <w:hideMark/>
          </w:tcPr>
          <w:p w14:paraId="0A9FF49A"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0,213</w:t>
            </w:r>
          </w:p>
        </w:tc>
        <w:tc>
          <w:tcPr>
            <w:tcW w:w="1101" w:type="dxa"/>
            <w:noWrap/>
            <w:hideMark/>
          </w:tcPr>
          <w:p w14:paraId="35776534" w14:textId="77777777" w:rsidR="00F577B6" w:rsidRPr="0056640B" w:rsidRDefault="00F577B6" w:rsidP="0056640B">
            <w:pPr>
              <w:pStyle w:val="Sansinterligne"/>
              <w:spacing w:line="480" w:lineRule="auto"/>
              <w:rPr>
                <w:rFonts w:asciiTheme="majorBidi" w:hAnsiTheme="majorBidi" w:cstheme="majorBidi"/>
              </w:rPr>
            </w:pPr>
          </w:p>
        </w:tc>
        <w:tc>
          <w:tcPr>
            <w:tcW w:w="1101" w:type="dxa"/>
            <w:noWrap/>
            <w:hideMark/>
          </w:tcPr>
          <w:p w14:paraId="40724AA4" w14:textId="77777777" w:rsidR="00F577B6" w:rsidRPr="0056640B" w:rsidRDefault="00F577B6" w:rsidP="0056640B">
            <w:pPr>
              <w:pStyle w:val="Sansinterligne"/>
              <w:spacing w:line="480" w:lineRule="auto"/>
              <w:rPr>
                <w:rFonts w:asciiTheme="majorBidi" w:hAnsiTheme="majorBidi" w:cstheme="majorBidi"/>
              </w:rPr>
            </w:pPr>
          </w:p>
        </w:tc>
      </w:tr>
      <w:tr w:rsidR="00F577B6" w:rsidRPr="0056640B" w14:paraId="13FCDFDC" w14:textId="77777777" w:rsidTr="00C61DD9">
        <w:trPr>
          <w:trHeight w:val="337"/>
        </w:trPr>
        <w:tc>
          <w:tcPr>
            <w:tcW w:w="1613" w:type="dxa"/>
            <w:noWrap/>
            <w:hideMark/>
          </w:tcPr>
          <w:p w14:paraId="35B4B3E2" w14:textId="77777777" w:rsidR="00F577B6" w:rsidRPr="0056640B" w:rsidRDefault="00F577B6" w:rsidP="0056640B">
            <w:pPr>
              <w:pStyle w:val="Sansinterligne"/>
              <w:spacing w:line="480" w:lineRule="auto"/>
              <w:rPr>
                <w:rFonts w:asciiTheme="majorBidi" w:hAnsiTheme="majorBidi" w:cstheme="majorBidi"/>
                <w:b/>
                <w:bCs/>
              </w:rPr>
            </w:pPr>
            <w:r w:rsidRPr="0056640B">
              <w:rPr>
                <w:rFonts w:asciiTheme="majorBidi" w:hAnsiTheme="majorBidi" w:cstheme="majorBidi"/>
                <w:b/>
                <w:bCs/>
              </w:rPr>
              <w:t>Total</w:t>
            </w:r>
          </w:p>
        </w:tc>
        <w:tc>
          <w:tcPr>
            <w:tcW w:w="2288" w:type="dxa"/>
            <w:noWrap/>
            <w:hideMark/>
          </w:tcPr>
          <w:p w14:paraId="7065A251"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18,836</w:t>
            </w:r>
          </w:p>
        </w:tc>
        <w:tc>
          <w:tcPr>
            <w:tcW w:w="657" w:type="dxa"/>
            <w:noWrap/>
            <w:hideMark/>
          </w:tcPr>
          <w:p w14:paraId="0610E6A1" w14:textId="77777777" w:rsidR="00F577B6" w:rsidRPr="0056640B" w:rsidRDefault="00F577B6" w:rsidP="0056640B">
            <w:pPr>
              <w:pStyle w:val="Sansinterligne"/>
              <w:spacing w:line="480" w:lineRule="auto"/>
              <w:rPr>
                <w:rFonts w:asciiTheme="majorBidi" w:hAnsiTheme="majorBidi" w:cstheme="majorBidi"/>
              </w:rPr>
            </w:pPr>
            <w:r w:rsidRPr="0056640B">
              <w:rPr>
                <w:rFonts w:asciiTheme="majorBidi" w:hAnsiTheme="majorBidi" w:cstheme="majorBidi"/>
              </w:rPr>
              <w:t>69</w:t>
            </w:r>
          </w:p>
        </w:tc>
        <w:tc>
          <w:tcPr>
            <w:tcW w:w="1634" w:type="dxa"/>
            <w:noWrap/>
            <w:hideMark/>
          </w:tcPr>
          <w:p w14:paraId="516C62DD" w14:textId="77777777" w:rsidR="00F577B6" w:rsidRPr="0056640B" w:rsidRDefault="00F577B6" w:rsidP="0056640B">
            <w:pPr>
              <w:pStyle w:val="Sansinterligne"/>
              <w:spacing w:line="480" w:lineRule="auto"/>
              <w:rPr>
                <w:rFonts w:asciiTheme="majorBidi" w:hAnsiTheme="majorBidi" w:cstheme="majorBidi"/>
              </w:rPr>
            </w:pPr>
          </w:p>
        </w:tc>
        <w:tc>
          <w:tcPr>
            <w:tcW w:w="1101" w:type="dxa"/>
            <w:noWrap/>
            <w:hideMark/>
          </w:tcPr>
          <w:p w14:paraId="461990DA" w14:textId="77777777" w:rsidR="00F577B6" w:rsidRPr="0056640B" w:rsidRDefault="00F577B6" w:rsidP="0056640B">
            <w:pPr>
              <w:pStyle w:val="Sansinterligne"/>
              <w:spacing w:line="480" w:lineRule="auto"/>
              <w:rPr>
                <w:rFonts w:asciiTheme="majorBidi" w:hAnsiTheme="majorBidi" w:cstheme="majorBidi"/>
              </w:rPr>
            </w:pPr>
          </w:p>
        </w:tc>
        <w:tc>
          <w:tcPr>
            <w:tcW w:w="1101" w:type="dxa"/>
            <w:noWrap/>
            <w:hideMark/>
          </w:tcPr>
          <w:p w14:paraId="5DD6C97E" w14:textId="77777777" w:rsidR="00F577B6" w:rsidRPr="0056640B" w:rsidRDefault="00F577B6" w:rsidP="0056640B">
            <w:pPr>
              <w:pStyle w:val="Sansinterligne"/>
              <w:spacing w:line="480" w:lineRule="auto"/>
              <w:rPr>
                <w:rFonts w:asciiTheme="majorBidi" w:hAnsiTheme="majorBidi" w:cstheme="majorBidi"/>
              </w:rPr>
            </w:pPr>
          </w:p>
        </w:tc>
      </w:tr>
    </w:tbl>
    <w:p w14:paraId="6724C2C7" w14:textId="77777777" w:rsidR="00F577B6" w:rsidRDefault="00F577B6" w:rsidP="00F577B6">
      <w:pPr>
        <w:jc w:val="center"/>
        <w:rPr>
          <w:rFonts w:cstheme="majorBidi"/>
        </w:rPr>
      </w:pPr>
      <w:r w:rsidRPr="00170A79">
        <w:rPr>
          <w:rFonts w:cstheme="majorBidi"/>
        </w:rPr>
        <w:t xml:space="preserve">Source : établi par l’étudiante à partir des résultats du </w:t>
      </w:r>
      <w:proofErr w:type="spellStart"/>
      <w:r w:rsidRPr="00170A79">
        <w:rPr>
          <w:rFonts w:cstheme="majorBidi"/>
        </w:rPr>
        <w:t>spss</w:t>
      </w:r>
      <w:proofErr w:type="spellEnd"/>
      <w:r w:rsidRPr="00170A79">
        <w:rPr>
          <w:rFonts w:cstheme="majorBidi"/>
        </w:rPr>
        <w:t xml:space="preserve"> v27</w:t>
      </w:r>
    </w:p>
    <w:p w14:paraId="08512D8E" w14:textId="77777777" w:rsidR="0056640B" w:rsidRPr="0077731B" w:rsidRDefault="00F577B6" w:rsidP="0077731B">
      <w:r>
        <w:t xml:space="preserve">       </w:t>
      </w:r>
      <w:r w:rsidRPr="00231BF4">
        <w:t>Le tableau ANOVA montre que la valeur de significativité est de 0,000, ce qui est inférieure au seuil alpha de 0,05. Cela indique que le modèle de régression est statistiquement significatif. Ainsi, l’impact de la crédibilité perçue sur l’image de marque est confirmé</w:t>
      </w:r>
      <w:r w:rsidR="0077731B">
        <w:t>.</w:t>
      </w:r>
    </w:p>
    <w:p w14:paraId="2D4D4B39" w14:textId="77777777" w:rsidR="00F577B6" w:rsidRPr="0077731B" w:rsidRDefault="00F577B6" w:rsidP="000B457B">
      <w:pPr>
        <w:pStyle w:val="Titre4"/>
        <w:numPr>
          <w:ilvl w:val="3"/>
          <w:numId w:val="38"/>
        </w:numPr>
      </w:pPr>
      <w:r w:rsidRPr="0077731B">
        <w:t>Coefficients de régressions</w:t>
      </w:r>
    </w:p>
    <w:p w14:paraId="094B8AC0" w14:textId="77777777" w:rsidR="0056640B" w:rsidRPr="00063796" w:rsidRDefault="00063796" w:rsidP="00063796">
      <w:pPr>
        <w:pStyle w:val="Lgende"/>
        <w:jc w:val="center"/>
        <w:rPr>
          <w:rFonts w:cstheme="majorBidi"/>
          <w:i w:val="0"/>
          <w:iCs w:val="0"/>
          <w:color w:val="000000" w:themeColor="text1"/>
          <w:sz w:val="24"/>
          <w:szCs w:val="24"/>
        </w:rPr>
      </w:pPr>
      <w:bookmarkStart w:id="175" w:name="_Toc200731424"/>
      <w:r w:rsidRPr="00063796">
        <w:rPr>
          <w:b/>
          <w:bCs/>
          <w:i w:val="0"/>
          <w:iCs w:val="0"/>
          <w:color w:val="000000" w:themeColor="text1"/>
          <w:sz w:val="24"/>
          <w:szCs w:val="24"/>
        </w:rPr>
        <w:t xml:space="preserve">Tableau  </w:t>
      </w:r>
      <w:r w:rsidRPr="00063796">
        <w:rPr>
          <w:rFonts w:cstheme="majorBidi"/>
          <w:b/>
          <w:bCs/>
          <w:i w:val="0"/>
          <w:iCs w:val="0"/>
          <w:color w:val="000000" w:themeColor="text1"/>
          <w:sz w:val="24"/>
          <w:szCs w:val="24"/>
        </w:rPr>
        <w:fldChar w:fldCharType="begin"/>
      </w:r>
      <w:r w:rsidRPr="00063796">
        <w:rPr>
          <w:rFonts w:cstheme="majorBidi"/>
          <w:b/>
          <w:bCs/>
          <w:i w:val="0"/>
          <w:iCs w:val="0"/>
          <w:color w:val="000000" w:themeColor="text1"/>
          <w:sz w:val="24"/>
          <w:szCs w:val="24"/>
        </w:rPr>
        <w:instrText xml:space="preserve"> SEQ Tableau_ \* ARABIC </w:instrText>
      </w:r>
      <w:r w:rsidRPr="00063796">
        <w:rPr>
          <w:rFonts w:cstheme="majorBidi"/>
          <w:b/>
          <w:bCs/>
          <w:i w:val="0"/>
          <w:iCs w:val="0"/>
          <w:color w:val="000000" w:themeColor="text1"/>
          <w:sz w:val="24"/>
          <w:szCs w:val="24"/>
        </w:rPr>
        <w:fldChar w:fldCharType="separate"/>
      </w:r>
      <w:r w:rsidR="00B55438">
        <w:rPr>
          <w:rFonts w:cstheme="majorBidi"/>
          <w:b/>
          <w:bCs/>
          <w:i w:val="0"/>
          <w:iCs w:val="0"/>
          <w:noProof/>
          <w:color w:val="000000" w:themeColor="text1"/>
          <w:sz w:val="24"/>
          <w:szCs w:val="24"/>
        </w:rPr>
        <w:t>31</w:t>
      </w:r>
      <w:r w:rsidRPr="00063796">
        <w:rPr>
          <w:rFonts w:cstheme="majorBidi"/>
          <w:b/>
          <w:bCs/>
          <w:i w:val="0"/>
          <w:iCs w:val="0"/>
          <w:color w:val="000000" w:themeColor="text1"/>
          <w:sz w:val="24"/>
          <w:szCs w:val="24"/>
        </w:rPr>
        <w:fldChar w:fldCharType="end"/>
      </w:r>
      <w:r w:rsidRPr="00063796">
        <w:rPr>
          <w:rFonts w:cstheme="majorBidi"/>
          <w:b/>
          <w:bCs/>
          <w:i w:val="0"/>
          <w:iCs w:val="0"/>
          <w:color w:val="000000" w:themeColor="text1"/>
          <w:sz w:val="24"/>
          <w:szCs w:val="24"/>
        </w:rPr>
        <w:t xml:space="preserve"> </w:t>
      </w:r>
      <w:r w:rsidR="0056640B" w:rsidRPr="00063796">
        <w:rPr>
          <w:rFonts w:cstheme="majorBidi"/>
          <w:b/>
          <w:bCs/>
          <w:i w:val="0"/>
          <w:iCs w:val="0"/>
          <w:color w:val="000000" w:themeColor="text1"/>
          <w:sz w:val="24"/>
          <w:szCs w:val="24"/>
        </w:rPr>
        <w:t xml:space="preserve">: </w:t>
      </w:r>
      <w:r w:rsidR="0056640B" w:rsidRPr="00063796">
        <w:rPr>
          <w:rFonts w:cstheme="majorBidi"/>
          <w:i w:val="0"/>
          <w:iCs w:val="0"/>
          <w:color w:val="000000" w:themeColor="text1"/>
          <w:sz w:val="24"/>
          <w:szCs w:val="24"/>
        </w:rPr>
        <w:t>Coefficients de régression</w:t>
      </w:r>
      <w:bookmarkEnd w:id="175"/>
    </w:p>
    <w:tbl>
      <w:tblPr>
        <w:tblpPr w:leftFromText="141" w:rightFromText="141" w:vertAnchor="text" w:horzAnchor="margin" w:tblpY="631"/>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80"/>
        <w:gridCol w:w="1068"/>
        <w:gridCol w:w="1822"/>
        <w:gridCol w:w="3289"/>
        <w:gridCol w:w="1020"/>
        <w:gridCol w:w="1020"/>
      </w:tblGrid>
      <w:tr w:rsidR="00F577B6" w:rsidRPr="0056640B" w14:paraId="6CFF4DDD" w14:textId="77777777" w:rsidTr="0056640B">
        <w:trPr>
          <w:cantSplit/>
          <w:trHeight w:val="300"/>
        </w:trPr>
        <w:tc>
          <w:tcPr>
            <w:tcW w:w="1580" w:type="dxa"/>
            <w:shd w:val="clear" w:color="auto" w:fill="auto"/>
            <w:noWrap/>
            <w:vAlign w:val="bottom"/>
            <w:hideMark/>
          </w:tcPr>
          <w:p w14:paraId="32168E57" w14:textId="77777777" w:rsidR="00F577B6" w:rsidRPr="0056640B" w:rsidRDefault="00F577B6" w:rsidP="0056640B">
            <w:pPr>
              <w:pStyle w:val="Sansinterligne"/>
              <w:spacing w:line="360" w:lineRule="auto"/>
              <w:rPr>
                <w:rFonts w:asciiTheme="majorBidi" w:hAnsiTheme="majorBidi" w:cstheme="majorBidi"/>
                <w:sz w:val="24"/>
                <w:szCs w:val="24"/>
                <w:lang w:eastAsia="fr-FR"/>
              </w:rPr>
            </w:pPr>
          </w:p>
        </w:tc>
        <w:tc>
          <w:tcPr>
            <w:tcW w:w="2890" w:type="dxa"/>
            <w:gridSpan w:val="2"/>
            <w:shd w:val="clear" w:color="auto" w:fill="auto"/>
            <w:noWrap/>
            <w:vAlign w:val="bottom"/>
            <w:hideMark/>
          </w:tcPr>
          <w:p w14:paraId="265F67FD"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Coefficients non standardisés</w:t>
            </w:r>
          </w:p>
        </w:tc>
        <w:tc>
          <w:tcPr>
            <w:tcW w:w="3289" w:type="dxa"/>
            <w:shd w:val="clear" w:color="auto" w:fill="auto"/>
            <w:noWrap/>
            <w:vAlign w:val="bottom"/>
            <w:hideMark/>
          </w:tcPr>
          <w:p w14:paraId="35251A38"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Coefficients standardisés</w:t>
            </w:r>
          </w:p>
        </w:tc>
        <w:tc>
          <w:tcPr>
            <w:tcW w:w="871" w:type="dxa"/>
            <w:vMerge w:val="restart"/>
            <w:shd w:val="clear" w:color="auto" w:fill="auto"/>
            <w:noWrap/>
            <w:vAlign w:val="bottom"/>
            <w:hideMark/>
          </w:tcPr>
          <w:p w14:paraId="6B6BB0DB"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t</w:t>
            </w:r>
          </w:p>
        </w:tc>
        <w:tc>
          <w:tcPr>
            <w:tcW w:w="871" w:type="dxa"/>
            <w:vMerge w:val="restart"/>
            <w:shd w:val="clear" w:color="auto" w:fill="auto"/>
            <w:noWrap/>
            <w:vAlign w:val="bottom"/>
            <w:hideMark/>
          </w:tcPr>
          <w:p w14:paraId="1D6CAB96"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roofErr w:type="spellStart"/>
            <w:r w:rsidRPr="0056640B">
              <w:rPr>
                <w:rFonts w:asciiTheme="majorBidi" w:hAnsiTheme="majorBidi" w:cstheme="majorBidi"/>
                <w:b/>
                <w:bCs/>
                <w:color w:val="000000"/>
                <w:sz w:val="24"/>
                <w:szCs w:val="24"/>
                <w:lang w:eastAsia="fr-FR"/>
              </w:rPr>
              <w:t>Sig</w:t>
            </w:r>
            <w:proofErr w:type="spellEnd"/>
            <w:r w:rsidRPr="0056640B">
              <w:rPr>
                <w:rFonts w:asciiTheme="majorBidi" w:hAnsiTheme="majorBidi" w:cstheme="majorBidi"/>
                <w:b/>
                <w:bCs/>
                <w:color w:val="000000"/>
                <w:sz w:val="24"/>
                <w:szCs w:val="24"/>
                <w:lang w:eastAsia="fr-FR"/>
              </w:rPr>
              <w:t>.</w:t>
            </w:r>
          </w:p>
        </w:tc>
      </w:tr>
      <w:tr w:rsidR="00F577B6" w:rsidRPr="0056640B" w14:paraId="5D2AA6B7" w14:textId="77777777" w:rsidTr="0056640B">
        <w:trPr>
          <w:cantSplit/>
          <w:trHeight w:val="300"/>
        </w:trPr>
        <w:tc>
          <w:tcPr>
            <w:tcW w:w="1580" w:type="dxa"/>
            <w:shd w:val="clear" w:color="auto" w:fill="auto"/>
            <w:noWrap/>
            <w:vAlign w:val="bottom"/>
            <w:hideMark/>
          </w:tcPr>
          <w:p w14:paraId="195B1637"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
        </w:tc>
        <w:tc>
          <w:tcPr>
            <w:tcW w:w="1068" w:type="dxa"/>
            <w:shd w:val="clear" w:color="auto" w:fill="auto"/>
            <w:noWrap/>
            <w:vAlign w:val="bottom"/>
            <w:hideMark/>
          </w:tcPr>
          <w:p w14:paraId="56700A6E"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B</w:t>
            </w:r>
          </w:p>
        </w:tc>
        <w:tc>
          <w:tcPr>
            <w:tcW w:w="1822" w:type="dxa"/>
            <w:shd w:val="clear" w:color="auto" w:fill="auto"/>
            <w:noWrap/>
            <w:vAlign w:val="bottom"/>
            <w:hideMark/>
          </w:tcPr>
          <w:p w14:paraId="234CFE9F"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Erreur standard</w:t>
            </w:r>
          </w:p>
        </w:tc>
        <w:tc>
          <w:tcPr>
            <w:tcW w:w="3289" w:type="dxa"/>
            <w:shd w:val="clear" w:color="auto" w:fill="auto"/>
            <w:noWrap/>
            <w:vAlign w:val="bottom"/>
            <w:hideMark/>
          </w:tcPr>
          <w:p w14:paraId="5BD0D960"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Bêta</w:t>
            </w:r>
          </w:p>
        </w:tc>
        <w:tc>
          <w:tcPr>
            <w:tcW w:w="871" w:type="dxa"/>
            <w:vMerge/>
            <w:vAlign w:val="center"/>
            <w:hideMark/>
          </w:tcPr>
          <w:p w14:paraId="763019E1"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
        </w:tc>
        <w:tc>
          <w:tcPr>
            <w:tcW w:w="871" w:type="dxa"/>
            <w:vMerge/>
            <w:vAlign w:val="center"/>
            <w:hideMark/>
          </w:tcPr>
          <w:p w14:paraId="2E5DBD0F"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p>
        </w:tc>
      </w:tr>
      <w:tr w:rsidR="00F577B6" w:rsidRPr="0056640B" w14:paraId="3724C9AA" w14:textId="77777777" w:rsidTr="0056640B">
        <w:trPr>
          <w:cantSplit/>
          <w:trHeight w:val="300"/>
        </w:trPr>
        <w:tc>
          <w:tcPr>
            <w:tcW w:w="1580" w:type="dxa"/>
            <w:shd w:val="clear" w:color="auto" w:fill="auto"/>
            <w:noWrap/>
            <w:vAlign w:val="bottom"/>
            <w:hideMark/>
          </w:tcPr>
          <w:p w14:paraId="484A9225"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(Constante)</w:t>
            </w:r>
          </w:p>
        </w:tc>
        <w:tc>
          <w:tcPr>
            <w:tcW w:w="1068" w:type="dxa"/>
            <w:shd w:val="clear" w:color="auto" w:fill="auto"/>
            <w:noWrap/>
            <w:vAlign w:val="bottom"/>
            <w:hideMark/>
          </w:tcPr>
          <w:p w14:paraId="6FD58335"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2,326</w:t>
            </w:r>
          </w:p>
        </w:tc>
        <w:tc>
          <w:tcPr>
            <w:tcW w:w="1822" w:type="dxa"/>
            <w:shd w:val="clear" w:color="auto" w:fill="auto"/>
            <w:noWrap/>
            <w:vAlign w:val="bottom"/>
            <w:hideMark/>
          </w:tcPr>
          <w:p w14:paraId="6D178C6D"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0,329</w:t>
            </w:r>
          </w:p>
        </w:tc>
        <w:tc>
          <w:tcPr>
            <w:tcW w:w="3289" w:type="dxa"/>
            <w:shd w:val="clear" w:color="auto" w:fill="auto"/>
            <w:noWrap/>
            <w:vAlign w:val="bottom"/>
            <w:hideMark/>
          </w:tcPr>
          <w:p w14:paraId="3B731B52"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p>
        </w:tc>
        <w:tc>
          <w:tcPr>
            <w:tcW w:w="871" w:type="dxa"/>
            <w:shd w:val="clear" w:color="auto" w:fill="auto"/>
            <w:noWrap/>
            <w:vAlign w:val="bottom"/>
            <w:hideMark/>
          </w:tcPr>
          <w:p w14:paraId="49EBFE04"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7,06</w:t>
            </w:r>
          </w:p>
        </w:tc>
        <w:tc>
          <w:tcPr>
            <w:tcW w:w="871" w:type="dxa"/>
            <w:shd w:val="clear" w:color="auto" w:fill="auto"/>
            <w:noWrap/>
            <w:vAlign w:val="bottom"/>
            <w:hideMark/>
          </w:tcPr>
          <w:p w14:paraId="7D7CC880"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0.000</w:t>
            </w:r>
          </w:p>
        </w:tc>
      </w:tr>
      <w:tr w:rsidR="00F577B6" w:rsidRPr="0056640B" w14:paraId="62A48DB4" w14:textId="77777777" w:rsidTr="0056640B">
        <w:trPr>
          <w:cantSplit/>
          <w:trHeight w:val="300"/>
        </w:trPr>
        <w:tc>
          <w:tcPr>
            <w:tcW w:w="1580" w:type="dxa"/>
            <w:shd w:val="clear" w:color="auto" w:fill="auto"/>
            <w:noWrap/>
            <w:vAlign w:val="bottom"/>
            <w:hideMark/>
          </w:tcPr>
          <w:p w14:paraId="19595FA5" w14:textId="77777777" w:rsidR="00F577B6" w:rsidRPr="0056640B" w:rsidRDefault="00F577B6" w:rsidP="0056640B">
            <w:pPr>
              <w:pStyle w:val="Sansinterligne"/>
              <w:spacing w:line="360" w:lineRule="auto"/>
              <w:rPr>
                <w:rFonts w:asciiTheme="majorBidi" w:hAnsiTheme="majorBidi" w:cstheme="majorBidi"/>
                <w:b/>
                <w:bCs/>
                <w:color w:val="000000"/>
                <w:sz w:val="24"/>
                <w:szCs w:val="24"/>
                <w:lang w:eastAsia="fr-FR"/>
              </w:rPr>
            </w:pPr>
            <w:r w:rsidRPr="0056640B">
              <w:rPr>
                <w:rFonts w:asciiTheme="majorBidi" w:hAnsiTheme="majorBidi" w:cstheme="majorBidi"/>
                <w:b/>
                <w:bCs/>
                <w:color w:val="000000"/>
                <w:sz w:val="24"/>
                <w:szCs w:val="24"/>
                <w:lang w:eastAsia="fr-FR"/>
              </w:rPr>
              <w:t>crédibilité perçue</w:t>
            </w:r>
          </w:p>
        </w:tc>
        <w:tc>
          <w:tcPr>
            <w:tcW w:w="1068" w:type="dxa"/>
            <w:shd w:val="clear" w:color="auto" w:fill="auto"/>
            <w:noWrap/>
            <w:vAlign w:val="bottom"/>
            <w:hideMark/>
          </w:tcPr>
          <w:p w14:paraId="14B6EB1A"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0,447</w:t>
            </w:r>
          </w:p>
        </w:tc>
        <w:tc>
          <w:tcPr>
            <w:tcW w:w="1822" w:type="dxa"/>
            <w:shd w:val="clear" w:color="auto" w:fill="auto"/>
            <w:noWrap/>
            <w:vAlign w:val="bottom"/>
            <w:hideMark/>
          </w:tcPr>
          <w:p w14:paraId="4865F3BA"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0,099</w:t>
            </w:r>
          </w:p>
        </w:tc>
        <w:tc>
          <w:tcPr>
            <w:tcW w:w="3289" w:type="dxa"/>
            <w:shd w:val="clear" w:color="auto" w:fill="auto"/>
            <w:noWrap/>
            <w:vAlign w:val="bottom"/>
            <w:hideMark/>
          </w:tcPr>
          <w:p w14:paraId="0A43F1A7"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0,481</w:t>
            </w:r>
          </w:p>
        </w:tc>
        <w:tc>
          <w:tcPr>
            <w:tcW w:w="871" w:type="dxa"/>
            <w:shd w:val="clear" w:color="auto" w:fill="auto"/>
            <w:noWrap/>
            <w:vAlign w:val="bottom"/>
            <w:hideMark/>
          </w:tcPr>
          <w:p w14:paraId="6B9A474B"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4,527</w:t>
            </w:r>
          </w:p>
        </w:tc>
        <w:tc>
          <w:tcPr>
            <w:tcW w:w="871" w:type="dxa"/>
            <w:shd w:val="clear" w:color="auto" w:fill="auto"/>
            <w:noWrap/>
            <w:vAlign w:val="bottom"/>
            <w:hideMark/>
          </w:tcPr>
          <w:p w14:paraId="18ADE7DB" w14:textId="77777777" w:rsidR="00F577B6" w:rsidRPr="0056640B" w:rsidRDefault="00F577B6" w:rsidP="0056640B">
            <w:pPr>
              <w:pStyle w:val="Sansinterligne"/>
              <w:spacing w:line="360" w:lineRule="auto"/>
              <w:rPr>
                <w:rFonts w:asciiTheme="majorBidi" w:hAnsiTheme="majorBidi" w:cstheme="majorBidi"/>
                <w:color w:val="000000"/>
                <w:sz w:val="24"/>
                <w:szCs w:val="24"/>
                <w:lang w:eastAsia="fr-FR"/>
              </w:rPr>
            </w:pPr>
            <w:r w:rsidRPr="0056640B">
              <w:rPr>
                <w:rFonts w:asciiTheme="majorBidi" w:hAnsiTheme="majorBidi" w:cstheme="majorBidi"/>
                <w:color w:val="000000"/>
                <w:sz w:val="24"/>
                <w:szCs w:val="24"/>
                <w:lang w:eastAsia="fr-FR"/>
              </w:rPr>
              <w:t>0.000</w:t>
            </w:r>
          </w:p>
        </w:tc>
      </w:tr>
    </w:tbl>
    <w:p w14:paraId="5DDD27BA" w14:textId="77777777" w:rsidR="00F577B6" w:rsidRPr="00025076" w:rsidRDefault="00F577B6" w:rsidP="00F577B6">
      <w:pPr>
        <w:jc w:val="center"/>
        <w:rPr>
          <w:rFonts w:cstheme="majorBidi"/>
        </w:rPr>
      </w:pPr>
      <w:r w:rsidRPr="00170A79">
        <w:rPr>
          <w:rFonts w:cstheme="majorBidi"/>
        </w:rPr>
        <w:t xml:space="preserve">Source : établi par l’étudiante à partir des résultats du </w:t>
      </w:r>
      <w:proofErr w:type="spellStart"/>
      <w:r w:rsidRPr="00170A79">
        <w:rPr>
          <w:rFonts w:cstheme="majorBidi"/>
        </w:rPr>
        <w:t>spss</w:t>
      </w:r>
      <w:proofErr w:type="spellEnd"/>
      <w:r w:rsidRPr="00170A79">
        <w:rPr>
          <w:rFonts w:cstheme="majorBidi"/>
        </w:rPr>
        <w:t xml:space="preserve"> v27</w:t>
      </w:r>
    </w:p>
    <w:p w14:paraId="0849F5A6" w14:textId="77777777" w:rsidR="00752726" w:rsidRDefault="00F577B6" w:rsidP="00C61DD9">
      <w:r w:rsidRPr="00025076">
        <w:t xml:space="preserve">    </w:t>
      </w:r>
    </w:p>
    <w:p w14:paraId="18618413" w14:textId="77777777" w:rsidR="00F577B6" w:rsidRPr="00025076" w:rsidRDefault="00F577B6" w:rsidP="00C61DD9">
      <w:r w:rsidRPr="00025076">
        <w:t xml:space="preserve">   D’après ce tableau, le modèle qui exprime la relation entre la crédibilité perçue et l’image de marque de l’entreprise GICA est :</w:t>
      </w:r>
    </w:p>
    <w:p w14:paraId="70148B2A" w14:textId="77777777" w:rsidR="00F577B6" w:rsidRPr="00025076" w:rsidRDefault="00F577B6" w:rsidP="00C61DD9">
      <w:r w:rsidRPr="00025076">
        <w:t>Y = 0,447X + 2,326,</w:t>
      </w:r>
    </w:p>
    <w:p w14:paraId="5F2BC849" w14:textId="77777777" w:rsidR="00F577B6" w:rsidRDefault="00F577B6" w:rsidP="00AC729A">
      <w:r w:rsidRPr="00025076">
        <w:t xml:space="preserve">       Où Y est la variable dépendante (image de marque), X la variable indépendante (crédibilité perçue), et 0,447 représente la pente (β) de l’équation. Ce résultat confirme que l’effet est positif et significatif au seuil alpha de 5 %, soutenant l’hypothèse formulée.</w:t>
      </w:r>
      <w:r w:rsidRPr="00127F7F">
        <w:t xml:space="preserve"> </w:t>
      </w:r>
    </w:p>
    <w:p w14:paraId="2DAF8671" w14:textId="77777777" w:rsidR="00324287" w:rsidRDefault="00324287" w:rsidP="00C61DD9"/>
    <w:p w14:paraId="41C5626F" w14:textId="77777777" w:rsidR="00AC729A" w:rsidRDefault="00AC729A" w:rsidP="00C61DD9">
      <w:pPr>
        <w:rPr>
          <w:b/>
          <w:bCs/>
        </w:rPr>
      </w:pPr>
      <w:r w:rsidRPr="00E70E8F">
        <w:rPr>
          <w:b/>
          <w:bCs/>
        </w:rPr>
        <w:t>Conclusion</w:t>
      </w:r>
    </w:p>
    <w:p w14:paraId="4C5E1DCE" w14:textId="77777777" w:rsidR="00AC729A" w:rsidRDefault="00AC729A" w:rsidP="00AC729A">
      <w:pPr>
        <w:spacing w:line="276" w:lineRule="auto"/>
        <w:ind w:firstLine="0"/>
        <w:jc w:val="center"/>
      </w:pPr>
      <w:r>
        <w:t>À l’issue de cette analyse empirique, il ressort que les différentes dimensions du greenwashing – à savoir la confiance verte, la perception du risque environnemental et la crédibilité perçue – exercent toutes un impact positif significatif sur l’image de marque de l’entreprise GICA, bien que cet impact varie en intensité selon les dimensions.</w:t>
      </w:r>
    </w:p>
    <w:p w14:paraId="51AA4DBD" w14:textId="77777777" w:rsidR="00AC729A" w:rsidRDefault="00AC729A" w:rsidP="00AC729A">
      <w:pPr>
        <w:spacing w:line="276" w:lineRule="auto"/>
      </w:pPr>
    </w:p>
    <w:p w14:paraId="0D7526B4" w14:textId="77777777" w:rsidR="00AC729A" w:rsidRDefault="00AC729A" w:rsidP="00AC729A">
      <w:pPr>
        <w:spacing w:line="276" w:lineRule="auto"/>
      </w:pPr>
      <w:r>
        <w:t>Les résultats montrent d’abord une forte confiance des répondants envers l’engagement environnemental de GICA, traduite par des scores élevés et significatifs. Cette confiance semble renforcée par des actions concrètes observées (reboisement, traitement des déchets, filtres, etc.), bien que la communication de la marque gagnerait à être davantage étayée par des preuves tangibles et mesurables.</w:t>
      </w:r>
    </w:p>
    <w:p w14:paraId="625A6F1A" w14:textId="77777777" w:rsidR="00AC729A" w:rsidRDefault="00AC729A" w:rsidP="00AC729A">
      <w:pPr>
        <w:spacing w:line="276" w:lineRule="auto"/>
      </w:pPr>
    </w:p>
    <w:p w14:paraId="42651CA0" w14:textId="77777777" w:rsidR="00AC729A" w:rsidRDefault="00AC729A" w:rsidP="00AC729A">
      <w:pPr>
        <w:spacing w:line="276" w:lineRule="auto"/>
      </w:pPr>
      <w:r>
        <w:t xml:space="preserve">La perception du risque environnemental, bien que consciente chez les répondants, n’est pas nécessairement défavorable. Au contraire, elle semble s’accompagner d’une reconnaissance </w:t>
      </w:r>
      <w:r>
        <w:lastRenderedPageBreak/>
        <w:t>des efforts de réduction d’impact, ce qui renforce la légitimité perçue de l’entreprise dans sa démarche écologique.</w:t>
      </w:r>
    </w:p>
    <w:p w14:paraId="3C07FA58" w14:textId="77777777" w:rsidR="00AC729A" w:rsidRDefault="00AC729A" w:rsidP="00AC729A">
      <w:pPr>
        <w:spacing w:line="276" w:lineRule="auto"/>
      </w:pPr>
    </w:p>
    <w:p w14:paraId="191BE21B" w14:textId="77777777" w:rsidR="00AC729A" w:rsidRDefault="00AC729A" w:rsidP="00AC729A">
      <w:pPr>
        <w:spacing w:line="276" w:lineRule="auto"/>
      </w:pPr>
      <w:r>
        <w:t>Quant à la crédibilité perçue, elle demeure le levier le plus fragile, avec une moyenne plus modérée et des opinions parfois mitigées, notamment en matière de transparence. Cela suggère que GICA devra intensifier sa communication authentique et ses preuves concrètes pour consolider cette dimension.</w:t>
      </w:r>
    </w:p>
    <w:p w14:paraId="5DBDDB02" w14:textId="77777777" w:rsidR="00AC729A" w:rsidRDefault="00AC729A" w:rsidP="00AC729A">
      <w:pPr>
        <w:spacing w:line="276" w:lineRule="auto"/>
      </w:pPr>
    </w:p>
    <w:p w14:paraId="5787B437" w14:textId="77777777" w:rsidR="00AC729A" w:rsidRDefault="00AC729A" w:rsidP="00AC729A">
      <w:pPr>
        <w:spacing w:line="276" w:lineRule="auto"/>
      </w:pPr>
      <w:r>
        <w:t>En définitive, l’analyse valide l’hypothèse principale H1, affirmant que le greenwashing – lorsqu’il est perçu comme sincère et soutenu par des actions visibles – peut améliorer l’image de marque d’une entreprise, même dans un secteur industriel à forte empreinte environnementale. GICA semble ainsi bénéficier d’un capital de confiance environnementale, qu’elle devra continuer à cultiver à travers la transparence, l’innovation verte et une communication éthique.</w:t>
      </w:r>
    </w:p>
    <w:p w14:paraId="0C198FAE" w14:textId="77777777" w:rsidR="00AC729A" w:rsidRDefault="00AC729A" w:rsidP="00C61DD9">
      <w:pPr>
        <w:sectPr w:rsidR="00AC729A" w:rsidSect="006D73CB">
          <w:headerReference w:type="default" r:id="rId54"/>
          <w:footerReference w:type="default" r:id="rId55"/>
          <w:pgSz w:w="11906" w:h="16838"/>
          <w:pgMar w:top="1417" w:right="1417" w:bottom="1417" w:left="1417" w:header="708" w:footer="708" w:gutter="0"/>
          <w:cols w:space="708"/>
          <w:docGrid w:linePitch="360"/>
        </w:sectPr>
      </w:pPr>
    </w:p>
    <w:p w14:paraId="4BA9B6B0" w14:textId="77777777" w:rsidR="00B15608" w:rsidRPr="00465696" w:rsidRDefault="003D09A2" w:rsidP="00B15608">
      <w:pPr>
        <w:pStyle w:val="Citation"/>
        <w:rPr>
          <w:color w:val="auto"/>
          <w:lang w:eastAsia="fr-FR"/>
        </w:rPr>
      </w:pPr>
      <w:r>
        <w:rPr>
          <w:shd w:val="clear" w:color="auto" w:fill="FFFFFF"/>
          <w:lang w:eastAsia="fr-FR"/>
        </w:rPr>
        <w:lastRenderedPageBreak/>
        <w:t>Conclusion générale</w:t>
      </w:r>
    </w:p>
    <w:p w14:paraId="48D26BC8" w14:textId="77777777" w:rsidR="00266C7B" w:rsidRDefault="003C07B4" w:rsidP="003D09A2">
      <w:pPr>
        <w:jc w:val="left"/>
        <w:rPr>
          <w:color w:val="222222"/>
          <w:szCs w:val="24"/>
          <w:lang w:eastAsia="fr-FR"/>
        </w:rPr>
        <w:sectPr w:rsidR="00266C7B" w:rsidSect="006D73CB">
          <w:headerReference w:type="default" r:id="rId56"/>
          <w:pgSz w:w="11906" w:h="16838"/>
          <w:pgMar w:top="1417" w:right="1417" w:bottom="1417" w:left="1417" w:header="708" w:footer="708" w:gutter="0"/>
          <w:cols w:space="708"/>
          <w:docGrid w:linePitch="360"/>
        </w:sectPr>
      </w:pPr>
      <w:r w:rsidRPr="003C07B4">
        <w:rPr>
          <w:color w:val="222222"/>
          <w:szCs w:val="24"/>
          <w:lang w:eastAsia="fr-FR"/>
        </w:rPr>
        <w:t>Dans un contexte économique de plus en plus axé sur le développement durable, les entreprises doivent adopter des pratiques responsables sur les plans environnemental et social. Cependant, certaines d'entre elles, dans leur quête de légitimité écologique, se tournent vers le Greenwashing, une pratique qui suscite de nombreux débats sur son impact sur l'image de marque. Ce travail de recherche vise à explorer comment les différentes facettes du Greenwashing affectent l'image de marque de GICA, un acteur public clé dans le secteur industriel algérien. En s'appuyant sur une revue théorique approfondie et une étude de terrain ciblée, nous avons identifié trois facteurs principaux du Greenwashing : la confiance verte, la perception du risque environnemental et la crédibilité perçue. Ces éléments ont été analysés en lien avec la construction d'une image de marque solide, cohérente et durable. Les résultats de notre étude montrent que, bien que le Greenwashing puisse temporairement améliorer l'image d'une entreprise auprès de certaines parties prenantes, il comporte des limites et des risques significatifs à moyen et long terme. Lorsqu'il est perçu comme manipulatif ou insincère, il peut avoir l'effet inverse, en diminuant la crédibilité de l'entreprise, en augmentant la perception du risque et en réduisant la confiance envers la marque. Plus précisément, nos hypothèses ont révélé que : 1. La confiance verte est cruciale pour renforcer l'image de marque, à condition qu'elle soit fondée sur des actions concrètes et vérifiables. 2. Une faible perception du risque environnemental favorise la valorisation de la marque. 3. La crédibilité perçue est un levier stratégique essentiel pour établir une réputation durable et distincte dans un marché de plus en plus sensible aux enjeux environnementaux. Cette étude souligne l'importance de la transparence, de la cohérence des engagements et d'une communication responsable dans les stratégies de positionnement des entreprises. Elle met également en garde contre le fait que le Greenwashing, s'il n'est pas géré avec soin, peut engendrer un climat de méfiance au lieu de servir d'outil de valorisation. En conclusion, pour des groupes industriels comme GICA, il est crucial d'aller au-delà d'une simple approche communicationnelle et d'intégrer l'engagement environnemental comme un axe stratégique central, authentique et mesurable. Ce n'est qu'en agissant ainsi que l'image de marque pourra être protégée, renforcée et légitimée dans un contexte où la performance doit désormais s'accompagner de responsabilité.</w:t>
      </w:r>
    </w:p>
    <w:p w14:paraId="4B7DBC6F" w14:textId="77777777" w:rsidR="00F04F27" w:rsidRDefault="00ED7F32" w:rsidP="00F04F27">
      <w:pPr>
        <w:pStyle w:val="Citation"/>
      </w:pPr>
      <w:bookmarkStart w:id="176" w:name="_Toc200825487"/>
      <w:r>
        <w:lastRenderedPageBreak/>
        <w:t>Bibliographie</w:t>
      </w:r>
      <w:bookmarkEnd w:id="176"/>
      <w:r>
        <w:t xml:space="preserve"> </w:t>
      </w:r>
    </w:p>
    <w:p w14:paraId="31B2D3EE" w14:textId="77777777" w:rsidR="00F04F27" w:rsidRPr="00F04F27" w:rsidRDefault="00F04F27" w:rsidP="000B457B">
      <w:pPr>
        <w:pStyle w:val="Sansinterligne"/>
        <w:numPr>
          <w:ilvl w:val="0"/>
          <w:numId w:val="51"/>
        </w:numPr>
        <w:spacing w:line="360" w:lineRule="auto"/>
        <w:rPr>
          <w:rFonts w:asciiTheme="majorBidi" w:hAnsiTheme="majorBidi" w:cstheme="majorBidi"/>
          <w:b/>
          <w:bCs/>
          <w:sz w:val="36"/>
          <w:szCs w:val="24"/>
        </w:rPr>
      </w:pPr>
      <w:r w:rsidRPr="00F04F27">
        <w:rPr>
          <w:rFonts w:asciiTheme="majorBidi" w:hAnsiTheme="majorBidi" w:cstheme="majorBidi"/>
          <w:b/>
          <w:bCs/>
          <w:sz w:val="24"/>
          <w:szCs w:val="24"/>
        </w:rPr>
        <w:t>Ouvrages (livres, manuels, essais, dictionnaires)</w:t>
      </w:r>
    </w:p>
    <w:p w14:paraId="347910A0"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Boudon, Raymond. (1994). La place du sociologue. Paris: PUF (Presses Universitaires de France).</w:t>
      </w:r>
    </w:p>
    <w:p w14:paraId="237FA8B0"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proofErr w:type="spellStart"/>
      <w:r w:rsidRPr="00F04F27">
        <w:rPr>
          <w:rFonts w:eastAsia="MS Mincho" w:cstheme="majorBidi"/>
          <w:color w:val="000000" w:themeColor="text1"/>
          <w:szCs w:val="24"/>
        </w:rPr>
        <w:t>Narboni</w:t>
      </w:r>
      <w:proofErr w:type="spellEnd"/>
      <w:r w:rsidRPr="00F04F27">
        <w:rPr>
          <w:rFonts w:eastAsia="MS Mincho" w:cstheme="majorBidi"/>
          <w:color w:val="000000" w:themeColor="text1"/>
          <w:szCs w:val="24"/>
        </w:rPr>
        <w:t>, Michel. (2006). La perception sensorielle et la mémoire spatiale. Paris: Presses Universitaires de France.</w:t>
      </w:r>
    </w:p>
    <w:p w14:paraId="73772441"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rPr>
        <w:t xml:space="preserve">Larousse. (2002). Le Grand Dictionnaire de la psychologie. </w:t>
      </w:r>
      <w:r w:rsidRPr="00F04F27">
        <w:rPr>
          <w:rFonts w:eastAsia="MS Mincho" w:cstheme="majorBidi"/>
          <w:color w:val="000000" w:themeColor="text1"/>
          <w:szCs w:val="24"/>
          <w:lang w:val="en-US"/>
        </w:rPr>
        <w:t>Paris: Larousse.</w:t>
      </w:r>
    </w:p>
    <w:p w14:paraId="3CB6B3EB"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Robbins, Stephen P., Timothy A. Judge, and Timothy T. Campbell. (2006). Organizational Behavior (12th ed.). Upper Saddle River, NJ: Pearson Education.</w:t>
      </w:r>
    </w:p>
    <w:p w14:paraId="48212433"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Bagot, René. (1999). Les fondements de la psychologie sociale. Paris: Presses Universitaires de France.</w:t>
      </w:r>
    </w:p>
    <w:p w14:paraId="3A768C99"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proofErr w:type="spellStart"/>
      <w:r w:rsidRPr="00F04F27">
        <w:rPr>
          <w:rFonts w:eastAsia="MS Mincho" w:cstheme="majorBidi"/>
          <w:color w:val="000000" w:themeColor="text1"/>
          <w:szCs w:val="24"/>
        </w:rPr>
        <w:t>Meiss</w:t>
      </w:r>
      <w:proofErr w:type="spellEnd"/>
      <w:r w:rsidRPr="00F04F27">
        <w:rPr>
          <w:rFonts w:eastAsia="MS Mincho" w:cstheme="majorBidi"/>
          <w:color w:val="000000" w:themeColor="text1"/>
          <w:szCs w:val="24"/>
        </w:rPr>
        <w:t>, René. (1993). L'art de la perception. Paris: Seuil.</w:t>
      </w:r>
    </w:p>
    <w:p w14:paraId="70FC9BC7"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proofErr w:type="spellStart"/>
      <w:r w:rsidRPr="00F04F27">
        <w:rPr>
          <w:rFonts w:eastAsia="MS Mincho" w:cstheme="majorBidi"/>
          <w:color w:val="000000" w:themeColor="text1"/>
          <w:szCs w:val="24"/>
        </w:rPr>
        <w:t>Autogoyard</w:t>
      </w:r>
      <w:proofErr w:type="spellEnd"/>
      <w:r w:rsidRPr="00F04F27">
        <w:rPr>
          <w:rFonts w:eastAsia="MS Mincho" w:cstheme="majorBidi"/>
          <w:color w:val="000000" w:themeColor="text1"/>
          <w:szCs w:val="24"/>
        </w:rPr>
        <w:t>, Claude. (1998). Psychologie cognitive et perception. Paris: Presses Universitaires de France.</w:t>
      </w:r>
    </w:p>
    <w:p w14:paraId="25F10519"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proofErr w:type="spellStart"/>
      <w:r w:rsidRPr="00F04F27">
        <w:rPr>
          <w:rFonts w:eastAsia="MS Mincho" w:cstheme="majorBidi"/>
          <w:color w:val="000000" w:themeColor="text1"/>
          <w:szCs w:val="24"/>
        </w:rPr>
        <w:t>Lassance</w:t>
      </w:r>
      <w:proofErr w:type="spellEnd"/>
      <w:r w:rsidRPr="00F04F27">
        <w:rPr>
          <w:rFonts w:eastAsia="MS Mincho" w:cstheme="majorBidi"/>
          <w:color w:val="000000" w:themeColor="text1"/>
          <w:szCs w:val="24"/>
        </w:rPr>
        <w:t>, Jean. (1998). Les bases de la psychologie cognitive. Paris: Presses Universitaires de France.</w:t>
      </w:r>
    </w:p>
    <w:p w14:paraId="2A5D67D3"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proofErr w:type="spellStart"/>
      <w:r w:rsidRPr="00F04F27">
        <w:rPr>
          <w:rFonts w:eastAsia="MS Mincho" w:cstheme="majorBidi"/>
          <w:color w:val="000000" w:themeColor="text1"/>
          <w:szCs w:val="24"/>
        </w:rPr>
        <w:t>Lecas</w:t>
      </w:r>
      <w:proofErr w:type="spellEnd"/>
      <w:r w:rsidRPr="00F04F27">
        <w:rPr>
          <w:rFonts w:eastAsia="MS Mincho" w:cstheme="majorBidi"/>
          <w:color w:val="000000" w:themeColor="text1"/>
          <w:szCs w:val="24"/>
        </w:rPr>
        <w:t>, Jean. (1992). La psychologie sociale des attitudes. Paris: Presses Universitaires de France.</w:t>
      </w:r>
    </w:p>
    <w:p w14:paraId="5C64D807"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proofErr w:type="spellStart"/>
      <w:r w:rsidRPr="00F04F27">
        <w:rPr>
          <w:rFonts w:eastAsia="MS Mincho" w:cstheme="majorBidi"/>
          <w:color w:val="000000" w:themeColor="text1"/>
          <w:szCs w:val="24"/>
        </w:rPr>
        <w:t>Dumaurier</w:t>
      </w:r>
      <w:proofErr w:type="spellEnd"/>
      <w:r w:rsidRPr="00F04F27">
        <w:rPr>
          <w:rFonts w:eastAsia="MS Mincho" w:cstheme="majorBidi"/>
          <w:color w:val="000000" w:themeColor="text1"/>
          <w:szCs w:val="24"/>
        </w:rPr>
        <w:t>, Pierre. (2000). Les enjeux de la communication interpersonnelle. Paris: Presses Universitaires de France.</w:t>
      </w:r>
    </w:p>
    <w:p w14:paraId="23C05E3C"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Delorme, Roger. (1982). Psychologie de l'apprentissage et de la mémoire. Paris: Presses Universitaires de France.</w:t>
      </w:r>
    </w:p>
    <w:p w14:paraId="25EBE789"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lang w:val="en-US"/>
        </w:rPr>
      </w:pPr>
      <w:proofErr w:type="spellStart"/>
      <w:r w:rsidRPr="00F04F27">
        <w:rPr>
          <w:rFonts w:eastAsia="MS Mincho" w:cstheme="majorBidi"/>
          <w:color w:val="000000" w:themeColor="text1"/>
          <w:szCs w:val="24"/>
        </w:rPr>
        <w:t>Tourre</w:t>
      </w:r>
      <w:proofErr w:type="spellEnd"/>
      <w:r w:rsidRPr="00F04F27">
        <w:rPr>
          <w:rFonts w:eastAsia="MS Mincho" w:cstheme="majorBidi"/>
          <w:color w:val="000000" w:themeColor="text1"/>
          <w:szCs w:val="24"/>
        </w:rPr>
        <w:t xml:space="preserve">, Jean. (2007). La psychologie sociale et la communication. </w:t>
      </w:r>
      <w:r w:rsidRPr="00F04F27">
        <w:rPr>
          <w:rFonts w:eastAsia="MS Mincho" w:cstheme="majorBidi"/>
          <w:color w:val="000000" w:themeColor="text1"/>
          <w:szCs w:val="24"/>
          <w:lang w:val="en-US"/>
        </w:rPr>
        <w:t xml:space="preserve">Paris: Presses </w:t>
      </w:r>
      <w:proofErr w:type="spellStart"/>
      <w:r w:rsidRPr="00F04F27">
        <w:rPr>
          <w:rFonts w:eastAsia="MS Mincho" w:cstheme="majorBidi"/>
          <w:color w:val="000000" w:themeColor="text1"/>
          <w:szCs w:val="24"/>
          <w:lang w:val="en-US"/>
        </w:rPr>
        <w:t>Universitaires</w:t>
      </w:r>
      <w:proofErr w:type="spellEnd"/>
      <w:r w:rsidRPr="00F04F27">
        <w:rPr>
          <w:rFonts w:eastAsia="MS Mincho" w:cstheme="majorBidi"/>
          <w:color w:val="000000" w:themeColor="text1"/>
          <w:szCs w:val="24"/>
          <w:lang w:val="en-US"/>
        </w:rPr>
        <w:t xml:space="preserve"> de France.</w:t>
      </w:r>
    </w:p>
    <w:p w14:paraId="661E2E09"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Kotler, Philip. (1991). Marketing Management: Analysis, Planning, and Control (8th ed.). Englewood Cliffs, NJ: Prentice Hall.</w:t>
      </w:r>
    </w:p>
    <w:p w14:paraId="2ED9031C"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Aaker, David A. (1994). Building Strong Brands. New York: Free Press.</w:t>
      </w:r>
    </w:p>
    <w:p w14:paraId="56591BF7" w14:textId="77777777" w:rsidR="00F04F27" w:rsidRP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rPr>
      </w:pPr>
      <w:r w:rsidRPr="009645CF">
        <w:rPr>
          <w:rFonts w:eastAsia="MS Mincho" w:cstheme="majorBidi"/>
          <w:color w:val="000000" w:themeColor="text1"/>
          <w:szCs w:val="24"/>
        </w:rPr>
        <w:t xml:space="preserve">Heude, R.-P. (1989). </w:t>
      </w:r>
      <w:r w:rsidRPr="00F04F27">
        <w:rPr>
          <w:rFonts w:eastAsia="MS Mincho" w:cstheme="majorBidi"/>
          <w:color w:val="000000" w:themeColor="text1"/>
          <w:szCs w:val="24"/>
        </w:rPr>
        <w:t>L'image de marque. Paris: Les éditions Eyrolles.</w:t>
      </w:r>
    </w:p>
    <w:p w14:paraId="3392C7EB" w14:textId="77777777" w:rsidR="00F04F27" w:rsidRDefault="00F04F27" w:rsidP="000B457B">
      <w:pPr>
        <w:pStyle w:val="Paragraphedeliste"/>
        <w:numPr>
          <w:ilvl w:val="0"/>
          <w:numId w:val="52"/>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Belch, G. E., &amp; Belch, M. A. (2009). Advertising and Promotion: An Integrated Marketing Communications Perspective (8th ed.). McGraw-Hill Education.</w:t>
      </w:r>
    </w:p>
    <w:p w14:paraId="210C5F82" w14:textId="77777777" w:rsidR="00F04F27" w:rsidRPr="00F04F27" w:rsidRDefault="00F04F27" w:rsidP="00F04F27">
      <w:pPr>
        <w:tabs>
          <w:tab w:val="num" w:pos="360"/>
        </w:tabs>
        <w:spacing w:before="0" w:after="200"/>
        <w:jc w:val="left"/>
        <w:rPr>
          <w:rFonts w:eastAsia="MS Mincho" w:cstheme="majorBidi"/>
          <w:color w:val="000000" w:themeColor="text1"/>
          <w:szCs w:val="24"/>
          <w:lang w:val="en-US"/>
        </w:rPr>
      </w:pPr>
    </w:p>
    <w:p w14:paraId="72B8CF99" w14:textId="77777777" w:rsidR="00F04F27" w:rsidRPr="00F04F27" w:rsidRDefault="00F04F27" w:rsidP="000B457B">
      <w:pPr>
        <w:pStyle w:val="Paragraphedeliste"/>
        <w:keepNext/>
        <w:keepLines/>
        <w:numPr>
          <w:ilvl w:val="0"/>
          <w:numId w:val="51"/>
        </w:numPr>
        <w:spacing w:before="200" w:after="0"/>
        <w:jc w:val="left"/>
        <w:outlineLvl w:val="1"/>
        <w:rPr>
          <w:rFonts w:eastAsia="MS Gothic" w:cstheme="majorBidi"/>
          <w:b/>
          <w:bCs/>
          <w:color w:val="000000" w:themeColor="text1"/>
          <w:szCs w:val="24"/>
        </w:rPr>
      </w:pPr>
      <w:r w:rsidRPr="00F04F27">
        <w:rPr>
          <w:rFonts w:eastAsia="MS Gothic" w:cstheme="majorBidi"/>
          <w:b/>
          <w:bCs/>
          <w:color w:val="000000" w:themeColor="text1"/>
          <w:szCs w:val="24"/>
        </w:rPr>
        <w:lastRenderedPageBreak/>
        <w:t>Mémoires (mémoires universitaires et thèses)</w:t>
      </w:r>
    </w:p>
    <w:p w14:paraId="37010476"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Choi, </w:t>
      </w:r>
      <w:proofErr w:type="spellStart"/>
      <w:r w:rsidRPr="00F04F27">
        <w:rPr>
          <w:rFonts w:eastAsia="MS Mincho" w:cstheme="majorBidi"/>
          <w:color w:val="000000" w:themeColor="text1"/>
          <w:szCs w:val="24"/>
          <w:lang w:val="en-US"/>
        </w:rPr>
        <w:t>Jinsil</w:t>
      </w:r>
      <w:proofErr w:type="spellEnd"/>
      <w:r w:rsidRPr="00F04F27">
        <w:rPr>
          <w:rFonts w:eastAsia="MS Mincho" w:cstheme="majorBidi"/>
          <w:color w:val="000000" w:themeColor="text1"/>
          <w:szCs w:val="24"/>
          <w:lang w:val="en-US"/>
        </w:rPr>
        <w:t>. (2014). A corpus based genre analysis of institutional translation in Korea. PhD Thesis, University of Leicester.</w:t>
      </w:r>
    </w:p>
    <w:p w14:paraId="3D1501A7" w14:textId="77777777" w:rsidR="00F04F27" w:rsidRPr="00F04F27" w:rsidRDefault="00F04F27" w:rsidP="000B457B">
      <w:pPr>
        <w:pStyle w:val="Paragraphedeliste"/>
        <w:keepNext/>
        <w:keepLines/>
        <w:numPr>
          <w:ilvl w:val="0"/>
          <w:numId w:val="51"/>
        </w:numPr>
        <w:spacing w:before="200" w:after="0"/>
        <w:jc w:val="left"/>
        <w:outlineLvl w:val="1"/>
        <w:rPr>
          <w:rFonts w:eastAsia="MS Gothic" w:cstheme="majorBidi"/>
          <w:b/>
          <w:bCs/>
          <w:color w:val="000000" w:themeColor="text1"/>
          <w:szCs w:val="24"/>
        </w:rPr>
      </w:pPr>
      <w:r w:rsidRPr="00F04F27">
        <w:rPr>
          <w:rFonts w:eastAsia="MS Gothic" w:cstheme="majorBidi"/>
          <w:b/>
          <w:bCs/>
          <w:color w:val="000000" w:themeColor="text1"/>
          <w:szCs w:val="24"/>
        </w:rPr>
        <w:t>Articles (articles scientifiques dans des revues académiques)</w:t>
      </w:r>
    </w:p>
    <w:p w14:paraId="69ED34E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rPr>
        <w:t xml:space="preserve">Chen, Y.-S. &amp; Chang, C.-H. (2012). </w:t>
      </w:r>
      <w:r w:rsidRPr="00F04F27">
        <w:rPr>
          <w:rFonts w:eastAsia="MS Mincho" w:cstheme="majorBidi"/>
          <w:color w:val="000000" w:themeColor="text1"/>
          <w:szCs w:val="24"/>
          <w:lang w:val="en-US"/>
        </w:rPr>
        <w:t>Greenwash and green trust: The mediation effects of green consumer confusion and green perceived risk. Journal of Business Ethics, 114(3), 489–500.</w:t>
      </w:r>
    </w:p>
    <w:p w14:paraId="4C12E4C5"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Delmas, M. A., &amp; </w:t>
      </w:r>
      <w:proofErr w:type="spellStart"/>
      <w:r w:rsidRPr="00F04F27">
        <w:rPr>
          <w:rFonts w:eastAsia="MS Mincho" w:cstheme="majorBidi"/>
          <w:color w:val="000000" w:themeColor="text1"/>
          <w:szCs w:val="24"/>
          <w:lang w:val="en-US"/>
        </w:rPr>
        <w:t>Burbano</w:t>
      </w:r>
      <w:proofErr w:type="spellEnd"/>
      <w:r w:rsidRPr="00F04F27">
        <w:rPr>
          <w:rFonts w:eastAsia="MS Mincho" w:cstheme="majorBidi"/>
          <w:color w:val="000000" w:themeColor="text1"/>
          <w:szCs w:val="24"/>
          <w:lang w:val="en-US"/>
        </w:rPr>
        <w:t>, V. C. (2011). The Drivers of Greenwashing. California Management Review, 54(1), 64–87.</w:t>
      </w:r>
    </w:p>
    <w:p w14:paraId="0BDF4085"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rPr>
        <w:t xml:space="preserve">Parguel, B., Benoît-Moreau, F., &amp; Larceneux, F. (2011). </w:t>
      </w:r>
      <w:r w:rsidRPr="00F04F27">
        <w:rPr>
          <w:rFonts w:eastAsia="MS Mincho" w:cstheme="majorBidi"/>
          <w:color w:val="000000" w:themeColor="text1"/>
          <w:szCs w:val="24"/>
          <w:lang w:val="en-US"/>
        </w:rPr>
        <w:t>How sustainability ratings might deter 'greenwashing': A closer look at ethical corporate communication. Journal of Business Ethics, 102(1), 15–28.</w:t>
      </w:r>
    </w:p>
    <w:p w14:paraId="0EBAF7D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proofErr w:type="spellStart"/>
      <w:r w:rsidRPr="00F04F27">
        <w:rPr>
          <w:rFonts w:eastAsia="MS Mincho" w:cstheme="majorBidi"/>
          <w:color w:val="000000" w:themeColor="text1"/>
          <w:szCs w:val="24"/>
          <w:lang w:val="en-US"/>
        </w:rPr>
        <w:t>Akturan</w:t>
      </w:r>
      <w:proofErr w:type="spellEnd"/>
      <w:r w:rsidRPr="00F04F27">
        <w:rPr>
          <w:rFonts w:eastAsia="MS Mincho" w:cstheme="majorBidi"/>
          <w:color w:val="000000" w:themeColor="text1"/>
          <w:szCs w:val="24"/>
          <w:lang w:val="en-US"/>
        </w:rPr>
        <w:t>, U. (2018). How does greenwashing affect green branding equity and purchase intention? Journal of Cleaner Production, 191, 153–161.</w:t>
      </w:r>
    </w:p>
    <w:p w14:paraId="35C21466"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Schmuck, D., Matthes, J., &amp; </w:t>
      </w:r>
      <w:proofErr w:type="spellStart"/>
      <w:r w:rsidRPr="00F04F27">
        <w:rPr>
          <w:rFonts w:eastAsia="MS Mincho" w:cstheme="majorBidi"/>
          <w:color w:val="000000" w:themeColor="text1"/>
          <w:szCs w:val="24"/>
          <w:lang w:val="en-US"/>
        </w:rPr>
        <w:t>Naderer</w:t>
      </w:r>
      <w:proofErr w:type="spellEnd"/>
      <w:r w:rsidRPr="00F04F27">
        <w:rPr>
          <w:rFonts w:eastAsia="MS Mincho" w:cstheme="majorBidi"/>
          <w:color w:val="000000" w:themeColor="text1"/>
          <w:szCs w:val="24"/>
          <w:lang w:val="en-US"/>
        </w:rPr>
        <w:t>, B. (2018). Misleading consumers with green advertising? Journal of Advertising, 47(2), 139.</w:t>
      </w:r>
    </w:p>
    <w:p w14:paraId="7195501D"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proofErr w:type="spellStart"/>
      <w:r w:rsidRPr="009645CF">
        <w:rPr>
          <w:rFonts w:eastAsia="MS Mincho" w:cstheme="majorBidi"/>
          <w:color w:val="000000" w:themeColor="text1"/>
          <w:szCs w:val="24"/>
        </w:rPr>
        <w:t>Aji</w:t>
      </w:r>
      <w:proofErr w:type="spellEnd"/>
      <w:r w:rsidRPr="009645CF">
        <w:rPr>
          <w:rFonts w:eastAsia="MS Mincho" w:cstheme="majorBidi"/>
          <w:color w:val="000000" w:themeColor="text1"/>
          <w:szCs w:val="24"/>
        </w:rPr>
        <w:t xml:space="preserve">, H. M., &amp; </w:t>
      </w:r>
      <w:proofErr w:type="spellStart"/>
      <w:r w:rsidRPr="009645CF">
        <w:rPr>
          <w:rFonts w:eastAsia="MS Mincho" w:cstheme="majorBidi"/>
          <w:color w:val="000000" w:themeColor="text1"/>
          <w:szCs w:val="24"/>
        </w:rPr>
        <w:t>Sutikno</w:t>
      </w:r>
      <w:proofErr w:type="spellEnd"/>
      <w:r w:rsidRPr="009645CF">
        <w:rPr>
          <w:rFonts w:eastAsia="MS Mincho" w:cstheme="majorBidi"/>
          <w:color w:val="000000" w:themeColor="text1"/>
          <w:szCs w:val="24"/>
        </w:rPr>
        <w:t xml:space="preserve">, B. (2015). </w:t>
      </w:r>
      <w:r w:rsidRPr="00F04F27">
        <w:rPr>
          <w:rFonts w:eastAsia="MS Mincho" w:cstheme="majorBidi"/>
          <w:color w:val="000000" w:themeColor="text1"/>
          <w:szCs w:val="24"/>
          <w:lang w:val="en-US"/>
        </w:rPr>
        <w:t>The Extended Consequence of Greenwashing: Perceived Consumer Skepticism. International Journal of Business and Information, 10(4), 437.</w:t>
      </w:r>
    </w:p>
    <w:p w14:paraId="082F582F"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Guo, R., Lan, T., Li, C. B., &amp; Wang, T. (2015). A Path analysis of Greenwashing in a trust crisis among Chinese energy companies. Journal of Business Ethics, 140(3), 523–536.</w:t>
      </w:r>
    </w:p>
    <w:p w14:paraId="1B56A911"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Szabo, S., &amp; Webster, J. (2020). Perceived Greenwashing: The effects of green marketing on environmental and product perceptions. Journal of Business Ethics.</w:t>
      </w:r>
    </w:p>
    <w:p w14:paraId="66A0A82C"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9645CF">
        <w:rPr>
          <w:rFonts w:eastAsia="MS Mincho" w:cstheme="majorBidi"/>
          <w:color w:val="000000" w:themeColor="text1"/>
          <w:szCs w:val="24"/>
        </w:rPr>
        <w:t xml:space="preserve">Parguel, B., Benoît-Moreau, F. &amp; Russell, C. A. (2015). </w:t>
      </w:r>
      <w:r w:rsidRPr="00F04F27">
        <w:rPr>
          <w:rFonts w:eastAsia="MS Mincho" w:cstheme="majorBidi"/>
          <w:color w:val="000000" w:themeColor="text1"/>
          <w:szCs w:val="24"/>
          <w:lang w:val="en-US"/>
        </w:rPr>
        <w:t>Can evoking nature in advertising mislead consumers? The power of ‘executional greenwashing’. International Journal of Advertising, 34(1), 107-134.</w:t>
      </w:r>
    </w:p>
    <w:p w14:paraId="3C60864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Lyon, T.P., Montgomery, A.W. (2015). The means and end of greenwash. Organization &amp; Environment, 28, 223–249.</w:t>
      </w:r>
    </w:p>
    <w:p w14:paraId="5E0B8FDB"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Walker, K., &amp; Wan, F. (2012). The Harm of Symbolic Actions and Green-Washing. Journal of Business Ethics, 109(2), 342.</w:t>
      </w:r>
    </w:p>
    <w:p w14:paraId="7C9AA46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lastRenderedPageBreak/>
        <w:t>Rahman, M. A., Park, J., &amp; Chi, G. C. (2015). Consequences of “Greenwashing”: Consumers’ Reactions to Environmental Claims in Hospitality Services. International Journal of Contemporary Hospitality Management, 27(6), 86.</w:t>
      </w:r>
    </w:p>
    <w:p w14:paraId="53A17661"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de Jong, M. D. T., </w:t>
      </w:r>
      <w:proofErr w:type="spellStart"/>
      <w:r w:rsidRPr="00F04F27">
        <w:rPr>
          <w:rFonts w:eastAsia="MS Mincho" w:cstheme="majorBidi"/>
          <w:color w:val="000000" w:themeColor="text1"/>
          <w:szCs w:val="24"/>
          <w:lang w:val="en-US"/>
        </w:rPr>
        <w:t>Harkink</w:t>
      </w:r>
      <w:proofErr w:type="spellEnd"/>
      <w:r w:rsidRPr="00F04F27">
        <w:rPr>
          <w:rFonts w:eastAsia="MS Mincho" w:cstheme="majorBidi"/>
          <w:color w:val="000000" w:themeColor="text1"/>
          <w:szCs w:val="24"/>
          <w:lang w:val="en-US"/>
        </w:rPr>
        <w:t>, K. M., &amp; Barth, S. (2018). Making Green Stuff? Effects of Corporate Greenwashing on Consumers. Journal of Business and Technical Communication, 32(1), 143.</w:t>
      </w:r>
    </w:p>
    <w:p w14:paraId="7447505C"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Qayyum, A., Jamil, R. A., &amp; </w:t>
      </w:r>
      <w:proofErr w:type="spellStart"/>
      <w:r w:rsidRPr="00F04F27">
        <w:rPr>
          <w:rFonts w:eastAsia="MS Mincho" w:cstheme="majorBidi"/>
          <w:color w:val="000000" w:themeColor="text1"/>
          <w:szCs w:val="24"/>
          <w:lang w:val="en-US"/>
        </w:rPr>
        <w:t>Sehar</w:t>
      </w:r>
      <w:proofErr w:type="spellEnd"/>
      <w:r w:rsidRPr="00F04F27">
        <w:rPr>
          <w:rFonts w:eastAsia="MS Mincho" w:cstheme="majorBidi"/>
          <w:color w:val="000000" w:themeColor="text1"/>
          <w:szCs w:val="24"/>
          <w:lang w:val="en-US"/>
        </w:rPr>
        <w:t>, A. (2022). Impact of green marketing, greenwashing and green confusion on green brand equity. Spanish Journal of Marketing - ESIC.</w:t>
      </w:r>
    </w:p>
    <w:p w14:paraId="6EE2D38D"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proofErr w:type="spellStart"/>
      <w:r w:rsidRPr="00F04F27">
        <w:rPr>
          <w:rFonts w:eastAsia="MS Mincho" w:cstheme="majorBidi"/>
          <w:color w:val="000000" w:themeColor="text1"/>
          <w:szCs w:val="24"/>
          <w:lang w:val="en-US"/>
        </w:rPr>
        <w:t>Topal</w:t>
      </w:r>
      <w:proofErr w:type="spellEnd"/>
      <w:r w:rsidRPr="00F04F27">
        <w:rPr>
          <w:rFonts w:eastAsia="MS Mincho" w:cstheme="majorBidi"/>
          <w:color w:val="000000" w:themeColor="text1"/>
          <w:szCs w:val="24"/>
          <w:lang w:val="en-US"/>
        </w:rPr>
        <w:t xml:space="preserve">, I., </w:t>
      </w:r>
      <w:proofErr w:type="spellStart"/>
      <w:r w:rsidRPr="00F04F27">
        <w:rPr>
          <w:rFonts w:eastAsia="MS Mincho" w:cstheme="majorBidi"/>
          <w:color w:val="000000" w:themeColor="text1"/>
          <w:szCs w:val="24"/>
          <w:lang w:val="en-US"/>
        </w:rPr>
        <w:t>Nart</w:t>
      </w:r>
      <w:proofErr w:type="spellEnd"/>
      <w:r w:rsidRPr="00F04F27">
        <w:rPr>
          <w:rFonts w:eastAsia="MS Mincho" w:cstheme="majorBidi"/>
          <w:color w:val="000000" w:themeColor="text1"/>
          <w:szCs w:val="24"/>
          <w:lang w:val="en-US"/>
        </w:rPr>
        <w:t xml:space="preserve">, S., Akar, C., &amp; </w:t>
      </w:r>
      <w:proofErr w:type="spellStart"/>
      <w:r w:rsidRPr="00F04F27">
        <w:rPr>
          <w:rFonts w:eastAsia="MS Mincho" w:cstheme="majorBidi"/>
          <w:color w:val="000000" w:themeColor="text1"/>
          <w:szCs w:val="24"/>
          <w:lang w:val="en-US"/>
        </w:rPr>
        <w:t>Erkollar</w:t>
      </w:r>
      <w:proofErr w:type="spellEnd"/>
      <w:r w:rsidRPr="00F04F27">
        <w:rPr>
          <w:rFonts w:eastAsia="MS Mincho" w:cstheme="majorBidi"/>
          <w:color w:val="000000" w:themeColor="text1"/>
          <w:szCs w:val="24"/>
          <w:lang w:val="en-US"/>
        </w:rPr>
        <w:t>, A. (2019). The effect of greenwashing on online consumer engagement. Business Strategy and The Environment, 29(2), 465–480.</w:t>
      </w:r>
    </w:p>
    <w:p w14:paraId="0EDACB6D"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Lopes, E. L., &amp; </w:t>
      </w:r>
      <w:proofErr w:type="spellStart"/>
      <w:r w:rsidRPr="00F04F27">
        <w:rPr>
          <w:rFonts w:eastAsia="MS Mincho" w:cstheme="majorBidi"/>
          <w:color w:val="000000" w:themeColor="text1"/>
          <w:szCs w:val="24"/>
          <w:lang w:val="en-US"/>
        </w:rPr>
        <w:t>Veiga</w:t>
      </w:r>
      <w:proofErr w:type="spellEnd"/>
      <w:r w:rsidRPr="00F04F27">
        <w:rPr>
          <w:rFonts w:eastAsia="MS Mincho" w:cstheme="majorBidi"/>
          <w:color w:val="000000" w:themeColor="text1"/>
          <w:szCs w:val="24"/>
          <w:lang w:val="en-US"/>
        </w:rPr>
        <w:t>, R. T. (2019). Increasing purchasing intention of eco-efficient products. Journal of Brand Management, 26(5), 550–566.</w:t>
      </w:r>
    </w:p>
    <w:p w14:paraId="7ABACA2B"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Chen, Y., Huang, A., Wang, T., &amp; Chen, Y. (2018). </w:t>
      </w:r>
      <w:proofErr w:type="spellStart"/>
      <w:r w:rsidRPr="00F04F27">
        <w:rPr>
          <w:rFonts w:eastAsia="MS Mincho" w:cstheme="majorBidi"/>
          <w:color w:val="000000" w:themeColor="text1"/>
          <w:szCs w:val="24"/>
          <w:lang w:val="en-US"/>
        </w:rPr>
        <w:t>GreenWash</w:t>
      </w:r>
      <w:proofErr w:type="spellEnd"/>
      <w:r w:rsidRPr="00F04F27">
        <w:rPr>
          <w:rFonts w:eastAsia="MS Mincho" w:cstheme="majorBidi"/>
          <w:color w:val="000000" w:themeColor="text1"/>
          <w:szCs w:val="24"/>
          <w:lang w:val="en-US"/>
        </w:rPr>
        <w:t xml:space="preserve"> and Green Purchase </w:t>
      </w:r>
      <w:proofErr w:type="spellStart"/>
      <w:r w:rsidRPr="00F04F27">
        <w:rPr>
          <w:rFonts w:eastAsia="MS Mincho" w:cstheme="majorBidi"/>
          <w:color w:val="000000" w:themeColor="text1"/>
          <w:szCs w:val="24"/>
          <w:lang w:val="en-US"/>
        </w:rPr>
        <w:t>behaviour</w:t>
      </w:r>
      <w:proofErr w:type="spellEnd"/>
      <w:r w:rsidRPr="00F04F27">
        <w:rPr>
          <w:rFonts w:eastAsia="MS Mincho" w:cstheme="majorBidi"/>
          <w:color w:val="000000" w:themeColor="text1"/>
          <w:szCs w:val="24"/>
          <w:lang w:val="en-US"/>
        </w:rPr>
        <w:t>. Total Quality Management &amp; Business Excellence, 31(1–2), 194–209.</w:t>
      </w:r>
    </w:p>
    <w:p w14:paraId="6AEACEF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Erdem, T., &amp; </w:t>
      </w:r>
      <w:proofErr w:type="spellStart"/>
      <w:r w:rsidRPr="00F04F27">
        <w:rPr>
          <w:rFonts w:eastAsia="MS Mincho" w:cstheme="majorBidi"/>
          <w:color w:val="000000" w:themeColor="text1"/>
          <w:szCs w:val="24"/>
          <w:lang w:val="en-US"/>
        </w:rPr>
        <w:t>Swait</w:t>
      </w:r>
      <w:proofErr w:type="spellEnd"/>
      <w:r w:rsidRPr="00F04F27">
        <w:rPr>
          <w:rFonts w:eastAsia="MS Mincho" w:cstheme="majorBidi"/>
          <w:color w:val="000000" w:themeColor="text1"/>
          <w:szCs w:val="24"/>
          <w:lang w:val="en-US"/>
        </w:rPr>
        <w:t>, J. (2004). Brand Credibility, Brand Consideration, and Choice. Journal of Consumer Research, 31(1), 191–198.</w:t>
      </w:r>
    </w:p>
    <w:p w14:paraId="4D123FE1" w14:textId="77777777" w:rsidR="00F04F27" w:rsidRPr="00F04F27" w:rsidRDefault="00F04F27" w:rsidP="000B457B">
      <w:pPr>
        <w:pStyle w:val="Paragraphedeliste"/>
        <w:keepNext/>
        <w:keepLines/>
        <w:numPr>
          <w:ilvl w:val="0"/>
          <w:numId w:val="51"/>
        </w:numPr>
        <w:spacing w:before="200" w:after="0"/>
        <w:jc w:val="left"/>
        <w:outlineLvl w:val="1"/>
        <w:rPr>
          <w:rFonts w:eastAsia="MS Gothic" w:cstheme="majorBidi"/>
          <w:b/>
          <w:bCs/>
          <w:color w:val="000000" w:themeColor="text1"/>
          <w:szCs w:val="24"/>
        </w:rPr>
      </w:pPr>
      <w:r w:rsidRPr="00F04F27">
        <w:rPr>
          <w:rFonts w:eastAsia="MS Gothic" w:cstheme="majorBidi"/>
          <w:b/>
          <w:bCs/>
          <w:color w:val="000000" w:themeColor="text1"/>
          <w:szCs w:val="24"/>
        </w:rPr>
        <w:t>Webographie (sources numériques, sites internet)</w:t>
      </w:r>
    </w:p>
    <w:p w14:paraId="50298177"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Greenwashing Index – http://greenwashingindex.com/aboutgreenwashing</w:t>
      </w:r>
    </w:p>
    <w:p w14:paraId="63588D31"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Greenwash101, The Green Life – http://thegreenlifeonline.org/greenwash101/</w:t>
      </w:r>
    </w:p>
    <w:p w14:paraId="572D7E45"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La Communication Verte – https://www.la-communication-verte.com/greenwashing-consequences/</w:t>
      </w:r>
    </w:p>
    <w:p w14:paraId="0752055F"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Student.be – https://www.student.be/fr/student-life/greenwashing-definition-exemples-et-impact-sur-les-consommateurs/</w:t>
      </w:r>
    </w:p>
    <w:p w14:paraId="70A4BAFE"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UL.com – https://www.ul.com/services/solutions/sustainability-and-environment</w:t>
      </w:r>
    </w:p>
    <w:p w14:paraId="7AA685ED"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Energy Star – https://www.energystar.gov/about?s=mega</w:t>
      </w:r>
    </w:p>
    <w:p w14:paraId="616CC56A"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European Commission – https://environment.ec.europa.eu/topics/plastics/single-use-plastics/eu-restrictions-certain-single-use-plastics_fr</w:t>
      </w:r>
    </w:p>
    <w:p w14:paraId="24DE582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 xml:space="preserve">GWA – Blog </w:t>
      </w:r>
      <w:proofErr w:type="spellStart"/>
      <w:r w:rsidRPr="00F04F27">
        <w:rPr>
          <w:rFonts w:eastAsia="MS Mincho" w:cstheme="majorBidi"/>
          <w:color w:val="000000" w:themeColor="text1"/>
          <w:szCs w:val="24"/>
          <w:lang w:val="en-US"/>
        </w:rPr>
        <w:t>Agence</w:t>
      </w:r>
      <w:proofErr w:type="spellEnd"/>
      <w:r w:rsidRPr="00F04F27">
        <w:rPr>
          <w:rFonts w:eastAsia="MS Mincho" w:cstheme="majorBidi"/>
          <w:color w:val="000000" w:themeColor="text1"/>
          <w:szCs w:val="24"/>
          <w:lang w:val="en-US"/>
        </w:rPr>
        <w:t xml:space="preserve"> </w:t>
      </w:r>
      <w:proofErr w:type="spellStart"/>
      <w:r w:rsidRPr="00F04F27">
        <w:rPr>
          <w:rFonts w:eastAsia="MS Mincho" w:cstheme="majorBidi"/>
          <w:color w:val="000000" w:themeColor="text1"/>
          <w:szCs w:val="24"/>
          <w:lang w:val="en-US"/>
        </w:rPr>
        <w:t>Limite</w:t>
      </w:r>
      <w:proofErr w:type="spellEnd"/>
      <w:r w:rsidRPr="00F04F27">
        <w:rPr>
          <w:rFonts w:eastAsia="MS Mincho" w:cstheme="majorBidi"/>
          <w:color w:val="000000" w:themeColor="text1"/>
          <w:szCs w:val="24"/>
          <w:lang w:val="en-US"/>
        </w:rPr>
        <w:t xml:space="preserve"> – http://agence-limite.fr/blog/wp-content/uploads/2010/01/GWA4WEB.pdf</w:t>
      </w:r>
    </w:p>
    <w:p w14:paraId="00E80E63"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Sinsofgreenwashing.org – http://sinsofgreenwashing.org/?dl_id=105</w:t>
      </w:r>
    </w:p>
    <w:p w14:paraId="617C8D02"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F04F27">
        <w:rPr>
          <w:rFonts w:eastAsia="MS Mincho" w:cstheme="majorBidi"/>
          <w:color w:val="000000" w:themeColor="text1"/>
          <w:szCs w:val="24"/>
          <w:lang w:val="en-US"/>
        </w:rPr>
        <w:t>e-Marketing.fr – https://www.e-marketing.fr/Definitions-Glossaire/Green-washing-241933.htm</w:t>
      </w:r>
    </w:p>
    <w:p w14:paraId="023A638B" w14:textId="77777777" w:rsidR="00F04F27" w:rsidRPr="00F04F27" w:rsidRDefault="00F04F27" w:rsidP="000B457B">
      <w:pPr>
        <w:pStyle w:val="Paragraphedeliste"/>
        <w:keepNext/>
        <w:keepLines/>
        <w:numPr>
          <w:ilvl w:val="0"/>
          <w:numId w:val="51"/>
        </w:numPr>
        <w:spacing w:before="200" w:after="0"/>
        <w:jc w:val="left"/>
        <w:outlineLvl w:val="1"/>
        <w:rPr>
          <w:rFonts w:eastAsia="MS Gothic" w:cstheme="majorBidi"/>
          <w:b/>
          <w:bCs/>
          <w:color w:val="000000" w:themeColor="text1"/>
          <w:szCs w:val="24"/>
          <w:lang w:val="en-US"/>
        </w:rPr>
      </w:pPr>
      <w:r w:rsidRPr="00F04F27">
        <w:rPr>
          <w:rFonts w:eastAsia="MS Gothic" w:cstheme="majorBidi"/>
          <w:b/>
          <w:bCs/>
          <w:color w:val="000000" w:themeColor="text1"/>
          <w:szCs w:val="24"/>
          <w:lang w:val="en-US"/>
        </w:rPr>
        <w:lastRenderedPageBreak/>
        <w:t xml:space="preserve">Lois et documents </w:t>
      </w:r>
      <w:proofErr w:type="spellStart"/>
      <w:r w:rsidRPr="00F04F27">
        <w:rPr>
          <w:rFonts w:eastAsia="MS Gothic" w:cstheme="majorBidi"/>
          <w:b/>
          <w:bCs/>
          <w:color w:val="000000" w:themeColor="text1"/>
          <w:szCs w:val="24"/>
          <w:lang w:val="en-US"/>
        </w:rPr>
        <w:t>réglementaires</w:t>
      </w:r>
      <w:proofErr w:type="spellEnd"/>
    </w:p>
    <w:p w14:paraId="150973F6"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 xml:space="preserve">ADEME, Valérie Martin, Thierry </w:t>
      </w:r>
      <w:proofErr w:type="spellStart"/>
      <w:r w:rsidRPr="00F04F27">
        <w:rPr>
          <w:rFonts w:eastAsia="MS Mincho" w:cstheme="majorBidi"/>
          <w:color w:val="000000" w:themeColor="text1"/>
          <w:szCs w:val="24"/>
        </w:rPr>
        <w:t>Libaert</w:t>
      </w:r>
      <w:proofErr w:type="spellEnd"/>
      <w:r w:rsidRPr="00F04F27">
        <w:rPr>
          <w:rFonts w:eastAsia="MS Mincho" w:cstheme="majorBidi"/>
          <w:color w:val="000000" w:themeColor="text1"/>
          <w:szCs w:val="24"/>
        </w:rPr>
        <w:t>, et Céline Penot. Le guide de la communication responsable, 2020.</w:t>
      </w:r>
    </w:p>
    <w:p w14:paraId="26B25B25"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Association canadienne de normalisation &amp; Bureau de la concurrence. Déclarations environnementales : guide pour l’industrie et les publicitaires. 2008.</w:t>
      </w:r>
    </w:p>
    <w:p w14:paraId="235F5C75" w14:textId="77777777" w:rsidR="00F04F27" w:rsidRPr="009645CF"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proofErr w:type="spellStart"/>
      <w:r w:rsidRPr="009645CF">
        <w:rPr>
          <w:rFonts w:eastAsia="MS Mincho" w:cstheme="majorBidi"/>
          <w:color w:val="000000" w:themeColor="text1"/>
          <w:szCs w:val="24"/>
          <w:lang w:val="en-US"/>
        </w:rPr>
        <w:t>TerraChoice</w:t>
      </w:r>
      <w:proofErr w:type="spellEnd"/>
      <w:r w:rsidRPr="009645CF">
        <w:rPr>
          <w:rFonts w:eastAsia="MS Mincho" w:cstheme="majorBidi"/>
          <w:color w:val="000000" w:themeColor="text1"/>
          <w:szCs w:val="24"/>
          <w:lang w:val="en-US"/>
        </w:rPr>
        <w:t>. (2010). The Sins of Greenwashing: Home and Family Edition.</w:t>
      </w:r>
    </w:p>
    <w:p w14:paraId="1C6AA8F5"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lang w:val="en-US"/>
        </w:rPr>
      </w:pPr>
      <w:r w:rsidRPr="009645CF">
        <w:rPr>
          <w:rFonts w:eastAsia="MS Mincho" w:cstheme="majorBidi"/>
          <w:color w:val="000000" w:themeColor="text1"/>
          <w:szCs w:val="24"/>
          <w:lang w:val="en-US"/>
        </w:rPr>
        <w:t xml:space="preserve">European Commission. (2023, March 22). </w:t>
      </w:r>
      <w:r w:rsidRPr="00F04F27">
        <w:rPr>
          <w:rFonts w:eastAsia="MS Mincho" w:cstheme="majorBidi"/>
          <w:color w:val="000000" w:themeColor="text1"/>
          <w:szCs w:val="24"/>
          <w:lang w:val="en-US"/>
        </w:rPr>
        <w:t>Proposal for a Directive on Green Claims.</w:t>
      </w:r>
    </w:p>
    <w:p w14:paraId="42E0782D"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Groupe GICA – Rapport de Développement Durable, édition 2022.</w:t>
      </w:r>
    </w:p>
    <w:p w14:paraId="386F2087"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Ministère de la Transition Énergétique – Stratégie nationale pour l’efficacité énergétique.</w:t>
      </w:r>
    </w:p>
    <w:p w14:paraId="1A3FAE24"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Ministère de l’Environnement – Réglementation sur les émissions industrielles en Algérie.</w:t>
      </w:r>
    </w:p>
    <w:p w14:paraId="18085F6A"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Décret exécutif n°06-198 du 31 mai 2006 fixant les modalités de gestion des déchets spéciaux.</w:t>
      </w:r>
    </w:p>
    <w:p w14:paraId="1441322A" w14:textId="77777777" w:rsidR="00F04F27" w:rsidRPr="00F04F27" w:rsidRDefault="00F04F27" w:rsidP="000B457B">
      <w:pPr>
        <w:pStyle w:val="Paragraphedeliste"/>
        <w:numPr>
          <w:ilvl w:val="0"/>
          <w:numId w:val="53"/>
        </w:numPr>
        <w:tabs>
          <w:tab w:val="num" w:pos="360"/>
        </w:tabs>
        <w:spacing w:before="0" w:after="200"/>
        <w:jc w:val="left"/>
        <w:rPr>
          <w:rFonts w:eastAsia="MS Mincho" w:cstheme="majorBidi"/>
          <w:color w:val="000000" w:themeColor="text1"/>
          <w:szCs w:val="24"/>
        </w:rPr>
      </w:pPr>
      <w:r w:rsidRPr="00F04F27">
        <w:rPr>
          <w:rFonts w:eastAsia="MS Mincho" w:cstheme="majorBidi"/>
          <w:color w:val="000000" w:themeColor="text1"/>
          <w:szCs w:val="24"/>
        </w:rPr>
        <w:t>Rapport interne de la SCHB – Service HSE (septembre 2022).</w:t>
      </w:r>
    </w:p>
    <w:p w14:paraId="242E21C4" w14:textId="77777777" w:rsidR="00D4371C" w:rsidRDefault="00D4371C" w:rsidP="00D4371C"/>
    <w:p w14:paraId="18D23200" w14:textId="77777777" w:rsidR="00F75DBD" w:rsidRDefault="00F75DBD" w:rsidP="00F75DBD"/>
    <w:p w14:paraId="52D4DCA7" w14:textId="77777777" w:rsidR="00302915" w:rsidRDefault="00302915" w:rsidP="00B15608">
      <w:pPr>
        <w:pStyle w:val="Citation"/>
      </w:pPr>
    </w:p>
    <w:p w14:paraId="4B21C46A" w14:textId="77777777" w:rsidR="00302915" w:rsidRDefault="00302915" w:rsidP="00B15608">
      <w:pPr>
        <w:pStyle w:val="Citation"/>
      </w:pPr>
    </w:p>
    <w:p w14:paraId="6978F6DD" w14:textId="77777777" w:rsidR="00302915" w:rsidRDefault="00302915" w:rsidP="00B15608">
      <w:pPr>
        <w:pStyle w:val="Citation"/>
      </w:pPr>
    </w:p>
    <w:p w14:paraId="60A36CC0" w14:textId="77777777" w:rsidR="00302915" w:rsidRDefault="00302915" w:rsidP="00B15608">
      <w:pPr>
        <w:pStyle w:val="Citation"/>
      </w:pPr>
    </w:p>
    <w:p w14:paraId="788FF43D" w14:textId="77777777" w:rsidR="00FB6F25" w:rsidRDefault="00FB6F25" w:rsidP="00FB6F25">
      <w:pPr>
        <w:pStyle w:val="Citation"/>
        <w:ind w:left="0" w:firstLine="0"/>
        <w:jc w:val="both"/>
      </w:pPr>
      <w:bookmarkStart w:id="177" w:name="_Toc200825488"/>
    </w:p>
    <w:p w14:paraId="4599B6FB" w14:textId="77777777" w:rsidR="00FB6F25" w:rsidRDefault="00FB6F25" w:rsidP="00B15608">
      <w:pPr>
        <w:pStyle w:val="Citation"/>
      </w:pPr>
    </w:p>
    <w:p w14:paraId="350D8789" w14:textId="77777777" w:rsidR="00FB6F25" w:rsidRDefault="00FB6F25" w:rsidP="00B15608">
      <w:pPr>
        <w:pStyle w:val="Citation"/>
      </w:pPr>
    </w:p>
    <w:p w14:paraId="63157021" w14:textId="77777777" w:rsidR="00FB6F25" w:rsidRDefault="00FB6F25" w:rsidP="00FB6F25">
      <w:pPr>
        <w:pStyle w:val="Citation"/>
        <w:ind w:left="0" w:firstLine="0"/>
        <w:jc w:val="both"/>
      </w:pPr>
    </w:p>
    <w:p w14:paraId="487B8844" w14:textId="77777777" w:rsidR="00ED7F32" w:rsidRDefault="00ED7F32" w:rsidP="00B15608">
      <w:pPr>
        <w:pStyle w:val="Citation"/>
      </w:pPr>
      <w:r>
        <w:lastRenderedPageBreak/>
        <w:t>Annexe</w:t>
      </w:r>
      <w:bookmarkEnd w:id="177"/>
      <w:r>
        <w:t xml:space="preserve"> </w:t>
      </w:r>
    </w:p>
    <w:p w14:paraId="46277038" w14:textId="77777777" w:rsidR="003E47BC" w:rsidRPr="003E47BC" w:rsidRDefault="003E47BC" w:rsidP="003E47BC">
      <w:pPr>
        <w:rPr>
          <w:b/>
          <w:bCs/>
          <w:sz w:val="28"/>
          <w:szCs w:val="24"/>
        </w:rPr>
      </w:pPr>
      <w:r w:rsidRPr="003E47BC">
        <w:rPr>
          <w:b/>
          <w:bCs/>
          <w:sz w:val="28"/>
          <w:szCs w:val="24"/>
        </w:rPr>
        <w:t>Annexe 01 :</w:t>
      </w:r>
    </w:p>
    <w:p w14:paraId="7208F42D" w14:textId="77777777" w:rsidR="00FC1461" w:rsidRPr="00FC1461" w:rsidRDefault="00FC1461" w:rsidP="00FC1461">
      <w:pPr>
        <w:pStyle w:val="Titre"/>
        <w:jc w:val="left"/>
        <w:rPr>
          <w:rFonts w:asciiTheme="majorBidi" w:hAnsiTheme="majorBidi" w:cstheme="majorBidi"/>
          <w:sz w:val="32"/>
          <w:szCs w:val="32"/>
          <w:lang w:val="fr-FR"/>
        </w:rPr>
      </w:pPr>
      <w:r w:rsidRPr="00FC1461">
        <w:rPr>
          <w:rFonts w:asciiTheme="majorBidi" w:hAnsiTheme="majorBidi" w:cstheme="majorBidi"/>
          <w:sz w:val="32"/>
          <w:szCs w:val="32"/>
          <w:lang w:val="fr-FR"/>
        </w:rPr>
        <w:t>Questionnaire sur le Greenwashing et l'Image de Marque</w:t>
      </w:r>
    </w:p>
    <w:p w14:paraId="5C8C4866" w14:textId="77777777" w:rsidR="00FC1461" w:rsidRPr="00FC1461" w:rsidRDefault="00FC1461" w:rsidP="0013470E">
      <w:pPr>
        <w:rPr>
          <w:b/>
          <w:bCs/>
          <w:color w:val="000000" w:themeColor="text1"/>
          <w:sz w:val="28"/>
          <w:szCs w:val="28"/>
        </w:rPr>
      </w:pPr>
      <w:r w:rsidRPr="00FC1461">
        <w:rPr>
          <w:rFonts w:ascii="TimesNewRomanPS" w:eastAsia="Times New Roman" w:hAnsi="TimesNewRomanPS" w:cs="Times New Roman"/>
          <w:b/>
          <w:bCs/>
          <w:color w:val="000000" w:themeColor="text1"/>
          <w:szCs w:val="24"/>
          <w:lang w:eastAsia="fr-FR"/>
        </w:rPr>
        <w:t xml:space="preserve">Partie 1 : </w:t>
      </w:r>
      <w:r w:rsidRPr="00FC1461">
        <w:rPr>
          <w:b/>
          <w:bCs/>
          <w:color w:val="000000" w:themeColor="text1"/>
          <w:sz w:val="28"/>
          <w:szCs w:val="28"/>
        </w:rPr>
        <w:t>Informations générales</w:t>
      </w:r>
    </w:p>
    <w:p w14:paraId="0CC25A2F" w14:textId="77777777" w:rsidR="00FC1461" w:rsidRPr="00324287" w:rsidRDefault="00FC1461" w:rsidP="000B457B">
      <w:pPr>
        <w:numPr>
          <w:ilvl w:val="0"/>
          <w:numId w:val="41"/>
        </w:numPr>
        <w:spacing w:before="100" w:beforeAutospacing="1" w:after="100" w:afterAutospacing="1" w:line="240" w:lineRule="auto"/>
        <w:jc w:val="left"/>
        <w:rPr>
          <w:rFonts w:eastAsia="Times New Roman" w:cstheme="majorBidi"/>
          <w:b/>
          <w:bCs/>
          <w:szCs w:val="24"/>
          <w:lang w:eastAsia="fr-FR"/>
        </w:rPr>
      </w:pPr>
      <w:r w:rsidRPr="00324287">
        <w:rPr>
          <w:rFonts w:eastAsia="Times New Roman" w:cstheme="majorBidi"/>
          <w:b/>
          <w:bCs/>
          <w:szCs w:val="24"/>
          <w:lang w:eastAsia="fr-FR"/>
        </w:rPr>
        <w:t>Dans quelle tranche d’</w:t>
      </w:r>
      <w:r w:rsidR="00324287" w:rsidRPr="00324287">
        <w:rPr>
          <w:rFonts w:eastAsia="Times New Roman" w:cstheme="majorBidi"/>
          <w:b/>
          <w:bCs/>
          <w:szCs w:val="24"/>
          <w:lang w:eastAsia="fr-FR"/>
        </w:rPr>
        <w:t>âge</w:t>
      </w:r>
      <w:r w:rsidRPr="00324287">
        <w:rPr>
          <w:rFonts w:eastAsia="Times New Roman" w:cstheme="majorBidi"/>
          <w:b/>
          <w:bCs/>
          <w:szCs w:val="24"/>
          <w:lang w:eastAsia="fr-FR"/>
        </w:rPr>
        <w:t xml:space="preserve"> situez-vous ? </w:t>
      </w:r>
    </w:p>
    <w:p w14:paraId="170A6A7C" w14:textId="77777777" w:rsidR="00FC1461" w:rsidRPr="00324287" w:rsidRDefault="00FC1461" w:rsidP="000B457B">
      <w:pPr>
        <w:pStyle w:val="NormalWeb"/>
        <w:numPr>
          <w:ilvl w:val="0"/>
          <w:numId w:val="42"/>
        </w:numPr>
        <w:rPr>
          <w:rFonts w:asciiTheme="majorBidi" w:hAnsiTheme="majorBidi" w:cstheme="majorBidi"/>
        </w:rPr>
      </w:pPr>
      <w:r w:rsidRPr="00324287">
        <w:rPr>
          <w:rFonts w:asciiTheme="majorBidi" w:hAnsiTheme="majorBidi" w:cstheme="majorBidi"/>
        </w:rPr>
        <w:t>25-35ans</w:t>
      </w:r>
    </w:p>
    <w:p w14:paraId="05A3CD60" w14:textId="77777777" w:rsidR="00FC1461" w:rsidRPr="00324287" w:rsidRDefault="00FC1461" w:rsidP="000B457B">
      <w:pPr>
        <w:pStyle w:val="NormalWeb"/>
        <w:numPr>
          <w:ilvl w:val="0"/>
          <w:numId w:val="42"/>
        </w:numPr>
        <w:rPr>
          <w:rFonts w:asciiTheme="majorBidi" w:hAnsiTheme="majorBidi" w:cstheme="majorBidi"/>
        </w:rPr>
      </w:pPr>
      <w:r w:rsidRPr="00324287">
        <w:rPr>
          <w:rFonts w:asciiTheme="majorBidi" w:hAnsiTheme="majorBidi" w:cstheme="majorBidi"/>
        </w:rPr>
        <w:t>35-45ans</w:t>
      </w:r>
    </w:p>
    <w:p w14:paraId="780A836F" w14:textId="77777777" w:rsidR="00FC1461" w:rsidRPr="00324287" w:rsidRDefault="00FC1461" w:rsidP="000B457B">
      <w:pPr>
        <w:pStyle w:val="NormalWeb"/>
        <w:numPr>
          <w:ilvl w:val="0"/>
          <w:numId w:val="42"/>
        </w:numPr>
        <w:rPr>
          <w:rFonts w:asciiTheme="majorBidi" w:hAnsiTheme="majorBidi" w:cstheme="majorBidi"/>
        </w:rPr>
      </w:pPr>
      <w:r w:rsidRPr="00324287">
        <w:rPr>
          <w:rFonts w:asciiTheme="majorBidi" w:hAnsiTheme="majorBidi" w:cstheme="majorBidi"/>
        </w:rPr>
        <w:t>45-55ans</w:t>
      </w:r>
    </w:p>
    <w:p w14:paraId="466135EE" w14:textId="77777777" w:rsidR="00FC1461" w:rsidRPr="00324287" w:rsidRDefault="00FC1461" w:rsidP="000B457B">
      <w:pPr>
        <w:pStyle w:val="NormalWeb"/>
        <w:numPr>
          <w:ilvl w:val="0"/>
          <w:numId w:val="42"/>
        </w:numPr>
        <w:rPr>
          <w:rFonts w:asciiTheme="majorBidi" w:hAnsiTheme="majorBidi" w:cstheme="majorBidi"/>
        </w:rPr>
      </w:pPr>
      <w:r w:rsidRPr="00324287">
        <w:rPr>
          <w:rFonts w:asciiTheme="majorBidi" w:hAnsiTheme="majorBidi" w:cstheme="majorBidi"/>
        </w:rPr>
        <w:t>Plus que 55ans</w:t>
      </w:r>
    </w:p>
    <w:p w14:paraId="1A5EC800" w14:textId="77777777" w:rsidR="00FC1461" w:rsidRPr="00324287" w:rsidRDefault="00FC1461" w:rsidP="000B457B">
      <w:pPr>
        <w:pStyle w:val="NormalWeb"/>
        <w:numPr>
          <w:ilvl w:val="0"/>
          <w:numId w:val="43"/>
        </w:numPr>
        <w:ind w:left="709"/>
        <w:rPr>
          <w:rFonts w:asciiTheme="majorBidi" w:hAnsiTheme="majorBidi" w:cstheme="majorBidi"/>
          <w:b/>
          <w:bCs/>
        </w:rPr>
      </w:pPr>
      <w:r w:rsidRPr="00324287">
        <w:rPr>
          <w:rFonts w:asciiTheme="majorBidi" w:hAnsiTheme="majorBidi" w:cstheme="majorBidi"/>
          <w:b/>
          <w:bCs/>
        </w:rPr>
        <w:t>Vous êtes un(e) :</w:t>
      </w:r>
    </w:p>
    <w:p w14:paraId="412B67FD" w14:textId="77777777" w:rsidR="00FC1461" w:rsidRPr="00324287" w:rsidRDefault="00FC1461" w:rsidP="000B457B">
      <w:pPr>
        <w:pStyle w:val="NormalWeb"/>
        <w:numPr>
          <w:ilvl w:val="0"/>
          <w:numId w:val="44"/>
        </w:numPr>
        <w:rPr>
          <w:rFonts w:asciiTheme="majorBidi" w:hAnsiTheme="majorBidi" w:cstheme="majorBidi"/>
        </w:rPr>
      </w:pPr>
      <w:r w:rsidRPr="00324287">
        <w:rPr>
          <w:rFonts w:asciiTheme="majorBidi" w:hAnsiTheme="majorBidi" w:cstheme="majorBidi"/>
        </w:rPr>
        <w:t>Homme</w:t>
      </w:r>
    </w:p>
    <w:p w14:paraId="39413365" w14:textId="77777777" w:rsidR="00FC1461" w:rsidRPr="00324287" w:rsidRDefault="00FC1461" w:rsidP="000B457B">
      <w:pPr>
        <w:pStyle w:val="NormalWeb"/>
        <w:numPr>
          <w:ilvl w:val="1"/>
          <w:numId w:val="44"/>
        </w:numPr>
        <w:rPr>
          <w:rFonts w:asciiTheme="majorBidi" w:hAnsiTheme="majorBidi" w:cstheme="majorBidi"/>
        </w:rPr>
      </w:pPr>
      <w:r w:rsidRPr="00324287">
        <w:rPr>
          <w:rFonts w:asciiTheme="majorBidi" w:hAnsiTheme="majorBidi" w:cstheme="majorBidi"/>
        </w:rPr>
        <w:t>Femme</w:t>
      </w:r>
    </w:p>
    <w:p w14:paraId="155D8568" w14:textId="77777777" w:rsidR="00FC1461" w:rsidRPr="00324287" w:rsidRDefault="00FC1461" w:rsidP="000B457B">
      <w:pPr>
        <w:pStyle w:val="Paragraphedeliste"/>
        <w:numPr>
          <w:ilvl w:val="0"/>
          <w:numId w:val="48"/>
        </w:numPr>
        <w:spacing w:before="0" w:after="200" w:line="276" w:lineRule="auto"/>
        <w:jc w:val="left"/>
        <w:rPr>
          <w:rFonts w:cstheme="majorBidi"/>
        </w:rPr>
      </w:pPr>
      <w:r w:rsidRPr="00324287">
        <w:rPr>
          <w:rFonts w:cstheme="majorBidi"/>
          <w:b/>
          <w:bCs/>
        </w:rPr>
        <w:t xml:space="preserve">votre Niveau d'études </w:t>
      </w:r>
      <w:r w:rsidRPr="00324287">
        <w:rPr>
          <w:rFonts w:cstheme="majorBidi"/>
        </w:rPr>
        <w:t>:</w:t>
      </w:r>
    </w:p>
    <w:p w14:paraId="3FD3A6D8" w14:textId="77777777" w:rsidR="00FC1461" w:rsidRPr="00324287" w:rsidRDefault="00FC1461" w:rsidP="000B457B">
      <w:pPr>
        <w:pStyle w:val="Paragraphedeliste"/>
        <w:numPr>
          <w:ilvl w:val="0"/>
          <w:numId w:val="47"/>
        </w:numPr>
        <w:spacing w:before="0" w:after="200" w:line="276" w:lineRule="auto"/>
        <w:jc w:val="left"/>
        <w:rPr>
          <w:rFonts w:cstheme="majorBidi"/>
        </w:rPr>
      </w:pPr>
      <w:r w:rsidRPr="00324287">
        <w:rPr>
          <w:rFonts w:cstheme="majorBidi"/>
        </w:rPr>
        <w:t xml:space="preserve">Primaire </w:t>
      </w:r>
    </w:p>
    <w:p w14:paraId="35B491EC" w14:textId="77777777" w:rsidR="00FC1461" w:rsidRPr="00324287" w:rsidRDefault="00FC1461" w:rsidP="000B457B">
      <w:pPr>
        <w:pStyle w:val="Paragraphedeliste"/>
        <w:numPr>
          <w:ilvl w:val="0"/>
          <w:numId w:val="47"/>
        </w:numPr>
        <w:spacing w:before="0" w:after="200" w:line="276" w:lineRule="auto"/>
        <w:jc w:val="left"/>
        <w:rPr>
          <w:rFonts w:cstheme="majorBidi"/>
        </w:rPr>
      </w:pPr>
      <w:r w:rsidRPr="00324287">
        <w:rPr>
          <w:rFonts w:cstheme="majorBidi"/>
        </w:rPr>
        <w:t xml:space="preserve">Secondaire </w:t>
      </w:r>
    </w:p>
    <w:p w14:paraId="6B4EE253" w14:textId="77777777" w:rsidR="00FC1461" w:rsidRPr="00324287" w:rsidRDefault="00FC1461" w:rsidP="000B457B">
      <w:pPr>
        <w:pStyle w:val="Paragraphedeliste"/>
        <w:numPr>
          <w:ilvl w:val="0"/>
          <w:numId w:val="47"/>
        </w:numPr>
        <w:spacing w:before="0" w:after="200" w:line="276" w:lineRule="auto"/>
        <w:jc w:val="left"/>
        <w:rPr>
          <w:rFonts w:cstheme="majorBidi"/>
        </w:rPr>
      </w:pPr>
      <w:r w:rsidRPr="00324287">
        <w:rPr>
          <w:rFonts w:cstheme="majorBidi"/>
        </w:rPr>
        <w:t>Universitaire</w:t>
      </w:r>
    </w:p>
    <w:p w14:paraId="4C4D70F4" w14:textId="77777777" w:rsidR="00FC1461" w:rsidRPr="00324287" w:rsidRDefault="00FC1461" w:rsidP="000B457B">
      <w:pPr>
        <w:pStyle w:val="Paragraphedeliste"/>
        <w:numPr>
          <w:ilvl w:val="0"/>
          <w:numId w:val="47"/>
        </w:numPr>
        <w:spacing w:before="0" w:after="200"/>
        <w:jc w:val="left"/>
        <w:rPr>
          <w:rFonts w:cstheme="majorBidi"/>
        </w:rPr>
      </w:pPr>
      <w:r w:rsidRPr="00324287">
        <w:rPr>
          <w:rFonts w:cstheme="majorBidi"/>
        </w:rPr>
        <w:t xml:space="preserve">Autre  </w:t>
      </w:r>
    </w:p>
    <w:p w14:paraId="51F32292" w14:textId="77777777" w:rsidR="00FC1461" w:rsidRPr="00324287" w:rsidRDefault="00FC1461" w:rsidP="000B457B">
      <w:pPr>
        <w:pStyle w:val="Paragraphedeliste"/>
        <w:numPr>
          <w:ilvl w:val="0"/>
          <w:numId w:val="49"/>
        </w:numPr>
        <w:spacing w:before="0" w:after="200"/>
        <w:jc w:val="left"/>
        <w:rPr>
          <w:rFonts w:cstheme="majorBidi"/>
        </w:rPr>
      </w:pPr>
      <w:r w:rsidRPr="00324287">
        <w:rPr>
          <w:rFonts w:cstheme="majorBidi"/>
          <w:b/>
          <w:bCs/>
        </w:rPr>
        <w:t>Vous êtes : Client(e) / Voisin(e) de GICA ?</w:t>
      </w:r>
    </w:p>
    <w:p w14:paraId="77822463" w14:textId="77777777" w:rsidR="00FC1461" w:rsidRPr="00324287" w:rsidRDefault="00FC1461" w:rsidP="000B457B">
      <w:pPr>
        <w:pStyle w:val="Paragraphedeliste"/>
        <w:numPr>
          <w:ilvl w:val="0"/>
          <w:numId w:val="46"/>
        </w:numPr>
        <w:spacing w:before="0" w:after="200"/>
        <w:jc w:val="left"/>
        <w:rPr>
          <w:rFonts w:cstheme="majorBidi"/>
        </w:rPr>
      </w:pPr>
      <w:r w:rsidRPr="00324287">
        <w:rPr>
          <w:rFonts w:cstheme="majorBidi"/>
        </w:rPr>
        <w:t xml:space="preserve">Oui </w:t>
      </w:r>
    </w:p>
    <w:p w14:paraId="56BAD2A3" w14:textId="77777777" w:rsidR="00FC1461" w:rsidRPr="00324287" w:rsidRDefault="00FC1461" w:rsidP="000B457B">
      <w:pPr>
        <w:pStyle w:val="Paragraphedeliste"/>
        <w:numPr>
          <w:ilvl w:val="0"/>
          <w:numId w:val="46"/>
        </w:numPr>
        <w:spacing w:before="0" w:after="200" w:line="276" w:lineRule="auto"/>
        <w:jc w:val="left"/>
        <w:rPr>
          <w:rFonts w:cstheme="majorBidi"/>
        </w:rPr>
      </w:pPr>
      <w:r w:rsidRPr="00324287">
        <w:rPr>
          <w:rFonts w:cstheme="majorBidi"/>
        </w:rPr>
        <w:t xml:space="preserve">Non  </w:t>
      </w:r>
    </w:p>
    <w:p w14:paraId="582FADFA" w14:textId="77777777" w:rsidR="00FC1461" w:rsidRPr="00324287" w:rsidRDefault="00FC1461">
      <w:pPr>
        <w:rPr>
          <w:rFonts w:cstheme="majorBidi"/>
        </w:rPr>
      </w:pPr>
      <w:r w:rsidRPr="00324287">
        <w:rPr>
          <w:rFonts w:cstheme="majorBidi"/>
        </w:rPr>
        <w:t xml:space="preserve">- </w:t>
      </w:r>
      <w:r w:rsidRPr="00324287">
        <w:rPr>
          <w:rFonts w:cstheme="majorBidi"/>
          <w:b/>
          <w:bCs/>
        </w:rPr>
        <w:t>Depuis combien de temps connaissez-vous GICA ?</w:t>
      </w:r>
    </w:p>
    <w:p w14:paraId="383225D7" w14:textId="77777777" w:rsidR="00FC1461" w:rsidRPr="00324287" w:rsidRDefault="00FC1461" w:rsidP="000B457B">
      <w:pPr>
        <w:pStyle w:val="Paragraphedeliste"/>
        <w:numPr>
          <w:ilvl w:val="0"/>
          <w:numId w:val="45"/>
        </w:numPr>
        <w:spacing w:before="0" w:after="200" w:line="276" w:lineRule="auto"/>
        <w:jc w:val="left"/>
        <w:rPr>
          <w:rFonts w:cstheme="majorBidi"/>
        </w:rPr>
      </w:pPr>
      <w:r w:rsidRPr="00324287">
        <w:rPr>
          <w:rFonts w:cstheme="majorBidi"/>
        </w:rPr>
        <w:t xml:space="preserve">Moins d’un an  </w:t>
      </w:r>
    </w:p>
    <w:p w14:paraId="76E270A9" w14:textId="77777777" w:rsidR="00FC1461" w:rsidRPr="00324287" w:rsidRDefault="00FC1461" w:rsidP="000B457B">
      <w:pPr>
        <w:pStyle w:val="Paragraphedeliste"/>
        <w:numPr>
          <w:ilvl w:val="0"/>
          <w:numId w:val="45"/>
        </w:numPr>
        <w:spacing w:before="0" w:after="200" w:line="276" w:lineRule="auto"/>
        <w:jc w:val="left"/>
        <w:rPr>
          <w:rFonts w:cstheme="majorBidi"/>
        </w:rPr>
      </w:pPr>
      <w:r w:rsidRPr="00324287">
        <w:rPr>
          <w:rFonts w:cstheme="majorBidi"/>
        </w:rPr>
        <w:t xml:space="preserve">1 à 3 ans  </w:t>
      </w:r>
    </w:p>
    <w:p w14:paraId="6808EF24" w14:textId="77777777" w:rsidR="00FC1461" w:rsidRPr="004C3414" w:rsidRDefault="00FC1461" w:rsidP="000B457B">
      <w:pPr>
        <w:pStyle w:val="Paragraphedeliste"/>
        <w:numPr>
          <w:ilvl w:val="0"/>
          <w:numId w:val="45"/>
        </w:numPr>
        <w:spacing w:before="0" w:after="200" w:line="276" w:lineRule="auto"/>
        <w:jc w:val="left"/>
        <w:rPr>
          <w:rFonts w:cstheme="majorBidi"/>
        </w:rPr>
      </w:pPr>
      <w:r w:rsidRPr="00324287">
        <w:rPr>
          <w:rFonts w:cstheme="majorBidi"/>
        </w:rPr>
        <w:t>Plus de 3 ans</w:t>
      </w:r>
    </w:p>
    <w:p w14:paraId="39CB19B6" w14:textId="77777777" w:rsidR="00FC1461" w:rsidRDefault="00FC1461" w:rsidP="0013470E">
      <w:pPr>
        <w:rPr>
          <w:rFonts w:ascii="TimesNewRomanPSMT" w:hAnsi="TimesNewRomanPSMT"/>
          <w:color w:val="000000" w:themeColor="text1"/>
        </w:rPr>
      </w:pPr>
      <w:r w:rsidRPr="00FC1461">
        <w:rPr>
          <w:rFonts w:ascii="TimesNewRomanPS" w:eastAsia="Times New Roman" w:hAnsi="TimesNewRomanPS" w:cs="Times New Roman"/>
          <w:b/>
          <w:bCs/>
          <w:color w:val="000000" w:themeColor="text1"/>
          <w:szCs w:val="24"/>
          <w:lang w:eastAsia="fr-FR"/>
        </w:rPr>
        <w:t>Partie 2</w:t>
      </w:r>
      <w:r>
        <w:rPr>
          <w:rFonts w:ascii="TimesNewRomanPS" w:eastAsia="Times New Roman" w:hAnsi="TimesNewRomanPS" w:cs="Times New Roman"/>
          <w:b/>
          <w:bCs/>
          <w:color w:val="000000" w:themeColor="text1"/>
          <w:szCs w:val="24"/>
          <w:lang w:eastAsia="fr-FR"/>
        </w:rPr>
        <w:t xml:space="preserve"> </w:t>
      </w:r>
      <w:r w:rsidRPr="00FC1461">
        <w:rPr>
          <w:rFonts w:ascii="TimesNewRomanPS" w:eastAsia="Times New Roman" w:hAnsi="TimesNewRomanPS" w:cs="Times New Roman"/>
          <w:b/>
          <w:bCs/>
          <w:color w:val="000000" w:themeColor="text1"/>
          <w:szCs w:val="24"/>
          <w:lang w:eastAsia="fr-FR"/>
        </w:rPr>
        <w:t xml:space="preserve">: </w:t>
      </w:r>
      <w:r w:rsidRPr="00FC1461">
        <w:rPr>
          <w:rFonts w:ascii="TimesNewRomanPSMT" w:hAnsi="TimesNewRomanPSMT"/>
          <w:color w:val="000000" w:themeColor="text1"/>
        </w:rPr>
        <w:t xml:space="preserve">Ci-dessous vous trouverez des questions qui mesureront votre </w:t>
      </w:r>
      <w:proofErr w:type="spellStart"/>
      <w:r w:rsidRPr="00FC1461">
        <w:rPr>
          <w:rFonts w:ascii="TimesNewRomanPSMT" w:hAnsi="TimesNewRomanPSMT"/>
          <w:color w:val="000000" w:themeColor="text1"/>
        </w:rPr>
        <w:t>degre</w:t>
      </w:r>
      <w:proofErr w:type="spellEnd"/>
      <w:r w:rsidRPr="00FC1461">
        <w:rPr>
          <w:rFonts w:ascii="TimesNewRomanPSMT" w:hAnsi="TimesNewRomanPSMT"/>
          <w:color w:val="000000" w:themeColor="text1"/>
        </w:rPr>
        <w:t xml:space="preserve">́ d’accord d’une </w:t>
      </w:r>
      <w:proofErr w:type="spellStart"/>
      <w:r w:rsidRPr="00FC1461">
        <w:rPr>
          <w:rFonts w:ascii="TimesNewRomanPSMT" w:hAnsi="TimesNewRomanPSMT"/>
          <w:color w:val="000000" w:themeColor="text1"/>
        </w:rPr>
        <w:t>échelle</w:t>
      </w:r>
      <w:proofErr w:type="spellEnd"/>
      <w:r w:rsidRPr="00FC1461">
        <w:rPr>
          <w:rFonts w:ascii="TimesNewRomanPSMT" w:hAnsi="TimesNewRomanPSMT"/>
          <w:color w:val="000000" w:themeColor="text1"/>
        </w:rPr>
        <w:t xml:space="preserve"> de 1 à 5  comme suit </w:t>
      </w:r>
    </w:p>
    <w:p w14:paraId="3FA62898" w14:textId="77777777" w:rsidR="00EB52F7" w:rsidRDefault="00EB52F7" w:rsidP="0013470E">
      <w:pPr>
        <w:rPr>
          <w:b/>
          <w:bCs/>
          <w:color w:val="000000" w:themeColor="text1"/>
          <w:sz w:val="28"/>
          <w:szCs w:val="28"/>
        </w:rPr>
      </w:pPr>
    </w:p>
    <w:p w14:paraId="64702203" w14:textId="77777777" w:rsidR="00EB52F7" w:rsidRPr="00FC1461" w:rsidRDefault="00EB52F7" w:rsidP="0013470E">
      <w:pPr>
        <w:rPr>
          <w:b/>
          <w:bCs/>
          <w:color w:val="000000" w:themeColor="text1"/>
          <w:sz w:val="28"/>
          <w:szCs w:val="28"/>
        </w:rPr>
      </w:pPr>
    </w:p>
    <w:tbl>
      <w:tblPr>
        <w:tblStyle w:val="Grilledutableau"/>
        <w:tblW w:w="0" w:type="auto"/>
        <w:tblLook w:val="04A0" w:firstRow="1" w:lastRow="0" w:firstColumn="1" w:lastColumn="0" w:noHBand="0" w:noVBand="1"/>
      </w:tblPr>
      <w:tblGrid>
        <w:gridCol w:w="1726"/>
        <w:gridCol w:w="1726"/>
        <w:gridCol w:w="1726"/>
        <w:gridCol w:w="1726"/>
        <w:gridCol w:w="1726"/>
      </w:tblGrid>
      <w:tr w:rsidR="00FC1461" w:rsidRPr="00176605" w14:paraId="0FDC7FFA" w14:textId="77777777" w:rsidTr="0013470E">
        <w:tc>
          <w:tcPr>
            <w:tcW w:w="1726" w:type="dxa"/>
          </w:tcPr>
          <w:p w14:paraId="3CD5C247" w14:textId="77777777" w:rsidR="00FC1461" w:rsidRDefault="00FC1461" w:rsidP="0013470E">
            <w:pPr>
              <w:pStyle w:val="NormalWeb"/>
              <w:jc w:val="center"/>
              <w:rPr>
                <w:rFonts w:ascii="TimesNewRomanPSMT" w:hAnsi="TimesNewRomanPSMT"/>
              </w:rPr>
            </w:pPr>
            <w:r>
              <w:rPr>
                <w:rFonts w:ascii="TimesNewRomanPSMT" w:hAnsi="TimesNewRomanPSMT"/>
              </w:rPr>
              <w:lastRenderedPageBreak/>
              <w:t>1</w:t>
            </w:r>
          </w:p>
        </w:tc>
        <w:tc>
          <w:tcPr>
            <w:tcW w:w="1726" w:type="dxa"/>
          </w:tcPr>
          <w:p w14:paraId="6F8AFAED" w14:textId="77777777" w:rsidR="00FC1461" w:rsidRDefault="00FC1461" w:rsidP="0013470E">
            <w:pPr>
              <w:pStyle w:val="NormalWeb"/>
              <w:jc w:val="center"/>
              <w:rPr>
                <w:rFonts w:ascii="TimesNewRomanPSMT" w:hAnsi="TimesNewRomanPSMT"/>
              </w:rPr>
            </w:pPr>
            <w:r>
              <w:rPr>
                <w:rFonts w:ascii="TimesNewRomanPSMT" w:hAnsi="TimesNewRomanPSMT"/>
              </w:rPr>
              <w:t>2</w:t>
            </w:r>
          </w:p>
        </w:tc>
        <w:tc>
          <w:tcPr>
            <w:tcW w:w="1726" w:type="dxa"/>
          </w:tcPr>
          <w:p w14:paraId="41C94DD5" w14:textId="77777777" w:rsidR="00FC1461" w:rsidRDefault="00FC1461" w:rsidP="0013470E">
            <w:pPr>
              <w:pStyle w:val="NormalWeb"/>
              <w:jc w:val="center"/>
              <w:rPr>
                <w:rFonts w:ascii="TimesNewRomanPSMT" w:hAnsi="TimesNewRomanPSMT"/>
              </w:rPr>
            </w:pPr>
            <w:r>
              <w:rPr>
                <w:rFonts w:ascii="TimesNewRomanPSMT" w:hAnsi="TimesNewRomanPSMT"/>
              </w:rPr>
              <w:t>3</w:t>
            </w:r>
          </w:p>
        </w:tc>
        <w:tc>
          <w:tcPr>
            <w:tcW w:w="1726" w:type="dxa"/>
          </w:tcPr>
          <w:p w14:paraId="62BBC868" w14:textId="77777777" w:rsidR="00FC1461" w:rsidRDefault="00FC1461" w:rsidP="0013470E">
            <w:pPr>
              <w:pStyle w:val="NormalWeb"/>
              <w:jc w:val="center"/>
              <w:rPr>
                <w:rFonts w:ascii="TimesNewRomanPSMT" w:hAnsi="TimesNewRomanPSMT"/>
              </w:rPr>
            </w:pPr>
            <w:r>
              <w:rPr>
                <w:rFonts w:ascii="TimesNewRomanPSMT" w:hAnsi="TimesNewRomanPSMT"/>
              </w:rPr>
              <w:t>4</w:t>
            </w:r>
          </w:p>
        </w:tc>
        <w:tc>
          <w:tcPr>
            <w:tcW w:w="1726" w:type="dxa"/>
          </w:tcPr>
          <w:p w14:paraId="59042A6D" w14:textId="77777777" w:rsidR="00FC1461" w:rsidRDefault="00FC1461" w:rsidP="0013470E">
            <w:pPr>
              <w:pStyle w:val="NormalWeb"/>
              <w:jc w:val="center"/>
              <w:rPr>
                <w:rFonts w:ascii="TimesNewRomanPSMT" w:hAnsi="TimesNewRomanPSMT"/>
              </w:rPr>
            </w:pPr>
            <w:r>
              <w:rPr>
                <w:rFonts w:ascii="TimesNewRomanPSMT" w:hAnsi="TimesNewRomanPSMT"/>
              </w:rPr>
              <w:t>5</w:t>
            </w:r>
          </w:p>
        </w:tc>
      </w:tr>
      <w:tr w:rsidR="00FC1461" w:rsidRPr="00176605" w14:paraId="25FB8DEE" w14:textId="77777777" w:rsidTr="0013470E">
        <w:tc>
          <w:tcPr>
            <w:tcW w:w="1726" w:type="dxa"/>
          </w:tcPr>
          <w:p w14:paraId="19264E46" w14:textId="77777777" w:rsidR="00FC1461" w:rsidRDefault="00FC1461" w:rsidP="0013470E">
            <w:pPr>
              <w:pStyle w:val="NormalWeb"/>
              <w:rPr>
                <w:rFonts w:ascii="TimesNewRomanPSMT" w:hAnsi="TimesNewRomanPSMT"/>
              </w:rPr>
            </w:pPr>
            <w:r>
              <w:rPr>
                <w:rFonts w:ascii="TimesNewRomanPSMT" w:hAnsi="TimesNewRomanPSMT"/>
              </w:rPr>
              <w:t xml:space="preserve">Pas du tout d’accord </w:t>
            </w:r>
          </w:p>
        </w:tc>
        <w:tc>
          <w:tcPr>
            <w:tcW w:w="1726" w:type="dxa"/>
          </w:tcPr>
          <w:p w14:paraId="6D958C99" w14:textId="77777777" w:rsidR="00FC1461" w:rsidRDefault="00FC1461" w:rsidP="0013470E">
            <w:pPr>
              <w:pStyle w:val="NormalWeb"/>
              <w:rPr>
                <w:rFonts w:ascii="TimesNewRomanPSMT" w:hAnsi="TimesNewRomanPSMT"/>
              </w:rPr>
            </w:pPr>
            <w:r>
              <w:rPr>
                <w:rFonts w:ascii="TimesNewRomanPSMT" w:hAnsi="TimesNewRomanPSMT"/>
              </w:rPr>
              <w:t xml:space="preserve">Plutôt en désaccord </w:t>
            </w:r>
          </w:p>
        </w:tc>
        <w:tc>
          <w:tcPr>
            <w:tcW w:w="1726" w:type="dxa"/>
          </w:tcPr>
          <w:p w14:paraId="1D3FBA20" w14:textId="77777777" w:rsidR="00FC1461" w:rsidRDefault="00FC1461" w:rsidP="0013470E">
            <w:pPr>
              <w:pStyle w:val="NormalWeb"/>
              <w:rPr>
                <w:rFonts w:ascii="TimesNewRomanPSMT" w:hAnsi="TimesNewRomanPSMT"/>
              </w:rPr>
            </w:pPr>
            <w:r>
              <w:rPr>
                <w:rFonts w:ascii="TimesNewRomanPSMT" w:hAnsi="TimesNewRomanPSMT"/>
              </w:rPr>
              <w:t xml:space="preserve">Ni d’accord ni désaccord. </w:t>
            </w:r>
          </w:p>
        </w:tc>
        <w:tc>
          <w:tcPr>
            <w:tcW w:w="1726" w:type="dxa"/>
          </w:tcPr>
          <w:p w14:paraId="30D430DF" w14:textId="77777777" w:rsidR="00FC1461" w:rsidRDefault="00FC1461" w:rsidP="0013470E">
            <w:pPr>
              <w:pStyle w:val="NormalWeb"/>
              <w:rPr>
                <w:rFonts w:ascii="TimesNewRomanPSMT" w:hAnsi="TimesNewRomanPSMT"/>
              </w:rPr>
            </w:pPr>
            <w:r>
              <w:rPr>
                <w:rFonts w:ascii="TimesNewRomanPSMT" w:hAnsi="TimesNewRomanPSMT"/>
              </w:rPr>
              <w:t>Plutôt d’accord</w:t>
            </w:r>
          </w:p>
        </w:tc>
        <w:tc>
          <w:tcPr>
            <w:tcW w:w="1726" w:type="dxa"/>
          </w:tcPr>
          <w:p w14:paraId="5763AD48" w14:textId="77777777" w:rsidR="00FC1461" w:rsidRDefault="00FC1461" w:rsidP="0013470E">
            <w:pPr>
              <w:pStyle w:val="NormalWeb"/>
              <w:rPr>
                <w:rFonts w:ascii="TimesNewRomanPSMT" w:hAnsi="TimesNewRomanPSMT"/>
              </w:rPr>
            </w:pPr>
            <w:r>
              <w:rPr>
                <w:rFonts w:ascii="TimesNewRomanPSMT" w:hAnsi="TimesNewRomanPSMT"/>
              </w:rPr>
              <w:t xml:space="preserve">Toute a fait d’accord </w:t>
            </w:r>
          </w:p>
        </w:tc>
      </w:tr>
    </w:tbl>
    <w:p w14:paraId="3E80B715" w14:textId="77777777" w:rsidR="00FC1461" w:rsidRPr="00E044AD" w:rsidRDefault="00FC1461" w:rsidP="0013470E"/>
    <w:p w14:paraId="6AFC6F60" w14:textId="77777777" w:rsidR="00FC1461" w:rsidRPr="00107FBE" w:rsidRDefault="00FC1461" w:rsidP="000B457B">
      <w:pPr>
        <w:pStyle w:val="Paragraphedeliste"/>
        <w:numPr>
          <w:ilvl w:val="0"/>
          <w:numId w:val="40"/>
        </w:numPr>
        <w:spacing w:before="0" w:after="200" w:line="276" w:lineRule="auto"/>
        <w:jc w:val="left"/>
        <w:rPr>
          <w:b/>
          <w:bCs/>
          <w:sz w:val="32"/>
          <w:szCs w:val="32"/>
        </w:rPr>
      </w:pPr>
      <w:r w:rsidRPr="00107FBE">
        <w:rPr>
          <w:b/>
          <w:bCs/>
          <w:sz w:val="32"/>
          <w:szCs w:val="32"/>
        </w:rPr>
        <w:t>Greenwashing</w:t>
      </w:r>
    </w:p>
    <w:p w14:paraId="7149B267" w14:textId="77777777" w:rsidR="00FC1461" w:rsidRDefault="00FC1461" w:rsidP="0013470E">
      <w:pPr>
        <w:rPr>
          <w:b/>
          <w:bCs/>
          <w:u w:val="single"/>
        </w:rPr>
      </w:pPr>
      <w:r w:rsidRPr="00107FBE">
        <w:rPr>
          <w:b/>
          <w:bCs/>
          <w:u w:val="single"/>
        </w:rPr>
        <w:t>Crédibilité perçue de GICA</w:t>
      </w:r>
    </w:p>
    <w:tbl>
      <w:tblPr>
        <w:tblStyle w:val="Grilledutableau"/>
        <w:tblpPr w:leftFromText="141" w:rightFromText="141" w:vertAnchor="text" w:horzAnchor="margin" w:tblpY="200"/>
        <w:tblW w:w="8679" w:type="dxa"/>
        <w:tblLook w:val="04A0" w:firstRow="1" w:lastRow="0" w:firstColumn="1" w:lastColumn="0" w:noHBand="0" w:noVBand="1"/>
      </w:tblPr>
      <w:tblGrid>
        <w:gridCol w:w="4390"/>
        <w:gridCol w:w="850"/>
        <w:gridCol w:w="851"/>
        <w:gridCol w:w="850"/>
        <w:gridCol w:w="851"/>
        <w:gridCol w:w="887"/>
      </w:tblGrid>
      <w:tr w:rsidR="00FC1461" w14:paraId="02BBF31C" w14:textId="77777777" w:rsidTr="0013470E">
        <w:trPr>
          <w:trHeight w:val="564"/>
        </w:trPr>
        <w:tc>
          <w:tcPr>
            <w:tcW w:w="4390" w:type="dxa"/>
          </w:tcPr>
          <w:p w14:paraId="334E156D" w14:textId="77777777" w:rsidR="00FC1461" w:rsidRDefault="00FC1461" w:rsidP="0013470E">
            <w:pPr>
              <w:rPr>
                <w:b/>
                <w:bCs/>
                <w:u w:val="single"/>
              </w:rPr>
            </w:pPr>
          </w:p>
        </w:tc>
        <w:tc>
          <w:tcPr>
            <w:tcW w:w="850" w:type="dxa"/>
          </w:tcPr>
          <w:p w14:paraId="5598C1C0" w14:textId="77777777" w:rsidR="00FC1461" w:rsidRPr="00176605" w:rsidRDefault="00FC1461" w:rsidP="0013470E">
            <w:pPr>
              <w:jc w:val="center"/>
              <w:rPr>
                <w:b/>
                <w:bCs/>
              </w:rPr>
            </w:pPr>
            <w:r w:rsidRPr="00176605">
              <w:rPr>
                <w:b/>
                <w:bCs/>
              </w:rPr>
              <w:t>1</w:t>
            </w:r>
          </w:p>
        </w:tc>
        <w:tc>
          <w:tcPr>
            <w:tcW w:w="851" w:type="dxa"/>
          </w:tcPr>
          <w:p w14:paraId="604DC3B5" w14:textId="77777777" w:rsidR="00FC1461" w:rsidRPr="00176605" w:rsidRDefault="00FC1461" w:rsidP="0013470E">
            <w:pPr>
              <w:jc w:val="center"/>
              <w:rPr>
                <w:b/>
                <w:bCs/>
              </w:rPr>
            </w:pPr>
            <w:r w:rsidRPr="00176605">
              <w:rPr>
                <w:b/>
                <w:bCs/>
              </w:rPr>
              <w:t>2</w:t>
            </w:r>
          </w:p>
        </w:tc>
        <w:tc>
          <w:tcPr>
            <w:tcW w:w="850" w:type="dxa"/>
          </w:tcPr>
          <w:p w14:paraId="2259D23E" w14:textId="77777777" w:rsidR="00FC1461" w:rsidRPr="00176605" w:rsidRDefault="00FC1461" w:rsidP="0013470E">
            <w:pPr>
              <w:jc w:val="center"/>
              <w:rPr>
                <w:b/>
                <w:bCs/>
              </w:rPr>
            </w:pPr>
            <w:r w:rsidRPr="00176605">
              <w:rPr>
                <w:b/>
                <w:bCs/>
              </w:rPr>
              <w:t>3</w:t>
            </w:r>
          </w:p>
        </w:tc>
        <w:tc>
          <w:tcPr>
            <w:tcW w:w="851" w:type="dxa"/>
          </w:tcPr>
          <w:p w14:paraId="6AE3660B" w14:textId="77777777" w:rsidR="00FC1461" w:rsidRPr="00176605" w:rsidRDefault="00FC1461" w:rsidP="0013470E">
            <w:pPr>
              <w:jc w:val="center"/>
              <w:rPr>
                <w:b/>
                <w:bCs/>
              </w:rPr>
            </w:pPr>
            <w:r w:rsidRPr="00176605">
              <w:rPr>
                <w:b/>
                <w:bCs/>
              </w:rPr>
              <w:t>4</w:t>
            </w:r>
          </w:p>
        </w:tc>
        <w:tc>
          <w:tcPr>
            <w:tcW w:w="887" w:type="dxa"/>
          </w:tcPr>
          <w:p w14:paraId="30CEA5D0" w14:textId="77777777" w:rsidR="00FC1461" w:rsidRPr="00176605" w:rsidRDefault="00FC1461" w:rsidP="0013470E">
            <w:pPr>
              <w:jc w:val="center"/>
              <w:rPr>
                <w:b/>
                <w:bCs/>
              </w:rPr>
            </w:pPr>
            <w:r w:rsidRPr="00176605">
              <w:rPr>
                <w:b/>
                <w:bCs/>
              </w:rPr>
              <w:t>5</w:t>
            </w:r>
          </w:p>
        </w:tc>
      </w:tr>
      <w:tr w:rsidR="00FC1461" w:rsidRPr="00176605" w14:paraId="5315BA85" w14:textId="77777777" w:rsidTr="0013470E">
        <w:trPr>
          <w:trHeight w:val="564"/>
        </w:trPr>
        <w:tc>
          <w:tcPr>
            <w:tcW w:w="4390" w:type="dxa"/>
          </w:tcPr>
          <w:p w14:paraId="7F6A24C7" w14:textId="77777777" w:rsidR="00FC1461" w:rsidRPr="00176605" w:rsidRDefault="00FC1461" w:rsidP="0013470E">
            <w:pPr>
              <w:jc w:val="center"/>
            </w:pPr>
            <w:r w:rsidRPr="00176605">
              <w:t>SCHB-GICA fait ce qu’elle promet en matière d’écologie.</w:t>
            </w:r>
          </w:p>
        </w:tc>
        <w:tc>
          <w:tcPr>
            <w:tcW w:w="850" w:type="dxa"/>
          </w:tcPr>
          <w:p w14:paraId="2611DB8F" w14:textId="77777777" w:rsidR="00FC1461" w:rsidRPr="00176605" w:rsidRDefault="00FC1461" w:rsidP="0013470E">
            <w:pPr>
              <w:rPr>
                <w:u w:val="single"/>
              </w:rPr>
            </w:pPr>
          </w:p>
        </w:tc>
        <w:tc>
          <w:tcPr>
            <w:tcW w:w="851" w:type="dxa"/>
          </w:tcPr>
          <w:p w14:paraId="1620D1B2" w14:textId="77777777" w:rsidR="00FC1461" w:rsidRPr="00176605" w:rsidRDefault="00FC1461" w:rsidP="0013470E">
            <w:pPr>
              <w:rPr>
                <w:u w:val="single"/>
              </w:rPr>
            </w:pPr>
          </w:p>
        </w:tc>
        <w:tc>
          <w:tcPr>
            <w:tcW w:w="850" w:type="dxa"/>
          </w:tcPr>
          <w:p w14:paraId="04195DDA" w14:textId="77777777" w:rsidR="00FC1461" w:rsidRPr="00176605" w:rsidRDefault="00FC1461" w:rsidP="0013470E">
            <w:pPr>
              <w:rPr>
                <w:u w:val="single"/>
              </w:rPr>
            </w:pPr>
          </w:p>
        </w:tc>
        <w:tc>
          <w:tcPr>
            <w:tcW w:w="851" w:type="dxa"/>
          </w:tcPr>
          <w:p w14:paraId="5C3232E9" w14:textId="77777777" w:rsidR="00FC1461" w:rsidRPr="00176605" w:rsidRDefault="00FC1461" w:rsidP="0013470E">
            <w:pPr>
              <w:rPr>
                <w:u w:val="single"/>
              </w:rPr>
            </w:pPr>
          </w:p>
        </w:tc>
        <w:tc>
          <w:tcPr>
            <w:tcW w:w="887" w:type="dxa"/>
          </w:tcPr>
          <w:p w14:paraId="0CD7EFC3" w14:textId="77777777" w:rsidR="00FC1461" w:rsidRPr="00176605" w:rsidRDefault="00FC1461" w:rsidP="0013470E">
            <w:pPr>
              <w:rPr>
                <w:u w:val="single"/>
              </w:rPr>
            </w:pPr>
          </w:p>
        </w:tc>
      </w:tr>
      <w:tr w:rsidR="00FC1461" w:rsidRPr="00176605" w14:paraId="3E57A2F9" w14:textId="77777777" w:rsidTr="0013470E">
        <w:trPr>
          <w:trHeight w:val="564"/>
        </w:trPr>
        <w:tc>
          <w:tcPr>
            <w:tcW w:w="4390" w:type="dxa"/>
          </w:tcPr>
          <w:p w14:paraId="03A16061" w14:textId="77777777" w:rsidR="00FC1461" w:rsidRPr="00176605" w:rsidRDefault="00FC1461" w:rsidP="0013470E">
            <w:pPr>
              <w:jc w:val="center"/>
              <w:rPr>
                <w:u w:val="single"/>
              </w:rPr>
            </w:pPr>
            <w:r w:rsidRPr="00176605">
              <w:t>Les actions de SCHB-GICA correspondent à sa communication verte</w:t>
            </w:r>
            <w:r w:rsidRPr="00176605">
              <w:rPr>
                <w:u w:val="single"/>
              </w:rPr>
              <w:t>.</w:t>
            </w:r>
          </w:p>
        </w:tc>
        <w:tc>
          <w:tcPr>
            <w:tcW w:w="850" w:type="dxa"/>
          </w:tcPr>
          <w:p w14:paraId="60FB1778" w14:textId="77777777" w:rsidR="00FC1461" w:rsidRPr="00176605" w:rsidRDefault="00FC1461" w:rsidP="0013470E">
            <w:pPr>
              <w:rPr>
                <w:u w:val="single"/>
              </w:rPr>
            </w:pPr>
          </w:p>
        </w:tc>
        <w:tc>
          <w:tcPr>
            <w:tcW w:w="851" w:type="dxa"/>
          </w:tcPr>
          <w:p w14:paraId="1BC03335" w14:textId="77777777" w:rsidR="00FC1461" w:rsidRPr="00176605" w:rsidRDefault="00FC1461" w:rsidP="0013470E">
            <w:pPr>
              <w:rPr>
                <w:u w:val="single"/>
              </w:rPr>
            </w:pPr>
          </w:p>
        </w:tc>
        <w:tc>
          <w:tcPr>
            <w:tcW w:w="850" w:type="dxa"/>
          </w:tcPr>
          <w:p w14:paraId="37793F36" w14:textId="77777777" w:rsidR="00FC1461" w:rsidRPr="00176605" w:rsidRDefault="00FC1461" w:rsidP="0013470E">
            <w:pPr>
              <w:rPr>
                <w:u w:val="single"/>
              </w:rPr>
            </w:pPr>
          </w:p>
        </w:tc>
        <w:tc>
          <w:tcPr>
            <w:tcW w:w="851" w:type="dxa"/>
          </w:tcPr>
          <w:p w14:paraId="417AD4FB" w14:textId="77777777" w:rsidR="00FC1461" w:rsidRPr="00176605" w:rsidRDefault="00FC1461" w:rsidP="0013470E">
            <w:pPr>
              <w:rPr>
                <w:u w:val="single"/>
              </w:rPr>
            </w:pPr>
          </w:p>
        </w:tc>
        <w:tc>
          <w:tcPr>
            <w:tcW w:w="887" w:type="dxa"/>
          </w:tcPr>
          <w:p w14:paraId="20497D46" w14:textId="77777777" w:rsidR="00FC1461" w:rsidRPr="00176605" w:rsidRDefault="00FC1461" w:rsidP="0013470E">
            <w:pPr>
              <w:rPr>
                <w:u w:val="single"/>
              </w:rPr>
            </w:pPr>
          </w:p>
        </w:tc>
      </w:tr>
      <w:tr w:rsidR="00FC1461" w:rsidRPr="00176605" w14:paraId="19537157" w14:textId="77777777" w:rsidTr="0013470E">
        <w:trPr>
          <w:trHeight w:val="564"/>
        </w:trPr>
        <w:tc>
          <w:tcPr>
            <w:tcW w:w="4390" w:type="dxa"/>
          </w:tcPr>
          <w:p w14:paraId="4313FB4E" w14:textId="77777777" w:rsidR="00FC1461" w:rsidRPr="00176605" w:rsidRDefault="00FC1461" w:rsidP="0013470E">
            <w:r w:rsidRPr="00176605">
              <w:t>SCHB-GICA est transparente sur son impact environnemental.</w:t>
            </w:r>
          </w:p>
        </w:tc>
        <w:tc>
          <w:tcPr>
            <w:tcW w:w="850" w:type="dxa"/>
          </w:tcPr>
          <w:p w14:paraId="709CB8CC" w14:textId="77777777" w:rsidR="00FC1461" w:rsidRPr="00176605" w:rsidRDefault="00FC1461" w:rsidP="0013470E">
            <w:pPr>
              <w:rPr>
                <w:u w:val="single"/>
              </w:rPr>
            </w:pPr>
          </w:p>
        </w:tc>
        <w:tc>
          <w:tcPr>
            <w:tcW w:w="851" w:type="dxa"/>
          </w:tcPr>
          <w:p w14:paraId="476A65AA" w14:textId="77777777" w:rsidR="00FC1461" w:rsidRPr="00176605" w:rsidRDefault="00FC1461" w:rsidP="0013470E">
            <w:pPr>
              <w:rPr>
                <w:u w:val="single"/>
              </w:rPr>
            </w:pPr>
          </w:p>
        </w:tc>
        <w:tc>
          <w:tcPr>
            <w:tcW w:w="850" w:type="dxa"/>
          </w:tcPr>
          <w:p w14:paraId="57CB18D4" w14:textId="77777777" w:rsidR="00FC1461" w:rsidRPr="00176605" w:rsidRDefault="00FC1461" w:rsidP="0013470E">
            <w:pPr>
              <w:rPr>
                <w:u w:val="single"/>
              </w:rPr>
            </w:pPr>
          </w:p>
        </w:tc>
        <w:tc>
          <w:tcPr>
            <w:tcW w:w="851" w:type="dxa"/>
          </w:tcPr>
          <w:p w14:paraId="25845056" w14:textId="77777777" w:rsidR="00FC1461" w:rsidRPr="00176605" w:rsidRDefault="00FC1461" w:rsidP="0013470E">
            <w:pPr>
              <w:rPr>
                <w:u w:val="single"/>
              </w:rPr>
            </w:pPr>
          </w:p>
        </w:tc>
        <w:tc>
          <w:tcPr>
            <w:tcW w:w="887" w:type="dxa"/>
          </w:tcPr>
          <w:p w14:paraId="600ACC7B" w14:textId="77777777" w:rsidR="00FC1461" w:rsidRPr="00176605" w:rsidRDefault="00FC1461" w:rsidP="0013470E">
            <w:pPr>
              <w:rPr>
                <w:u w:val="single"/>
              </w:rPr>
            </w:pPr>
          </w:p>
        </w:tc>
      </w:tr>
      <w:tr w:rsidR="00FC1461" w:rsidRPr="00176605" w14:paraId="06454841" w14:textId="77777777" w:rsidTr="0013470E">
        <w:trPr>
          <w:trHeight w:val="564"/>
        </w:trPr>
        <w:tc>
          <w:tcPr>
            <w:tcW w:w="4390" w:type="dxa"/>
          </w:tcPr>
          <w:p w14:paraId="312FC43D" w14:textId="77777777" w:rsidR="00FC1461" w:rsidRPr="00176605" w:rsidRDefault="00FC1461" w:rsidP="0013470E">
            <w:pPr>
              <w:jc w:val="center"/>
            </w:pPr>
            <w:r w:rsidRPr="00176605">
              <w:t>SCHB-GICA utilise un discours écologique sans preuves concrètes.</w:t>
            </w:r>
          </w:p>
        </w:tc>
        <w:tc>
          <w:tcPr>
            <w:tcW w:w="850" w:type="dxa"/>
          </w:tcPr>
          <w:p w14:paraId="10882364" w14:textId="77777777" w:rsidR="00FC1461" w:rsidRPr="00176605" w:rsidRDefault="00FC1461" w:rsidP="0013470E">
            <w:pPr>
              <w:rPr>
                <w:u w:val="single"/>
              </w:rPr>
            </w:pPr>
          </w:p>
        </w:tc>
        <w:tc>
          <w:tcPr>
            <w:tcW w:w="851" w:type="dxa"/>
          </w:tcPr>
          <w:p w14:paraId="51C274E4" w14:textId="77777777" w:rsidR="00FC1461" w:rsidRPr="00176605" w:rsidRDefault="00FC1461" w:rsidP="0013470E">
            <w:pPr>
              <w:rPr>
                <w:u w:val="single"/>
              </w:rPr>
            </w:pPr>
          </w:p>
        </w:tc>
        <w:tc>
          <w:tcPr>
            <w:tcW w:w="850" w:type="dxa"/>
          </w:tcPr>
          <w:p w14:paraId="2C0B2632" w14:textId="77777777" w:rsidR="00FC1461" w:rsidRPr="00176605" w:rsidRDefault="00FC1461" w:rsidP="0013470E">
            <w:pPr>
              <w:rPr>
                <w:u w:val="single"/>
              </w:rPr>
            </w:pPr>
          </w:p>
        </w:tc>
        <w:tc>
          <w:tcPr>
            <w:tcW w:w="851" w:type="dxa"/>
          </w:tcPr>
          <w:p w14:paraId="42C51E10" w14:textId="77777777" w:rsidR="00FC1461" w:rsidRPr="00176605" w:rsidRDefault="00FC1461" w:rsidP="0013470E">
            <w:pPr>
              <w:rPr>
                <w:u w:val="single"/>
              </w:rPr>
            </w:pPr>
          </w:p>
        </w:tc>
        <w:tc>
          <w:tcPr>
            <w:tcW w:w="887" w:type="dxa"/>
          </w:tcPr>
          <w:p w14:paraId="1F1F13BF" w14:textId="77777777" w:rsidR="00FC1461" w:rsidRPr="00176605" w:rsidRDefault="00FC1461" w:rsidP="0013470E">
            <w:pPr>
              <w:rPr>
                <w:u w:val="single"/>
              </w:rPr>
            </w:pPr>
          </w:p>
        </w:tc>
      </w:tr>
    </w:tbl>
    <w:p w14:paraId="2AF18C21" w14:textId="77777777" w:rsidR="00FC1461" w:rsidRPr="00176605" w:rsidRDefault="00FC1461">
      <w:pPr>
        <w:rPr>
          <w:u w:val="single"/>
        </w:rPr>
      </w:pPr>
    </w:p>
    <w:p w14:paraId="0F998F67" w14:textId="77777777" w:rsidR="00FC1461" w:rsidRDefault="00FC1461">
      <w:pPr>
        <w:rPr>
          <w:b/>
          <w:bCs/>
          <w:u w:val="single"/>
        </w:rPr>
      </w:pPr>
      <w:r w:rsidRPr="00107FBE">
        <w:rPr>
          <w:b/>
          <w:bCs/>
          <w:u w:val="single"/>
        </w:rPr>
        <w:t>Confiance verte</w:t>
      </w:r>
    </w:p>
    <w:tbl>
      <w:tblPr>
        <w:tblStyle w:val="Grilledutableau"/>
        <w:tblpPr w:leftFromText="141" w:rightFromText="141" w:vertAnchor="text" w:horzAnchor="margin" w:tblpY="200"/>
        <w:tblW w:w="8679" w:type="dxa"/>
        <w:tblLook w:val="04A0" w:firstRow="1" w:lastRow="0" w:firstColumn="1" w:lastColumn="0" w:noHBand="0" w:noVBand="1"/>
      </w:tblPr>
      <w:tblGrid>
        <w:gridCol w:w="4390"/>
        <w:gridCol w:w="850"/>
        <w:gridCol w:w="851"/>
        <w:gridCol w:w="850"/>
        <w:gridCol w:w="851"/>
        <w:gridCol w:w="887"/>
      </w:tblGrid>
      <w:tr w:rsidR="00FC1461" w14:paraId="5AF7E046" w14:textId="77777777" w:rsidTr="0013470E">
        <w:trPr>
          <w:trHeight w:val="564"/>
        </w:trPr>
        <w:tc>
          <w:tcPr>
            <w:tcW w:w="4390" w:type="dxa"/>
          </w:tcPr>
          <w:p w14:paraId="111F2BDA" w14:textId="77777777" w:rsidR="00FC1461" w:rsidRDefault="00FC1461" w:rsidP="0013470E">
            <w:pPr>
              <w:rPr>
                <w:b/>
                <w:bCs/>
                <w:u w:val="single"/>
              </w:rPr>
            </w:pPr>
          </w:p>
        </w:tc>
        <w:tc>
          <w:tcPr>
            <w:tcW w:w="850" w:type="dxa"/>
          </w:tcPr>
          <w:p w14:paraId="73E1FDF8" w14:textId="77777777" w:rsidR="00FC1461" w:rsidRPr="00176605" w:rsidRDefault="00FC1461" w:rsidP="0013470E">
            <w:pPr>
              <w:jc w:val="center"/>
              <w:rPr>
                <w:b/>
                <w:bCs/>
              </w:rPr>
            </w:pPr>
            <w:r w:rsidRPr="00176605">
              <w:rPr>
                <w:b/>
                <w:bCs/>
              </w:rPr>
              <w:t>1</w:t>
            </w:r>
          </w:p>
        </w:tc>
        <w:tc>
          <w:tcPr>
            <w:tcW w:w="851" w:type="dxa"/>
          </w:tcPr>
          <w:p w14:paraId="3FD900A4" w14:textId="77777777" w:rsidR="00FC1461" w:rsidRPr="00176605" w:rsidRDefault="00FC1461" w:rsidP="0013470E">
            <w:pPr>
              <w:jc w:val="center"/>
              <w:rPr>
                <w:b/>
                <w:bCs/>
              </w:rPr>
            </w:pPr>
            <w:r w:rsidRPr="00176605">
              <w:rPr>
                <w:b/>
                <w:bCs/>
              </w:rPr>
              <w:t>2</w:t>
            </w:r>
          </w:p>
        </w:tc>
        <w:tc>
          <w:tcPr>
            <w:tcW w:w="850" w:type="dxa"/>
          </w:tcPr>
          <w:p w14:paraId="02FA5CA3" w14:textId="77777777" w:rsidR="00FC1461" w:rsidRPr="00176605" w:rsidRDefault="00FC1461" w:rsidP="0013470E">
            <w:pPr>
              <w:jc w:val="center"/>
              <w:rPr>
                <w:b/>
                <w:bCs/>
              </w:rPr>
            </w:pPr>
            <w:r w:rsidRPr="00176605">
              <w:rPr>
                <w:b/>
                <w:bCs/>
              </w:rPr>
              <w:t>3</w:t>
            </w:r>
          </w:p>
        </w:tc>
        <w:tc>
          <w:tcPr>
            <w:tcW w:w="851" w:type="dxa"/>
          </w:tcPr>
          <w:p w14:paraId="59C09083" w14:textId="77777777" w:rsidR="00FC1461" w:rsidRPr="00176605" w:rsidRDefault="00FC1461" w:rsidP="0013470E">
            <w:pPr>
              <w:jc w:val="center"/>
              <w:rPr>
                <w:b/>
                <w:bCs/>
              </w:rPr>
            </w:pPr>
            <w:r w:rsidRPr="00176605">
              <w:rPr>
                <w:b/>
                <w:bCs/>
              </w:rPr>
              <w:t>4</w:t>
            </w:r>
          </w:p>
        </w:tc>
        <w:tc>
          <w:tcPr>
            <w:tcW w:w="887" w:type="dxa"/>
          </w:tcPr>
          <w:p w14:paraId="4B74CD61" w14:textId="77777777" w:rsidR="00FC1461" w:rsidRPr="00176605" w:rsidRDefault="00FC1461" w:rsidP="0013470E">
            <w:pPr>
              <w:jc w:val="center"/>
              <w:rPr>
                <w:b/>
                <w:bCs/>
              </w:rPr>
            </w:pPr>
            <w:r w:rsidRPr="00176605">
              <w:rPr>
                <w:b/>
                <w:bCs/>
              </w:rPr>
              <w:t>5</w:t>
            </w:r>
          </w:p>
        </w:tc>
      </w:tr>
      <w:tr w:rsidR="00FC1461" w14:paraId="008A6251" w14:textId="77777777" w:rsidTr="0013470E">
        <w:trPr>
          <w:trHeight w:val="564"/>
        </w:trPr>
        <w:tc>
          <w:tcPr>
            <w:tcW w:w="4390" w:type="dxa"/>
          </w:tcPr>
          <w:p w14:paraId="7263B5B1" w14:textId="77777777" w:rsidR="00FC1461" w:rsidRPr="00176605" w:rsidRDefault="00FC1461" w:rsidP="0013470E">
            <w:pPr>
              <w:jc w:val="center"/>
            </w:pPr>
            <w:r w:rsidRPr="00176605">
              <w:t>SCHB-GICA respecte ses engagements écologiques.</w:t>
            </w:r>
          </w:p>
        </w:tc>
        <w:tc>
          <w:tcPr>
            <w:tcW w:w="850" w:type="dxa"/>
          </w:tcPr>
          <w:p w14:paraId="763E4673" w14:textId="77777777" w:rsidR="00FC1461" w:rsidRDefault="00FC1461" w:rsidP="0013470E">
            <w:pPr>
              <w:jc w:val="center"/>
              <w:rPr>
                <w:b/>
                <w:bCs/>
                <w:u w:val="single"/>
              </w:rPr>
            </w:pPr>
          </w:p>
        </w:tc>
        <w:tc>
          <w:tcPr>
            <w:tcW w:w="851" w:type="dxa"/>
          </w:tcPr>
          <w:p w14:paraId="4E21B36C" w14:textId="77777777" w:rsidR="00FC1461" w:rsidRDefault="00FC1461" w:rsidP="0013470E">
            <w:pPr>
              <w:jc w:val="center"/>
              <w:rPr>
                <w:b/>
                <w:bCs/>
                <w:u w:val="single"/>
              </w:rPr>
            </w:pPr>
          </w:p>
        </w:tc>
        <w:tc>
          <w:tcPr>
            <w:tcW w:w="850" w:type="dxa"/>
          </w:tcPr>
          <w:p w14:paraId="7DED03A2" w14:textId="77777777" w:rsidR="00FC1461" w:rsidRDefault="00FC1461" w:rsidP="0013470E">
            <w:pPr>
              <w:jc w:val="center"/>
              <w:rPr>
                <w:b/>
                <w:bCs/>
                <w:u w:val="single"/>
              </w:rPr>
            </w:pPr>
          </w:p>
        </w:tc>
        <w:tc>
          <w:tcPr>
            <w:tcW w:w="851" w:type="dxa"/>
          </w:tcPr>
          <w:p w14:paraId="08B1500C" w14:textId="77777777" w:rsidR="00FC1461" w:rsidRDefault="00FC1461" w:rsidP="0013470E">
            <w:pPr>
              <w:jc w:val="center"/>
              <w:rPr>
                <w:b/>
                <w:bCs/>
                <w:u w:val="single"/>
              </w:rPr>
            </w:pPr>
          </w:p>
        </w:tc>
        <w:tc>
          <w:tcPr>
            <w:tcW w:w="887" w:type="dxa"/>
          </w:tcPr>
          <w:p w14:paraId="155888F2" w14:textId="77777777" w:rsidR="00FC1461" w:rsidRDefault="00FC1461" w:rsidP="0013470E">
            <w:pPr>
              <w:jc w:val="center"/>
              <w:rPr>
                <w:b/>
                <w:bCs/>
                <w:u w:val="single"/>
              </w:rPr>
            </w:pPr>
          </w:p>
        </w:tc>
      </w:tr>
      <w:tr w:rsidR="00FC1461" w14:paraId="343DEC11" w14:textId="77777777" w:rsidTr="0013470E">
        <w:trPr>
          <w:trHeight w:val="564"/>
        </w:trPr>
        <w:tc>
          <w:tcPr>
            <w:tcW w:w="4390" w:type="dxa"/>
          </w:tcPr>
          <w:p w14:paraId="57EA6BF5" w14:textId="77777777" w:rsidR="00FC1461" w:rsidRPr="00176605" w:rsidRDefault="00FC1461" w:rsidP="0013470E">
            <w:pPr>
              <w:jc w:val="center"/>
            </w:pPr>
            <w:r w:rsidRPr="00176605">
              <w:t>Les efforts écologiques de SCHB-GICA améliorent mon opinion sur la marque.</w:t>
            </w:r>
          </w:p>
        </w:tc>
        <w:tc>
          <w:tcPr>
            <w:tcW w:w="850" w:type="dxa"/>
          </w:tcPr>
          <w:p w14:paraId="573C6820" w14:textId="77777777" w:rsidR="00FC1461" w:rsidRDefault="00FC1461" w:rsidP="0013470E">
            <w:pPr>
              <w:jc w:val="center"/>
              <w:rPr>
                <w:b/>
                <w:bCs/>
                <w:u w:val="single"/>
              </w:rPr>
            </w:pPr>
          </w:p>
        </w:tc>
        <w:tc>
          <w:tcPr>
            <w:tcW w:w="851" w:type="dxa"/>
          </w:tcPr>
          <w:p w14:paraId="43737BED" w14:textId="77777777" w:rsidR="00FC1461" w:rsidRDefault="00FC1461" w:rsidP="0013470E">
            <w:pPr>
              <w:jc w:val="center"/>
              <w:rPr>
                <w:b/>
                <w:bCs/>
                <w:u w:val="single"/>
              </w:rPr>
            </w:pPr>
          </w:p>
        </w:tc>
        <w:tc>
          <w:tcPr>
            <w:tcW w:w="850" w:type="dxa"/>
          </w:tcPr>
          <w:p w14:paraId="406606F1" w14:textId="77777777" w:rsidR="00FC1461" w:rsidRDefault="00FC1461" w:rsidP="0013470E">
            <w:pPr>
              <w:jc w:val="center"/>
              <w:rPr>
                <w:b/>
                <w:bCs/>
                <w:u w:val="single"/>
              </w:rPr>
            </w:pPr>
          </w:p>
        </w:tc>
        <w:tc>
          <w:tcPr>
            <w:tcW w:w="851" w:type="dxa"/>
          </w:tcPr>
          <w:p w14:paraId="25252F35" w14:textId="77777777" w:rsidR="00FC1461" w:rsidRDefault="00FC1461" w:rsidP="0013470E">
            <w:pPr>
              <w:jc w:val="center"/>
              <w:rPr>
                <w:b/>
                <w:bCs/>
                <w:u w:val="single"/>
              </w:rPr>
            </w:pPr>
          </w:p>
        </w:tc>
        <w:tc>
          <w:tcPr>
            <w:tcW w:w="887" w:type="dxa"/>
          </w:tcPr>
          <w:p w14:paraId="1E90CE10" w14:textId="77777777" w:rsidR="00FC1461" w:rsidRDefault="00FC1461" w:rsidP="0013470E">
            <w:pPr>
              <w:jc w:val="center"/>
              <w:rPr>
                <w:b/>
                <w:bCs/>
                <w:u w:val="single"/>
              </w:rPr>
            </w:pPr>
          </w:p>
        </w:tc>
      </w:tr>
      <w:tr w:rsidR="00FC1461" w14:paraId="233A98EF" w14:textId="77777777" w:rsidTr="0013470E">
        <w:trPr>
          <w:trHeight w:val="564"/>
        </w:trPr>
        <w:tc>
          <w:tcPr>
            <w:tcW w:w="4390" w:type="dxa"/>
          </w:tcPr>
          <w:p w14:paraId="4696211E" w14:textId="77777777" w:rsidR="00FC1461" w:rsidRPr="00176605" w:rsidRDefault="00FC1461" w:rsidP="0013470E">
            <w:pPr>
              <w:jc w:val="center"/>
            </w:pPr>
            <w:r w:rsidRPr="00176605">
              <w:t xml:space="preserve">Je fais confiance </w:t>
            </w:r>
            <w:proofErr w:type="spellStart"/>
            <w:r w:rsidRPr="00176605">
              <w:t>àSCHB</w:t>
            </w:r>
            <w:proofErr w:type="spellEnd"/>
            <w:r w:rsidRPr="00176605">
              <w:t>- GICA pour intégrer la protection de l'environnement dans sa stratégie à long terme.</w:t>
            </w:r>
          </w:p>
        </w:tc>
        <w:tc>
          <w:tcPr>
            <w:tcW w:w="850" w:type="dxa"/>
          </w:tcPr>
          <w:p w14:paraId="088146AE" w14:textId="77777777" w:rsidR="00FC1461" w:rsidRDefault="00FC1461" w:rsidP="0013470E">
            <w:pPr>
              <w:jc w:val="center"/>
              <w:rPr>
                <w:b/>
                <w:bCs/>
                <w:u w:val="single"/>
              </w:rPr>
            </w:pPr>
          </w:p>
        </w:tc>
        <w:tc>
          <w:tcPr>
            <w:tcW w:w="851" w:type="dxa"/>
          </w:tcPr>
          <w:p w14:paraId="62813F53" w14:textId="77777777" w:rsidR="00FC1461" w:rsidRDefault="00FC1461" w:rsidP="0013470E">
            <w:pPr>
              <w:jc w:val="center"/>
              <w:rPr>
                <w:b/>
                <w:bCs/>
                <w:u w:val="single"/>
              </w:rPr>
            </w:pPr>
          </w:p>
        </w:tc>
        <w:tc>
          <w:tcPr>
            <w:tcW w:w="850" w:type="dxa"/>
          </w:tcPr>
          <w:p w14:paraId="13674340" w14:textId="77777777" w:rsidR="00FC1461" w:rsidRDefault="00FC1461" w:rsidP="0013470E">
            <w:pPr>
              <w:jc w:val="center"/>
              <w:rPr>
                <w:b/>
                <w:bCs/>
                <w:u w:val="single"/>
              </w:rPr>
            </w:pPr>
          </w:p>
        </w:tc>
        <w:tc>
          <w:tcPr>
            <w:tcW w:w="851" w:type="dxa"/>
          </w:tcPr>
          <w:p w14:paraId="7B8B9788" w14:textId="77777777" w:rsidR="00FC1461" w:rsidRDefault="00FC1461" w:rsidP="0013470E">
            <w:pPr>
              <w:jc w:val="center"/>
              <w:rPr>
                <w:b/>
                <w:bCs/>
                <w:u w:val="single"/>
              </w:rPr>
            </w:pPr>
          </w:p>
        </w:tc>
        <w:tc>
          <w:tcPr>
            <w:tcW w:w="887" w:type="dxa"/>
          </w:tcPr>
          <w:p w14:paraId="35413FD5" w14:textId="77777777" w:rsidR="00FC1461" w:rsidRDefault="00FC1461" w:rsidP="0013470E">
            <w:pPr>
              <w:jc w:val="center"/>
              <w:rPr>
                <w:b/>
                <w:bCs/>
                <w:u w:val="single"/>
              </w:rPr>
            </w:pPr>
          </w:p>
        </w:tc>
      </w:tr>
      <w:tr w:rsidR="00FC1461" w14:paraId="0971DFBB" w14:textId="77777777" w:rsidTr="0013470E">
        <w:trPr>
          <w:trHeight w:val="564"/>
        </w:trPr>
        <w:tc>
          <w:tcPr>
            <w:tcW w:w="4390" w:type="dxa"/>
          </w:tcPr>
          <w:p w14:paraId="1A09D867" w14:textId="77777777" w:rsidR="00FC1461" w:rsidRPr="00176605" w:rsidRDefault="00FC1461" w:rsidP="0013470E">
            <w:pPr>
              <w:jc w:val="center"/>
            </w:pPr>
            <w:r w:rsidRPr="00176605">
              <w:t>La communication verte de SCHB-GICA me rassure.</w:t>
            </w:r>
          </w:p>
        </w:tc>
        <w:tc>
          <w:tcPr>
            <w:tcW w:w="850" w:type="dxa"/>
          </w:tcPr>
          <w:p w14:paraId="06BF9727" w14:textId="77777777" w:rsidR="00FC1461" w:rsidRDefault="00FC1461" w:rsidP="0013470E">
            <w:pPr>
              <w:jc w:val="center"/>
              <w:rPr>
                <w:b/>
                <w:bCs/>
                <w:u w:val="single"/>
              </w:rPr>
            </w:pPr>
          </w:p>
        </w:tc>
        <w:tc>
          <w:tcPr>
            <w:tcW w:w="851" w:type="dxa"/>
          </w:tcPr>
          <w:p w14:paraId="7F165B53" w14:textId="77777777" w:rsidR="00FC1461" w:rsidRDefault="00FC1461" w:rsidP="0013470E">
            <w:pPr>
              <w:jc w:val="center"/>
              <w:rPr>
                <w:b/>
                <w:bCs/>
                <w:u w:val="single"/>
              </w:rPr>
            </w:pPr>
          </w:p>
        </w:tc>
        <w:tc>
          <w:tcPr>
            <w:tcW w:w="850" w:type="dxa"/>
          </w:tcPr>
          <w:p w14:paraId="17BA8D25" w14:textId="77777777" w:rsidR="00FC1461" w:rsidRDefault="00FC1461" w:rsidP="0013470E">
            <w:pPr>
              <w:jc w:val="center"/>
              <w:rPr>
                <w:b/>
                <w:bCs/>
                <w:u w:val="single"/>
              </w:rPr>
            </w:pPr>
          </w:p>
        </w:tc>
        <w:tc>
          <w:tcPr>
            <w:tcW w:w="851" w:type="dxa"/>
          </w:tcPr>
          <w:p w14:paraId="6AC58002" w14:textId="77777777" w:rsidR="00FC1461" w:rsidRDefault="00FC1461" w:rsidP="0013470E">
            <w:pPr>
              <w:jc w:val="center"/>
              <w:rPr>
                <w:b/>
                <w:bCs/>
                <w:u w:val="single"/>
              </w:rPr>
            </w:pPr>
          </w:p>
        </w:tc>
        <w:tc>
          <w:tcPr>
            <w:tcW w:w="887" w:type="dxa"/>
          </w:tcPr>
          <w:p w14:paraId="35CCB614" w14:textId="77777777" w:rsidR="00FC1461" w:rsidRDefault="00FC1461" w:rsidP="0013470E">
            <w:pPr>
              <w:jc w:val="center"/>
              <w:rPr>
                <w:b/>
                <w:bCs/>
                <w:u w:val="single"/>
              </w:rPr>
            </w:pPr>
          </w:p>
        </w:tc>
      </w:tr>
    </w:tbl>
    <w:p w14:paraId="70A0C0D4" w14:textId="77777777" w:rsidR="00FC1461" w:rsidRDefault="00FC1461">
      <w:pPr>
        <w:rPr>
          <w:b/>
          <w:bCs/>
          <w:u w:val="single"/>
        </w:rPr>
      </w:pPr>
    </w:p>
    <w:p w14:paraId="6212722F" w14:textId="77777777" w:rsidR="00FC1461" w:rsidRDefault="00FC1461" w:rsidP="00FC1461">
      <w:pPr>
        <w:ind w:firstLine="0"/>
        <w:rPr>
          <w:b/>
          <w:bCs/>
          <w:u w:val="single"/>
        </w:rPr>
      </w:pPr>
    </w:p>
    <w:p w14:paraId="78B367F0" w14:textId="77777777" w:rsidR="00FB6F25" w:rsidRDefault="00FB6F25">
      <w:pPr>
        <w:rPr>
          <w:b/>
          <w:bCs/>
          <w:u w:val="single"/>
        </w:rPr>
      </w:pPr>
    </w:p>
    <w:p w14:paraId="15A74D7D" w14:textId="77777777" w:rsidR="00FB6F25" w:rsidRDefault="00FB6F25">
      <w:pPr>
        <w:rPr>
          <w:b/>
          <w:bCs/>
          <w:u w:val="single"/>
        </w:rPr>
      </w:pPr>
    </w:p>
    <w:p w14:paraId="4E546C15" w14:textId="77777777" w:rsidR="00FC1461" w:rsidRDefault="00FC1461">
      <w:pPr>
        <w:rPr>
          <w:b/>
          <w:bCs/>
          <w:u w:val="single"/>
        </w:rPr>
      </w:pPr>
      <w:r w:rsidRPr="00107FBE">
        <w:rPr>
          <w:b/>
          <w:bCs/>
          <w:u w:val="single"/>
        </w:rPr>
        <w:lastRenderedPageBreak/>
        <w:t>Perception du risque environnemental</w:t>
      </w:r>
    </w:p>
    <w:tbl>
      <w:tblPr>
        <w:tblStyle w:val="Grilledutableau"/>
        <w:tblpPr w:leftFromText="141" w:rightFromText="141" w:vertAnchor="text" w:horzAnchor="margin" w:tblpY="200"/>
        <w:tblW w:w="8679" w:type="dxa"/>
        <w:tblLook w:val="04A0" w:firstRow="1" w:lastRow="0" w:firstColumn="1" w:lastColumn="0" w:noHBand="0" w:noVBand="1"/>
      </w:tblPr>
      <w:tblGrid>
        <w:gridCol w:w="4390"/>
        <w:gridCol w:w="850"/>
        <w:gridCol w:w="851"/>
        <w:gridCol w:w="850"/>
        <w:gridCol w:w="851"/>
        <w:gridCol w:w="887"/>
      </w:tblGrid>
      <w:tr w:rsidR="00FC1461" w14:paraId="0AD993CD" w14:textId="77777777" w:rsidTr="0013470E">
        <w:trPr>
          <w:trHeight w:val="564"/>
        </w:trPr>
        <w:tc>
          <w:tcPr>
            <w:tcW w:w="4390" w:type="dxa"/>
          </w:tcPr>
          <w:p w14:paraId="17C339E6" w14:textId="77777777" w:rsidR="00FC1461" w:rsidRDefault="00FC1461" w:rsidP="0013470E">
            <w:pPr>
              <w:rPr>
                <w:b/>
                <w:bCs/>
                <w:u w:val="single"/>
              </w:rPr>
            </w:pPr>
          </w:p>
        </w:tc>
        <w:tc>
          <w:tcPr>
            <w:tcW w:w="850" w:type="dxa"/>
          </w:tcPr>
          <w:p w14:paraId="3790DEFB" w14:textId="77777777" w:rsidR="00FC1461" w:rsidRPr="00176605" w:rsidRDefault="00FC1461" w:rsidP="0013470E">
            <w:pPr>
              <w:jc w:val="center"/>
              <w:rPr>
                <w:b/>
                <w:bCs/>
              </w:rPr>
            </w:pPr>
            <w:r w:rsidRPr="00176605">
              <w:rPr>
                <w:b/>
                <w:bCs/>
              </w:rPr>
              <w:t>1</w:t>
            </w:r>
          </w:p>
        </w:tc>
        <w:tc>
          <w:tcPr>
            <w:tcW w:w="851" w:type="dxa"/>
          </w:tcPr>
          <w:p w14:paraId="4BC72663" w14:textId="77777777" w:rsidR="00FC1461" w:rsidRPr="00176605" w:rsidRDefault="00FC1461" w:rsidP="0013470E">
            <w:pPr>
              <w:jc w:val="center"/>
              <w:rPr>
                <w:b/>
                <w:bCs/>
              </w:rPr>
            </w:pPr>
            <w:r w:rsidRPr="00176605">
              <w:rPr>
                <w:b/>
                <w:bCs/>
              </w:rPr>
              <w:t>2</w:t>
            </w:r>
          </w:p>
        </w:tc>
        <w:tc>
          <w:tcPr>
            <w:tcW w:w="850" w:type="dxa"/>
          </w:tcPr>
          <w:p w14:paraId="321890B0" w14:textId="77777777" w:rsidR="00FC1461" w:rsidRPr="00176605" w:rsidRDefault="00FC1461" w:rsidP="0013470E">
            <w:pPr>
              <w:jc w:val="center"/>
              <w:rPr>
                <w:b/>
                <w:bCs/>
              </w:rPr>
            </w:pPr>
            <w:r w:rsidRPr="00176605">
              <w:rPr>
                <w:b/>
                <w:bCs/>
              </w:rPr>
              <w:t>3</w:t>
            </w:r>
          </w:p>
        </w:tc>
        <w:tc>
          <w:tcPr>
            <w:tcW w:w="851" w:type="dxa"/>
          </w:tcPr>
          <w:p w14:paraId="737378EA" w14:textId="77777777" w:rsidR="00FC1461" w:rsidRPr="00176605" w:rsidRDefault="00FC1461" w:rsidP="0013470E">
            <w:pPr>
              <w:jc w:val="center"/>
              <w:rPr>
                <w:b/>
                <w:bCs/>
              </w:rPr>
            </w:pPr>
            <w:r w:rsidRPr="00176605">
              <w:rPr>
                <w:b/>
                <w:bCs/>
              </w:rPr>
              <w:t>4</w:t>
            </w:r>
          </w:p>
        </w:tc>
        <w:tc>
          <w:tcPr>
            <w:tcW w:w="887" w:type="dxa"/>
          </w:tcPr>
          <w:p w14:paraId="2FF2A610" w14:textId="77777777" w:rsidR="00FC1461" w:rsidRPr="00176605" w:rsidRDefault="00FC1461" w:rsidP="0013470E">
            <w:pPr>
              <w:jc w:val="center"/>
              <w:rPr>
                <w:b/>
                <w:bCs/>
              </w:rPr>
            </w:pPr>
            <w:r w:rsidRPr="00176605">
              <w:rPr>
                <w:b/>
                <w:bCs/>
              </w:rPr>
              <w:t>5</w:t>
            </w:r>
          </w:p>
        </w:tc>
      </w:tr>
      <w:tr w:rsidR="00FC1461" w14:paraId="16325DE0" w14:textId="77777777" w:rsidTr="0013470E">
        <w:trPr>
          <w:trHeight w:val="564"/>
        </w:trPr>
        <w:tc>
          <w:tcPr>
            <w:tcW w:w="4390" w:type="dxa"/>
          </w:tcPr>
          <w:p w14:paraId="5807C6BC" w14:textId="77777777" w:rsidR="00FC1461" w:rsidRPr="00176605" w:rsidRDefault="00FC1461" w:rsidP="0013470E">
            <w:pPr>
              <w:ind w:left="360"/>
              <w:jc w:val="center"/>
            </w:pPr>
            <w:r w:rsidRPr="00176605">
              <w:t>Les activités de SCHB-GICA présentent un risque pour l’environnement local.</w:t>
            </w:r>
          </w:p>
          <w:p w14:paraId="3D5FFB08" w14:textId="77777777" w:rsidR="00FC1461" w:rsidRPr="00176605" w:rsidRDefault="00FC1461" w:rsidP="0013470E">
            <w:pPr>
              <w:jc w:val="center"/>
            </w:pPr>
          </w:p>
        </w:tc>
        <w:tc>
          <w:tcPr>
            <w:tcW w:w="850" w:type="dxa"/>
          </w:tcPr>
          <w:p w14:paraId="262E287E" w14:textId="77777777" w:rsidR="00FC1461" w:rsidRDefault="00FC1461" w:rsidP="0013470E">
            <w:pPr>
              <w:jc w:val="center"/>
              <w:rPr>
                <w:b/>
                <w:bCs/>
                <w:u w:val="single"/>
              </w:rPr>
            </w:pPr>
          </w:p>
        </w:tc>
        <w:tc>
          <w:tcPr>
            <w:tcW w:w="851" w:type="dxa"/>
          </w:tcPr>
          <w:p w14:paraId="53D4214B" w14:textId="77777777" w:rsidR="00FC1461" w:rsidRDefault="00FC1461" w:rsidP="0013470E">
            <w:pPr>
              <w:jc w:val="center"/>
              <w:rPr>
                <w:b/>
                <w:bCs/>
                <w:u w:val="single"/>
              </w:rPr>
            </w:pPr>
          </w:p>
        </w:tc>
        <w:tc>
          <w:tcPr>
            <w:tcW w:w="850" w:type="dxa"/>
          </w:tcPr>
          <w:p w14:paraId="0C0E2AF1" w14:textId="77777777" w:rsidR="00FC1461" w:rsidRDefault="00FC1461" w:rsidP="0013470E">
            <w:pPr>
              <w:jc w:val="center"/>
              <w:rPr>
                <w:b/>
                <w:bCs/>
                <w:u w:val="single"/>
              </w:rPr>
            </w:pPr>
          </w:p>
        </w:tc>
        <w:tc>
          <w:tcPr>
            <w:tcW w:w="851" w:type="dxa"/>
          </w:tcPr>
          <w:p w14:paraId="16921A39" w14:textId="77777777" w:rsidR="00FC1461" w:rsidRDefault="00FC1461" w:rsidP="0013470E">
            <w:pPr>
              <w:jc w:val="center"/>
              <w:rPr>
                <w:b/>
                <w:bCs/>
                <w:u w:val="single"/>
              </w:rPr>
            </w:pPr>
          </w:p>
        </w:tc>
        <w:tc>
          <w:tcPr>
            <w:tcW w:w="887" w:type="dxa"/>
          </w:tcPr>
          <w:p w14:paraId="7E04B8CC" w14:textId="77777777" w:rsidR="00FC1461" w:rsidRDefault="00FC1461" w:rsidP="0013470E">
            <w:pPr>
              <w:jc w:val="center"/>
              <w:rPr>
                <w:b/>
                <w:bCs/>
                <w:u w:val="single"/>
              </w:rPr>
            </w:pPr>
          </w:p>
        </w:tc>
      </w:tr>
      <w:tr w:rsidR="00FC1461" w14:paraId="01CC34E4" w14:textId="77777777" w:rsidTr="0013470E">
        <w:trPr>
          <w:trHeight w:val="564"/>
        </w:trPr>
        <w:tc>
          <w:tcPr>
            <w:tcW w:w="4390" w:type="dxa"/>
          </w:tcPr>
          <w:p w14:paraId="25482648" w14:textId="77777777" w:rsidR="00FC1461" w:rsidRPr="00176605" w:rsidRDefault="00FC1461" w:rsidP="0013470E">
            <w:pPr>
              <w:jc w:val="center"/>
            </w:pPr>
            <w:r w:rsidRPr="00176605">
              <w:t>Les produits ou services de SCHB-GICA peuvent nuire à la santé ou à la nature.</w:t>
            </w:r>
          </w:p>
        </w:tc>
        <w:tc>
          <w:tcPr>
            <w:tcW w:w="850" w:type="dxa"/>
          </w:tcPr>
          <w:p w14:paraId="5BF14BB5" w14:textId="77777777" w:rsidR="00FC1461" w:rsidRDefault="00FC1461" w:rsidP="0013470E">
            <w:pPr>
              <w:jc w:val="center"/>
              <w:rPr>
                <w:b/>
                <w:bCs/>
                <w:u w:val="single"/>
              </w:rPr>
            </w:pPr>
          </w:p>
        </w:tc>
        <w:tc>
          <w:tcPr>
            <w:tcW w:w="851" w:type="dxa"/>
          </w:tcPr>
          <w:p w14:paraId="52F23765" w14:textId="77777777" w:rsidR="00FC1461" w:rsidRDefault="00FC1461" w:rsidP="0013470E">
            <w:pPr>
              <w:jc w:val="center"/>
              <w:rPr>
                <w:b/>
                <w:bCs/>
                <w:u w:val="single"/>
              </w:rPr>
            </w:pPr>
          </w:p>
        </w:tc>
        <w:tc>
          <w:tcPr>
            <w:tcW w:w="850" w:type="dxa"/>
          </w:tcPr>
          <w:p w14:paraId="3143F2F6" w14:textId="77777777" w:rsidR="00FC1461" w:rsidRDefault="00FC1461" w:rsidP="0013470E">
            <w:pPr>
              <w:jc w:val="center"/>
              <w:rPr>
                <w:b/>
                <w:bCs/>
                <w:u w:val="single"/>
              </w:rPr>
            </w:pPr>
          </w:p>
        </w:tc>
        <w:tc>
          <w:tcPr>
            <w:tcW w:w="851" w:type="dxa"/>
          </w:tcPr>
          <w:p w14:paraId="16CC95F8" w14:textId="77777777" w:rsidR="00FC1461" w:rsidRDefault="00FC1461" w:rsidP="0013470E">
            <w:pPr>
              <w:jc w:val="center"/>
              <w:rPr>
                <w:b/>
                <w:bCs/>
                <w:u w:val="single"/>
              </w:rPr>
            </w:pPr>
          </w:p>
        </w:tc>
        <w:tc>
          <w:tcPr>
            <w:tcW w:w="887" w:type="dxa"/>
          </w:tcPr>
          <w:p w14:paraId="41A21353" w14:textId="77777777" w:rsidR="00FC1461" w:rsidRDefault="00FC1461" w:rsidP="0013470E">
            <w:pPr>
              <w:jc w:val="center"/>
              <w:rPr>
                <w:b/>
                <w:bCs/>
                <w:u w:val="single"/>
              </w:rPr>
            </w:pPr>
          </w:p>
        </w:tc>
      </w:tr>
      <w:tr w:rsidR="00FC1461" w14:paraId="61DFFA86" w14:textId="77777777" w:rsidTr="0013470E">
        <w:trPr>
          <w:trHeight w:val="564"/>
        </w:trPr>
        <w:tc>
          <w:tcPr>
            <w:tcW w:w="4390" w:type="dxa"/>
          </w:tcPr>
          <w:p w14:paraId="1215CB39" w14:textId="77777777" w:rsidR="00FC1461" w:rsidRPr="00176605" w:rsidRDefault="00FC1461" w:rsidP="0013470E">
            <w:pPr>
              <w:jc w:val="center"/>
            </w:pPr>
            <w:r w:rsidRPr="00176605">
              <w:t>Je suis inquiet(e) de l’impact environnemental de SCB-GICA.</w:t>
            </w:r>
          </w:p>
        </w:tc>
        <w:tc>
          <w:tcPr>
            <w:tcW w:w="850" w:type="dxa"/>
          </w:tcPr>
          <w:p w14:paraId="69220C9E" w14:textId="77777777" w:rsidR="00FC1461" w:rsidRDefault="00FC1461" w:rsidP="0013470E">
            <w:pPr>
              <w:jc w:val="center"/>
              <w:rPr>
                <w:b/>
                <w:bCs/>
                <w:u w:val="single"/>
              </w:rPr>
            </w:pPr>
          </w:p>
        </w:tc>
        <w:tc>
          <w:tcPr>
            <w:tcW w:w="851" w:type="dxa"/>
          </w:tcPr>
          <w:p w14:paraId="5A4B021B" w14:textId="77777777" w:rsidR="00FC1461" w:rsidRDefault="00FC1461" w:rsidP="0013470E">
            <w:pPr>
              <w:jc w:val="center"/>
              <w:rPr>
                <w:b/>
                <w:bCs/>
                <w:u w:val="single"/>
              </w:rPr>
            </w:pPr>
          </w:p>
        </w:tc>
        <w:tc>
          <w:tcPr>
            <w:tcW w:w="850" w:type="dxa"/>
          </w:tcPr>
          <w:p w14:paraId="0A9CB78E" w14:textId="77777777" w:rsidR="00FC1461" w:rsidRDefault="00FC1461" w:rsidP="0013470E">
            <w:pPr>
              <w:jc w:val="center"/>
              <w:rPr>
                <w:b/>
                <w:bCs/>
                <w:u w:val="single"/>
              </w:rPr>
            </w:pPr>
          </w:p>
        </w:tc>
        <w:tc>
          <w:tcPr>
            <w:tcW w:w="851" w:type="dxa"/>
          </w:tcPr>
          <w:p w14:paraId="393A6BB9" w14:textId="77777777" w:rsidR="00FC1461" w:rsidRDefault="00FC1461" w:rsidP="0013470E">
            <w:pPr>
              <w:jc w:val="center"/>
              <w:rPr>
                <w:b/>
                <w:bCs/>
                <w:u w:val="single"/>
              </w:rPr>
            </w:pPr>
          </w:p>
        </w:tc>
        <w:tc>
          <w:tcPr>
            <w:tcW w:w="887" w:type="dxa"/>
          </w:tcPr>
          <w:p w14:paraId="11436756" w14:textId="77777777" w:rsidR="00FC1461" w:rsidRDefault="00FC1461" w:rsidP="0013470E">
            <w:pPr>
              <w:jc w:val="center"/>
              <w:rPr>
                <w:b/>
                <w:bCs/>
                <w:u w:val="single"/>
              </w:rPr>
            </w:pPr>
          </w:p>
        </w:tc>
      </w:tr>
      <w:tr w:rsidR="00FC1461" w14:paraId="180DC056" w14:textId="77777777" w:rsidTr="0013470E">
        <w:trPr>
          <w:trHeight w:val="564"/>
        </w:trPr>
        <w:tc>
          <w:tcPr>
            <w:tcW w:w="4390" w:type="dxa"/>
          </w:tcPr>
          <w:p w14:paraId="689ACDEE" w14:textId="77777777" w:rsidR="00FC1461" w:rsidRPr="00176605" w:rsidRDefault="00FC1461" w:rsidP="0013470E">
            <w:pPr>
              <w:jc w:val="center"/>
            </w:pPr>
            <w:r>
              <w:t>SCHB-</w:t>
            </w:r>
            <w:r w:rsidRPr="00176605">
              <w:t>GICA fait suffisamment d'efforts pour réduire son impact.</w:t>
            </w:r>
          </w:p>
          <w:p w14:paraId="15DB08D8" w14:textId="77777777" w:rsidR="00FC1461" w:rsidRPr="00176605" w:rsidRDefault="00FC1461" w:rsidP="0013470E">
            <w:pPr>
              <w:jc w:val="center"/>
            </w:pPr>
          </w:p>
        </w:tc>
        <w:tc>
          <w:tcPr>
            <w:tcW w:w="850" w:type="dxa"/>
          </w:tcPr>
          <w:p w14:paraId="0EEEF0BB" w14:textId="77777777" w:rsidR="00FC1461" w:rsidRDefault="00FC1461" w:rsidP="0013470E">
            <w:pPr>
              <w:jc w:val="center"/>
              <w:rPr>
                <w:b/>
                <w:bCs/>
                <w:u w:val="single"/>
              </w:rPr>
            </w:pPr>
          </w:p>
        </w:tc>
        <w:tc>
          <w:tcPr>
            <w:tcW w:w="851" w:type="dxa"/>
          </w:tcPr>
          <w:p w14:paraId="7F95FA7D" w14:textId="77777777" w:rsidR="00FC1461" w:rsidRDefault="00FC1461" w:rsidP="0013470E">
            <w:pPr>
              <w:jc w:val="center"/>
              <w:rPr>
                <w:b/>
                <w:bCs/>
                <w:u w:val="single"/>
              </w:rPr>
            </w:pPr>
          </w:p>
        </w:tc>
        <w:tc>
          <w:tcPr>
            <w:tcW w:w="850" w:type="dxa"/>
          </w:tcPr>
          <w:p w14:paraId="37B79555" w14:textId="77777777" w:rsidR="00FC1461" w:rsidRDefault="00FC1461" w:rsidP="0013470E">
            <w:pPr>
              <w:jc w:val="center"/>
              <w:rPr>
                <w:b/>
                <w:bCs/>
                <w:u w:val="single"/>
              </w:rPr>
            </w:pPr>
          </w:p>
        </w:tc>
        <w:tc>
          <w:tcPr>
            <w:tcW w:w="851" w:type="dxa"/>
          </w:tcPr>
          <w:p w14:paraId="18E8A48A" w14:textId="77777777" w:rsidR="00FC1461" w:rsidRDefault="00FC1461" w:rsidP="0013470E">
            <w:pPr>
              <w:jc w:val="center"/>
              <w:rPr>
                <w:b/>
                <w:bCs/>
                <w:u w:val="single"/>
              </w:rPr>
            </w:pPr>
          </w:p>
        </w:tc>
        <w:tc>
          <w:tcPr>
            <w:tcW w:w="887" w:type="dxa"/>
          </w:tcPr>
          <w:p w14:paraId="2FFD00A0" w14:textId="77777777" w:rsidR="00FC1461" w:rsidRDefault="00FC1461" w:rsidP="0013470E">
            <w:pPr>
              <w:jc w:val="center"/>
              <w:rPr>
                <w:b/>
                <w:bCs/>
                <w:u w:val="single"/>
              </w:rPr>
            </w:pPr>
          </w:p>
        </w:tc>
      </w:tr>
    </w:tbl>
    <w:p w14:paraId="62985E49" w14:textId="77777777" w:rsidR="00FC1461" w:rsidRDefault="00FC1461">
      <w:pPr>
        <w:rPr>
          <w:b/>
          <w:bCs/>
          <w:u w:val="single"/>
        </w:rPr>
      </w:pPr>
    </w:p>
    <w:p w14:paraId="0A65F575" w14:textId="77777777" w:rsidR="00FC1461" w:rsidRPr="00176605" w:rsidRDefault="00FC1461" w:rsidP="000B457B">
      <w:pPr>
        <w:pStyle w:val="Paragraphedeliste"/>
        <w:numPr>
          <w:ilvl w:val="0"/>
          <w:numId w:val="40"/>
        </w:numPr>
        <w:spacing w:before="0" w:after="200" w:line="276" w:lineRule="auto"/>
        <w:jc w:val="left"/>
        <w:rPr>
          <w:b/>
          <w:bCs/>
          <w:sz w:val="28"/>
          <w:szCs w:val="28"/>
        </w:rPr>
      </w:pPr>
      <w:r w:rsidRPr="00107FBE">
        <w:rPr>
          <w:b/>
          <w:bCs/>
          <w:sz w:val="28"/>
          <w:szCs w:val="28"/>
        </w:rPr>
        <w:t>Image de marque de GICA</w:t>
      </w:r>
    </w:p>
    <w:tbl>
      <w:tblPr>
        <w:tblStyle w:val="Grilledutableau"/>
        <w:tblW w:w="9498" w:type="dxa"/>
        <w:tblInd w:w="-5" w:type="dxa"/>
        <w:tblLook w:val="04A0" w:firstRow="1" w:lastRow="0" w:firstColumn="1" w:lastColumn="0" w:noHBand="0" w:noVBand="1"/>
      </w:tblPr>
      <w:tblGrid>
        <w:gridCol w:w="4348"/>
        <w:gridCol w:w="1099"/>
        <w:gridCol w:w="941"/>
        <w:gridCol w:w="1100"/>
        <w:gridCol w:w="1099"/>
        <w:gridCol w:w="911"/>
      </w:tblGrid>
      <w:tr w:rsidR="00FC1461" w:rsidRPr="00CA19BE" w14:paraId="71E9A19D" w14:textId="77777777" w:rsidTr="009645CF">
        <w:trPr>
          <w:trHeight w:val="1014"/>
        </w:trPr>
        <w:tc>
          <w:tcPr>
            <w:tcW w:w="4348" w:type="dxa"/>
          </w:tcPr>
          <w:p w14:paraId="0486424E"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SCHB-GICA est perçue comme une marque sérieuse et professionnelle</w:t>
            </w:r>
          </w:p>
        </w:tc>
        <w:tc>
          <w:tcPr>
            <w:tcW w:w="1099" w:type="dxa"/>
          </w:tcPr>
          <w:p w14:paraId="2DAA51AD" w14:textId="77777777" w:rsidR="00FC1461" w:rsidRPr="00CA19BE" w:rsidRDefault="00FC1461" w:rsidP="00CA19BE">
            <w:pPr>
              <w:pStyle w:val="Sansinterligne"/>
              <w:rPr>
                <w:rFonts w:asciiTheme="majorBidi" w:hAnsiTheme="majorBidi" w:cstheme="majorBidi"/>
              </w:rPr>
            </w:pPr>
          </w:p>
        </w:tc>
        <w:tc>
          <w:tcPr>
            <w:tcW w:w="941" w:type="dxa"/>
          </w:tcPr>
          <w:p w14:paraId="7A0C1B2F" w14:textId="77777777" w:rsidR="00FC1461" w:rsidRPr="00CA19BE" w:rsidRDefault="00FC1461" w:rsidP="00CA19BE">
            <w:pPr>
              <w:pStyle w:val="Sansinterligne"/>
              <w:rPr>
                <w:rFonts w:asciiTheme="majorBidi" w:hAnsiTheme="majorBidi" w:cstheme="majorBidi"/>
              </w:rPr>
            </w:pPr>
          </w:p>
        </w:tc>
        <w:tc>
          <w:tcPr>
            <w:tcW w:w="1100" w:type="dxa"/>
          </w:tcPr>
          <w:p w14:paraId="3D7BC2E6" w14:textId="77777777" w:rsidR="00FC1461" w:rsidRPr="00CA19BE" w:rsidRDefault="00FC1461" w:rsidP="00CA19BE">
            <w:pPr>
              <w:pStyle w:val="Sansinterligne"/>
              <w:rPr>
                <w:rFonts w:asciiTheme="majorBidi" w:hAnsiTheme="majorBidi" w:cstheme="majorBidi"/>
              </w:rPr>
            </w:pPr>
          </w:p>
        </w:tc>
        <w:tc>
          <w:tcPr>
            <w:tcW w:w="1099" w:type="dxa"/>
          </w:tcPr>
          <w:p w14:paraId="4FF0CFE4" w14:textId="77777777" w:rsidR="00FC1461" w:rsidRPr="00CA19BE" w:rsidRDefault="00FC1461" w:rsidP="00CA19BE">
            <w:pPr>
              <w:pStyle w:val="Sansinterligne"/>
              <w:rPr>
                <w:rFonts w:asciiTheme="majorBidi" w:hAnsiTheme="majorBidi" w:cstheme="majorBidi"/>
              </w:rPr>
            </w:pPr>
          </w:p>
        </w:tc>
        <w:tc>
          <w:tcPr>
            <w:tcW w:w="911" w:type="dxa"/>
          </w:tcPr>
          <w:p w14:paraId="64642B9A" w14:textId="77777777" w:rsidR="00FC1461" w:rsidRPr="00CA19BE" w:rsidRDefault="00FC1461" w:rsidP="00CA19BE">
            <w:pPr>
              <w:pStyle w:val="Sansinterligne"/>
              <w:rPr>
                <w:rFonts w:asciiTheme="majorBidi" w:hAnsiTheme="majorBidi" w:cstheme="majorBidi"/>
              </w:rPr>
            </w:pPr>
          </w:p>
        </w:tc>
      </w:tr>
      <w:tr w:rsidR="00FC1461" w:rsidRPr="00CA19BE" w14:paraId="5E7872A1" w14:textId="77777777" w:rsidTr="009645CF">
        <w:trPr>
          <w:trHeight w:val="1014"/>
        </w:trPr>
        <w:tc>
          <w:tcPr>
            <w:tcW w:w="4348" w:type="dxa"/>
          </w:tcPr>
          <w:p w14:paraId="2AE9E8BE"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SCHB-GICA reflète une image cohérente et bien définie.</w:t>
            </w:r>
          </w:p>
          <w:p w14:paraId="6A92794B" w14:textId="77777777" w:rsidR="00FC1461" w:rsidRPr="00CA19BE" w:rsidRDefault="00FC1461" w:rsidP="00CA19BE">
            <w:pPr>
              <w:pStyle w:val="Sansinterligne"/>
              <w:rPr>
                <w:rFonts w:asciiTheme="majorBidi" w:hAnsiTheme="majorBidi" w:cstheme="majorBidi"/>
              </w:rPr>
            </w:pPr>
          </w:p>
        </w:tc>
        <w:tc>
          <w:tcPr>
            <w:tcW w:w="1099" w:type="dxa"/>
          </w:tcPr>
          <w:p w14:paraId="10441BE6" w14:textId="77777777" w:rsidR="00FC1461" w:rsidRPr="00CA19BE" w:rsidRDefault="00FC1461" w:rsidP="00CA19BE">
            <w:pPr>
              <w:pStyle w:val="Sansinterligne"/>
              <w:rPr>
                <w:rFonts w:asciiTheme="majorBidi" w:hAnsiTheme="majorBidi" w:cstheme="majorBidi"/>
              </w:rPr>
            </w:pPr>
          </w:p>
        </w:tc>
        <w:tc>
          <w:tcPr>
            <w:tcW w:w="941" w:type="dxa"/>
          </w:tcPr>
          <w:p w14:paraId="1FEEFE61" w14:textId="77777777" w:rsidR="00FC1461" w:rsidRPr="00CA19BE" w:rsidRDefault="00FC1461" w:rsidP="00CA19BE">
            <w:pPr>
              <w:pStyle w:val="Sansinterligne"/>
              <w:rPr>
                <w:rFonts w:asciiTheme="majorBidi" w:hAnsiTheme="majorBidi" w:cstheme="majorBidi"/>
              </w:rPr>
            </w:pPr>
          </w:p>
        </w:tc>
        <w:tc>
          <w:tcPr>
            <w:tcW w:w="1100" w:type="dxa"/>
          </w:tcPr>
          <w:p w14:paraId="2EA18F14" w14:textId="77777777" w:rsidR="00FC1461" w:rsidRPr="00CA19BE" w:rsidRDefault="00FC1461" w:rsidP="00CA19BE">
            <w:pPr>
              <w:pStyle w:val="Sansinterligne"/>
              <w:rPr>
                <w:rFonts w:asciiTheme="majorBidi" w:hAnsiTheme="majorBidi" w:cstheme="majorBidi"/>
              </w:rPr>
            </w:pPr>
          </w:p>
        </w:tc>
        <w:tc>
          <w:tcPr>
            <w:tcW w:w="1099" w:type="dxa"/>
          </w:tcPr>
          <w:p w14:paraId="06FAC2D1" w14:textId="77777777" w:rsidR="00FC1461" w:rsidRPr="00CA19BE" w:rsidRDefault="00FC1461" w:rsidP="00CA19BE">
            <w:pPr>
              <w:pStyle w:val="Sansinterligne"/>
              <w:rPr>
                <w:rFonts w:asciiTheme="majorBidi" w:hAnsiTheme="majorBidi" w:cstheme="majorBidi"/>
              </w:rPr>
            </w:pPr>
          </w:p>
        </w:tc>
        <w:tc>
          <w:tcPr>
            <w:tcW w:w="911" w:type="dxa"/>
          </w:tcPr>
          <w:p w14:paraId="5D108984" w14:textId="77777777" w:rsidR="00FC1461" w:rsidRPr="00CA19BE" w:rsidRDefault="00FC1461" w:rsidP="00CA19BE">
            <w:pPr>
              <w:pStyle w:val="Sansinterligne"/>
              <w:rPr>
                <w:rFonts w:asciiTheme="majorBidi" w:hAnsiTheme="majorBidi" w:cstheme="majorBidi"/>
              </w:rPr>
            </w:pPr>
          </w:p>
        </w:tc>
      </w:tr>
      <w:tr w:rsidR="00FC1461" w:rsidRPr="00CA19BE" w14:paraId="49678626" w14:textId="77777777" w:rsidTr="009645CF">
        <w:trPr>
          <w:trHeight w:val="1537"/>
        </w:trPr>
        <w:tc>
          <w:tcPr>
            <w:tcW w:w="4348" w:type="dxa"/>
          </w:tcPr>
          <w:p w14:paraId="4DD276FC"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L’identité de la marque SCHB-GICA est forte et facilement reconnaissable.</w:t>
            </w:r>
          </w:p>
          <w:p w14:paraId="1E2B7BFD" w14:textId="77777777" w:rsidR="00FC1461" w:rsidRPr="00CA19BE" w:rsidRDefault="00FC1461" w:rsidP="00CA19BE">
            <w:pPr>
              <w:pStyle w:val="Sansinterligne"/>
              <w:rPr>
                <w:rFonts w:asciiTheme="majorBidi" w:hAnsiTheme="majorBidi" w:cstheme="majorBidi"/>
              </w:rPr>
            </w:pPr>
          </w:p>
        </w:tc>
        <w:tc>
          <w:tcPr>
            <w:tcW w:w="1099" w:type="dxa"/>
          </w:tcPr>
          <w:p w14:paraId="0540559B" w14:textId="77777777" w:rsidR="00FC1461" w:rsidRPr="00CA19BE" w:rsidRDefault="00FC1461" w:rsidP="00CA19BE">
            <w:pPr>
              <w:pStyle w:val="Sansinterligne"/>
              <w:rPr>
                <w:rFonts w:asciiTheme="majorBidi" w:hAnsiTheme="majorBidi" w:cstheme="majorBidi"/>
              </w:rPr>
            </w:pPr>
          </w:p>
        </w:tc>
        <w:tc>
          <w:tcPr>
            <w:tcW w:w="941" w:type="dxa"/>
          </w:tcPr>
          <w:p w14:paraId="1020D3BC" w14:textId="77777777" w:rsidR="00FC1461" w:rsidRPr="00CA19BE" w:rsidRDefault="00FC1461" w:rsidP="00CA19BE">
            <w:pPr>
              <w:pStyle w:val="Sansinterligne"/>
              <w:rPr>
                <w:rFonts w:asciiTheme="majorBidi" w:hAnsiTheme="majorBidi" w:cstheme="majorBidi"/>
              </w:rPr>
            </w:pPr>
          </w:p>
        </w:tc>
        <w:tc>
          <w:tcPr>
            <w:tcW w:w="1100" w:type="dxa"/>
          </w:tcPr>
          <w:p w14:paraId="56677E28" w14:textId="77777777" w:rsidR="00FC1461" w:rsidRPr="00CA19BE" w:rsidRDefault="00FC1461" w:rsidP="00CA19BE">
            <w:pPr>
              <w:pStyle w:val="Sansinterligne"/>
              <w:rPr>
                <w:rFonts w:asciiTheme="majorBidi" w:hAnsiTheme="majorBidi" w:cstheme="majorBidi"/>
              </w:rPr>
            </w:pPr>
          </w:p>
        </w:tc>
        <w:tc>
          <w:tcPr>
            <w:tcW w:w="1099" w:type="dxa"/>
          </w:tcPr>
          <w:p w14:paraId="5B5F9A79" w14:textId="77777777" w:rsidR="00FC1461" w:rsidRPr="00CA19BE" w:rsidRDefault="00FC1461" w:rsidP="00CA19BE">
            <w:pPr>
              <w:pStyle w:val="Sansinterligne"/>
              <w:rPr>
                <w:rFonts w:asciiTheme="majorBidi" w:hAnsiTheme="majorBidi" w:cstheme="majorBidi"/>
              </w:rPr>
            </w:pPr>
          </w:p>
        </w:tc>
        <w:tc>
          <w:tcPr>
            <w:tcW w:w="911" w:type="dxa"/>
          </w:tcPr>
          <w:p w14:paraId="7DB5FAE8" w14:textId="77777777" w:rsidR="00FC1461" w:rsidRPr="00CA19BE" w:rsidRDefault="00FC1461" w:rsidP="00CA19BE">
            <w:pPr>
              <w:pStyle w:val="Sansinterligne"/>
              <w:rPr>
                <w:rFonts w:asciiTheme="majorBidi" w:hAnsiTheme="majorBidi" w:cstheme="majorBidi"/>
              </w:rPr>
            </w:pPr>
          </w:p>
        </w:tc>
      </w:tr>
      <w:tr w:rsidR="00FC1461" w:rsidRPr="00CA19BE" w14:paraId="6039057A" w14:textId="77777777" w:rsidTr="009645CF">
        <w:trPr>
          <w:trHeight w:val="1521"/>
        </w:trPr>
        <w:tc>
          <w:tcPr>
            <w:tcW w:w="4348" w:type="dxa"/>
          </w:tcPr>
          <w:p w14:paraId="239240FD"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SCHB-GICA représente bien les valeurs d’une entreprise industrielle moderne.</w:t>
            </w:r>
          </w:p>
          <w:p w14:paraId="3CD3F3F1" w14:textId="77777777" w:rsidR="00FC1461" w:rsidRPr="00CA19BE" w:rsidRDefault="00FC1461" w:rsidP="00CA19BE">
            <w:pPr>
              <w:pStyle w:val="Sansinterligne"/>
              <w:rPr>
                <w:rFonts w:asciiTheme="majorBidi" w:hAnsiTheme="majorBidi" w:cstheme="majorBidi"/>
              </w:rPr>
            </w:pPr>
          </w:p>
        </w:tc>
        <w:tc>
          <w:tcPr>
            <w:tcW w:w="1099" w:type="dxa"/>
          </w:tcPr>
          <w:p w14:paraId="2A4229B6" w14:textId="77777777" w:rsidR="00FC1461" w:rsidRPr="00CA19BE" w:rsidRDefault="00FC1461" w:rsidP="00CA19BE">
            <w:pPr>
              <w:pStyle w:val="Sansinterligne"/>
              <w:rPr>
                <w:rFonts w:asciiTheme="majorBidi" w:hAnsiTheme="majorBidi" w:cstheme="majorBidi"/>
              </w:rPr>
            </w:pPr>
          </w:p>
        </w:tc>
        <w:tc>
          <w:tcPr>
            <w:tcW w:w="941" w:type="dxa"/>
          </w:tcPr>
          <w:p w14:paraId="4746F7B2" w14:textId="77777777" w:rsidR="00FC1461" w:rsidRPr="00CA19BE" w:rsidRDefault="00FC1461" w:rsidP="00CA19BE">
            <w:pPr>
              <w:pStyle w:val="Sansinterligne"/>
              <w:rPr>
                <w:rFonts w:asciiTheme="majorBidi" w:hAnsiTheme="majorBidi" w:cstheme="majorBidi"/>
              </w:rPr>
            </w:pPr>
          </w:p>
        </w:tc>
        <w:tc>
          <w:tcPr>
            <w:tcW w:w="1100" w:type="dxa"/>
          </w:tcPr>
          <w:p w14:paraId="08993392" w14:textId="77777777" w:rsidR="00FC1461" w:rsidRPr="00CA19BE" w:rsidRDefault="00FC1461" w:rsidP="00CA19BE">
            <w:pPr>
              <w:pStyle w:val="Sansinterligne"/>
              <w:rPr>
                <w:rFonts w:asciiTheme="majorBidi" w:hAnsiTheme="majorBidi" w:cstheme="majorBidi"/>
              </w:rPr>
            </w:pPr>
          </w:p>
        </w:tc>
        <w:tc>
          <w:tcPr>
            <w:tcW w:w="1099" w:type="dxa"/>
          </w:tcPr>
          <w:p w14:paraId="785C1B96" w14:textId="77777777" w:rsidR="00FC1461" w:rsidRPr="00CA19BE" w:rsidRDefault="00FC1461" w:rsidP="00CA19BE">
            <w:pPr>
              <w:pStyle w:val="Sansinterligne"/>
              <w:rPr>
                <w:rFonts w:asciiTheme="majorBidi" w:hAnsiTheme="majorBidi" w:cstheme="majorBidi"/>
              </w:rPr>
            </w:pPr>
          </w:p>
        </w:tc>
        <w:tc>
          <w:tcPr>
            <w:tcW w:w="911" w:type="dxa"/>
          </w:tcPr>
          <w:p w14:paraId="009B4880" w14:textId="77777777" w:rsidR="00FC1461" w:rsidRPr="00CA19BE" w:rsidRDefault="00FC1461" w:rsidP="00CA19BE">
            <w:pPr>
              <w:pStyle w:val="Sansinterligne"/>
              <w:rPr>
                <w:rFonts w:asciiTheme="majorBidi" w:hAnsiTheme="majorBidi" w:cstheme="majorBidi"/>
              </w:rPr>
            </w:pPr>
          </w:p>
        </w:tc>
      </w:tr>
      <w:tr w:rsidR="00FC1461" w:rsidRPr="00CA19BE" w14:paraId="33CD1DFC" w14:textId="77777777" w:rsidTr="009645CF">
        <w:trPr>
          <w:trHeight w:val="1014"/>
        </w:trPr>
        <w:tc>
          <w:tcPr>
            <w:tcW w:w="4348" w:type="dxa"/>
          </w:tcPr>
          <w:p w14:paraId="06941542"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SCHB-GICA se distingue des autres marques de ciment.</w:t>
            </w:r>
          </w:p>
          <w:p w14:paraId="7A002E2F" w14:textId="77777777" w:rsidR="00FC1461" w:rsidRPr="00CA19BE" w:rsidRDefault="00FC1461" w:rsidP="00CA19BE">
            <w:pPr>
              <w:pStyle w:val="Sansinterligne"/>
              <w:rPr>
                <w:rFonts w:asciiTheme="majorBidi" w:hAnsiTheme="majorBidi" w:cstheme="majorBidi"/>
              </w:rPr>
            </w:pPr>
          </w:p>
        </w:tc>
        <w:tc>
          <w:tcPr>
            <w:tcW w:w="1099" w:type="dxa"/>
          </w:tcPr>
          <w:p w14:paraId="73F8BD87" w14:textId="77777777" w:rsidR="00FC1461" w:rsidRPr="00CA19BE" w:rsidRDefault="00FC1461" w:rsidP="00CA19BE">
            <w:pPr>
              <w:pStyle w:val="Sansinterligne"/>
              <w:rPr>
                <w:rFonts w:asciiTheme="majorBidi" w:hAnsiTheme="majorBidi" w:cstheme="majorBidi"/>
              </w:rPr>
            </w:pPr>
          </w:p>
        </w:tc>
        <w:tc>
          <w:tcPr>
            <w:tcW w:w="941" w:type="dxa"/>
          </w:tcPr>
          <w:p w14:paraId="288BD902" w14:textId="77777777" w:rsidR="00FC1461" w:rsidRPr="00CA19BE" w:rsidRDefault="00FC1461" w:rsidP="00CA19BE">
            <w:pPr>
              <w:pStyle w:val="Sansinterligne"/>
              <w:rPr>
                <w:rFonts w:asciiTheme="majorBidi" w:hAnsiTheme="majorBidi" w:cstheme="majorBidi"/>
              </w:rPr>
            </w:pPr>
          </w:p>
        </w:tc>
        <w:tc>
          <w:tcPr>
            <w:tcW w:w="1100" w:type="dxa"/>
          </w:tcPr>
          <w:p w14:paraId="1810EA09" w14:textId="77777777" w:rsidR="00FC1461" w:rsidRPr="00CA19BE" w:rsidRDefault="00FC1461" w:rsidP="00CA19BE">
            <w:pPr>
              <w:pStyle w:val="Sansinterligne"/>
              <w:rPr>
                <w:rFonts w:asciiTheme="majorBidi" w:hAnsiTheme="majorBidi" w:cstheme="majorBidi"/>
              </w:rPr>
            </w:pPr>
          </w:p>
        </w:tc>
        <w:tc>
          <w:tcPr>
            <w:tcW w:w="1099" w:type="dxa"/>
          </w:tcPr>
          <w:p w14:paraId="5BEF199C" w14:textId="77777777" w:rsidR="00FC1461" w:rsidRPr="00CA19BE" w:rsidRDefault="00FC1461" w:rsidP="00CA19BE">
            <w:pPr>
              <w:pStyle w:val="Sansinterligne"/>
              <w:rPr>
                <w:rFonts w:asciiTheme="majorBidi" w:hAnsiTheme="majorBidi" w:cstheme="majorBidi"/>
              </w:rPr>
            </w:pPr>
          </w:p>
        </w:tc>
        <w:tc>
          <w:tcPr>
            <w:tcW w:w="911" w:type="dxa"/>
          </w:tcPr>
          <w:p w14:paraId="7EB6544E" w14:textId="77777777" w:rsidR="00FC1461" w:rsidRPr="00CA19BE" w:rsidRDefault="00FC1461" w:rsidP="00CA19BE">
            <w:pPr>
              <w:pStyle w:val="Sansinterligne"/>
              <w:rPr>
                <w:rFonts w:asciiTheme="majorBidi" w:hAnsiTheme="majorBidi" w:cstheme="majorBidi"/>
              </w:rPr>
            </w:pPr>
          </w:p>
        </w:tc>
      </w:tr>
      <w:tr w:rsidR="00FC1461" w:rsidRPr="00CA19BE" w14:paraId="7F92D1CD" w14:textId="77777777" w:rsidTr="009645CF">
        <w:trPr>
          <w:trHeight w:val="1014"/>
        </w:trPr>
        <w:tc>
          <w:tcPr>
            <w:tcW w:w="4348" w:type="dxa"/>
          </w:tcPr>
          <w:p w14:paraId="5F042AE1"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SCHB-GICA se distingue des autres marques de ciment.</w:t>
            </w:r>
          </w:p>
          <w:p w14:paraId="3DEDEDE1" w14:textId="77777777" w:rsidR="00FC1461" w:rsidRPr="00CA19BE" w:rsidRDefault="00FC1461" w:rsidP="00CA19BE">
            <w:pPr>
              <w:pStyle w:val="Sansinterligne"/>
              <w:rPr>
                <w:rFonts w:asciiTheme="majorBidi" w:hAnsiTheme="majorBidi" w:cstheme="majorBidi"/>
              </w:rPr>
            </w:pPr>
          </w:p>
        </w:tc>
        <w:tc>
          <w:tcPr>
            <w:tcW w:w="1099" w:type="dxa"/>
          </w:tcPr>
          <w:p w14:paraId="6BCB990B" w14:textId="77777777" w:rsidR="00FC1461" w:rsidRPr="00CA19BE" w:rsidRDefault="00FC1461" w:rsidP="00CA19BE">
            <w:pPr>
              <w:pStyle w:val="Sansinterligne"/>
              <w:rPr>
                <w:rFonts w:asciiTheme="majorBidi" w:hAnsiTheme="majorBidi" w:cstheme="majorBidi"/>
              </w:rPr>
            </w:pPr>
          </w:p>
        </w:tc>
        <w:tc>
          <w:tcPr>
            <w:tcW w:w="941" w:type="dxa"/>
          </w:tcPr>
          <w:p w14:paraId="7CBB1FB2" w14:textId="77777777" w:rsidR="00FC1461" w:rsidRPr="00CA19BE" w:rsidRDefault="00FC1461" w:rsidP="00CA19BE">
            <w:pPr>
              <w:pStyle w:val="Sansinterligne"/>
              <w:rPr>
                <w:rFonts w:asciiTheme="majorBidi" w:hAnsiTheme="majorBidi" w:cstheme="majorBidi"/>
              </w:rPr>
            </w:pPr>
          </w:p>
        </w:tc>
        <w:tc>
          <w:tcPr>
            <w:tcW w:w="1100" w:type="dxa"/>
          </w:tcPr>
          <w:p w14:paraId="31BBF4AA" w14:textId="77777777" w:rsidR="00FC1461" w:rsidRPr="00CA19BE" w:rsidRDefault="00FC1461" w:rsidP="00CA19BE">
            <w:pPr>
              <w:pStyle w:val="Sansinterligne"/>
              <w:rPr>
                <w:rFonts w:asciiTheme="majorBidi" w:hAnsiTheme="majorBidi" w:cstheme="majorBidi"/>
              </w:rPr>
            </w:pPr>
          </w:p>
        </w:tc>
        <w:tc>
          <w:tcPr>
            <w:tcW w:w="1099" w:type="dxa"/>
          </w:tcPr>
          <w:p w14:paraId="12A5E11F" w14:textId="77777777" w:rsidR="00FC1461" w:rsidRPr="00CA19BE" w:rsidRDefault="00FC1461" w:rsidP="00CA19BE">
            <w:pPr>
              <w:pStyle w:val="Sansinterligne"/>
              <w:rPr>
                <w:rFonts w:asciiTheme="majorBidi" w:hAnsiTheme="majorBidi" w:cstheme="majorBidi"/>
              </w:rPr>
            </w:pPr>
          </w:p>
        </w:tc>
        <w:tc>
          <w:tcPr>
            <w:tcW w:w="911" w:type="dxa"/>
          </w:tcPr>
          <w:p w14:paraId="00BA210E" w14:textId="77777777" w:rsidR="00FC1461" w:rsidRPr="00CA19BE" w:rsidRDefault="00FC1461" w:rsidP="00CA19BE">
            <w:pPr>
              <w:pStyle w:val="Sansinterligne"/>
              <w:rPr>
                <w:rFonts w:asciiTheme="majorBidi" w:hAnsiTheme="majorBidi" w:cstheme="majorBidi"/>
              </w:rPr>
            </w:pPr>
          </w:p>
        </w:tc>
      </w:tr>
      <w:tr w:rsidR="00FC1461" w:rsidRPr="00CA19BE" w14:paraId="6573112F" w14:textId="77777777" w:rsidTr="009645CF">
        <w:trPr>
          <w:trHeight w:val="1521"/>
        </w:trPr>
        <w:tc>
          <w:tcPr>
            <w:tcW w:w="4348" w:type="dxa"/>
          </w:tcPr>
          <w:p w14:paraId="3E879CC3"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lastRenderedPageBreak/>
              <w:t>SCHB-GICA offre quelque chose d’unique sur le marché du ciment.</w:t>
            </w:r>
          </w:p>
          <w:p w14:paraId="7395AA72" w14:textId="77777777" w:rsidR="00FC1461" w:rsidRPr="00CA19BE" w:rsidRDefault="00FC1461" w:rsidP="00CA19BE">
            <w:pPr>
              <w:pStyle w:val="Sansinterligne"/>
              <w:rPr>
                <w:rFonts w:asciiTheme="majorBidi" w:hAnsiTheme="majorBidi" w:cstheme="majorBidi"/>
              </w:rPr>
            </w:pPr>
          </w:p>
        </w:tc>
        <w:tc>
          <w:tcPr>
            <w:tcW w:w="1099" w:type="dxa"/>
          </w:tcPr>
          <w:p w14:paraId="4FB8CDCD" w14:textId="77777777" w:rsidR="00FC1461" w:rsidRPr="00CA19BE" w:rsidRDefault="00FC1461" w:rsidP="00CA19BE">
            <w:pPr>
              <w:pStyle w:val="Sansinterligne"/>
              <w:rPr>
                <w:rFonts w:asciiTheme="majorBidi" w:hAnsiTheme="majorBidi" w:cstheme="majorBidi"/>
              </w:rPr>
            </w:pPr>
          </w:p>
        </w:tc>
        <w:tc>
          <w:tcPr>
            <w:tcW w:w="941" w:type="dxa"/>
          </w:tcPr>
          <w:p w14:paraId="7FBC0B02" w14:textId="77777777" w:rsidR="00FC1461" w:rsidRPr="00CA19BE" w:rsidRDefault="00FC1461" w:rsidP="00CA19BE">
            <w:pPr>
              <w:pStyle w:val="Sansinterligne"/>
              <w:rPr>
                <w:rFonts w:asciiTheme="majorBidi" w:hAnsiTheme="majorBidi" w:cstheme="majorBidi"/>
              </w:rPr>
            </w:pPr>
          </w:p>
        </w:tc>
        <w:tc>
          <w:tcPr>
            <w:tcW w:w="1100" w:type="dxa"/>
          </w:tcPr>
          <w:p w14:paraId="6BFF4E40" w14:textId="77777777" w:rsidR="00FC1461" w:rsidRPr="00CA19BE" w:rsidRDefault="00FC1461" w:rsidP="00CA19BE">
            <w:pPr>
              <w:pStyle w:val="Sansinterligne"/>
              <w:rPr>
                <w:rFonts w:asciiTheme="majorBidi" w:hAnsiTheme="majorBidi" w:cstheme="majorBidi"/>
              </w:rPr>
            </w:pPr>
          </w:p>
        </w:tc>
        <w:tc>
          <w:tcPr>
            <w:tcW w:w="1099" w:type="dxa"/>
          </w:tcPr>
          <w:p w14:paraId="3C69D746" w14:textId="77777777" w:rsidR="00FC1461" w:rsidRPr="00CA19BE" w:rsidRDefault="00FC1461" w:rsidP="00CA19BE">
            <w:pPr>
              <w:pStyle w:val="Sansinterligne"/>
              <w:rPr>
                <w:rFonts w:asciiTheme="majorBidi" w:hAnsiTheme="majorBidi" w:cstheme="majorBidi"/>
              </w:rPr>
            </w:pPr>
          </w:p>
        </w:tc>
        <w:tc>
          <w:tcPr>
            <w:tcW w:w="911" w:type="dxa"/>
          </w:tcPr>
          <w:p w14:paraId="4374732B" w14:textId="77777777" w:rsidR="00FC1461" w:rsidRPr="00CA19BE" w:rsidRDefault="00FC1461" w:rsidP="00CA19BE">
            <w:pPr>
              <w:pStyle w:val="Sansinterligne"/>
              <w:rPr>
                <w:rFonts w:asciiTheme="majorBidi" w:hAnsiTheme="majorBidi" w:cstheme="majorBidi"/>
              </w:rPr>
            </w:pPr>
          </w:p>
        </w:tc>
      </w:tr>
      <w:tr w:rsidR="00FC1461" w:rsidRPr="00CA19BE" w14:paraId="69D7AE12" w14:textId="77777777" w:rsidTr="009645CF">
        <w:trPr>
          <w:trHeight w:val="1537"/>
        </w:trPr>
        <w:tc>
          <w:tcPr>
            <w:tcW w:w="4348" w:type="dxa"/>
          </w:tcPr>
          <w:p w14:paraId="0A672CBE"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L’image de SCHB-GICA est différente des autres entreprises du secteur.</w:t>
            </w:r>
          </w:p>
          <w:p w14:paraId="332C2162" w14:textId="77777777" w:rsidR="00FC1461" w:rsidRPr="00CA19BE" w:rsidRDefault="00FC1461" w:rsidP="00CA19BE">
            <w:pPr>
              <w:pStyle w:val="Sansinterligne"/>
              <w:rPr>
                <w:rFonts w:asciiTheme="majorBidi" w:hAnsiTheme="majorBidi" w:cstheme="majorBidi"/>
              </w:rPr>
            </w:pPr>
          </w:p>
        </w:tc>
        <w:tc>
          <w:tcPr>
            <w:tcW w:w="1099" w:type="dxa"/>
          </w:tcPr>
          <w:p w14:paraId="3F097475" w14:textId="77777777" w:rsidR="00FC1461" w:rsidRPr="00CA19BE" w:rsidRDefault="00FC1461" w:rsidP="00CA19BE">
            <w:pPr>
              <w:pStyle w:val="Sansinterligne"/>
              <w:rPr>
                <w:rFonts w:asciiTheme="majorBidi" w:hAnsiTheme="majorBidi" w:cstheme="majorBidi"/>
              </w:rPr>
            </w:pPr>
          </w:p>
        </w:tc>
        <w:tc>
          <w:tcPr>
            <w:tcW w:w="941" w:type="dxa"/>
          </w:tcPr>
          <w:p w14:paraId="68C58DC2" w14:textId="77777777" w:rsidR="00FC1461" w:rsidRPr="00CA19BE" w:rsidRDefault="00FC1461" w:rsidP="00CA19BE">
            <w:pPr>
              <w:pStyle w:val="Sansinterligne"/>
              <w:rPr>
                <w:rFonts w:asciiTheme="majorBidi" w:hAnsiTheme="majorBidi" w:cstheme="majorBidi"/>
              </w:rPr>
            </w:pPr>
          </w:p>
        </w:tc>
        <w:tc>
          <w:tcPr>
            <w:tcW w:w="1100" w:type="dxa"/>
          </w:tcPr>
          <w:p w14:paraId="7DDC42D5" w14:textId="77777777" w:rsidR="00FC1461" w:rsidRPr="00CA19BE" w:rsidRDefault="00FC1461" w:rsidP="00CA19BE">
            <w:pPr>
              <w:pStyle w:val="Sansinterligne"/>
              <w:rPr>
                <w:rFonts w:asciiTheme="majorBidi" w:hAnsiTheme="majorBidi" w:cstheme="majorBidi"/>
              </w:rPr>
            </w:pPr>
          </w:p>
        </w:tc>
        <w:tc>
          <w:tcPr>
            <w:tcW w:w="1099" w:type="dxa"/>
          </w:tcPr>
          <w:p w14:paraId="05FCF326" w14:textId="77777777" w:rsidR="00FC1461" w:rsidRPr="00CA19BE" w:rsidRDefault="00FC1461" w:rsidP="00CA19BE">
            <w:pPr>
              <w:pStyle w:val="Sansinterligne"/>
              <w:rPr>
                <w:rFonts w:asciiTheme="majorBidi" w:hAnsiTheme="majorBidi" w:cstheme="majorBidi"/>
              </w:rPr>
            </w:pPr>
          </w:p>
        </w:tc>
        <w:tc>
          <w:tcPr>
            <w:tcW w:w="911" w:type="dxa"/>
          </w:tcPr>
          <w:p w14:paraId="54089F64" w14:textId="77777777" w:rsidR="00FC1461" w:rsidRPr="00CA19BE" w:rsidRDefault="00FC1461" w:rsidP="00CA19BE">
            <w:pPr>
              <w:pStyle w:val="Sansinterligne"/>
              <w:rPr>
                <w:rFonts w:asciiTheme="majorBidi" w:hAnsiTheme="majorBidi" w:cstheme="majorBidi"/>
              </w:rPr>
            </w:pPr>
          </w:p>
        </w:tc>
      </w:tr>
      <w:tr w:rsidR="00FC1461" w:rsidRPr="00CA19BE" w14:paraId="6A0FD20F" w14:textId="77777777" w:rsidTr="009645CF">
        <w:trPr>
          <w:trHeight w:val="1014"/>
        </w:trPr>
        <w:tc>
          <w:tcPr>
            <w:tcW w:w="4348" w:type="dxa"/>
          </w:tcPr>
          <w:p w14:paraId="123DD437"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Je reconnais facilement SCHB-GICA parmi les autres marques concurrentes.</w:t>
            </w:r>
          </w:p>
          <w:p w14:paraId="6902F621" w14:textId="77777777" w:rsidR="00FC1461" w:rsidRPr="00CA19BE" w:rsidRDefault="00FC1461" w:rsidP="00CA19BE">
            <w:pPr>
              <w:pStyle w:val="Sansinterligne"/>
              <w:rPr>
                <w:rFonts w:asciiTheme="majorBidi" w:hAnsiTheme="majorBidi" w:cstheme="majorBidi"/>
              </w:rPr>
            </w:pPr>
          </w:p>
        </w:tc>
        <w:tc>
          <w:tcPr>
            <w:tcW w:w="1099" w:type="dxa"/>
          </w:tcPr>
          <w:p w14:paraId="31A93A03" w14:textId="77777777" w:rsidR="00FC1461" w:rsidRPr="00CA19BE" w:rsidRDefault="00FC1461" w:rsidP="00CA19BE">
            <w:pPr>
              <w:pStyle w:val="Sansinterligne"/>
              <w:rPr>
                <w:rFonts w:asciiTheme="majorBidi" w:hAnsiTheme="majorBidi" w:cstheme="majorBidi"/>
              </w:rPr>
            </w:pPr>
          </w:p>
        </w:tc>
        <w:tc>
          <w:tcPr>
            <w:tcW w:w="941" w:type="dxa"/>
          </w:tcPr>
          <w:p w14:paraId="44235FC1" w14:textId="77777777" w:rsidR="00FC1461" w:rsidRPr="00CA19BE" w:rsidRDefault="00FC1461" w:rsidP="00CA19BE">
            <w:pPr>
              <w:pStyle w:val="Sansinterligne"/>
              <w:rPr>
                <w:rFonts w:asciiTheme="majorBidi" w:hAnsiTheme="majorBidi" w:cstheme="majorBidi"/>
              </w:rPr>
            </w:pPr>
          </w:p>
        </w:tc>
        <w:tc>
          <w:tcPr>
            <w:tcW w:w="1100" w:type="dxa"/>
          </w:tcPr>
          <w:p w14:paraId="1C1D40B6" w14:textId="77777777" w:rsidR="00FC1461" w:rsidRPr="00CA19BE" w:rsidRDefault="00FC1461" w:rsidP="00CA19BE">
            <w:pPr>
              <w:pStyle w:val="Sansinterligne"/>
              <w:rPr>
                <w:rFonts w:asciiTheme="majorBidi" w:hAnsiTheme="majorBidi" w:cstheme="majorBidi"/>
              </w:rPr>
            </w:pPr>
          </w:p>
        </w:tc>
        <w:tc>
          <w:tcPr>
            <w:tcW w:w="1099" w:type="dxa"/>
          </w:tcPr>
          <w:p w14:paraId="2948588A" w14:textId="77777777" w:rsidR="00FC1461" w:rsidRPr="00CA19BE" w:rsidRDefault="00FC1461" w:rsidP="00CA19BE">
            <w:pPr>
              <w:pStyle w:val="Sansinterligne"/>
              <w:rPr>
                <w:rFonts w:asciiTheme="majorBidi" w:hAnsiTheme="majorBidi" w:cstheme="majorBidi"/>
              </w:rPr>
            </w:pPr>
          </w:p>
        </w:tc>
        <w:tc>
          <w:tcPr>
            <w:tcW w:w="911" w:type="dxa"/>
          </w:tcPr>
          <w:p w14:paraId="5779787A" w14:textId="77777777" w:rsidR="00FC1461" w:rsidRPr="00CA19BE" w:rsidRDefault="00FC1461" w:rsidP="00CA19BE">
            <w:pPr>
              <w:pStyle w:val="Sansinterligne"/>
              <w:rPr>
                <w:rFonts w:asciiTheme="majorBidi" w:hAnsiTheme="majorBidi" w:cstheme="majorBidi"/>
              </w:rPr>
            </w:pPr>
          </w:p>
        </w:tc>
      </w:tr>
      <w:tr w:rsidR="00FC1461" w:rsidRPr="00CA19BE" w14:paraId="604B339B" w14:textId="77777777" w:rsidTr="009645CF">
        <w:trPr>
          <w:trHeight w:val="1521"/>
        </w:trPr>
        <w:tc>
          <w:tcPr>
            <w:tcW w:w="4348" w:type="dxa"/>
          </w:tcPr>
          <w:p w14:paraId="7BFA7F4F"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L’image de SCHB-GICA donne une impression de solidité et de fiabilité.</w:t>
            </w:r>
          </w:p>
          <w:p w14:paraId="53F2EF30" w14:textId="77777777" w:rsidR="00FC1461" w:rsidRPr="00CA19BE" w:rsidRDefault="00FC1461" w:rsidP="00CA19BE">
            <w:pPr>
              <w:pStyle w:val="Sansinterligne"/>
              <w:rPr>
                <w:rFonts w:asciiTheme="majorBidi" w:hAnsiTheme="majorBidi" w:cstheme="majorBidi"/>
              </w:rPr>
            </w:pPr>
          </w:p>
        </w:tc>
        <w:tc>
          <w:tcPr>
            <w:tcW w:w="1099" w:type="dxa"/>
          </w:tcPr>
          <w:p w14:paraId="29CED716" w14:textId="77777777" w:rsidR="00FC1461" w:rsidRPr="00CA19BE" w:rsidRDefault="00FC1461" w:rsidP="00CA19BE">
            <w:pPr>
              <w:pStyle w:val="Sansinterligne"/>
              <w:rPr>
                <w:rFonts w:asciiTheme="majorBidi" w:hAnsiTheme="majorBidi" w:cstheme="majorBidi"/>
              </w:rPr>
            </w:pPr>
          </w:p>
        </w:tc>
        <w:tc>
          <w:tcPr>
            <w:tcW w:w="941" w:type="dxa"/>
          </w:tcPr>
          <w:p w14:paraId="7F1E27E0" w14:textId="77777777" w:rsidR="00FC1461" w:rsidRPr="00CA19BE" w:rsidRDefault="00FC1461" w:rsidP="00CA19BE">
            <w:pPr>
              <w:pStyle w:val="Sansinterligne"/>
              <w:rPr>
                <w:rFonts w:asciiTheme="majorBidi" w:hAnsiTheme="majorBidi" w:cstheme="majorBidi"/>
              </w:rPr>
            </w:pPr>
          </w:p>
        </w:tc>
        <w:tc>
          <w:tcPr>
            <w:tcW w:w="1100" w:type="dxa"/>
          </w:tcPr>
          <w:p w14:paraId="42ECC81E" w14:textId="77777777" w:rsidR="00FC1461" w:rsidRPr="00CA19BE" w:rsidRDefault="00FC1461" w:rsidP="00CA19BE">
            <w:pPr>
              <w:pStyle w:val="Sansinterligne"/>
              <w:rPr>
                <w:rFonts w:asciiTheme="majorBidi" w:hAnsiTheme="majorBidi" w:cstheme="majorBidi"/>
              </w:rPr>
            </w:pPr>
          </w:p>
        </w:tc>
        <w:tc>
          <w:tcPr>
            <w:tcW w:w="1099" w:type="dxa"/>
          </w:tcPr>
          <w:p w14:paraId="10C5F799" w14:textId="77777777" w:rsidR="00FC1461" w:rsidRPr="00CA19BE" w:rsidRDefault="00FC1461" w:rsidP="00CA19BE">
            <w:pPr>
              <w:pStyle w:val="Sansinterligne"/>
              <w:rPr>
                <w:rFonts w:asciiTheme="majorBidi" w:hAnsiTheme="majorBidi" w:cstheme="majorBidi"/>
              </w:rPr>
            </w:pPr>
          </w:p>
        </w:tc>
        <w:tc>
          <w:tcPr>
            <w:tcW w:w="911" w:type="dxa"/>
          </w:tcPr>
          <w:p w14:paraId="15B8741D" w14:textId="77777777" w:rsidR="00FC1461" w:rsidRPr="00CA19BE" w:rsidRDefault="00FC1461" w:rsidP="00CA19BE">
            <w:pPr>
              <w:pStyle w:val="Sansinterligne"/>
              <w:rPr>
                <w:rFonts w:asciiTheme="majorBidi" w:hAnsiTheme="majorBidi" w:cstheme="majorBidi"/>
              </w:rPr>
            </w:pPr>
          </w:p>
        </w:tc>
      </w:tr>
      <w:tr w:rsidR="00FC1461" w:rsidRPr="00CA19BE" w14:paraId="41CD7365" w14:textId="77777777" w:rsidTr="009645CF">
        <w:trPr>
          <w:trHeight w:val="1537"/>
        </w:trPr>
        <w:tc>
          <w:tcPr>
            <w:tcW w:w="4348" w:type="dxa"/>
          </w:tcPr>
          <w:p w14:paraId="4007AE8E"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La communication de SCHB-GICA rend la marque attrayante à mes yeux.</w:t>
            </w:r>
          </w:p>
        </w:tc>
        <w:tc>
          <w:tcPr>
            <w:tcW w:w="1099" w:type="dxa"/>
          </w:tcPr>
          <w:p w14:paraId="01C050FC" w14:textId="77777777" w:rsidR="00FC1461" w:rsidRPr="00CA19BE" w:rsidRDefault="00FC1461" w:rsidP="00CA19BE">
            <w:pPr>
              <w:pStyle w:val="Sansinterligne"/>
              <w:rPr>
                <w:rFonts w:asciiTheme="majorBidi" w:hAnsiTheme="majorBidi" w:cstheme="majorBidi"/>
              </w:rPr>
            </w:pPr>
          </w:p>
        </w:tc>
        <w:tc>
          <w:tcPr>
            <w:tcW w:w="941" w:type="dxa"/>
          </w:tcPr>
          <w:p w14:paraId="49EF8D64" w14:textId="77777777" w:rsidR="00FC1461" w:rsidRPr="00CA19BE" w:rsidRDefault="00FC1461" w:rsidP="00CA19BE">
            <w:pPr>
              <w:pStyle w:val="Sansinterligne"/>
              <w:rPr>
                <w:rFonts w:asciiTheme="majorBidi" w:hAnsiTheme="majorBidi" w:cstheme="majorBidi"/>
              </w:rPr>
            </w:pPr>
          </w:p>
        </w:tc>
        <w:tc>
          <w:tcPr>
            <w:tcW w:w="1100" w:type="dxa"/>
          </w:tcPr>
          <w:p w14:paraId="061017DD" w14:textId="77777777" w:rsidR="00FC1461" w:rsidRPr="00CA19BE" w:rsidRDefault="00FC1461" w:rsidP="00CA19BE">
            <w:pPr>
              <w:pStyle w:val="Sansinterligne"/>
              <w:rPr>
                <w:rFonts w:asciiTheme="majorBidi" w:hAnsiTheme="majorBidi" w:cstheme="majorBidi"/>
              </w:rPr>
            </w:pPr>
          </w:p>
        </w:tc>
        <w:tc>
          <w:tcPr>
            <w:tcW w:w="1099" w:type="dxa"/>
          </w:tcPr>
          <w:p w14:paraId="32703E4C" w14:textId="77777777" w:rsidR="00FC1461" w:rsidRPr="00CA19BE" w:rsidRDefault="00FC1461" w:rsidP="00CA19BE">
            <w:pPr>
              <w:pStyle w:val="Sansinterligne"/>
              <w:rPr>
                <w:rFonts w:asciiTheme="majorBidi" w:hAnsiTheme="majorBidi" w:cstheme="majorBidi"/>
              </w:rPr>
            </w:pPr>
          </w:p>
        </w:tc>
        <w:tc>
          <w:tcPr>
            <w:tcW w:w="911" w:type="dxa"/>
          </w:tcPr>
          <w:p w14:paraId="1712A841" w14:textId="77777777" w:rsidR="00FC1461" w:rsidRPr="00CA19BE" w:rsidRDefault="00FC1461" w:rsidP="00CA19BE">
            <w:pPr>
              <w:pStyle w:val="Sansinterligne"/>
              <w:rPr>
                <w:rFonts w:asciiTheme="majorBidi" w:hAnsiTheme="majorBidi" w:cstheme="majorBidi"/>
              </w:rPr>
            </w:pPr>
          </w:p>
        </w:tc>
      </w:tr>
      <w:tr w:rsidR="00FC1461" w:rsidRPr="00CA19BE" w14:paraId="0E860D64" w14:textId="77777777" w:rsidTr="009645CF">
        <w:trPr>
          <w:trHeight w:val="2028"/>
        </w:trPr>
        <w:tc>
          <w:tcPr>
            <w:tcW w:w="4348" w:type="dxa"/>
          </w:tcPr>
          <w:p w14:paraId="01D0C2DC"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SCHB-GICA est une marque que j’estime valorisante pour une entreprise ou un projet de construction.</w:t>
            </w:r>
          </w:p>
        </w:tc>
        <w:tc>
          <w:tcPr>
            <w:tcW w:w="1099" w:type="dxa"/>
          </w:tcPr>
          <w:p w14:paraId="40D02B3E" w14:textId="77777777" w:rsidR="00FC1461" w:rsidRPr="00CA19BE" w:rsidRDefault="00FC1461" w:rsidP="00CA19BE">
            <w:pPr>
              <w:pStyle w:val="Sansinterligne"/>
              <w:rPr>
                <w:rFonts w:asciiTheme="majorBidi" w:hAnsiTheme="majorBidi" w:cstheme="majorBidi"/>
              </w:rPr>
            </w:pPr>
          </w:p>
        </w:tc>
        <w:tc>
          <w:tcPr>
            <w:tcW w:w="941" w:type="dxa"/>
          </w:tcPr>
          <w:p w14:paraId="0D17C1A5" w14:textId="77777777" w:rsidR="00FC1461" w:rsidRPr="00CA19BE" w:rsidRDefault="00FC1461" w:rsidP="00CA19BE">
            <w:pPr>
              <w:pStyle w:val="Sansinterligne"/>
              <w:rPr>
                <w:rFonts w:asciiTheme="majorBidi" w:hAnsiTheme="majorBidi" w:cstheme="majorBidi"/>
              </w:rPr>
            </w:pPr>
          </w:p>
        </w:tc>
        <w:tc>
          <w:tcPr>
            <w:tcW w:w="1100" w:type="dxa"/>
          </w:tcPr>
          <w:p w14:paraId="636C926F" w14:textId="77777777" w:rsidR="00FC1461" w:rsidRPr="00CA19BE" w:rsidRDefault="00FC1461" w:rsidP="00CA19BE">
            <w:pPr>
              <w:pStyle w:val="Sansinterligne"/>
              <w:rPr>
                <w:rFonts w:asciiTheme="majorBidi" w:hAnsiTheme="majorBidi" w:cstheme="majorBidi"/>
              </w:rPr>
            </w:pPr>
          </w:p>
        </w:tc>
        <w:tc>
          <w:tcPr>
            <w:tcW w:w="1099" w:type="dxa"/>
          </w:tcPr>
          <w:p w14:paraId="573A8EB4" w14:textId="77777777" w:rsidR="00FC1461" w:rsidRPr="00CA19BE" w:rsidRDefault="00FC1461" w:rsidP="00CA19BE">
            <w:pPr>
              <w:pStyle w:val="Sansinterligne"/>
              <w:rPr>
                <w:rFonts w:asciiTheme="majorBidi" w:hAnsiTheme="majorBidi" w:cstheme="majorBidi"/>
              </w:rPr>
            </w:pPr>
          </w:p>
        </w:tc>
        <w:tc>
          <w:tcPr>
            <w:tcW w:w="911" w:type="dxa"/>
          </w:tcPr>
          <w:p w14:paraId="7C817C2F" w14:textId="77777777" w:rsidR="00FC1461" w:rsidRPr="00CA19BE" w:rsidRDefault="00FC1461" w:rsidP="00CA19BE">
            <w:pPr>
              <w:pStyle w:val="Sansinterligne"/>
              <w:rPr>
                <w:rFonts w:asciiTheme="majorBidi" w:hAnsiTheme="majorBidi" w:cstheme="majorBidi"/>
              </w:rPr>
            </w:pPr>
          </w:p>
        </w:tc>
      </w:tr>
      <w:tr w:rsidR="00FC1461" w:rsidRPr="00CA19BE" w14:paraId="1FDB7FB0" w14:textId="77777777" w:rsidTr="009645CF">
        <w:trPr>
          <w:trHeight w:val="1521"/>
        </w:trPr>
        <w:tc>
          <w:tcPr>
            <w:tcW w:w="4348" w:type="dxa"/>
          </w:tcPr>
          <w:p w14:paraId="47BC619C" w14:textId="77777777" w:rsidR="00FC1461" w:rsidRPr="00CA19BE" w:rsidRDefault="00FC1461" w:rsidP="00CA19BE">
            <w:pPr>
              <w:pStyle w:val="Sansinterligne"/>
              <w:rPr>
                <w:rFonts w:asciiTheme="majorBidi" w:hAnsiTheme="majorBidi" w:cstheme="majorBidi"/>
              </w:rPr>
            </w:pPr>
            <w:r w:rsidRPr="00CA19BE">
              <w:rPr>
                <w:rFonts w:asciiTheme="majorBidi" w:hAnsiTheme="majorBidi" w:cstheme="majorBidi"/>
              </w:rPr>
              <w:t>L’apparence visuelle (logo, couleur, nom) de SCHB-GICA renforce son image positive</w:t>
            </w:r>
          </w:p>
          <w:p w14:paraId="20F984ED" w14:textId="77777777" w:rsidR="00FC1461" w:rsidRPr="00CA19BE" w:rsidRDefault="00FC1461" w:rsidP="00CA19BE">
            <w:pPr>
              <w:pStyle w:val="Sansinterligne"/>
              <w:rPr>
                <w:rFonts w:asciiTheme="majorBidi" w:hAnsiTheme="majorBidi" w:cstheme="majorBidi"/>
              </w:rPr>
            </w:pPr>
          </w:p>
        </w:tc>
        <w:tc>
          <w:tcPr>
            <w:tcW w:w="1099" w:type="dxa"/>
          </w:tcPr>
          <w:p w14:paraId="1F6D371D" w14:textId="77777777" w:rsidR="00FC1461" w:rsidRPr="00CA19BE" w:rsidRDefault="00FC1461" w:rsidP="00CA19BE">
            <w:pPr>
              <w:pStyle w:val="Sansinterligne"/>
              <w:rPr>
                <w:rFonts w:asciiTheme="majorBidi" w:hAnsiTheme="majorBidi" w:cstheme="majorBidi"/>
              </w:rPr>
            </w:pPr>
          </w:p>
        </w:tc>
        <w:tc>
          <w:tcPr>
            <w:tcW w:w="941" w:type="dxa"/>
          </w:tcPr>
          <w:p w14:paraId="3BE82429" w14:textId="77777777" w:rsidR="00FC1461" w:rsidRPr="00CA19BE" w:rsidRDefault="00FC1461" w:rsidP="00CA19BE">
            <w:pPr>
              <w:pStyle w:val="Sansinterligne"/>
              <w:rPr>
                <w:rFonts w:asciiTheme="majorBidi" w:hAnsiTheme="majorBidi" w:cstheme="majorBidi"/>
              </w:rPr>
            </w:pPr>
          </w:p>
        </w:tc>
        <w:tc>
          <w:tcPr>
            <w:tcW w:w="1100" w:type="dxa"/>
          </w:tcPr>
          <w:p w14:paraId="53BFFD74" w14:textId="77777777" w:rsidR="00FC1461" w:rsidRPr="00CA19BE" w:rsidRDefault="00FC1461" w:rsidP="00CA19BE">
            <w:pPr>
              <w:pStyle w:val="Sansinterligne"/>
              <w:rPr>
                <w:rFonts w:asciiTheme="majorBidi" w:hAnsiTheme="majorBidi" w:cstheme="majorBidi"/>
              </w:rPr>
            </w:pPr>
          </w:p>
        </w:tc>
        <w:tc>
          <w:tcPr>
            <w:tcW w:w="1099" w:type="dxa"/>
          </w:tcPr>
          <w:p w14:paraId="076B2CB3" w14:textId="77777777" w:rsidR="00FC1461" w:rsidRPr="00CA19BE" w:rsidRDefault="00FC1461" w:rsidP="00CA19BE">
            <w:pPr>
              <w:pStyle w:val="Sansinterligne"/>
              <w:rPr>
                <w:rFonts w:asciiTheme="majorBidi" w:hAnsiTheme="majorBidi" w:cstheme="majorBidi"/>
              </w:rPr>
            </w:pPr>
          </w:p>
        </w:tc>
        <w:tc>
          <w:tcPr>
            <w:tcW w:w="911" w:type="dxa"/>
          </w:tcPr>
          <w:p w14:paraId="359E9589" w14:textId="77777777" w:rsidR="00FC1461" w:rsidRPr="00CA19BE" w:rsidRDefault="00FC1461" w:rsidP="00CA19BE">
            <w:pPr>
              <w:pStyle w:val="Sansinterligne"/>
              <w:rPr>
                <w:rFonts w:asciiTheme="majorBidi" w:hAnsiTheme="majorBidi" w:cstheme="majorBidi"/>
              </w:rPr>
            </w:pPr>
          </w:p>
        </w:tc>
      </w:tr>
    </w:tbl>
    <w:p w14:paraId="42BE5163" w14:textId="77777777" w:rsidR="003E47BC" w:rsidRDefault="003E47BC" w:rsidP="004C3414">
      <w:pPr>
        <w:spacing w:line="480" w:lineRule="auto"/>
        <w:ind w:firstLine="0"/>
        <w:rPr>
          <w:b/>
          <w:bCs/>
          <w:sz w:val="28"/>
          <w:szCs w:val="28"/>
        </w:rPr>
      </w:pPr>
    </w:p>
    <w:p w14:paraId="1A4523A0" w14:textId="77777777" w:rsidR="00FB6F25" w:rsidRDefault="00FB6F25" w:rsidP="004C3414">
      <w:pPr>
        <w:spacing w:line="480" w:lineRule="auto"/>
        <w:ind w:firstLine="0"/>
        <w:rPr>
          <w:b/>
          <w:bCs/>
          <w:sz w:val="28"/>
          <w:szCs w:val="28"/>
        </w:rPr>
      </w:pPr>
    </w:p>
    <w:p w14:paraId="697470BD" w14:textId="77777777" w:rsidR="00FB6F25" w:rsidRDefault="00FB6F25" w:rsidP="004C3414">
      <w:pPr>
        <w:spacing w:line="480" w:lineRule="auto"/>
        <w:ind w:firstLine="0"/>
        <w:rPr>
          <w:b/>
          <w:bCs/>
          <w:sz w:val="28"/>
          <w:szCs w:val="28"/>
        </w:rPr>
      </w:pPr>
    </w:p>
    <w:p w14:paraId="3315E4AB" w14:textId="77777777" w:rsidR="00FB6F25" w:rsidRPr="004C3414" w:rsidRDefault="00FB6F25" w:rsidP="004C3414">
      <w:pPr>
        <w:spacing w:line="480" w:lineRule="auto"/>
        <w:ind w:firstLine="0"/>
        <w:rPr>
          <w:b/>
          <w:bCs/>
          <w:sz w:val="28"/>
          <w:szCs w:val="28"/>
        </w:rPr>
      </w:pPr>
    </w:p>
    <w:p w14:paraId="69F23E13" w14:textId="77777777" w:rsidR="00FB6F25" w:rsidRPr="003E47BC" w:rsidRDefault="003E47BC" w:rsidP="00FB6F25">
      <w:pPr>
        <w:spacing w:line="480" w:lineRule="auto"/>
        <w:ind w:firstLine="0"/>
        <w:rPr>
          <w:b/>
          <w:bCs/>
          <w:sz w:val="28"/>
          <w:szCs w:val="28"/>
        </w:rPr>
      </w:pPr>
      <w:r w:rsidRPr="003E47BC">
        <w:rPr>
          <w:b/>
          <w:bCs/>
          <w:sz w:val="28"/>
          <w:szCs w:val="28"/>
        </w:rPr>
        <w:lastRenderedPageBreak/>
        <w:t>Annexe 02 :</w:t>
      </w:r>
      <w:r w:rsidR="00FB6F25" w:rsidRPr="003E47BC">
        <w:rPr>
          <w:b/>
          <w:bCs/>
          <w:sz w:val="28"/>
          <w:szCs w:val="28"/>
        </w:rPr>
        <w:t xml:space="preserve"> </w:t>
      </w:r>
    </w:p>
    <w:tbl>
      <w:tblPr>
        <w:tblStyle w:val="Grilledutableau"/>
        <w:tblpPr w:leftFromText="141" w:rightFromText="141" w:vertAnchor="text" w:horzAnchor="margin" w:tblpY="29"/>
        <w:tblW w:w="9725" w:type="dxa"/>
        <w:tblLook w:val="04A0" w:firstRow="1" w:lastRow="0" w:firstColumn="1" w:lastColumn="0" w:noHBand="0" w:noVBand="1"/>
      </w:tblPr>
      <w:tblGrid>
        <w:gridCol w:w="3235"/>
        <w:gridCol w:w="3245"/>
        <w:gridCol w:w="3245"/>
      </w:tblGrid>
      <w:tr w:rsidR="003E47BC" w:rsidRPr="00F15548" w14:paraId="6911944E" w14:textId="77777777" w:rsidTr="00FB0F4A">
        <w:trPr>
          <w:trHeight w:val="557"/>
        </w:trPr>
        <w:tc>
          <w:tcPr>
            <w:tcW w:w="3235" w:type="dxa"/>
          </w:tcPr>
          <w:p w14:paraId="0D444376"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Annexe</w:t>
            </w:r>
            <w:proofErr w:type="spellEnd"/>
          </w:p>
        </w:tc>
        <w:tc>
          <w:tcPr>
            <w:tcW w:w="3245" w:type="dxa"/>
          </w:tcPr>
          <w:p w14:paraId="0EDCB034"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Titre</w:t>
            </w:r>
            <w:proofErr w:type="spellEnd"/>
          </w:p>
        </w:tc>
        <w:tc>
          <w:tcPr>
            <w:tcW w:w="3245" w:type="dxa"/>
            <w:vAlign w:val="center"/>
          </w:tcPr>
          <w:p w14:paraId="4360866B"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Contenu</w:t>
            </w:r>
            <w:proofErr w:type="spellEnd"/>
          </w:p>
        </w:tc>
      </w:tr>
      <w:tr w:rsidR="003E47BC" w:rsidRPr="00F15548" w14:paraId="38CD0EFF" w14:textId="77777777" w:rsidTr="00FB0F4A">
        <w:trPr>
          <w:trHeight w:val="1223"/>
        </w:trPr>
        <w:tc>
          <w:tcPr>
            <w:tcW w:w="3235" w:type="dxa"/>
          </w:tcPr>
          <w:p w14:paraId="62736194"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Annexe</w:t>
            </w:r>
            <w:proofErr w:type="spellEnd"/>
            <w:r w:rsidRPr="00F15548">
              <w:rPr>
                <w:rStyle w:val="lev"/>
                <w:rFonts w:asciiTheme="majorBidi" w:hAnsiTheme="majorBidi" w:cstheme="majorBidi"/>
                <w:color w:val="222222"/>
              </w:rPr>
              <w:t xml:space="preserve"> </w:t>
            </w:r>
            <w:r w:rsidRPr="00F15548">
              <w:rPr>
                <w:rStyle w:val="lev"/>
                <w:rFonts w:asciiTheme="majorBidi" w:hAnsiTheme="majorBidi" w:cstheme="majorBidi"/>
              </w:rPr>
              <w:t>1</w:t>
            </w:r>
          </w:p>
        </w:tc>
        <w:tc>
          <w:tcPr>
            <w:tcW w:w="3245" w:type="dxa"/>
            <w:vAlign w:val="center"/>
          </w:tcPr>
          <w:p w14:paraId="7F736485"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Capture d’écran de la vidéo Facebook de mai 2023</w:t>
            </w:r>
          </w:p>
        </w:tc>
        <w:tc>
          <w:tcPr>
            <w:tcW w:w="3245" w:type="dxa"/>
          </w:tcPr>
          <w:p w14:paraId="08E448E4"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Vidéo de sensibilisation sur le tri des déchets à la SCHB</w:t>
            </w:r>
          </w:p>
        </w:tc>
      </w:tr>
      <w:tr w:rsidR="003E47BC" w:rsidRPr="00F15548" w14:paraId="3EE16D2E" w14:textId="77777777" w:rsidTr="00FB0F4A">
        <w:trPr>
          <w:trHeight w:val="1163"/>
        </w:trPr>
        <w:tc>
          <w:tcPr>
            <w:tcW w:w="3235" w:type="dxa"/>
          </w:tcPr>
          <w:p w14:paraId="2DC52102"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Annexe</w:t>
            </w:r>
            <w:proofErr w:type="spellEnd"/>
            <w:r w:rsidRPr="00F15548">
              <w:rPr>
                <w:rStyle w:val="lev"/>
                <w:rFonts w:asciiTheme="majorBidi" w:hAnsiTheme="majorBidi" w:cstheme="majorBidi"/>
                <w:color w:val="222222"/>
              </w:rPr>
              <w:t xml:space="preserve"> </w:t>
            </w:r>
            <w:r w:rsidRPr="00F15548">
              <w:rPr>
                <w:rStyle w:val="lev"/>
                <w:rFonts w:asciiTheme="majorBidi" w:hAnsiTheme="majorBidi" w:cstheme="majorBidi"/>
              </w:rPr>
              <w:t>2</w:t>
            </w:r>
          </w:p>
        </w:tc>
        <w:tc>
          <w:tcPr>
            <w:tcW w:w="3245" w:type="dxa"/>
          </w:tcPr>
          <w:p w14:paraId="7E90116E"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Publication LinkedIn du Groupe GICA (février 2024</w:t>
            </w:r>
          </w:p>
        </w:tc>
        <w:tc>
          <w:tcPr>
            <w:tcW w:w="3245" w:type="dxa"/>
            <w:vAlign w:val="center"/>
          </w:tcPr>
          <w:p w14:paraId="77F9A2A4"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Intégration de jeunes diplômés dans les filiales du groupe</w:t>
            </w:r>
          </w:p>
        </w:tc>
      </w:tr>
      <w:tr w:rsidR="003E47BC" w:rsidRPr="00F15548" w14:paraId="54CFFC3B" w14:textId="77777777" w:rsidTr="00FB0F4A">
        <w:trPr>
          <w:trHeight w:val="1223"/>
        </w:trPr>
        <w:tc>
          <w:tcPr>
            <w:tcW w:w="3235" w:type="dxa"/>
          </w:tcPr>
          <w:p w14:paraId="6926646F"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Annexe</w:t>
            </w:r>
            <w:proofErr w:type="spellEnd"/>
            <w:r w:rsidRPr="00F15548">
              <w:rPr>
                <w:rStyle w:val="lev"/>
                <w:rFonts w:asciiTheme="majorBidi" w:hAnsiTheme="majorBidi" w:cstheme="majorBidi"/>
                <w:color w:val="222222"/>
              </w:rPr>
              <w:t xml:space="preserve"> </w:t>
            </w:r>
            <w:r w:rsidRPr="00F15548">
              <w:rPr>
                <w:rStyle w:val="lev"/>
                <w:rFonts w:asciiTheme="majorBidi" w:hAnsiTheme="majorBidi" w:cstheme="majorBidi"/>
              </w:rPr>
              <w:t>3</w:t>
            </w:r>
          </w:p>
        </w:tc>
        <w:tc>
          <w:tcPr>
            <w:tcW w:w="3245" w:type="dxa"/>
            <w:vAlign w:val="center"/>
          </w:tcPr>
          <w:p w14:paraId="00E7F7A8"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Photos de la campagne de reboisement menée à Constantine (mars 2024)</w:t>
            </w:r>
          </w:p>
        </w:tc>
        <w:tc>
          <w:tcPr>
            <w:tcW w:w="3245" w:type="dxa"/>
          </w:tcPr>
          <w:p w14:paraId="5E1488C6"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Images de l’opération menée avec l’association El-Khadra</w:t>
            </w:r>
          </w:p>
        </w:tc>
      </w:tr>
      <w:tr w:rsidR="003E47BC" w:rsidRPr="00F15548" w14:paraId="11BDFCC6" w14:textId="77777777" w:rsidTr="00FB0F4A">
        <w:trPr>
          <w:trHeight w:val="1223"/>
        </w:trPr>
        <w:tc>
          <w:tcPr>
            <w:tcW w:w="3235" w:type="dxa"/>
          </w:tcPr>
          <w:p w14:paraId="4A0C42BE" w14:textId="77777777" w:rsidR="003E47BC" w:rsidRPr="00F15548" w:rsidRDefault="003E47BC" w:rsidP="00FB0F4A">
            <w:pPr>
              <w:pStyle w:val="Corpsdetexte"/>
              <w:spacing w:line="360" w:lineRule="auto"/>
              <w:rPr>
                <w:rFonts w:asciiTheme="majorBidi" w:hAnsiTheme="majorBidi" w:cstheme="majorBidi"/>
              </w:rPr>
            </w:pPr>
            <w:proofErr w:type="spellStart"/>
            <w:r w:rsidRPr="00F15548">
              <w:rPr>
                <w:rStyle w:val="lev"/>
                <w:rFonts w:asciiTheme="majorBidi" w:hAnsiTheme="majorBidi" w:cstheme="majorBidi"/>
                <w:color w:val="222222"/>
              </w:rPr>
              <w:t>Annexe</w:t>
            </w:r>
            <w:proofErr w:type="spellEnd"/>
            <w:r w:rsidRPr="00F15548">
              <w:rPr>
                <w:rStyle w:val="lev"/>
                <w:rFonts w:asciiTheme="majorBidi" w:hAnsiTheme="majorBidi" w:cstheme="majorBidi"/>
                <w:color w:val="222222"/>
              </w:rPr>
              <w:t xml:space="preserve"> </w:t>
            </w:r>
            <w:r w:rsidRPr="00F15548">
              <w:rPr>
                <w:rStyle w:val="lev"/>
                <w:rFonts w:asciiTheme="majorBidi" w:hAnsiTheme="majorBidi" w:cstheme="majorBidi"/>
              </w:rPr>
              <w:t>4</w:t>
            </w:r>
          </w:p>
        </w:tc>
        <w:tc>
          <w:tcPr>
            <w:tcW w:w="3245" w:type="dxa"/>
          </w:tcPr>
          <w:p w14:paraId="53694EA9"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Communiqué de presse – Certification ISO 14001 (2022)</w:t>
            </w:r>
          </w:p>
        </w:tc>
        <w:tc>
          <w:tcPr>
            <w:tcW w:w="3245" w:type="dxa"/>
            <w:vAlign w:val="center"/>
          </w:tcPr>
          <w:p w14:paraId="09FB88DB" w14:textId="77777777" w:rsidR="003E47BC" w:rsidRPr="0063337D" w:rsidRDefault="003E47BC" w:rsidP="00FB0F4A">
            <w:pPr>
              <w:pStyle w:val="Corpsdetexte"/>
              <w:spacing w:line="360" w:lineRule="auto"/>
              <w:rPr>
                <w:rFonts w:asciiTheme="majorBidi" w:hAnsiTheme="majorBidi" w:cstheme="majorBidi"/>
                <w:lang w:val="fr-FR"/>
              </w:rPr>
            </w:pPr>
            <w:r w:rsidRPr="0063337D">
              <w:rPr>
                <w:rFonts w:asciiTheme="majorBidi" w:hAnsiTheme="majorBidi" w:cstheme="majorBidi"/>
                <w:lang w:val="fr-FR"/>
              </w:rPr>
              <w:t>Extrait du journal régional mentionnant la SCHB</w:t>
            </w:r>
          </w:p>
        </w:tc>
      </w:tr>
    </w:tbl>
    <w:p w14:paraId="4096E8C9" w14:textId="77777777" w:rsidR="003E47BC" w:rsidRDefault="003E47BC" w:rsidP="0013470E">
      <w:pPr>
        <w:pStyle w:val="Paragraphedeliste"/>
        <w:spacing w:line="480" w:lineRule="auto"/>
        <w:rPr>
          <w:b/>
          <w:bCs/>
          <w:sz w:val="28"/>
          <w:szCs w:val="28"/>
        </w:rPr>
      </w:pPr>
    </w:p>
    <w:p w14:paraId="786D2AFA" w14:textId="77777777" w:rsidR="003E47BC" w:rsidRDefault="003E47BC" w:rsidP="0013470E">
      <w:pPr>
        <w:pStyle w:val="Paragraphedeliste"/>
        <w:spacing w:line="480" w:lineRule="auto"/>
        <w:rPr>
          <w:b/>
          <w:bCs/>
          <w:sz w:val="28"/>
          <w:szCs w:val="28"/>
        </w:rPr>
      </w:pPr>
    </w:p>
    <w:p w14:paraId="0F16AF5C" w14:textId="77777777" w:rsidR="00B55438" w:rsidRPr="00107FBE" w:rsidRDefault="00B55438" w:rsidP="0013470E">
      <w:pPr>
        <w:pStyle w:val="Paragraphedeliste"/>
        <w:spacing w:line="480" w:lineRule="auto"/>
        <w:rPr>
          <w:b/>
          <w:bCs/>
          <w:sz w:val="28"/>
          <w:szCs w:val="28"/>
        </w:rPr>
      </w:pPr>
    </w:p>
    <w:sectPr w:rsidR="00B55438" w:rsidRPr="00107FBE" w:rsidSect="006D73CB">
      <w:headerReference w:type="default" r:id="rId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BAFE5" w14:textId="77777777" w:rsidR="0099369B" w:rsidRDefault="0099369B" w:rsidP="001A1F05">
      <w:pPr>
        <w:spacing w:before="0" w:after="0" w:line="240" w:lineRule="auto"/>
      </w:pPr>
      <w:r>
        <w:separator/>
      </w:r>
    </w:p>
  </w:endnote>
  <w:endnote w:type="continuationSeparator" w:id="0">
    <w:p w14:paraId="0180B68E" w14:textId="77777777" w:rsidR="0099369B" w:rsidRDefault="0099369B" w:rsidP="001A1F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376C5" w14:textId="77777777" w:rsidR="003D09A2" w:rsidRPr="0013470E" w:rsidRDefault="003D09A2">
    <w:pPr>
      <w:pStyle w:val="Pieddepage"/>
      <w:jc w:val="center"/>
      <w:rPr>
        <w:caps/>
        <w:color w:val="000000" w:themeColor="text1"/>
      </w:rPr>
    </w:pPr>
    <w:r w:rsidRPr="0013470E">
      <w:rPr>
        <w:caps/>
        <w:color w:val="000000" w:themeColor="text1"/>
      </w:rPr>
      <w:fldChar w:fldCharType="begin"/>
    </w:r>
    <w:r w:rsidRPr="0013470E">
      <w:rPr>
        <w:caps/>
        <w:color w:val="000000" w:themeColor="text1"/>
      </w:rPr>
      <w:instrText>PAGE   \* MERGEFORMAT</w:instrText>
    </w:r>
    <w:r w:rsidRPr="0013470E">
      <w:rPr>
        <w:caps/>
        <w:color w:val="000000" w:themeColor="text1"/>
      </w:rPr>
      <w:fldChar w:fldCharType="separate"/>
    </w:r>
    <w:r>
      <w:rPr>
        <w:caps/>
        <w:noProof/>
        <w:color w:val="000000" w:themeColor="text1"/>
      </w:rPr>
      <w:t>5</w:t>
    </w:r>
    <w:r w:rsidRPr="0013470E">
      <w:rPr>
        <w:caps/>
        <w:color w:val="000000" w:themeColor="text1"/>
      </w:rPr>
      <w:fldChar w:fldCharType="end"/>
    </w:r>
  </w:p>
  <w:p w14:paraId="53002700" w14:textId="77777777" w:rsidR="003D09A2" w:rsidRDefault="003D09A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DE39" w14:textId="77777777" w:rsidR="003D09A2" w:rsidRDefault="003D09A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937" w14:textId="77777777" w:rsidR="003D09A2" w:rsidRPr="0013470E" w:rsidRDefault="003D09A2">
    <w:pPr>
      <w:pStyle w:val="Pieddepage"/>
      <w:jc w:val="center"/>
      <w:rPr>
        <w:caps/>
        <w:color w:val="000000" w:themeColor="text1"/>
      </w:rPr>
    </w:pPr>
    <w:r w:rsidRPr="0013470E">
      <w:rPr>
        <w:caps/>
        <w:color w:val="000000" w:themeColor="text1"/>
      </w:rPr>
      <w:fldChar w:fldCharType="begin"/>
    </w:r>
    <w:r w:rsidRPr="0013470E">
      <w:rPr>
        <w:caps/>
        <w:color w:val="000000" w:themeColor="text1"/>
      </w:rPr>
      <w:instrText>PAGE   \* MERGEFORMAT</w:instrText>
    </w:r>
    <w:r w:rsidRPr="0013470E">
      <w:rPr>
        <w:caps/>
        <w:color w:val="000000" w:themeColor="text1"/>
      </w:rPr>
      <w:fldChar w:fldCharType="separate"/>
    </w:r>
    <w:r>
      <w:rPr>
        <w:caps/>
        <w:noProof/>
        <w:color w:val="000000" w:themeColor="text1"/>
      </w:rPr>
      <w:t>27</w:t>
    </w:r>
    <w:r w:rsidRPr="0013470E">
      <w:rPr>
        <w:caps/>
        <w:color w:val="000000" w:themeColor="text1"/>
      </w:rPr>
      <w:fldChar w:fldCharType="end"/>
    </w:r>
  </w:p>
  <w:p w14:paraId="6C995714" w14:textId="77777777" w:rsidR="003D09A2" w:rsidRDefault="003D09A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79A5A" w14:textId="77777777" w:rsidR="003D09A2" w:rsidRDefault="003D09A2">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D78C" w14:textId="77777777" w:rsidR="003D09A2" w:rsidRPr="0013470E" w:rsidRDefault="003D09A2">
    <w:pPr>
      <w:pStyle w:val="Pieddepage"/>
      <w:jc w:val="center"/>
      <w:rPr>
        <w:caps/>
        <w:color w:val="000000" w:themeColor="text1"/>
      </w:rPr>
    </w:pPr>
    <w:r w:rsidRPr="0013470E">
      <w:rPr>
        <w:caps/>
        <w:color w:val="000000" w:themeColor="text1"/>
      </w:rPr>
      <w:fldChar w:fldCharType="begin"/>
    </w:r>
    <w:r w:rsidRPr="0013470E">
      <w:rPr>
        <w:caps/>
        <w:color w:val="000000" w:themeColor="text1"/>
      </w:rPr>
      <w:instrText>PAGE   \* MERGEFORMAT</w:instrText>
    </w:r>
    <w:r w:rsidRPr="0013470E">
      <w:rPr>
        <w:caps/>
        <w:color w:val="000000" w:themeColor="text1"/>
      </w:rPr>
      <w:fldChar w:fldCharType="separate"/>
    </w:r>
    <w:r>
      <w:rPr>
        <w:caps/>
        <w:noProof/>
        <w:color w:val="000000" w:themeColor="text1"/>
      </w:rPr>
      <w:t>51</w:t>
    </w:r>
    <w:r w:rsidRPr="0013470E">
      <w:rPr>
        <w:caps/>
        <w:color w:val="000000" w:themeColor="text1"/>
      </w:rPr>
      <w:fldChar w:fldCharType="end"/>
    </w:r>
  </w:p>
  <w:p w14:paraId="57B6F611" w14:textId="77777777" w:rsidR="003D09A2" w:rsidRDefault="003D09A2">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68734" w14:textId="77777777" w:rsidR="003D09A2" w:rsidRDefault="003D09A2">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9D8D1" w14:textId="77777777" w:rsidR="003D09A2" w:rsidRPr="009A4AA8" w:rsidRDefault="003D09A2">
    <w:pPr>
      <w:pStyle w:val="Pieddepage"/>
      <w:jc w:val="center"/>
      <w:rPr>
        <w:caps/>
        <w:color w:val="000000" w:themeColor="text1"/>
      </w:rPr>
    </w:pPr>
    <w:r w:rsidRPr="009A4AA8">
      <w:rPr>
        <w:caps/>
        <w:color w:val="000000" w:themeColor="text1"/>
      </w:rPr>
      <w:fldChar w:fldCharType="begin"/>
    </w:r>
    <w:r w:rsidRPr="009A4AA8">
      <w:rPr>
        <w:caps/>
        <w:color w:val="000000" w:themeColor="text1"/>
      </w:rPr>
      <w:instrText>PAGE   \* MERGEFORMAT</w:instrText>
    </w:r>
    <w:r w:rsidRPr="009A4AA8">
      <w:rPr>
        <w:caps/>
        <w:color w:val="000000" w:themeColor="text1"/>
      </w:rPr>
      <w:fldChar w:fldCharType="separate"/>
    </w:r>
    <w:r>
      <w:rPr>
        <w:caps/>
        <w:noProof/>
        <w:color w:val="000000" w:themeColor="text1"/>
      </w:rPr>
      <w:t>62</w:t>
    </w:r>
    <w:r w:rsidRPr="009A4AA8">
      <w:rPr>
        <w:caps/>
        <w:color w:val="000000" w:themeColor="text1"/>
      </w:rPr>
      <w:fldChar w:fldCharType="end"/>
    </w:r>
  </w:p>
  <w:p w14:paraId="76AF8B7C" w14:textId="77777777" w:rsidR="003D09A2" w:rsidRDefault="003D09A2">
    <w:pPr>
      <w:pStyle w:val="Corpsdetexte"/>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91DF0" w14:textId="77777777" w:rsidR="003D09A2" w:rsidRPr="00324287" w:rsidRDefault="003D09A2">
    <w:pPr>
      <w:pStyle w:val="Pieddepage"/>
      <w:jc w:val="center"/>
      <w:rPr>
        <w:caps/>
        <w:color w:val="000000" w:themeColor="text1"/>
      </w:rPr>
    </w:pPr>
    <w:r w:rsidRPr="00324287">
      <w:rPr>
        <w:caps/>
        <w:color w:val="000000" w:themeColor="text1"/>
      </w:rPr>
      <w:fldChar w:fldCharType="begin"/>
    </w:r>
    <w:r w:rsidRPr="00324287">
      <w:rPr>
        <w:caps/>
        <w:color w:val="000000" w:themeColor="text1"/>
      </w:rPr>
      <w:instrText>PAGE   \* MERGEFORMAT</w:instrText>
    </w:r>
    <w:r w:rsidRPr="00324287">
      <w:rPr>
        <w:caps/>
        <w:color w:val="000000" w:themeColor="text1"/>
      </w:rPr>
      <w:fldChar w:fldCharType="separate"/>
    </w:r>
    <w:r>
      <w:rPr>
        <w:caps/>
        <w:noProof/>
        <w:color w:val="000000" w:themeColor="text1"/>
      </w:rPr>
      <w:t>76</w:t>
    </w:r>
    <w:r w:rsidRPr="00324287">
      <w:rPr>
        <w:caps/>
        <w:color w:val="000000" w:themeColor="text1"/>
      </w:rPr>
      <w:fldChar w:fldCharType="end"/>
    </w:r>
  </w:p>
  <w:p w14:paraId="329E742D" w14:textId="77777777" w:rsidR="003D09A2" w:rsidRDefault="003D09A2">
    <w:pPr>
      <w:pStyle w:val="Corpsdetexte"/>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78D5" w14:textId="77777777" w:rsidR="003D09A2" w:rsidRDefault="003D09A2">
    <w:pPr>
      <w:pStyle w:val="Corpsdetexte"/>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9DBE" w14:textId="77777777" w:rsidR="003D09A2" w:rsidRPr="00324287" w:rsidRDefault="003D09A2">
    <w:pPr>
      <w:pStyle w:val="Pieddepage"/>
      <w:jc w:val="center"/>
      <w:rPr>
        <w:caps/>
        <w:color w:val="000000" w:themeColor="text1"/>
      </w:rPr>
    </w:pPr>
    <w:r w:rsidRPr="00324287">
      <w:rPr>
        <w:caps/>
        <w:color w:val="000000" w:themeColor="text1"/>
      </w:rPr>
      <w:fldChar w:fldCharType="begin"/>
    </w:r>
    <w:r w:rsidRPr="00324287">
      <w:rPr>
        <w:caps/>
        <w:color w:val="000000" w:themeColor="text1"/>
      </w:rPr>
      <w:instrText>PAGE   \* MERGEFORMAT</w:instrText>
    </w:r>
    <w:r w:rsidRPr="00324287">
      <w:rPr>
        <w:caps/>
        <w:color w:val="000000" w:themeColor="text1"/>
      </w:rPr>
      <w:fldChar w:fldCharType="separate"/>
    </w:r>
    <w:r>
      <w:rPr>
        <w:caps/>
        <w:noProof/>
        <w:color w:val="000000" w:themeColor="text1"/>
      </w:rPr>
      <w:t>111</w:t>
    </w:r>
    <w:r w:rsidRPr="00324287">
      <w:rPr>
        <w:caps/>
        <w:color w:val="000000" w:themeColor="text1"/>
      </w:rPr>
      <w:fldChar w:fldCharType="end"/>
    </w:r>
  </w:p>
  <w:p w14:paraId="2BA5574B" w14:textId="77777777" w:rsidR="003D09A2" w:rsidRDefault="003D09A2">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E5E08" w14:textId="77777777" w:rsidR="0099369B" w:rsidRDefault="0099369B" w:rsidP="001A1F05">
      <w:pPr>
        <w:spacing w:before="0" w:after="0" w:line="240" w:lineRule="auto"/>
      </w:pPr>
      <w:r>
        <w:separator/>
      </w:r>
    </w:p>
  </w:footnote>
  <w:footnote w:type="continuationSeparator" w:id="0">
    <w:p w14:paraId="2B48EEEB" w14:textId="77777777" w:rsidR="0099369B" w:rsidRDefault="0099369B" w:rsidP="001A1F05">
      <w:pPr>
        <w:spacing w:before="0" w:after="0" w:line="240" w:lineRule="auto"/>
      </w:pPr>
      <w:r>
        <w:continuationSeparator/>
      </w:r>
    </w:p>
  </w:footnote>
  <w:footnote w:id="1">
    <w:p w14:paraId="2C35DCB0" w14:textId="77777777" w:rsidR="003D09A2" w:rsidRPr="00BD2CBB" w:rsidRDefault="003D09A2">
      <w:pPr>
        <w:pStyle w:val="Notedebasdepage"/>
        <w:rPr>
          <w:rFonts w:cstheme="majorBidi"/>
        </w:rPr>
      </w:pPr>
      <w:r w:rsidRPr="00BD2CBB">
        <w:rPr>
          <w:rStyle w:val="Appelnotedebasdep"/>
          <w:rFonts w:cstheme="majorBidi"/>
        </w:rPr>
        <w:footnoteRef/>
      </w:r>
      <w:r w:rsidRPr="00BD2CBB">
        <w:rPr>
          <w:rFonts w:cstheme="majorBidi"/>
        </w:rPr>
        <w:t xml:space="preserve"> Agence de l’environnement et de la maîtrise de l’énergie (France), Valérie Martin, Thierry Libaert, et Céline Penot. Leguidedela communication responsable: 2020, 2020.</w:t>
      </w:r>
    </w:p>
  </w:footnote>
  <w:footnote w:id="2">
    <w:p w14:paraId="29601957" w14:textId="77777777" w:rsidR="003D09A2" w:rsidRPr="00BD2CBB" w:rsidRDefault="003D09A2">
      <w:pPr>
        <w:pStyle w:val="Notedebasdepage"/>
        <w:rPr>
          <w:rFonts w:cstheme="majorBidi"/>
        </w:rPr>
      </w:pPr>
      <w:r w:rsidRPr="00BD2CBB">
        <w:rPr>
          <w:rStyle w:val="Appelnotedebasdep"/>
          <w:rFonts w:cstheme="majorBidi"/>
        </w:rPr>
        <w:footnoteRef/>
      </w:r>
      <w:r w:rsidRPr="00BD2CBB">
        <w:rPr>
          <w:rFonts w:cstheme="majorBidi"/>
        </w:rPr>
        <w:t xml:space="preserve"> Association canadienne de normalisation, Canada, et Bureau de la concurrence. Déclarations environnementales guide pour l’industrie et les publicitaires. Mississauga, Ont. : Association canadienne de normalisation, 2008.</w:t>
      </w:r>
    </w:p>
  </w:footnote>
  <w:footnote w:id="3">
    <w:p w14:paraId="66B8EA6E"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w:t>
      </w:r>
      <w:r w:rsidRPr="00BD2CBB">
        <w:rPr>
          <w:rFonts w:cstheme="majorBidi"/>
          <w:lang w:val="en-US"/>
        </w:rPr>
        <w:t xml:space="preserve">TerraChoice. (2010). </w:t>
      </w:r>
      <w:r w:rsidRPr="00BD2CBB">
        <w:rPr>
          <w:rStyle w:val="Accentuation"/>
          <w:rFonts w:cstheme="majorBidi"/>
          <w:i w:val="0"/>
          <w:iCs w:val="0"/>
          <w:lang w:val="en-US"/>
        </w:rPr>
        <w:t>The Sins of Greenwashing: Home and Family Edition</w:t>
      </w:r>
      <w:r w:rsidRPr="00BD2CBB">
        <w:rPr>
          <w:rFonts w:cstheme="majorBidi"/>
          <w:lang w:val="en-US"/>
        </w:rPr>
        <w:t xml:space="preserve">. Retrieved from </w:t>
      </w:r>
      <w:hyperlink r:id="rId1" w:tgtFrame="_new" w:history="1">
        <w:r w:rsidRPr="00BD2CBB">
          <w:rPr>
            <w:rStyle w:val="Lienhypertexte"/>
            <w:rFonts w:cstheme="majorBidi"/>
            <w:lang w:val="en-US"/>
          </w:rPr>
          <w:t>https://www.twosides.info/wp-content/uploads/2018/05/Terrachoice_The_Sins_of_Greenwashing_-_Home_and_Family_Edition_2010.pdf</w:t>
        </w:r>
      </w:hyperlink>
    </w:p>
  </w:footnote>
  <w:footnote w:id="4">
    <w:p w14:paraId="5F067745"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w:t>
      </w:r>
      <w:r w:rsidRPr="00BD2CBB">
        <w:rPr>
          <w:rFonts w:cstheme="majorBidi"/>
          <w:lang w:val="en-US"/>
        </w:rPr>
        <w:t xml:space="preserve">TerraChoice. (2010). </w:t>
      </w:r>
      <w:r w:rsidRPr="00BD2CBB">
        <w:rPr>
          <w:rStyle w:val="Accentuation"/>
          <w:rFonts w:cstheme="majorBidi"/>
          <w:i w:val="0"/>
          <w:iCs w:val="0"/>
          <w:lang w:val="en-US"/>
        </w:rPr>
        <w:t>The Sins of Greenwashing</w:t>
      </w:r>
    </w:p>
  </w:footnote>
  <w:footnote w:id="5">
    <w:p w14:paraId="161A6ED5"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Davenport, C., &amp; Ewing, J. (2015, September 18). </w:t>
      </w:r>
      <w:r w:rsidRPr="00BD2CBB">
        <w:rPr>
          <w:rStyle w:val="Accentuation"/>
          <w:rFonts w:cstheme="majorBidi"/>
          <w:i w:val="0"/>
          <w:iCs w:val="0"/>
          <w:lang w:val="en-US"/>
        </w:rPr>
        <w:t>VW Is Said to Cheat on Diesel Emissions; U.S. to Order Big Recall</w:t>
      </w:r>
      <w:r w:rsidRPr="00BD2CBB">
        <w:rPr>
          <w:rFonts w:cstheme="majorBidi"/>
          <w:lang w:val="en-US"/>
        </w:rPr>
        <w:t xml:space="preserve">. </w:t>
      </w:r>
      <w:r w:rsidRPr="00BD2CBB">
        <w:rPr>
          <w:rStyle w:val="Accentuation"/>
          <w:rFonts w:cstheme="majorBidi"/>
          <w:i w:val="0"/>
          <w:iCs w:val="0"/>
          <w:lang w:val="en-US"/>
        </w:rPr>
        <w:t>The New York Times</w:t>
      </w:r>
      <w:r w:rsidRPr="00BD2CBB">
        <w:rPr>
          <w:rFonts w:cstheme="majorBidi"/>
          <w:lang w:val="en-US"/>
        </w:rPr>
        <w:t>.</w:t>
      </w:r>
    </w:p>
  </w:footnote>
  <w:footnote w:id="6">
    <w:p w14:paraId="0F1A8FEA"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w:t>
      </w:r>
      <w:r w:rsidRPr="00BD2CBB">
        <w:rPr>
          <w:rFonts w:cstheme="majorBidi"/>
          <w:lang w:val="en-US"/>
        </w:rPr>
        <w:t xml:space="preserve">TerraChoice. (2010). </w:t>
      </w:r>
      <w:r w:rsidRPr="00BD2CBB">
        <w:rPr>
          <w:rStyle w:val="Accentuation"/>
          <w:rFonts w:cstheme="majorBidi"/>
          <w:i w:val="0"/>
          <w:iCs w:val="0"/>
          <w:lang w:val="en-US"/>
        </w:rPr>
        <w:t>The Sins of Greenwashing</w:t>
      </w:r>
    </w:p>
  </w:footnote>
  <w:footnote w:id="7">
    <w:p w14:paraId="090FAFC5"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European Commission. (2023, March 22). </w:t>
      </w:r>
      <w:r w:rsidRPr="00BD2CBB">
        <w:rPr>
          <w:rStyle w:val="Accentuation"/>
          <w:rFonts w:cstheme="majorBidi"/>
          <w:i w:val="0"/>
          <w:iCs w:val="0"/>
          <w:lang w:val="en-US"/>
        </w:rPr>
        <w:t>Proposal for a Directive on Green Claims</w:t>
      </w:r>
      <w:r w:rsidRPr="00BD2CBB">
        <w:rPr>
          <w:rFonts w:cstheme="majorBidi"/>
          <w:lang w:val="en-US"/>
        </w:rPr>
        <w:t xml:space="preserve">. Retrieved from </w:t>
      </w:r>
      <w:r w:rsidR="00000000">
        <w:fldChar w:fldCharType="begin"/>
      </w:r>
      <w:r w:rsidR="00000000" w:rsidRPr="00833904">
        <w:rPr>
          <w:lang w:val="en-GB"/>
        </w:rPr>
        <w:instrText>HYPERLINK "https://environment.ec.europa.eu/publications/proposal-directive-green-claims_en" \t "_new"</w:instrText>
      </w:r>
      <w:r w:rsidR="00000000">
        <w:fldChar w:fldCharType="separate"/>
      </w:r>
      <w:r w:rsidRPr="00BD2CBB">
        <w:rPr>
          <w:rStyle w:val="Lienhypertexte"/>
          <w:rFonts w:cstheme="majorBidi"/>
          <w:lang w:val="en-US"/>
        </w:rPr>
        <w:t>https://environment.ec.europa.eu/publications/proposal-directive-green-claims_en</w:t>
      </w:r>
      <w:r w:rsidR="00000000">
        <w:rPr>
          <w:rStyle w:val="Lienhypertexte"/>
          <w:rFonts w:cstheme="majorBidi"/>
          <w:lang w:val="en-US"/>
        </w:rPr>
        <w:fldChar w:fldCharType="end"/>
      </w:r>
    </w:p>
  </w:footnote>
  <w:footnote w:id="8">
    <w:p w14:paraId="39D6CF0A"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Quartz (2022). H&amp;M sued over misleading Conscious Collection claims. the full reference</w:t>
      </w:r>
    </w:p>
  </w:footnote>
  <w:footnote w:id="9">
    <w:p w14:paraId="00D18E80" w14:textId="77777777" w:rsidR="003D09A2" w:rsidRPr="00BD2CBB" w:rsidRDefault="003D09A2" w:rsidP="00E019CD">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Reuters (2024). Total Energies faces greenwashing accusation</w:t>
      </w:r>
    </w:p>
  </w:footnote>
  <w:footnote w:id="10">
    <w:p w14:paraId="02546C24" w14:textId="77777777" w:rsidR="003D09A2" w:rsidRPr="00BD2CBB" w:rsidRDefault="003D09A2" w:rsidP="001A1F05">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About greenwashing », 2015 </w:t>
      </w:r>
      <w:r w:rsidRPr="00BD2CBB">
        <w:rPr>
          <w:rFonts w:asciiTheme="majorBidi" w:hAnsiTheme="majorBidi" w:cstheme="majorBidi"/>
          <w:sz w:val="20"/>
          <w:szCs w:val="20"/>
          <w:lang w:val="en-US"/>
        </w:rPr>
        <w:t>EnviroMedia Social Marketing. EnviroMedia Social Marketing promotes the Greenwashing Index in partnership with the University of Oregon School of Journalism andCommunication.Consulté:22/10/2015. URL:http://webcache.googleusercontent.com/searchq=cache:http.greenwashingindex.com/aboutgreenwashing/&amp;gws_rd=cr&amp;ei=POEqVqzIHMq6qbmvgK</w:t>
      </w:r>
    </w:p>
  </w:footnote>
  <w:footnote w:id="11">
    <w:p w14:paraId="7BC557EC" w14:textId="77777777" w:rsidR="003D09A2" w:rsidRPr="00BD2CBB" w:rsidRDefault="003D09A2" w:rsidP="001A1F05">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Greenwash101 , The green life, </w:t>
      </w:r>
      <w:r w:rsidRPr="00BD2CBB">
        <w:rPr>
          <w:rFonts w:cstheme="majorBidi"/>
          <w:lang w:val="en-US"/>
        </w:rPr>
        <w:t>En ligne, 2012.</w:t>
      </w:r>
    </w:p>
    <w:p w14:paraId="5CCB02F0" w14:textId="77777777" w:rsidR="003D09A2" w:rsidRPr="00BD2CBB" w:rsidRDefault="003D09A2" w:rsidP="001A1F05">
      <w:pPr>
        <w:pStyle w:val="Notedebasdepage"/>
        <w:rPr>
          <w:rFonts w:cstheme="majorBidi"/>
          <w:lang w:val="en-US"/>
        </w:rPr>
      </w:pPr>
      <w:r w:rsidRPr="00BD2CBB">
        <w:rPr>
          <w:rFonts w:cstheme="majorBidi"/>
          <w:lang w:val="en-US"/>
        </w:rPr>
        <w:t>URL: http://thegreenlifeonline.org/greenwash101/</w:t>
      </w:r>
    </w:p>
  </w:footnote>
  <w:footnote w:id="12">
    <w:p w14:paraId="733C88A0" w14:textId="77777777" w:rsidR="003D09A2" w:rsidRPr="00BD2CBB" w:rsidRDefault="003D09A2" w:rsidP="001A1F05">
      <w:pPr>
        <w:pStyle w:val="Notedebasdepage"/>
        <w:rPr>
          <w:rFonts w:cstheme="majorBidi"/>
        </w:rPr>
      </w:pPr>
      <w:r w:rsidRPr="00BD2CBB">
        <w:rPr>
          <w:rStyle w:val="Appelnotedebasdep"/>
          <w:rFonts w:cstheme="majorBidi"/>
        </w:rPr>
        <w:footnoteRef/>
      </w:r>
      <w:r w:rsidRPr="00BD2CBB">
        <w:rPr>
          <w:rFonts w:cstheme="majorBidi"/>
        </w:rPr>
        <w:t xml:space="preserve"> De la publicité à la communication responsable », essai, </w:t>
      </w:r>
      <w:r w:rsidRPr="00BD2CBB">
        <w:rPr>
          <w:rFonts w:cstheme="majorBidi"/>
        </w:rPr>
        <w:t>Yannel Poivre-le Lohé, éditions Charles Léopold Mayer, Paris, 2014.</w:t>
      </w:r>
    </w:p>
  </w:footnote>
  <w:footnote w:id="13">
    <w:p w14:paraId="7452615A" w14:textId="77777777" w:rsidR="003D09A2" w:rsidRPr="00BD2CBB" w:rsidRDefault="003D09A2" w:rsidP="001A1F05">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 Greenwash! », David Beer et Catherine </w:t>
      </w:r>
      <w:r w:rsidRPr="00BD2CBB">
        <w:rPr>
          <w:rFonts w:cstheme="majorBidi"/>
          <w:lang w:val="en-US"/>
        </w:rPr>
        <w:t>Capellaro, Mother Jones, Mars/Avril 1991, p.38, San</w:t>
      </w:r>
    </w:p>
    <w:p w14:paraId="176DA405" w14:textId="77777777" w:rsidR="003D09A2" w:rsidRPr="00BD2CBB" w:rsidRDefault="003D09A2" w:rsidP="001A1F05">
      <w:pPr>
        <w:pStyle w:val="Notedebasdepage"/>
        <w:rPr>
          <w:rFonts w:cstheme="majorBidi"/>
        </w:rPr>
      </w:pPr>
      <w:r w:rsidRPr="00BD2CBB">
        <w:rPr>
          <w:rFonts w:cstheme="majorBidi"/>
        </w:rPr>
        <w:t>Francisco.</w:t>
      </w:r>
    </w:p>
  </w:footnote>
  <w:footnote w:id="14">
    <w:p w14:paraId="643A2410" w14:textId="77777777" w:rsidR="003D09A2" w:rsidRPr="00BD2CBB" w:rsidRDefault="003D09A2" w:rsidP="001A1F05">
      <w:pPr>
        <w:pStyle w:val="Notedebasdepage"/>
        <w:rPr>
          <w:rFonts w:cstheme="majorBidi"/>
        </w:rPr>
      </w:pPr>
      <w:r w:rsidRPr="00BD2CBB">
        <w:rPr>
          <w:rStyle w:val="Appelnotedebasdep"/>
          <w:rFonts w:cstheme="majorBidi"/>
        </w:rPr>
        <w:footnoteRef/>
      </w:r>
      <w:r w:rsidRPr="00BD2CBB">
        <w:rPr>
          <w:rFonts w:cstheme="majorBidi"/>
        </w:rPr>
        <w:t xml:space="preserve"> Pascaline </w:t>
      </w:r>
      <w:r w:rsidRPr="00BD2CBB">
        <w:rPr>
          <w:rFonts w:cstheme="majorBidi"/>
        </w:rPr>
        <w:t>Dury, « Quelle(s) traduction(s) pour le terme anglais greenwashing? Quelques observations croisées en terminologie », Traduire [En ligne], 229 | 2013, mis en ligne le 15 décembre 2015, consulté le 16 juillet 2017.; DOI: 10.4000</w:t>
      </w:r>
    </w:p>
  </w:footnote>
  <w:footnote w:id="15">
    <w:p w14:paraId="25866842" w14:textId="77777777" w:rsidR="003D09A2" w:rsidRPr="00BD2CBB" w:rsidRDefault="003D09A2" w:rsidP="001A1F05">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URL: http://traduire.revues.org/580/traduire.580 P. 109</w:t>
      </w:r>
    </w:p>
  </w:footnote>
  <w:footnote w:id="16">
    <w:p w14:paraId="305A7BC7" w14:textId="77777777" w:rsidR="003D09A2" w:rsidRPr="00BD2CBB" w:rsidRDefault="003D09A2" w:rsidP="001A1F05">
      <w:pPr>
        <w:pStyle w:val="Notedebasdepage"/>
        <w:rPr>
          <w:rFonts w:cstheme="majorBidi"/>
        </w:rPr>
      </w:pPr>
      <w:r w:rsidRPr="00BD2CBB">
        <w:rPr>
          <w:rStyle w:val="Appelnotedebasdep"/>
          <w:rFonts w:cstheme="majorBidi"/>
        </w:rPr>
        <w:footnoteRef/>
      </w:r>
      <w:r w:rsidRPr="00BD2CBB">
        <w:rPr>
          <w:rFonts w:cstheme="majorBidi"/>
        </w:rPr>
        <w:t xml:space="preserve"> Thierry </w:t>
      </w:r>
      <w:r w:rsidRPr="00BD2CBB">
        <w:rPr>
          <w:rFonts w:cstheme="majorBidi"/>
        </w:rPr>
        <w:t>Libaert, « De la critique du greenwashing à l'accroissement de la régulation publicitaire », Communication et organisation [En ligne], 42 | 2012, mis en ligne le Ol décembre 2014, consulté le 21 août 2018.</w:t>
      </w:r>
    </w:p>
  </w:footnote>
  <w:footnote w:id="17">
    <w:p w14:paraId="1A4B45EE" w14:textId="77777777" w:rsidR="003D09A2" w:rsidRPr="00BD2CBB" w:rsidRDefault="003D09A2" w:rsidP="001A1F05">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URL: http://journals.openedition.org/communicationorganisation/4009,Idem.</w:t>
      </w:r>
    </w:p>
  </w:footnote>
  <w:footnote w:id="18">
    <w:p w14:paraId="54C67D9F" w14:textId="77777777" w:rsidR="003D09A2" w:rsidRPr="00BD2CBB" w:rsidRDefault="003D09A2" w:rsidP="006B6638">
      <w:pPr>
        <w:pStyle w:val="Notedebasdepage"/>
        <w:rPr>
          <w:rFonts w:cstheme="majorBidi"/>
        </w:rPr>
      </w:pPr>
      <w:r w:rsidRPr="00BD2CBB">
        <w:rPr>
          <w:rStyle w:val="Appelnotedebasdep"/>
          <w:rFonts w:cstheme="majorBidi"/>
        </w:rPr>
        <w:footnoteRef/>
      </w:r>
      <w:r w:rsidRPr="00BD2CBB">
        <w:rPr>
          <w:rFonts w:cstheme="majorBidi"/>
        </w:rPr>
        <w:t xml:space="preserve">  </w:t>
      </w:r>
      <w:r w:rsidRPr="00BD2CBB">
        <w:rPr>
          <w:rFonts w:cstheme="majorBidi"/>
        </w:rPr>
        <w:t>Nemes et a. Sustainability 2022, 14(8), 4431; https://doi.org/10.3390/su14084431</w:t>
      </w:r>
    </w:p>
  </w:footnote>
  <w:footnote w:id="19">
    <w:p w14:paraId="5DCE2583" w14:textId="77777777" w:rsidR="003D09A2" w:rsidRPr="00BD2CBB" w:rsidRDefault="003D09A2" w:rsidP="006B6638">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w:t>
      </w:r>
      <w:r w:rsidRPr="00BD2CBB">
        <w:rPr>
          <w:rFonts w:cstheme="majorBidi"/>
          <w:lang w:val="en-US"/>
        </w:rPr>
        <w:t>Béatrice Parguel, Florence Benoit-Moreau &amp; Cristel Antonia Russell (2015) Can evoking nature in advertising mislead consumers? The power of ‘executional greenwashing’, International Journal of Advertising, 34:1, 107-134, DOI: 10.1080/02650487.2014.996116</w:t>
      </w:r>
    </w:p>
  </w:footnote>
  <w:footnote w:id="20">
    <w:p w14:paraId="4881E9E2"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Lyon, T.P., Montgomery, A.W. 2015. The means and end of greenwash. Organization &amp; Environment, 28, 223-249.</w:t>
      </w:r>
    </w:p>
  </w:footnote>
  <w:footnote w:id="21">
    <w:p w14:paraId="3AF64E08" w14:textId="77777777" w:rsidR="003D09A2" w:rsidRPr="00BD2CBB" w:rsidRDefault="003D09A2" w:rsidP="006B6638">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https://environment.ec.europa.eu/topics/plastics/single-use-plastic</w:t>
      </w:r>
    </w:p>
    <w:p w14:paraId="161C54F6" w14:textId="77777777" w:rsidR="003D09A2" w:rsidRPr="00BD2CBB" w:rsidRDefault="003D09A2" w:rsidP="006B6638">
      <w:pPr>
        <w:pStyle w:val="Notedebasdepage"/>
        <w:rPr>
          <w:rFonts w:cstheme="majorBidi"/>
          <w:lang w:val="en-US"/>
        </w:rPr>
      </w:pPr>
      <w:r w:rsidRPr="00BD2CBB">
        <w:rPr>
          <w:rFonts w:cstheme="majorBidi"/>
          <w:lang w:val="en-US"/>
        </w:rPr>
        <w:t>s/</w:t>
      </w:r>
      <w:r w:rsidRPr="00BD2CBB">
        <w:rPr>
          <w:rFonts w:cstheme="majorBidi"/>
          <w:lang w:val="en-US"/>
        </w:rPr>
        <w:t>eu-restrictions-certain-single-use-plastics_fr</w:t>
      </w:r>
      <w:r w:rsidRPr="00BD2CBB">
        <w:rPr>
          <w:rFonts w:cstheme="majorBidi"/>
          <w:lang w:val="en-US"/>
        </w:rPr>
        <w:cr/>
      </w:r>
    </w:p>
  </w:footnote>
  <w:footnote w:id="22">
    <w:p w14:paraId="57F422DA"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http://sinsofgreenwashing.org/?dl_id=105</w:t>
      </w:r>
    </w:p>
  </w:footnote>
  <w:footnote w:id="23">
    <w:p w14:paraId="4BE9FBF5" w14:textId="77777777" w:rsidR="003D09A2" w:rsidRPr="00BD2CBB" w:rsidRDefault="003D09A2" w:rsidP="00D56B58">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00000000">
        <w:fldChar w:fldCharType="begin"/>
      </w:r>
      <w:r w:rsidR="00000000" w:rsidRPr="00833904">
        <w:rPr>
          <w:lang w:val="en-US"/>
        </w:rPr>
        <w:instrText>HYPERLINK "http://agence-limite.fr/blog/wp-content/uploads/2010/01/GWA4WEB.pdf"</w:instrText>
      </w:r>
      <w:r w:rsidR="00000000">
        <w:fldChar w:fldCharType="separate"/>
      </w:r>
      <w:r w:rsidRPr="00BD2CBB">
        <w:rPr>
          <w:rStyle w:val="Lienhypertexte"/>
          <w:rFonts w:asciiTheme="majorBidi" w:hAnsiTheme="majorBidi" w:cstheme="majorBidi"/>
          <w:sz w:val="20"/>
          <w:szCs w:val="20"/>
          <w:lang w:val="en-US"/>
        </w:rPr>
        <w:t>http://agence-limite.fr/blog/wp-content/uploads/2010/01/GWA4WEB.pdf</w:t>
      </w:r>
      <w:r w:rsidR="00000000">
        <w:rPr>
          <w:rStyle w:val="Lienhypertexte"/>
          <w:rFonts w:asciiTheme="majorBidi" w:hAnsiTheme="majorBidi" w:cstheme="majorBidi"/>
          <w:sz w:val="20"/>
          <w:szCs w:val="20"/>
          <w:lang w:val="en-US"/>
        </w:rPr>
        <w:fldChar w:fldCharType="end"/>
      </w:r>
    </w:p>
    <w:p w14:paraId="6A73BC05" w14:textId="77777777" w:rsidR="003D09A2" w:rsidRPr="00BD2CBB" w:rsidRDefault="003D09A2">
      <w:pPr>
        <w:pStyle w:val="Notedebasdepage"/>
        <w:rPr>
          <w:rFonts w:cstheme="majorBidi"/>
          <w:lang w:val="en-US"/>
        </w:rPr>
      </w:pPr>
    </w:p>
  </w:footnote>
  <w:footnote w:id="24">
    <w:p w14:paraId="7500F9BC"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Schmuck, D., </w:t>
      </w:r>
      <w:r w:rsidRPr="00BD2CBB">
        <w:rPr>
          <w:rFonts w:cstheme="majorBidi"/>
          <w:lang w:val="en-US"/>
        </w:rPr>
        <w:t>Matthes, J., &amp; Naderer, B. (2018). Misleading consumers with green advertising? An affect–reason–involvement account of greenwashing effects in environmental advertising. Journal of Advertising, 47(2), p.139. https://doi.org/10.1080/00913367.2018.1452652</w:t>
      </w:r>
    </w:p>
  </w:footnote>
  <w:footnote w:id="25">
    <w:p w14:paraId="41798D0B" w14:textId="77777777" w:rsidR="003D09A2" w:rsidRPr="00BD2CBB" w:rsidRDefault="003D09A2" w:rsidP="00954BF0">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w:t>
      </w:r>
      <w:r w:rsidRPr="00BD2CBB">
        <w:rPr>
          <w:rFonts w:cstheme="majorBidi"/>
          <w:lang w:val="en-US"/>
        </w:rPr>
        <w:t>Aji, H. M., &amp; Sutikno, B. (2015). The Extended Consequence of Greenwashing: Perceived Consumer Skepticism. International Journal of Business and Information, 10(4), p. 437</w:t>
      </w:r>
    </w:p>
  </w:footnote>
  <w:footnote w:id="26">
    <w:p w14:paraId="6F24C0A0" w14:textId="77777777" w:rsidR="003D09A2" w:rsidRPr="00BD2CBB" w:rsidRDefault="003D09A2">
      <w:pPr>
        <w:pStyle w:val="Notedebasdepage"/>
        <w:rPr>
          <w:rFonts w:cstheme="majorBidi"/>
          <w:lang w:val="en-US"/>
        </w:rPr>
      </w:pPr>
      <w:r w:rsidRPr="00BD2CBB">
        <w:rPr>
          <w:rStyle w:val="Appelnotedebasdep"/>
          <w:rFonts w:cstheme="majorBidi"/>
        </w:rPr>
        <w:footnoteRef/>
      </w:r>
      <w:r w:rsidRPr="00BD2CBB">
        <w:rPr>
          <w:rFonts w:cstheme="majorBidi"/>
          <w:lang w:val="en-US"/>
        </w:rPr>
        <w:t xml:space="preserve"> Horiuchi, R., </w:t>
      </w:r>
      <w:r w:rsidRPr="00BD2CBB">
        <w:rPr>
          <w:rFonts w:cstheme="majorBidi"/>
          <w:lang w:val="en-US"/>
        </w:rPr>
        <w:t>Schuchard, R., Shea, L., &amp; Townsend, S. (2009). Understanding and Preventing Greenwash: A Business Guide. BSR. p. 4</w:t>
      </w:r>
    </w:p>
  </w:footnote>
  <w:footnote w:id="27">
    <w:p w14:paraId="6FFEADF6" w14:textId="77777777" w:rsidR="003D09A2" w:rsidRPr="00BD2CBB" w:rsidRDefault="003D09A2">
      <w:pPr>
        <w:pStyle w:val="Notedebasdepage"/>
        <w:rPr>
          <w:rFonts w:cstheme="majorBidi"/>
        </w:rPr>
      </w:pPr>
      <w:r w:rsidRPr="00BD2CBB">
        <w:rPr>
          <w:rStyle w:val="Appelnotedebasdep"/>
          <w:rFonts w:cstheme="majorBidi"/>
        </w:rPr>
        <w:footnoteRef/>
      </w:r>
      <w:r w:rsidRPr="00BD2CBB">
        <w:rPr>
          <w:rFonts w:cstheme="majorBidi"/>
          <w:lang w:val="en-US"/>
        </w:rPr>
        <w:t xml:space="preserve"> Horiuchi, R., </w:t>
      </w:r>
      <w:r w:rsidRPr="00BD2CBB">
        <w:rPr>
          <w:rFonts w:cstheme="majorBidi"/>
          <w:lang w:val="en-US"/>
        </w:rPr>
        <w:t xml:space="preserve">Schuchard, R., Shea, L., &amp; Townsend, S. (2009). Understanding and Preventing Greenwash: A Business Guide. </w:t>
      </w:r>
      <w:r w:rsidRPr="00BD2CBB">
        <w:rPr>
          <w:rFonts w:cstheme="majorBidi"/>
        </w:rPr>
        <w:t>BSR. p. 4</w:t>
      </w:r>
    </w:p>
  </w:footnote>
  <w:footnote w:id="28">
    <w:p w14:paraId="1864AFAE" w14:textId="77777777" w:rsidR="003D09A2" w:rsidRPr="00BD2CBB" w:rsidRDefault="003D09A2" w:rsidP="001A1F05">
      <w:pPr>
        <w:pStyle w:val="Sansinterligne"/>
        <w:jc w:val="left"/>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UL. (</w:t>
      </w:r>
      <w:r w:rsidRPr="00BD2CBB">
        <w:rPr>
          <w:rFonts w:asciiTheme="majorBidi" w:hAnsiTheme="majorBidi" w:cstheme="majorBidi"/>
          <w:sz w:val="20"/>
          <w:szCs w:val="20"/>
        </w:rPr>
        <w:t xml:space="preserve">n.d.), Sustainability and Environment [en ligne]. Disponible sur </w:t>
      </w:r>
      <w:hyperlink r:id="rId2" w:history="1">
        <w:r w:rsidRPr="00BD2CBB">
          <w:rPr>
            <w:rStyle w:val="Lienhypertexte"/>
            <w:rFonts w:asciiTheme="majorBidi" w:hAnsiTheme="majorBidi" w:cstheme="majorBidi"/>
            <w:sz w:val="20"/>
            <w:szCs w:val="20"/>
          </w:rPr>
          <w:t>https://www.ul.com/services/solutions/</w:t>
        </w:r>
      </w:hyperlink>
      <w:r w:rsidRPr="00BD2CBB">
        <w:rPr>
          <w:rFonts w:asciiTheme="majorBidi" w:hAnsiTheme="majorBidi" w:cstheme="majorBidi"/>
          <w:sz w:val="20"/>
          <w:szCs w:val="20"/>
        </w:rPr>
        <w:t xml:space="preserve"> - sustainability-and-environment [consulté le 22/05/2021].</w:t>
      </w:r>
    </w:p>
  </w:footnote>
  <w:footnote w:id="29">
    <w:p w14:paraId="69B45CAE" w14:textId="77777777" w:rsidR="003D09A2" w:rsidRPr="00BD2CBB" w:rsidRDefault="003D09A2" w:rsidP="001A1F05">
      <w:pPr>
        <w:pStyle w:val="Notedebasdepage"/>
        <w:rPr>
          <w:rFonts w:cstheme="majorBidi"/>
        </w:rPr>
      </w:pPr>
      <w:r w:rsidRPr="00BD2CBB">
        <w:rPr>
          <w:rStyle w:val="Appelnotedebasdep"/>
          <w:rFonts w:cstheme="majorBidi"/>
        </w:rPr>
        <w:footnoteRef/>
      </w:r>
      <w:r w:rsidRPr="00BD2CBB">
        <w:rPr>
          <w:rFonts w:cstheme="majorBidi"/>
        </w:rPr>
        <w:t xml:space="preserve"> Le mot original correspondant au sixième péché présent dans le document de Terra </w:t>
      </w:r>
      <w:r w:rsidRPr="00BD2CBB">
        <w:rPr>
          <w:rFonts w:cstheme="majorBidi"/>
        </w:rPr>
        <w:t>Choice est « fibbing », ce qui peut se traduire par « bobards ». Cependant, pour rester en accord avec le langage soutenu de ce mémoire, la traduction a été altérée afin de ne pas tomber dans le registre du langage familier, tout en gardant l’idée générale du mot</w:t>
      </w:r>
    </w:p>
  </w:footnote>
  <w:footnote w:id="30">
    <w:p w14:paraId="47548170" w14:textId="77777777" w:rsidR="003D09A2" w:rsidRPr="00BD2CBB" w:rsidRDefault="003D09A2" w:rsidP="001A1F05">
      <w:pPr>
        <w:pStyle w:val="Notedebasdepage"/>
        <w:rPr>
          <w:rFonts w:cstheme="majorBidi"/>
        </w:rPr>
      </w:pPr>
      <w:r w:rsidRPr="00BD2CBB">
        <w:rPr>
          <w:rStyle w:val="Appelnotedebasdep"/>
          <w:rFonts w:cstheme="majorBidi"/>
        </w:rPr>
        <w:footnoteRef/>
      </w:r>
      <w:r w:rsidRPr="00BD2CBB">
        <w:rPr>
          <w:rFonts w:cstheme="majorBidi"/>
        </w:rPr>
        <w:t xml:space="preserve"> </w:t>
      </w:r>
      <w:r w:rsidRPr="00BD2CBB">
        <w:rPr>
          <w:rFonts w:cstheme="majorBidi"/>
        </w:rPr>
        <w:t xml:space="preserve">Energy Star est un programme soutenu par le gouvernement américain chargé de fournir « des renseignements simples, crédibles et impartiaux sur lesquels les consommateurs et les entreprises comptent pour prendre des décisions éclairées ». </w:t>
      </w:r>
      <w:r w:rsidRPr="00BD2CBB">
        <w:rPr>
          <w:rFonts w:cstheme="majorBidi"/>
          <w:lang w:val="en-US"/>
        </w:rPr>
        <w:t xml:space="preserve">(Source: Energy Star. (n.d.). What is Energy Star? [en ligne]. </w:t>
      </w:r>
      <w:r w:rsidRPr="00BD2CBB">
        <w:rPr>
          <w:rFonts w:cstheme="majorBidi"/>
        </w:rPr>
        <w:t>Disponible sur https://www.energystar.gov/about?s=mega [consulté le 21/05/2021])</w:t>
      </w:r>
    </w:p>
  </w:footnote>
  <w:footnote w:id="31">
    <w:p w14:paraId="0FF673B1" w14:textId="77777777" w:rsidR="003D09A2" w:rsidRPr="00BD2CBB" w:rsidRDefault="003D09A2" w:rsidP="00F30B98">
      <w:pPr>
        <w:pStyle w:val="Notedebasdepage"/>
        <w:rPr>
          <w:rFonts w:cstheme="majorBidi"/>
        </w:rPr>
      </w:pPr>
      <w:r w:rsidRPr="00BD2CBB">
        <w:rPr>
          <w:rStyle w:val="Appelnotedebasdep"/>
          <w:rFonts w:cstheme="majorBidi"/>
        </w:rPr>
        <w:footnoteRef/>
      </w:r>
      <w:r w:rsidRPr="00BD2CBB">
        <w:rPr>
          <w:rFonts w:cstheme="majorBidi"/>
        </w:rPr>
        <w:t xml:space="preserve"> Greenwashing : définition, exemples et impact sur les consommateurs par Student.be – disponible sur </w:t>
      </w:r>
      <w:r w:rsidRPr="00BD2CBB">
        <w:rPr>
          <w:rFonts w:cstheme="majorBidi"/>
          <w:color w:val="000000" w:themeColor="text1"/>
        </w:rPr>
        <w:t>(</w:t>
      </w:r>
      <w:hyperlink r:id="rId3" w:history="1">
        <w:r w:rsidRPr="00BD2CBB">
          <w:rPr>
            <w:rStyle w:val="Lienhypertexte"/>
            <w:rFonts w:cstheme="majorBidi"/>
            <w:color w:val="000000" w:themeColor="text1"/>
            <w:u w:val="none"/>
          </w:rPr>
          <w:t>https://www.student.be/fr/student-life/greenwashing-definition-exemples-et-impact-sur-les-consommateurs/</w:t>
        </w:r>
      </w:hyperlink>
      <w:r w:rsidRPr="00BD2CBB">
        <w:rPr>
          <w:rStyle w:val="Lienhypertexte"/>
          <w:rFonts w:cstheme="majorBidi"/>
          <w:color w:val="000000" w:themeColor="text1"/>
          <w:u w:val="none"/>
        </w:rPr>
        <w:t>)</w:t>
      </w:r>
      <w:r w:rsidRPr="00BD2CBB">
        <w:rPr>
          <w:rStyle w:val="Lienhypertexte"/>
          <w:rFonts w:cstheme="majorBidi"/>
          <w:color w:val="000000" w:themeColor="text1"/>
        </w:rPr>
        <w:t xml:space="preserve"> </w:t>
      </w:r>
      <w:r w:rsidRPr="00BD2CBB">
        <w:rPr>
          <w:rFonts w:cstheme="majorBidi"/>
          <w:color w:val="000000" w:themeColor="text1"/>
        </w:rPr>
        <w:t xml:space="preserve"> </w:t>
      </w:r>
      <w:r w:rsidRPr="00BD2CBB">
        <w:rPr>
          <w:rFonts w:cstheme="majorBidi"/>
        </w:rPr>
        <w:t xml:space="preserve"> consulté le 23/09/2024</w:t>
      </w:r>
    </w:p>
  </w:footnote>
  <w:footnote w:id="32">
    <w:p w14:paraId="7CC10425" w14:textId="77777777" w:rsidR="003D09A2" w:rsidRPr="00BD2CBB" w:rsidRDefault="003D09A2" w:rsidP="001512D2">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Les conséquences du greenwashing : impacts éthiques, économiques et environnementaux Disponible sur ( </w:t>
      </w:r>
      <w:hyperlink r:id="rId4" w:history="1">
        <w:r w:rsidRPr="00BD2CBB">
          <w:rPr>
            <w:rStyle w:val="Lienhypertexte"/>
            <w:rFonts w:asciiTheme="majorBidi" w:hAnsiTheme="majorBidi" w:cstheme="majorBidi"/>
            <w:sz w:val="20"/>
            <w:szCs w:val="20"/>
          </w:rPr>
          <w:t>https://www.la-communication-verte.com/greenwashing-consequences/</w:t>
        </w:r>
      </w:hyperlink>
      <w:r w:rsidRPr="00BD2CBB">
        <w:rPr>
          <w:rFonts w:asciiTheme="majorBidi" w:hAnsiTheme="majorBidi" w:cstheme="majorBidi"/>
          <w:sz w:val="20"/>
          <w:szCs w:val="20"/>
        </w:rPr>
        <w:t xml:space="preserve"> )</w:t>
      </w:r>
    </w:p>
    <w:p w14:paraId="13C8FE26" w14:textId="77777777" w:rsidR="003D09A2" w:rsidRPr="00BD2CBB" w:rsidRDefault="003D09A2">
      <w:pPr>
        <w:pStyle w:val="Notedebasdepage"/>
        <w:rPr>
          <w:rFonts w:cstheme="majorBidi"/>
        </w:rPr>
      </w:pPr>
    </w:p>
  </w:footnote>
  <w:footnote w:id="33">
    <w:p w14:paraId="20CAB147"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Boudon, Raymond. 1994. La place du sociologue. Paris: PUF (Presses Universitaires de France).</w:t>
      </w:r>
    </w:p>
  </w:footnote>
  <w:footnote w:id="34">
    <w:p w14:paraId="1AFFB07C"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Narboni, Michel. 2006. La perception sensorielle et la mémoire spatiale. Paris: Presses Universitaires de France.</w:t>
      </w:r>
    </w:p>
  </w:footnote>
  <w:footnote w:id="35">
    <w:p w14:paraId="5E2247A8"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Larousse. 2002. Le Grand Dictionnaire de la psychologie. </w:t>
      </w:r>
      <w:r w:rsidRPr="00BD2CBB">
        <w:rPr>
          <w:rFonts w:asciiTheme="majorBidi" w:hAnsiTheme="majorBidi" w:cstheme="majorBidi"/>
          <w:sz w:val="20"/>
          <w:szCs w:val="20"/>
          <w:lang w:val="en-US"/>
        </w:rPr>
        <w:t>Paris: Larousse. p. 551.</w:t>
      </w:r>
    </w:p>
  </w:footnote>
  <w:footnote w:id="36">
    <w:p w14:paraId="6423E43A"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Robbins, Stephen P., Timothy A. Judge, and Timothy T. Campbell. 2006. Organizational Behavior. 12th ed. Upper Saddle River, NJ: Pearson Education. p. 156.</w:t>
      </w:r>
    </w:p>
  </w:footnote>
  <w:footnote w:id="37">
    <w:p w14:paraId="4FF76A00"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Bagot, René. 1999. Les fondements de la psychologie sociale. Paris: Presses Universitaires de France.</w:t>
      </w:r>
    </w:p>
  </w:footnote>
  <w:footnote w:id="38">
    <w:p w14:paraId="61AA4F2D"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Meiss, René. 1993. L'art de la perception. Paris: Seuil.</w:t>
      </w:r>
    </w:p>
  </w:footnote>
  <w:footnote w:id="39">
    <w:p w14:paraId="5DAC4EA2" w14:textId="77777777" w:rsidR="003D09A2" w:rsidRPr="003D09A2"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3D09A2">
        <w:rPr>
          <w:rFonts w:asciiTheme="majorBidi" w:hAnsiTheme="majorBidi" w:cstheme="majorBidi"/>
          <w:sz w:val="20"/>
          <w:szCs w:val="20"/>
        </w:rPr>
        <w:t xml:space="preserve"> Bagot, René. 1999., </w:t>
      </w:r>
      <w:r w:rsidRPr="003D09A2">
        <w:rPr>
          <w:rStyle w:val="Accentuation"/>
          <w:rFonts w:asciiTheme="majorBidi" w:hAnsiTheme="majorBidi" w:cstheme="majorBidi"/>
          <w:i w:val="0"/>
          <w:iCs w:val="0"/>
          <w:sz w:val="20"/>
          <w:szCs w:val="20"/>
        </w:rPr>
        <w:t>op. cit</w:t>
      </w:r>
    </w:p>
  </w:footnote>
  <w:footnote w:id="40">
    <w:p w14:paraId="36517C29"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Robbins, Stephen P., Timothy A. Judge, and Timothy T. Campbell. 2006. Organizational Behavior. 12th ed. Upper Saddle River, NJ: Pearson Education.</w:t>
      </w:r>
    </w:p>
  </w:footnote>
  <w:footnote w:id="41">
    <w:p w14:paraId="6F150C87"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Autogoyard, Claude. 1998. Psychologie cognitive et perception. Paris: Presses Universitaires de France. p. 17.</w:t>
      </w:r>
    </w:p>
  </w:footnote>
  <w:footnote w:id="42">
    <w:p w14:paraId="158E9CDE"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Lassance, Jean. 1998. Les bases de la psychologie cognitive. Paris: Presses Universitaires de France. p. 40.</w:t>
      </w:r>
    </w:p>
  </w:footnote>
  <w:footnote w:id="43">
    <w:p w14:paraId="1B24B403"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Lecas, Jean. 1992. La psychologie sociale des attitudes. Paris: Presses Universitaires de France.</w:t>
      </w:r>
    </w:p>
  </w:footnote>
  <w:footnote w:id="44">
    <w:p w14:paraId="6A1A95E1"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Bagot, René. 1999. Les fondements de la psychologie sociale. Paris: Presses Universitaires de France.</w:t>
      </w:r>
    </w:p>
  </w:footnote>
  <w:footnote w:id="45">
    <w:p w14:paraId="18F4BAD2"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Dumaurier, Pierre. 2000. Les enjeux de la communication interpersonnelle. Paris: Presses Universitaires de France.</w:t>
      </w:r>
    </w:p>
  </w:footnote>
  <w:footnote w:id="46">
    <w:p w14:paraId="7FAFDB35"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Delorme, Roger. 1982. Psychologie de l'apprentissage et de la mémoire. Paris: Presses Universitaires de France.</w:t>
      </w:r>
    </w:p>
  </w:footnote>
  <w:footnote w:id="47">
    <w:p w14:paraId="1879870D"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Delorme, Roger. 1982. </w:t>
      </w:r>
    </w:p>
  </w:footnote>
  <w:footnote w:id="48">
    <w:p w14:paraId="093ECEE0"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Le Grand Dictionnaire de la psychologie, 2002, p 551</w:t>
      </w:r>
    </w:p>
  </w:footnote>
  <w:footnote w:id="49">
    <w:p w14:paraId="49930FFC"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 xml:space="preserve">Tourre, Jean. 2007. La psychologie sociale et la communication. </w:t>
      </w:r>
      <w:r w:rsidRPr="00BD2CBB">
        <w:rPr>
          <w:rFonts w:asciiTheme="majorBidi" w:hAnsiTheme="majorBidi" w:cstheme="majorBidi"/>
          <w:sz w:val="20"/>
          <w:szCs w:val="20"/>
          <w:lang w:val="en-US"/>
        </w:rPr>
        <w:t>Paris: Presses Universitaires de France.</w:t>
      </w:r>
    </w:p>
  </w:footnote>
  <w:footnote w:id="50">
    <w:p w14:paraId="29D9219F"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Kotler, Philip. 1991. Marketing Management: Analysis, Planning, and Control. 8th ed. Englewood Cliffs, NJ: Prentice Hall.</w:t>
      </w:r>
    </w:p>
  </w:footnote>
  <w:footnote w:id="51">
    <w:p w14:paraId="09EB99E5"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Garnaud, E. (2002). Entrevues avec deux gourous, Georges Lewi et Alan Bergstrom : Mythes et engagement. InfoPresse Communications, vol. 18 (3), p.25.</w:t>
      </w:r>
    </w:p>
  </w:footnote>
  <w:footnote w:id="52">
    <w:p w14:paraId="2E7BA475"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Garnaud, E. (2002), p.25.</w:t>
      </w:r>
    </w:p>
  </w:footnote>
  <w:footnote w:id="53">
    <w:p w14:paraId="5860F42B"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Lambin, Dominique. 1998. Les bases de la psychologie cognitive. Paris: Presses Universitaires de France.</w:t>
      </w:r>
    </w:p>
  </w:footnote>
  <w:footnote w:id="54">
    <w:p w14:paraId="1A840365" w14:textId="77777777" w:rsidR="003D09A2" w:rsidRPr="00BD2CBB" w:rsidRDefault="003D09A2" w:rsidP="00F577B6">
      <w:pPr>
        <w:pStyle w:val="Sansinterligne"/>
        <w:rPr>
          <w:rFonts w:asciiTheme="majorBidi" w:hAnsiTheme="majorBidi" w:cstheme="majorBidi"/>
          <w:sz w:val="20"/>
          <w:szCs w:val="20"/>
          <w:lang w:bidi="ar-DZ"/>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 xml:space="preserve">Lamblin 1998 ., </w:t>
      </w:r>
      <w:r w:rsidRPr="00BD2CBB">
        <w:rPr>
          <w:rStyle w:val="Accentuation"/>
          <w:rFonts w:asciiTheme="majorBidi" w:hAnsiTheme="majorBidi" w:cstheme="majorBidi"/>
          <w:i w:val="0"/>
          <w:iCs w:val="0"/>
          <w:sz w:val="20"/>
          <w:szCs w:val="20"/>
        </w:rPr>
        <w:t>op. cit.</w:t>
      </w:r>
      <w:r w:rsidRPr="00BD2CBB">
        <w:rPr>
          <w:rFonts w:asciiTheme="majorBidi" w:hAnsiTheme="majorBidi" w:cstheme="majorBidi"/>
          <w:sz w:val="20"/>
          <w:szCs w:val="20"/>
        </w:rPr>
        <w:t>, p.125</w:t>
      </w:r>
      <w:r w:rsidRPr="00BD2CBB">
        <w:rPr>
          <w:rFonts w:asciiTheme="majorBidi" w:hAnsiTheme="majorBidi" w:cstheme="majorBidi"/>
          <w:sz w:val="20"/>
          <w:szCs w:val="20"/>
          <w:lang w:bidi="ar-DZ"/>
        </w:rPr>
        <w:t>-128</w:t>
      </w:r>
    </w:p>
  </w:footnote>
  <w:footnote w:id="55">
    <w:p w14:paraId="5582F123"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 xml:space="preserve">Aaker, David A. 1994. </w:t>
      </w:r>
      <w:r w:rsidRPr="00BD2CBB">
        <w:rPr>
          <w:rFonts w:asciiTheme="majorBidi" w:hAnsiTheme="majorBidi" w:cstheme="majorBidi"/>
          <w:sz w:val="20"/>
          <w:szCs w:val="20"/>
          <w:lang w:val="en-US"/>
        </w:rPr>
        <w:t>Building Strong Brands. New York: Free Press.</w:t>
      </w:r>
    </w:p>
  </w:footnote>
  <w:footnote w:id="56">
    <w:p w14:paraId="1B69B571"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Heude, R-P. (1989). L'image de marque. Paris: Les éditions Eyrolles, p. 79.</w:t>
      </w:r>
    </w:p>
  </w:footnote>
  <w:footnote w:id="57">
    <w:p w14:paraId="41626ED7"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Michon, C. (2002). Réflexion d'inspiration lacanienne sur le développement durable d'une marque forte. Revue Française du Marketing, 189, p.37.</w:t>
      </w:r>
    </w:p>
  </w:footnote>
  <w:footnote w:id="58">
    <w:p w14:paraId="7843102F"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 xml:space="preserve">Garnaud, E. (2002). Entrevues avec deux gourous, Georges Lewi et Alan Bergstrom : Mythes et engagement. </w:t>
      </w:r>
      <w:r w:rsidRPr="00BD2CBB">
        <w:rPr>
          <w:rFonts w:asciiTheme="majorBidi" w:hAnsiTheme="majorBidi" w:cstheme="majorBidi"/>
          <w:sz w:val="20"/>
          <w:szCs w:val="20"/>
          <w:lang w:val="en-US"/>
        </w:rPr>
        <w:t>InfoPresse Communications, vol. 18 (3), p.25.</w:t>
      </w:r>
    </w:p>
  </w:footnote>
  <w:footnote w:id="59">
    <w:p w14:paraId="3FD0D25C"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Keller, L. K. (2003). Brand synthesis: the multidimensionality of brand knowledge. Journal of Consumer Research, 29 (4), p. 595.</w:t>
      </w:r>
    </w:p>
  </w:footnote>
  <w:footnote w:id="60">
    <w:p w14:paraId="4922F3DB"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MacDonald, E. et Sharp, B. (2000). Brand awareness effects on consumer decision. Making for common, repeat purchase product: a replication. Journal </w:t>
      </w:r>
      <w:r w:rsidRPr="00BD2CBB">
        <w:rPr>
          <w:rFonts w:asciiTheme="majorBidi" w:hAnsiTheme="majorBidi" w:cstheme="majorBidi"/>
          <w:sz w:val="20"/>
          <w:szCs w:val="20"/>
          <w:lang w:val="en-US"/>
        </w:rPr>
        <w:t>ofbusiness research, 48 (5-15).</w:t>
      </w:r>
    </w:p>
  </w:footnote>
  <w:footnote w:id="61">
    <w:p w14:paraId="5CF1E9A1"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Graeff, T. (1997). Consumption situations and the effects of an image on consumers' evaluation. </w:t>
      </w:r>
      <w:r w:rsidRPr="00BD2CBB">
        <w:rPr>
          <w:rFonts w:asciiTheme="majorBidi" w:hAnsiTheme="majorBidi" w:cstheme="majorBidi"/>
          <w:sz w:val="20"/>
          <w:szCs w:val="20"/>
        </w:rPr>
        <w:t>Psychology and Marketing, 14 (1), p. 49.</w:t>
      </w:r>
    </w:p>
  </w:footnote>
  <w:footnote w:id="62">
    <w:p w14:paraId="479CB3DC"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Keller, 2003 ., </w:t>
      </w:r>
      <w:r w:rsidRPr="00BD2CBB">
        <w:rPr>
          <w:rStyle w:val="Accentuation"/>
          <w:rFonts w:asciiTheme="majorBidi" w:hAnsiTheme="majorBidi" w:cstheme="majorBidi"/>
          <w:i w:val="0"/>
          <w:iCs w:val="0"/>
          <w:sz w:val="20"/>
          <w:szCs w:val="20"/>
        </w:rPr>
        <w:t xml:space="preserve">op. </w:t>
      </w:r>
      <w:r w:rsidRPr="00BD2CBB">
        <w:rPr>
          <w:rStyle w:val="Accentuation"/>
          <w:rFonts w:asciiTheme="majorBidi" w:hAnsiTheme="majorBidi" w:cstheme="majorBidi"/>
          <w:i w:val="0"/>
          <w:iCs w:val="0"/>
          <w:sz w:val="20"/>
          <w:szCs w:val="20"/>
        </w:rPr>
        <w:t>cit.</w:t>
      </w:r>
      <w:r w:rsidRPr="00BD2CBB">
        <w:rPr>
          <w:rFonts w:asciiTheme="majorBidi" w:hAnsiTheme="majorBidi" w:cstheme="majorBidi"/>
          <w:sz w:val="20"/>
          <w:szCs w:val="20"/>
        </w:rPr>
        <w:t>, p.595</w:t>
      </w:r>
    </w:p>
  </w:footnote>
  <w:footnote w:id="63">
    <w:p w14:paraId="61ACC7C0"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Colle </w:t>
      </w:r>
      <w:r w:rsidRPr="00BD2CBB">
        <w:rPr>
          <w:rFonts w:asciiTheme="majorBidi" w:hAnsiTheme="majorBidi" w:cstheme="majorBidi"/>
          <w:sz w:val="20"/>
          <w:szCs w:val="20"/>
        </w:rPr>
        <w:t>sei, U. (2002). Le suivi de marque (brand tracking). Revue Française du Marketing, 189, p. 17.</w:t>
      </w:r>
    </w:p>
  </w:footnote>
  <w:footnote w:id="64">
    <w:p w14:paraId="3C77FFDF"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Colle </w:t>
      </w:r>
      <w:r w:rsidRPr="00BD2CBB">
        <w:rPr>
          <w:rFonts w:asciiTheme="majorBidi" w:hAnsiTheme="majorBidi" w:cstheme="majorBidi"/>
          <w:sz w:val="20"/>
          <w:szCs w:val="20"/>
        </w:rPr>
        <w:t xml:space="preserve">sei, U. (2002)., </w:t>
      </w:r>
      <w:r w:rsidRPr="00BD2CBB">
        <w:rPr>
          <w:rStyle w:val="Accentuation"/>
          <w:rFonts w:asciiTheme="majorBidi" w:hAnsiTheme="majorBidi" w:cstheme="majorBidi"/>
          <w:i w:val="0"/>
          <w:iCs w:val="0"/>
          <w:sz w:val="20"/>
          <w:szCs w:val="20"/>
        </w:rPr>
        <w:t>op. cit.</w:t>
      </w:r>
      <w:r w:rsidRPr="00BD2CBB">
        <w:rPr>
          <w:rFonts w:asciiTheme="majorBidi" w:hAnsiTheme="majorBidi" w:cstheme="majorBidi"/>
          <w:sz w:val="20"/>
          <w:szCs w:val="20"/>
        </w:rPr>
        <w:t>, p.17</w:t>
      </w:r>
    </w:p>
  </w:footnote>
  <w:footnote w:id="65">
    <w:p w14:paraId="629FCFCC"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Michon, C. (2002)., </w:t>
      </w:r>
      <w:r w:rsidRPr="00BD2CBB">
        <w:rPr>
          <w:rStyle w:val="Accentuation"/>
          <w:rFonts w:asciiTheme="majorBidi" w:hAnsiTheme="majorBidi" w:cstheme="majorBidi"/>
          <w:i w:val="0"/>
          <w:iCs w:val="0"/>
          <w:sz w:val="20"/>
          <w:szCs w:val="20"/>
        </w:rPr>
        <w:t xml:space="preserve">op. </w:t>
      </w:r>
      <w:r w:rsidRPr="00BD2CBB">
        <w:rPr>
          <w:rStyle w:val="Accentuation"/>
          <w:rFonts w:asciiTheme="majorBidi" w:hAnsiTheme="majorBidi" w:cstheme="majorBidi"/>
          <w:i w:val="0"/>
          <w:iCs w:val="0"/>
          <w:sz w:val="20"/>
          <w:szCs w:val="20"/>
        </w:rPr>
        <w:t>cit.</w:t>
      </w:r>
      <w:r w:rsidRPr="00BD2CBB">
        <w:rPr>
          <w:rFonts w:asciiTheme="majorBidi" w:hAnsiTheme="majorBidi" w:cstheme="majorBidi"/>
          <w:sz w:val="20"/>
          <w:szCs w:val="20"/>
        </w:rPr>
        <w:t>, p.37</w:t>
      </w:r>
    </w:p>
  </w:footnote>
  <w:footnote w:id="66">
    <w:p w14:paraId="27F3B162"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Garnaud, E. (2002)., </w:t>
      </w:r>
      <w:r w:rsidRPr="00BD2CBB">
        <w:rPr>
          <w:rStyle w:val="Accentuation"/>
          <w:rFonts w:asciiTheme="majorBidi" w:hAnsiTheme="majorBidi" w:cstheme="majorBidi"/>
          <w:i w:val="0"/>
          <w:iCs w:val="0"/>
          <w:sz w:val="20"/>
          <w:szCs w:val="20"/>
          <w:lang w:val="en-US"/>
        </w:rPr>
        <w:t>op. cit.</w:t>
      </w:r>
      <w:r w:rsidRPr="00BD2CBB">
        <w:rPr>
          <w:rFonts w:asciiTheme="majorBidi" w:hAnsiTheme="majorBidi" w:cstheme="majorBidi"/>
          <w:sz w:val="20"/>
          <w:szCs w:val="20"/>
          <w:lang w:val="en-US"/>
        </w:rPr>
        <w:t>,p.25.</w:t>
      </w:r>
    </w:p>
  </w:footnote>
  <w:footnote w:id="67">
    <w:p w14:paraId="4AE8C222"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Garnaud, E. (2002)., </w:t>
      </w:r>
      <w:r w:rsidRPr="00BD2CBB">
        <w:rPr>
          <w:rStyle w:val="Accentuation"/>
          <w:rFonts w:asciiTheme="majorBidi" w:hAnsiTheme="majorBidi" w:cstheme="majorBidi"/>
          <w:i w:val="0"/>
          <w:iCs w:val="0"/>
          <w:sz w:val="20"/>
          <w:szCs w:val="20"/>
          <w:lang w:val="en-US"/>
        </w:rPr>
        <w:t>op. cit.</w:t>
      </w:r>
      <w:r w:rsidRPr="00BD2CBB">
        <w:rPr>
          <w:rFonts w:asciiTheme="majorBidi" w:hAnsiTheme="majorBidi" w:cstheme="majorBidi"/>
          <w:sz w:val="20"/>
          <w:szCs w:val="20"/>
          <w:lang w:val="en-US"/>
        </w:rPr>
        <w:t>,p.25.</w:t>
      </w:r>
    </w:p>
  </w:footnote>
  <w:footnote w:id="68">
    <w:p w14:paraId="5E6C81C5"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 xml:space="preserve">Heude, R-P. (1989)., </w:t>
      </w:r>
      <w:r w:rsidRPr="00BD2CBB">
        <w:rPr>
          <w:rStyle w:val="Accentuation"/>
          <w:rFonts w:asciiTheme="majorBidi" w:hAnsiTheme="majorBidi" w:cstheme="majorBidi"/>
          <w:i w:val="0"/>
          <w:iCs w:val="0"/>
          <w:sz w:val="20"/>
          <w:szCs w:val="20"/>
        </w:rPr>
        <w:t>op. cit.</w:t>
      </w:r>
      <w:r w:rsidRPr="00BD2CBB">
        <w:rPr>
          <w:rFonts w:asciiTheme="majorBidi" w:hAnsiTheme="majorBidi" w:cstheme="majorBidi"/>
          <w:sz w:val="20"/>
          <w:szCs w:val="20"/>
        </w:rPr>
        <w:t>,p. 79.</w:t>
      </w:r>
    </w:p>
  </w:footnote>
  <w:footnote w:id="69">
    <w:p w14:paraId="03BB403B"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w:t>
      </w:r>
      <w:r w:rsidRPr="00BD2CBB">
        <w:rPr>
          <w:rFonts w:asciiTheme="majorBidi" w:hAnsiTheme="majorBidi" w:cstheme="majorBidi"/>
          <w:sz w:val="20"/>
          <w:szCs w:val="20"/>
        </w:rPr>
        <w:t xml:space="preserve">Heude, R-P. (1989)., </w:t>
      </w:r>
      <w:r w:rsidRPr="00BD2CBB">
        <w:rPr>
          <w:rStyle w:val="Accentuation"/>
          <w:rFonts w:asciiTheme="majorBidi" w:hAnsiTheme="majorBidi" w:cstheme="majorBidi"/>
          <w:i w:val="0"/>
          <w:iCs w:val="0"/>
          <w:sz w:val="20"/>
          <w:szCs w:val="20"/>
        </w:rPr>
        <w:t>op. cit.</w:t>
      </w:r>
      <w:r w:rsidRPr="00BD2CBB">
        <w:rPr>
          <w:rFonts w:asciiTheme="majorBidi" w:hAnsiTheme="majorBidi" w:cstheme="majorBidi"/>
          <w:sz w:val="20"/>
          <w:szCs w:val="20"/>
        </w:rPr>
        <w:t>,p. 79</w:t>
      </w:r>
    </w:p>
  </w:footnote>
  <w:footnote w:id="70">
    <w:p w14:paraId="419BCCDC"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Kotler &amp; Keller, 2012.</w:t>
      </w:r>
    </w:p>
  </w:footnote>
  <w:footnote w:id="71">
    <w:p w14:paraId="110EDAF5"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b</w:t>
      </w:r>
      <w:r w:rsidRPr="00BD2CBB">
        <w:rPr>
          <w:rStyle w:val="lev"/>
          <w:rFonts w:asciiTheme="majorBidi" w:hAnsiTheme="majorBidi" w:cstheme="majorBidi"/>
          <w:b w:val="0"/>
          <w:bCs w:val="0"/>
          <w:sz w:val="20"/>
          <w:szCs w:val="20"/>
          <w:lang w:val="en-US"/>
        </w:rPr>
        <w:t>elch, G. E., &amp; Belch, M. A. (2009).</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lang w:val="en-US"/>
        </w:rPr>
        <w:t>Advertising and Promotion: An Integrated Marketing Communications Perspective</w:t>
      </w:r>
      <w:r w:rsidRPr="00BD2CBB">
        <w:rPr>
          <w:rFonts w:asciiTheme="majorBidi" w:hAnsiTheme="majorBidi" w:cstheme="majorBidi"/>
          <w:sz w:val="20"/>
          <w:szCs w:val="20"/>
          <w:lang w:val="en-US"/>
        </w:rPr>
        <w:t>. 8th ed. McGraw-Hill Education.</w:t>
      </w:r>
    </w:p>
  </w:footnote>
  <w:footnote w:id="72">
    <w:p w14:paraId="01F2A3FA"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Style w:val="lev"/>
          <w:rFonts w:asciiTheme="majorBidi" w:hAnsiTheme="majorBidi" w:cstheme="majorBidi"/>
          <w:b w:val="0"/>
          <w:bCs w:val="0"/>
          <w:sz w:val="20"/>
          <w:szCs w:val="20"/>
          <w:lang w:val="en-US"/>
        </w:rPr>
        <w:t>Mangold, W. Glynn, and David J. Faulds. 2009.</w:t>
      </w:r>
      <w:r w:rsidRPr="00BD2CBB">
        <w:rPr>
          <w:rFonts w:asciiTheme="majorBidi" w:hAnsiTheme="majorBidi" w:cstheme="majorBidi"/>
          <w:sz w:val="20"/>
          <w:szCs w:val="20"/>
          <w:lang w:val="en-US"/>
        </w:rPr>
        <w:t xml:space="preserve"> "Social Media: The New Hybrid Element of the Promotion Mix." </w:t>
      </w:r>
      <w:r w:rsidRPr="00BD2CBB">
        <w:rPr>
          <w:rStyle w:val="Accentuation"/>
          <w:rFonts w:asciiTheme="majorBidi" w:hAnsiTheme="majorBidi" w:cstheme="majorBidi"/>
          <w:i w:val="0"/>
          <w:iCs w:val="0"/>
          <w:sz w:val="20"/>
          <w:szCs w:val="20"/>
          <w:lang w:val="en-US"/>
        </w:rPr>
        <w:t>Business Horizons</w:t>
      </w:r>
      <w:r w:rsidRPr="00BD2CBB">
        <w:rPr>
          <w:rFonts w:asciiTheme="majorBidi" w:hAnsiTheme="majorBidi" w:cstheme="majorBidi"/>
          <w:sz w:val="20"/>
          <w:szCs w:val="20"/>
          <w:lang w:val="en-US"/>
        </w:rPr>
        <w:t xml:space="preserve"> 52 (4): 357-365.</w:t>
      </w:r>
    </w:p>
    <w:p w14:paraId="54895F6C" w14:textId="77777777" w:rsidR="003D09A2" w:rsidRPr="00BD2CBB" w:rsidRDefault="003D09A2" w:rsidP="00F577B6">
      <w:pPr>
        <w:pStyle w:val="Sansinterligne"/>
        <w:rPr>
          <w:rFonts w:asciiTheme="majorBidi" w:hAnsiTheme="majorBidi" w:cstheme="majorBidi"/>
          <w:sz w:val="20"/>
          <w:szCs w:val="20"/>
          <w:lang w:val="en-US"/>
        </w:rPr>
      </w:pPr>
      <w:r w:rsidRPr="00BD2CBB">
        <w:rPr>
          <w:rFonts w:asciiTheme="majorBidi" w:hAnsiTheme="majorBidi" w:cstheme="majorBidi"/>
          <w:sz w:val="20"/>
          <w:szCs w:val="20"/>
          <w:lang w:val="en-US"/>
        </w:rPr>
        <w:t>https://doi.org/10.1016/j.bushor.2009.03.002.</w:t>
      </w:r>
    </w:p>
  </w:footnote>
  <w:footnote w:id="73">
    <w:p w14:paraId="351E9585"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Style w:val="lev"/>
          <w:rFonts w:asciiTheme="majorBidi" w:hAnsiTheme="majorBidi" w:cstheme="majorBidi"/>
          <w:b w:val="0"/>
          <w:bCs w:val="0"/>
          <w:sz w:val="20"/>
          <w:szCs w:val="20"/>
          <w:lang w:val="en-US"/>
        </w:rPr>
        <w:t>Cornwell, T. B. 2008.</w:t>
      </w:r>
      <w:r w:rsidRPr="00BD2CBB">
        <w:rPr>
          <w:rFonts w:asciiTheme="majorBidi" w:hAnsiTheme="majorBidi" w:cstheme="majorBidi"/>
          <w:sz w:val="20"/>
          <w:szCs w:val="20"/>
          <w:lang w:val="en-US"/>
        </w:rPr>
        <w:t xml:space="preserve"> "State of the Art and Science in Sponsorship-Linked Marketing." </w:t>
      </w:r>
      <w:r w:rsidRPr="00BD2CBB">
        <w:rPr>
          <w:rStyle w:val="Accentuation"/>
          <w:rFonts w:asciiTheme="majorBidi" w:hAnsiTheme="majorBidi" w:cstheme="majorBidi"/>
          <w:i w:val="0"/>
          <w:iCs w:val="0"/>
          <w:sz w:val="20"/>
          <w:szCs w:val="20"/>
          <w:lang w:val="en-US"/>
        </w:rPr>
        <w:t>Journal of</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lang w:val="en-US"/>
        </w:rPr>
        <w:t>Advertising</w:t>
      </w:r>
      <w:r w:rsidRPr="00BD2CBB">
        <w:rPr>
          <w:rFonts w:asciiTheme="majorBidi" w:hAnsiTheme="majorBidi" w:cstheme="majorBidi"/>
          <w:sz w:val="20"/>
          <w:szCs w:val="20"/>
          <w:lang w:val="en-US"/>
        </w:rPr>
        <w:t xml:space="preserve"> 37 (3): 41-54. https://doi.org/10.2753/JOA0091-3367370304</w:t>
      </w:r>
    </w:p>
  </w:footnote>
  <w:footnote w:id="74">
    <w:p w14:paraId="715ACD48"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Verhoef, Peter C., P.K. Kannan, and J.J. Inman. 2009. "Understanding the Customer Experience in the Multichannel Context." Journal of Retailing 85 (1): 31-41. https://doi.org/10.1016/j.jretai.2008.11.001.</w:t>
      </w:r>
    </w:p>
  </w:footnote>
  <w:footnote w:id="75">
    <w:p w14:paraId="43822550"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Hoyer, Wayne D., and Steven P. Brown. 1990. "Effects of Brand Awareness on Choice Behavior." Journal of Consumer Research 17 (2): 141-148. https://doi.org/10.1086/208552.</w:t>
      </w:r>
    </w:p>
  </w:footnote>
  <w:footnote w:id="76">
    <w:p w14:paraId="72DE461A"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Szabo, S., &amp; Webster, J. (2020). Perceived Greenwashing : The effects of green marketing on environmental and product perceptions. Journal of Business Ethics. https://doi.org/10.1007/s10551-020-04461-0</w:t>
      </w:r>
    </w:p>
  </w:footnote>
  <w:footnote w:id="77">
    <w:p w14:paraId="54343DB1"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Guo, R., Lan, T., Li, C. B., &amp; Wang, T. (2015). A Path analysis of Greenwashing in a trust crisis among Chinese energy companies : The role of brand legitimacy and brand loyalty. Journal of Business Ethics, 140(3), 523-536. https://doi.org/10.1007/s10551-015-2672-7</w:t>
      </w:r>
    </w:p>
  </w:footnote>
  <w:footnote w:id="78">
    <w:p w14:paraId="732F9F04"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p>
  </w:footnote>
  <w:footnote w:id="79">
    <w:p w14:paraId="04F455FE"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S., &amp; Chang, C. H. (2012). </w:t>
      </w:r>
      <w:r w:rsidRPr="00BD2CBB">
        <w:rPr>
          <w:rFonts w:asciiTheme="majorBidi" w:hAnsiTheme="majorBidi" w:cstheme="majorBidi"/>
          <w:sz w:val="20"/>
          <w:szCs w:val="20"/>
          <w:lang w:val="en-US"/>
        </w:rPr>
        <w:t>GreenWash and Green Trust : The mediation effects of green consumer confusion and Green Perceived Risk. Journal of Business Ethics, 114(3), 489-500. https://doi.org/10.1007/s10551-012-1360-0</w:t>
      </w:r>
    </w:p>
  </w:footnote>
  <w:footnote w:id="80">
    <w:p w14:paraId="2C93965D"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Rana, N. P., and Y. K. Dwivedi. 2020. Exploring the Role of Big Data Analytics in Transforming Business and Society. Cham: Springer.</w:t>
      </w:r>
    </w:p>
  </w:footnote>
  <w:footnote w:id="81">
    <w:p w14:paraId="34FC4441"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Qayyum, A., Jamil, R. A., &amp; </w:t>
      </w:r>
      <w:r w:rsidRPr="00BD2CBB">
        <w:rPr>
          <w:rFonts w:asciiTheme="majorBidi" w:hAnsiTheme="majorBidi" w:cstheme="majorBidi"/>
          <w:sz w:val="20"/>
          <w:szCs w:val="20"/>
          <w:lang w:val="en-US"/>
        </w:rPr>
        <w:t>Sehar, A. (2022). Impact of green marketing, greenwashing and green confusion on green brand equity. Spanish Journal of Marketing - ESIC. https://doi.org/10.1108/sjme-03-2022-0032</w:t>
      </w:r>
    </w:p>
  </w:footnote>
  <w:footnote w:id="82">
    <w:p w14:paraId="4CD33C9E"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Qayyum, Jamil et </w:t>
      </w:r>
      <w:r w:rsidRPr="00BD2CBB">
        <w:rPr>
          <w:rFonts w:asciiTheme="majorBidi" w:hAnsiTheme="majorBidi" w:cstheme="majorBidi"/>
          <w:sz w:val="20"/>
          <w:szCs w:val="20"/>
          <w:lang w:val="en-US"/>
        </w:rPr>
        <w:t>Sehar, op. cit.</w:t>
      </w:r>
    </w:p>
  </w:footnote>
  <w:footnote w:id="83">
    <w:p w14:paraId="5EC94C6B"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Topal, I ., Nart, S., Akar, C., &amp; Erkollar, A. (2019). The effect of greenwashing on online consumer engagement : a comparative study in France, Germany, Turkey, and the United Kingdom. Business Strategy and The Environment, 29(2), 465-480. https://doi.org/10.1002/bse.2380 </w:t>
      </w:r>
    </w:p>
  </w:footnote>
  <w:footnote w:id="84">
    <w:p w14:paraId="6B858899"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Lopes, E. L., &amp; </w:t>
      </w:r>
      <w:r w:rsidRPr="00BD2CBB">
        <w:rPr>
          <w:rFonts w:asciiTheme="majorBidi" w:hAnsiTheme="majorBidi" w:cstheme="majorBidi"/>
          <w:sz w:val="20"/>
          <w:szCs w:val="20"/>
          <w:lang w:val="en-US"/>
        </w:rPr>
        <w:t>Veiga, R. T. (2019). Increasing purchasing intention of eco-efficient products : the role of the advertising communication strategy and the branding strategy. Journal of Brand Management, 26(5), 550-566. https://doi.org/10.1057/s41262-019-00150-0</w:t>
      </w:r>
    </w:p>
  </w:footnote>
  <w:footnote w:id="85">
    <w:p w14:paraId="7CD64CB7"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Macotela, C. (2016). Social Media as a new Mass Media tool for environmental consciousness. Lund University.</w:t>
      </w:r>
    </w:p>
  </w:footnote>
  <w:footnote w:id="86">
    <w:p w14:paraId="444A017D"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Nucci, A., &amp; Hibberd, M. (2021). Eco-activism, Human-Computer Interaction and fast fashion. </w:t>
      </w:r>
      <w:r w:rsidRPr="00BD2CBB">
        <w:rPr>
          <w:rFonts w:asciiTheme="majorBidi" w:hAnsiTheme="majorBidi" w:cstheme="majorBidi"/>
          <w:sz w:val="20"/>
          <w:szCs w:val="20"/>
          <w:lang w:val="en-US"/>
        </w:rPr>
        <w:t>Dans Springer eBooks (p. 519-530). https://doi.org/10.1007/978-3-030-78224 5_36</w:t>
      </w:r>
    </w:p>
  </w:footnote>
  <w:footnote w:id="87">
    <w:p w14:paraId="6627FFBC"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Macotela, C. (2016). Social Media as a new Mass Media tool for environmental consciousness. Lund University.</w:t>
      </w:r>
    </w:p>
  </w:footnote>
  <w:footnote w:id="88">
    <w:p w14:paraId="278ABBA5"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Huang, A., Wang, T., &amp; Chen, Y. (2018). </w:t>
      </w:r>
      <w:r w:rsidRPr="00BD2CBB">
        <w:rPr>
          <w:rFonts w:asciiTheme="majorBidi" w:hAnsiTheme="majorBidi" w:cstheme="majorBidi"/>
          <w:sz w:val="20"/>
          <w:szCs w:val="20"/>
          <w:lang w:val="en-US"/>
        </w:rPr>
        <w:t>GreenWash and Green Purchase behaviour : The mediation of green brand image and green brand loyalty. Total quality management&amp; business excellence, 31(1-2), 194-209. https://doi.org/10.1080/14783363.2018.1426450</w:t>
      </w:r>
    </w:p>
  </w:footnote>
  <w:footnote w:id="89">
    <w:p w14:paraId="104D7572"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et al., 2018.,  op. cit.</w:t>
      </w:r>
    </w:p>
  </w:footnote>
  <w:footnote w:id="90">
    <w:p w14:paraId="069F5B5A"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Ahmad, Z., &amp; Esposito, P. (2022). The influence of greenwash on green purchase intentions, the mediating role of green brand loyalty. 15th annual conference of the </w:t>
      </w:r>
      <w:r w:rsidRPr="00BD2CBB">
        <w:rPr>
          <w:rFonts w:asciiTheme="majorBidi" w:hAnsiTheme="majorBidi" w:cstheme="majorBidi"/>
          <w:sz w:val="20"/>
          <w:szCs w:val="20"/>
          <w:lang w:val="en-US"/>
        </w:rPr>
        <w:t>EuroMed Academy of Business. https://www.researchgate.net/profile/michael_neubert7/publication/363729489_appl ication_of_artificial_intelligence_in_strategic_marketing_decisionmaking_processes/links/632b66ea70cc936cd325ea02/application-of-artificial intelligence-in-strategic-marketing-decision-making-processes.pdf#page=61</w:t>
      </w:r>
    </w:p>
  </w:footnote>
  <w:footnote w:id="91">
    <w:p w14:paraId="2A80435E"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Ahmad et </w:t>
      </w:r>
      <w:r w:rsidRPr="00BD2CBB">
        <w:rPr>
          <w:rFonts w:asciiTheme="majorBidi" w:hAnsiTheme="majorBidi" w:cstheme="majorBidi"/>
          <w:sz w:val="20"/>
          <w:szCs w:val="20"/>
        </w:rPr>
        <w:t xml:space="preserve">Esposito, 2022 ., </w:t>
      </w:r>
      <w:r w:rsidRPr="00BD2CBB">
        <w:rPr>
          <w:rStyle w:val="Accentuation"/>
          <w:rFonts w:asciiTheme="majorBidi" w:hAnsiTheme="majorBidi" w:cstheme="majorBidi"/>
          <w:i w:val="0"/>
          <w:iCs w:val="0"/>
          <w:sz w:val="20"/>
          <w:szCs w:val="20"/>
        </w:rPr>
        <w:t>op. cit.</w:t>
      </w:r>
      <w:r w:rsidRPr="00BD2CBB">
        <w:rPr>
          <w:rFonts w:asciiTheme="majorBidi" w:hAnsiTheme="majorBidi" w:cstheme="majorBidi"/>
          <w:sz w:val="20"/>
          <w:szCs w:val="20"/>
        </w:rPr>
        <w:t>, p61</w:t>
      </w:r>
    </w:p>
  </w:footnote>
  <w:footnote w:id="92">
    <w:p w14:paraId="15A5456B"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Ahmad et </w:t>
      </w:r>
      <w:r w:rsidRPr="00BD2CBB">
        <w:rPr>
          <w:rFonts w:asciiTheme="majorBidi" w:hAnsiTheme="majorBidi" w:cstheme="majorBidi"/>
          <w:sz w:val="20"/>
          <w:szCs w:val="20"/>
        </w:rPr>
        <w:t xml:space="preserve">Esposito, 2022 ., </w:t>
      </w:r>
      <w:r w:rsidRPr="00BD2CBB">
        <w:rPr>
          <w:rStyle w:val="Accentuation"/>
          <w:rFonts w:asciiTheme="majorBidi" w:hAnsiTheme="majorBidi" w:cstheme="majorBidi"/>
          <w:i w:val="0"/>
          <w:iCs w:val="0"/>
          <w:sz w:val="20"/>
          <w:szCs w:val="20"/>
        </w:rPr>
        <w:t>op. cit.</w:t>
      </w:r>
      <w:r w:rsidRPr="00BD2CBB">
        <w:rPr>
          <w:rFonts w:asciiTheme="majorBidi" w:hAnsiTheme="majorBidi" w:cstheme="majorBidi"/>
          <w:sz w:val="20"/>
          <w:szCs w:val="20"/>
        </w:rPr>
        <w:t>, p61</w:t>
      </w:r>
    </w:p>
  </w:footnote>
  <w:footnote w:id="93">
    <w:p w14:paraId="0064CC4D"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9645CF">
        <w:rPr>
          <w:rFonts w:asciiTheme="majorBidi" w:hAnsiTheme="majorBidi" w:cstheme="majorBidi"/>
          <w:sz w:val="20"/>
          <w:szCs w:val="20"/>
          <w:lang w:val="en-US"/>
        </w:rPr>
        <w:t xml:space="preserve"> </w:t>
      </w:r>
      <w:r w:rsidRPr="009645CF">
        <w:rPr>
          <w:rFonts w:asciiTheme="majorBidi" w:hAnsiTheme="majorBidi" w:cstheme="majorBidi"/>
          <w:sz w:val="20"/>
          <w:szCs w:val="20"/>
          <w:lang w:val="en-US"/>
        </w:rPr>
        <w:t xml:space="preserve">Paassilta, N. (2021). </w:t>
      </w:r>
      <w:r w:rsidRPr="00BD2CBB">
        <w:rPr>
          <w:rFonts w:asciiTheme="majorBidi" w:hAnsiTheme="majorBidi" w:cstheme="majorBidi"/>
          <w:sz w:val="20"/>
          <w:szCs w:val="20"/>
          <w:lang w:val="en-US"/>
        </w:rPr>
        <w:t>Impact of greenwashing on consumer behaviour and purchase intent in the food sector. https://aaltodoc.aalto.fi/handle/123456789/107350</w:t>
      </w:r>
    </w:p>
  </w:footnote>
  <w:footnote w:id="94">
    <w:p w14:paraId="35FE62D1"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s-419"/>
        </w:rPr>
        <w:t xml:space="preserve"> Guerreiro, J., &amp; Pacheco, M. P. (2021). </w:t>
      </w:r>
      <w:r w:rsidRPr="00BD2CBB">
        <w:rPr>
          <w:rFonts w:asciiTheme="majorBidi" w:hAnsiTheme="majorBidi" w:cstheme="majorBidi"/>
          <w:sz w:val="20"/>
          <w:szCs w:val="20"/>
          <w:lang w:val="en-US"/>
        </w:rPr>
        <w:t>How green trust, consumer brand engagement and green Word-of-Mouth mediate purchasing intentions. Sustainability, 13(14), 7877. https://doi.org/10.3390/su13147877</w:t>
      </w:r>
    </w:p>
  </w:footnote>
  <w:footnote w:id="95">
    <w:p w14:paraId="7B21B248"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Erdem, T., &amp; Swait, J. (2004). </w:t>
      </w:r>
      <w:r w:rsidRPr="00BD2CBB">
        <w:rPr>
          <w:rStyle w:val="Accentuation"/>
          <w:rFonts w:asciiTheme="majorBidi" w:hAnsiTheme="majorBidi" w:cstheme="majorBidi"/>
          <w:i w:val="0"/>
          <w:iCs w:val="0"/>
          <w:sz w:val="20"/>
          <w:szCs w:val="20"/>
          <w:lang w:val="en-US"/>
        </w:rPr>
        <w:t>Brand Credibility, Brand Consideration, and Choice</w:t>
      </w:r>
      <w:r w:rsidRPr="00BD2CBB">
        <w:rPr>
          <w:rFonts w:asciiTheme="majorBidi" w:hAnsiTheme="majorBidi" w:cstheme="majorBidi"/>
          <w:sz w:val="20"/>
          <w:szCs w:val="20"/>
          <w:lang w:val="en-US"/>
        </w:rPr>
        <w:t xml:space="preserve">. Journal of Consumer Research, 31(1), 191-198. </w:t>
      </w:r>
    </w:p>
  </w:footnote>
  <w:footnote w:id="96">
    <w:p w14:paraId="56C171E3"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S., &amp; Chang, C. H. (2013). </w:t>
      </w:r>
      <w:r w:rsidRPr="00BD2CBB">
        <w:rPr>
          <w:rStyle w:val="Accentuation"/>
          <w:rFonts w:asciiTheme="majorBidi" w:hAnsiTheme="majorBidi" w:cstheme="majorBidi"/>
          <w:i w:val="0"/>
          <w:iCs w:val="0"/>
          <w:sz w:val="20"/>
          <w:szCs w:val="20"/>
          <w:lang w:val="en-US"/>
        </w:rPr>
        <w:t>Greenwash and Green Trust</w:t>
      </w:r>
      <w:r w:rsidRPr="00BD2CBB">
        <w:rPr>
          <w:rFonts w:asciiTheme="majorBidi" w:hAnsiTheme="majorBidi" w:cstheme="majorBidi"/>
          <w:sz w:val="20"/>
          <w:szCs w:val="20"/>
          <w:lang w:val="en-US"/>
        </w:rPr>
        <w:t>. Journal of Business Ethics, 114(3),</w:t>
      </w:r>
      <w:r w:rsidRPr="00BD2CBB">
        <w:rPr>
          <w:rStyle w:val="Titre1Car"/>
          <w:b w:val="0"/>
          <w:sz w:val="20"/>
          <w:szCs w:val="20"/>
          <w:lang w:val="en-US"/>
        </w:rPr>
        <w:t xml:space="preserve"> </w:t>
      </w:r>
      <w:r w:rsidRPr="00BD2CBB">
        <w:rPr>
          <w:rStyle w:val="relative"/>
          <w:rFonts w:asciiTheme="majorBidi" w:hAnsiTheme="majorBidi" w:cstheme="majorBidi"/>
          <w:sz w:val="20"/>
          <w:szCs w:val="20"/>
          <w:lang w:val="en-US"/>
        </w:rPr>
        <w:t>p. 310</w:t>
      </w:r>
      <w:r w:rsidRPr="00BD2CBB">
        <w:rPr>
          <w:rFonts w:asciiTheme="majorBidi" w:hAnsiTheme="majorBidi" w:cstheme="majorBidi"/>
          <w:sz w:val="20"/>
          <w:szCs w:val="20"/>
          <w:lang w:val="en-US"/>
        </w:rPr>
        <w:t xml:space="preserve"> . </w:t>
      </w:r>
    </w:p>
  </w:footnote>
  <w:footnote w:id="97">
    <w:p w14:paraId="563AE383"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s-419"/>
        </w:rPr>
        <w:t xml:space="preserve"> Delmas, M. A., &amp; Burbano, V. C. (2011). </w:t>
      </w:r>
      <w:r w:rsidRPr="00BD2CBB">
        <w:rPr>
          <w:rStyle w:val="Accentuation"/>
          <w:rFonts w:asciiTheme="majorBidi" w:hAnsiTheme="majorBidi" w:cstheme="majorBidi"/>
          <w:i w:val="0"/>
          <w:iCs w:val="0"/>
          <w:sz w:val="20"/>
          <w:szCs w:val="20"/>
          <w:lang w:val="en-US"/>
        </w:rPr>
        <w:t>The Drivers of Greenwashing</w:t>
      </w:r>
      <w:r w:rsidRPr="00BD2CBB">
        <w:rPr>
          <w:rFonts w:asciiTheme="majorBidi" w:hAnsiTheme="majorBidi" w:cstheme="majorBidi"/>
          <w:sz w:val="20"/>
          <w:szCs w:val="20"/>
          <w:lang w:val="en-US"/>
        </w:rPr>
        <w:t>. California Management Review, 54(1),  pp. 70-71.</w:t>
      </w:r>
    </w:p>
  </w:footnote>
  <w:footnote w:id="98">
    <w:p w14:paraId="2C36EE76"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Lyon, T. P., &amp; Montgomery, A. W. (2015). </w:t>
      </w:r>
      <w:r w:rsidRPr="00BD2CBB">
        <w:rPr>
          <w:rStyle w:val="Accentuation"/>
          <w:rFonts w:asciiTheme="majorBidi" w:hAnsiTheme="majorBidi" w:cstheme="majorBidi"/>
          <w:i w:val="0"/>
          <w:iCs w:val="0"/>
          <w:sz w:val="20"/>
          <w:szCs w:val="20"/>
          <w:lang w:val="en-US"/>
        </w:rPr>
        <w:t>The Means and End of Greenwash</w:t>
      </w:r>
      <w:r w:rsidRPr="00BD2CBB">
        <w:rPr>
          <w:rFonts w:asciiTheme="majorBidi" w:hAnsiTheme="majorBidi" w:cstheme="majorBidi"/>
          <w:sz w:val="20"/>
          <w:szCs w:val="20"/>
          <w:lang w:val="en-US"/>
        </w:rPr>
        <w:t>. Organization &amp; Environment, 28(2), p. 229.</w:t>
      </w:r>
    </w:p>
  </w:footnote>
  <w:footnote w:id="99">
    <w:p w14:paraId="5266DE7C"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S., &amp; Chang, C. H. (2013). </w:t>
      </w:r>
      <w:r w:rsidRPr="00BD2CBB">
        <w:rPr>
          <w:rStyle w:val="Accentuation"/>
          <w:rFonts w:asciiTheme="majorBidi" w:hAnsiTheme="majorBidi" w:cstheme="majorBidi"/>
          <w:i w:val="0"/>
          <w:iCs w:val="0"/>
          <w:sz w:val="20"/>
          <w:szCs w:val="20"/>
          <w:lang w:val="en-US"/>
        </w:rPr>
        <w:t>Greenwash and Green Trust</w:t>
      </w:r>
      <w:r w:rsidRPr="00BD2CBB">
        <w:rPr>
          <w:rFonts w:asciiTheme="majorBidi" w:hAnsiTheme="majorBidi" w:cstheme="majorBidi"/>
          <w:sz w:val="20"/>
          <w:szCs w:val="20"/>
          <w:lang w:val="en-US"/>
        </w:rPr>
        <w:t>. Journal of Business Ethics, 114(3), pp. 500-501.</w:t>
      </w:r>
    </w:p>
  </w:footnote>
  <w:footnote w:id="100">
    <w:p w14:paraId="4F722F09"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Akturan, U. (2018). </w:t>
      </w:r>
      <w:r w:rsidRPr="00BD2CBB">
        <w:rPr>
          <w:rStyle w:val="Accentuation"/>
          <w:rFonts w:asciiTheme="majorBidi" w:hAnsiTheme="majorBidi" w:cstheme="majorBidi"/>
          <w:i w:val="0"/>
          <w:iCs w:val="0"/>
          <w:sz w:val="20"/>
          <w:szCs w:val="20"/>
          <w:lang w:val="en-US"/>
        </w:rPr>
        <w:t>How greenwashing affects green brand equity and purchase intention?</w:t>
      </w:r>
      <w:r w:rsidRPr="00BD2CBB">
        <w:rPr>
          <w:rFonts w:asciiTheme="majorBidi" w:hAnsiTheme="majorBidi" w:cstheme="majorBidi"/>
          <w:sz w:val="20"/>
          <w:szCs w:val="20"/>
          <w:lang w:val="en-US"/>
        </w:rPr>
        <w:t>. Marketing Intelligence &amp; Planning, 36(5), pp. 551-552.</w:t>
      </w:r>
    </w:p>
  </w:footnote>
  <w:footnote w:id="101">
    <w:p w14:paraId="6A834D00"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Akturan, U. (2018) , p 552.</w:t>
      </w:r>
    </w:p>
  </w:footnote>
  <w:footnote w:id="102">
    <w:p w14:paraId="4A2DE5F2"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Nielsen (2015). </w:t>
      </w:r>
      <w:r w:rsidRPr="00BD2CBB">
        <w:rPr>
          <w:rStyle w:val="Accentuation"/>
          <w:rFonts w:asciiTheme="majorBidi" w:hAnsiTheme="majorBidi" w:cstheme="majorBidi"/>
          <w:i w:val="0"/>
          <w:iCs w:val="0"/>
          <w:sz w:val="20"/>
          <w:szCs w:val="20"/>
          <w:lang w:val="en-US"/>
        </w:rPr>
        <w:t>The Sustainability Imperative: New Insights on Consumer Expectations</w:t>
      </w:r>
      <w:r w:rsidRPr="00BD2CBB">
        <w:rPr>
          <w:rFonts w:asciiTheme="majorBidi" w:hAnsiTheme="majorBidi" w:cstheme="majorBidi"/>
          <w:sz w:val="20"/>
          <w:szCs w:val="20"/>
          <w:lang w:val="en-US"/>
        </w:rPr>
        <w:t>, p. 12.</w:t>
      </w:r>
    </w:p>
  </w:footnote>
  <w:footnote w:id="103">
    <w:p w14:paraId="5DDB52CC"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rPr>
        <w:t xml:space="preserve"> Parguel, B., Benoît-Moreau, F., &amp; Larceneux, F. (2011). </w:t>
      </w:r>
      <w:r w:rsidRPr="00BD2CBB">
        <w:rPr>
          <w:rStyle w:val="Accentuation"/>
          <w:rFonts w:asciiTheme="majorBidi" w:hAnsiTheme="majorBidi" w:cstheme="majorBidi"/>
          <w:i w:val="0"/>
          <w:iCs w:val="0"/>
          <w:sz w:val="20"/>
          <w:szCs w:val="20"/>
          <w:lang w:val="en-US"/>
        </w:rPr>
        <w:t>How Sustainability Ratings Might Deter Greenwashing</w:t>
      </w:r>
      <w:r w:rsidRPr="00BD2CBB">
        <w:rPr>
          <w:rFonts w:asciiTheme="majorBidi" w:hAnsiTheme="majorBidi" w:cstheme="majorBidi"/>
          <w:sz w:val="20"/>
          <w:szCs w:val="20"/>
          <w:lang w:val="en-US"/>
        </w:rPr>
        <w:t>. Journal of Business Ethics, 102(1), pp. 16-17.</w:t>
      </w:r>
    </w:p>
  </w:footnote>
  <w:footnote w:id="104">
    <w:p w14:paraId="42044CCD"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Walker, K., &amp; Wan, F. (2012). </w:t>
      </w:r>
      <w:r w:rsidRPr="00BD2CBB">
        <w:rPr>
          <w:rStyle w:val="Accentuation"/>
          <w:rFonts w:asciiTheme="majorBidi" w:hAnsiTheme="majorBidi" w:cstheme="majorBidi"/>
          <w:i w:val="0"/>
          <w:iCs w:val="0"/>
          <w:sz w:val="20"/>
          <w:szCs w:val="20"/>
          <w:lang w:val="en-US"/>
        </w:rPr>
        <w:t>The Harm of Symbolic Actions and Green-Washing</w:t>
      </w:r>
      <w:r w:rsidRPr="00BD2CBB">
        <w:rPr>
          <w:rFonts w:asciiTheme="majorBidi" w:hAnsiTheme="majorBidi" w:cstheme="majorBidi"/>
          <w:sz w:val="20"/>
          <w:szCs w:val="20"/>
          <w:lang w:val="en-US"/>
        </w:rPr>
        <w:t>. Journal of Business Ethics, 109(2), pp. 342.</w:t>
      </w:r>
    </w:p>
  </w:footnote>
  <w:footnote w:id="105">
    <w:p w14:paraId="3A033581"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Walker, K., &amp; Wan, F. (2012), p 342.</w:t>
      </w:r>
    </w:p>
  </w:footnote>
  <w:footnote w:id="106">
    <w:p w14:paraId="28287852"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S. (2010). </w:t>
      </w:r>
      <w:r w:rsidRPr="00BD2CBB">
        <w:rPr>
          <w:rStyle w:val="Accentuation"/>
          <w:rFonts w:asciiTheme="majorBidi" w:hAnsiTheme="majorBidi" w:cstheme="majorBidi"/>
          <w:i w:val="0"/>
          <w:iCs w:val="0"/>
          <w:sz w:val="20"/>
          <w:szCs w:val="20"/>
          <w:lang w:val="en-US"/>
        </w:rPr>
        <w:t>The Drivers of Green Brand Equity: Green Brand Image, Green Satisfaction, and Green Trust</w:t>
      </w:r>
      <w:r w:rsidRPr="00BD2CBB">
        <w:rPr>
          <w:rFonts w:asciiTheme="majorBidi" w:hAnsiTheme="majorBidi" w:cstheme="majorBidi"/>
          <w:sz w:val="20"/>
          <w:szCs w:val="20"/>
          <w:lang w:val="en-US"/>
        </w:rPr>
        <w:t>. Journal of Business Ethics, 93(2), pp. 309-310.</w:t>
      </w:r>
    </w:p>
  </w:footnote>
  <w:footnote w:id="107">
    <w:p w14:paraId="339CAF31"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S., &amp; Chang, C. H. (2013). </w:t>
      </w:r>
      <w:r w:rsidRPr="00BD2CBB">
        <w:rPr>
          <w:rStyle w:val="Accentuation"/>
          <w:rFonts w:asciiTheme="majorBidi" w:hAnsiTheme="majorBidi" w:cstheme="majorBidi"/>
          <w:i w:val="0"/>
          <w:iCs w:val="0"/>
          <w:sz w:val="20"/>
          <w:szCs w:val="20"/>
          <w:lang w:val="en-US"/>
        </w:rPr>
        <w:t>Greenwash and Green Trust: The Mediation Effects of Green Consumer Confusion and Green Perceived Risk</w:t>
      </w:r>
      <w:r w:rsidRPr="00BD2CBB">
        <w:rPr>
          <w:rFonts w:asciiTheme="majorBidi" w:hAnsiTheme="majorBidi" w:cstheme="majorBidi"/>
          <w:sz w:val="20"/>
          <w:szCs w:val="20"/>
          <w:lang w:val="en-US"/>
        </w:rPr>
        <w:t>. Journal of Business Ethics, 114(3), pp. 496-497.</w:t>
      </w:r>
    </w:p>
  </w:footnote>
  <w:footnote w:id="108">
    <w:p w14:paraId="1CF9B6A1"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Rahman, M. A., Park, J., &amp; Chi, G. C. (2015). </w:t>
      </w:r>
      <w:r w:rsidRPr="00BD2CBB">
        <w:rPr>
          <w:rStyle w:val="Accentuation"/>
          <w:rFonts w:asciiTheme="majorBidi" w:hAnsiTheme="majorBidi" w:cstheme="majorBidi"/>
          <w:i w:val="0"/>
          <w:iCs w:val="0"/>
          <w:sz w:val="20"/>
          <w:szCs w:val="20"/>
          <w:lang w:val="en-US"/>
        </w:rPr>
        <w:t>Consequences of “Greenwashing”: Consumers’ Reactions to Environmental Claims in Hospitality Services</w:t>
      </w:r>
      <w:r w:rsidRPr="00BD2CBB">
        <w:rPr>
          <w:rFonts w:asciiTheme="majorBidi" w:hAnsiTheme="majorBidi" w:cstheme="majorBidi"/>
          <w:sz w:val="20"/>
          <w:szCs w:val="20"/>
          <w:lang w:val="en-US"/>
        </w:rPr>
        <w:t>. International Journal of Contemporary Hospitality Management, 27(6), pp. 86.</w:t>
      </w:r>
    </w:p>
  </w:footnote>
  <w:footnote w:id="109">
    <w:p w14:paraId="32E0116F"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Akturan, U. (2018). </w:t>
      </w:r>
      <w:r w:rsidRPr="00BD2CBB">
        <w:rPr>
          <w:rStyle w:val="Accentuation"/>
          <w:rFonts w:asciiTheme="majorBidi" w:hAnsiTheme="majorBidi" w:cstheme="majorBidi"/>
          <w:i w:val="0"/>
          <w:iCs w:val="0"/>
          <w:sz w:val="20"/>
          <w:szCs w:val="20"/>
          <w:lang w:val="en-US"/>
        </w:rPr>
        <w:t>How Greenwashing Affects Green Brand Equity and Purchase Intention?</w:t>
      </w:r>
      <w:r w:rsidRPr="00BD2CBB">
        <w:rPr>
          <w:rFonts w:asciiTheme="majorBidi" w:hAnsiTheme="majorBidi" w:cstheme="majorBidi"/>
          <w:sz w:val="20"/>
          <w:szCs w:val="20"/>
          <w:lang w:val="en-US"/>
        </w:rPr>
        <w:t xml:space="preserve"> Marketing Intelligence &amp; Planning, 36(5), p. 552.</w:t>
      </w:r>
    </w:p>
  </w:footnote>
  <w:footnote w:id="110">
    <w:p w14:paraId="5909AC16"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Parguel, B., Benoît-Moreau, F., &amp; Larceneux, F. (2011). </w:t>
      </w:r>
      <w:r w:rsidRPr="00BD2CBB">
        <w:rPr>
          <w:rStyle w:val="Accentuation"/>
          <w:rFonts w:asciiTheme="majorBidi" w:hAnsiTheme="majorBidi" w:cstheme="majorBidi"/>
          <w:i w:val="0"/>
          <w:iCs w:val="0"/>
          <w:sz w:val="20"/>
          <w:szCs w:val="20"/>
          <w:lang w:val="en-US"/>
        </w:rPr>
        <w:t>How Sustainability Ratings Might Deter Greenwashing</w:t>
      </w:r>
      <w:r w:rsidRPr="00BD2CBB">
        <w:rPr>
          <w:rFonts w:asciiTheme="majorBidi" w:hAnsiTheme="majorBidi" w:cstheme="majorBidi"/>
          <w:sz w:val="20"/>
          <w:szCs w:val="20"/>
          <w:lang w:val="en-US"/>
        </w:rPr>
        <w:t>. Journal of Business Ethics, 102(1), p. 16.</w:t>
      </w:r>
    </w:p>
  </w:footnote>
  <w:footnote w:id="111">
    <w:p w14:paraId="631B9CE2"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Chen, Y. S., &amp; Chang, C. H. (2013). </w:t>
      </w:r>
      <w:r w:rsidRPr="00BD2CBB">
        <w:rPr>
          <w:rStyle w:val="Accentuation"/>
          <w:rFonts w:asciiTheme="majorBidi" w:hAnsiTheme="majorBidi" w:cstheme="majorBidi"/>
          <w:i w:val="0"/>
          <w:iCs w:val="0"/>
          <w:sz w:val="20"/>
          <w:szCs w:val="20"/>
          <w:lang w:val="en-US"/>
        </w:rPr>
        <w:t>Greenwash and Green Trust: The Mediation Effects of Green Consumer Confusion and Green Perceived Risk</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lang w:val="en-US"/>
        </w:rPr>
        <w:t>Journal of Business Ethics</w:t>
      </w:r>
      <w:r w:rsidRPr="00BD2CBB">
        <w:rPr>
          <w:rFonts w:asciiTheme="majorBidi" w:hAnsiTheme="majorBidi" w:cstheme="majorBidi"/>
          <w:sz w:val="20"/>
          <w:szCs w:val="20"/>
          <w:lang w:val="en-US"/>
        </w:rPr>
        <w:t>, 114(3), p. 497.</w:t>
      </w:r>
    </w:p>
  </w:footnote>
  <w:footnote w:id="112">
    <w:p w14:paraId="355E8296"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Nyilasy, G., Gangadharbatla, H., &amp; Paladino, A. (2014). </w:t>
      </w:r>
      <w:r w:rsidRPr="00BD2CBB">
        <w:rPr>
          <w:rStyle w:val="Accentuation"/>
          <w:rFonts w:asciiTheme="majorBidi" w:hAnsiTheme="majorBidi" w:cstheme="majorBidi"/>
          <w:i w:val="0"/>
          <w:iCs w:val="0"/>
          <w:sz w:val="20"/>
          <w:szCs w:val="20"/>
          <w:lang w:val="en-US"/>
        </w:rPr>
        <w:t>Perceived Greenwashing: The Interactive Effects of Green Advertising and Corporate Environmental Performance on Consumer Reactions</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lang w:val="en-US"/>
        </w:rPr>
        <w:t>Journal of Business Ethics</w:t>
      </w:r>
      <w:r w:rsidRPr="00BD2CBB">
        <w:rPr>
          <w:rFonts w:asciiTheme="majorBidi" w:hAnsiTheme="majorBidi" w:cstheme="majorBidi"/>
          <w:sz w:val="20"/>
          <w:szCs w:val="20"/>
          <w:lang w:val="en-US"/>
        </w:rPr>
        <w:t>, 125(4), p. 255.</w:t>
      </w:r>
    </w:p>
  </w:footnote>
  <w:footnote w:id="113">
    <w:p w14:paraId="05C49155"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de Jong, M. D. T., </w:t>
      </w:r>
      <w:r w:rsidRPr="00BD2CBB">
        <w:rPr>
          <w:rFonts w:asciiTheme="majorBidi" w:hAnsiTheme="majorBidi" w:cstheme="majorBidi"/>
          <w:sz w:val="20"/>
          <w:szCs w:val="20"/>
          <w:lang w:val="en-US"/>
        </w:rPr>
        <w:t xml:space="preserve">Harkink, K. M., &amp; Barth, S. (2018). </w:t>
      </w:r>
      <w:r w:rsidRPr="00BD2CBB">
        <w:rPr>
          <w:rStyle w:val="Accentuation"/>
          <w:rFonts w:asciiTheme="majorBidi" w:hAnsiTheme="majorBidi" w:cstheme="majorBidi"/>
          <w:i w:val="0"/>
          <w:iCs w:val="0"/>
          <w:sz w:val="20"/>
          <w:szCs w:val="20"/>
          <w:lang w:val="en-US"/>
        </w:rPr>
        <w:t>Making Green Stuff? Effects of Corporate Greenwashing on Consumers</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lang w:val="en-US"/>
        </w:rPr>
        <w:t>Journal of Business and Technical Communication</w:t>
      </w:r>
      <w:r w:rsidRPr="00BD2CBB">
        <w:rPr>
          <w:rFonts w:asciiTheme="majorBidi" w:hAnsiTheme="majorBidi" w:cstheme="majorBidi"/>
          <w:sz w:val="20"/>
          <w:szCs w:val="20"/>
          <w:lang w:val="en-US"/>
        </w:rPr>
        <w:t>, 32(1), p. 143.</w:t>
      </w:r>
    </w:p>
  </w:footnote>
  <w:footnote w:id="114">
    <w:p w14:paraId="61081F60" w14:textId="77777777" w:rsidR="003D09A2" w:rsidRPr="00BD2CBB" w:rsidRDefault="003D09A2" w:rsidP="00F577B6">
      <w:pPr>
        <w:pStyle w:val="Sansinterligne"/>
        <w:rPr>
          <w:rFonts w:asciiTheme="majorBidi" w:hAnsiTheme="majorBidi" w:cstheme="majorBidi"/>
          <w:sz w:val="20"/>
          <w:szCs w:val="20"/>
          <w:lang w:val="en-US"/>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Delmas, M. A., &amp; </w:t>
      </w:r>
      <w:r w:rsidRPr="00BD2CBB">
        <w:rPr>
          <w:rFonts w:asciiTheme="majorBidi" w:hAnsiTheme="majorBidi" w:cstheme="majorBidi"/>
          <w:sz w:val="20"/>
          <w:szCs w:val="20"/>
          <w:lang w:val="en-US"/>
        </w:rPr>
        <w:t xml:space="preserve">Burbano, V. C. (2011). </w:t>
      </w:r>
      <w:r w:rsidRPr="00BD2CBB">
        <w:rPr>
          <w:rStyle w:val="Accentuation"/>
          <w:rFonts w:asciiTheme="majorBidi" w:hAnsiTheme="majorBidi" w:cstheme="majorBidi"/>
          <w:i w:val="0"/>
          <w:iCs w:val="0"/>
          <w:sz w:val="20"/>
          <w:szCs w:val="20"/>
          <w:lang w:val="en-US"/>
        </w:rPr>
        <w:t>The Drivers of Greenwashing</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lang w:val="en-US"/>
        </w:rPr>
        <w:t>California Management Review</w:t>
      </w:r>
      <w:r w:rsidRPr="00BD2CBB">
        <w:rPr>
          <w:rFonts w:asciiTheme="majorBidi" w:hAnsiTheme="majorBidi" w:cstheme="majorBidi"/>
          <w:sz w:val="20"/>
          <w:szCs w:val="20"/>
          <w:lang w:val="en-US"/>
        </w:rPr>
        <w:t>, 54(1), p. 75.</w:t>
      </w:r>
    </w:p>
  </w:footnote>
  <w:footnote w:id="115">
    <w:p w14:paraId="0FA89A3E" w14:textId="77777777" w:rsidR="003D09A2" w:rsidRPr="00BD2CBB" w:rsidRDefault="003D09A2" w:rsidP="00F577B6">
      <w:pPr>
        <w:pStyle w:val="Sansinterligne"/>
        <w:rPr>
          <w:rFonts w:asciiTheme="majorBidi" w:hAnsiTheme="majorBidi" w:cstheme="majorBidi"/>
          <w:sz w:val="20"/>
          <w:szCs w:val="20"/>
        </w:rPr>
      </w:pPr>
      <w:r w:rsidRPr="00BD2CBB">
        <w:rPr>
          <w:rStyle w:val="Appelnotedebasdep"/>
          <w:rFonts w:asciiTheme="majorBidi" w:hAnsiTheme="majorBidi" w:cstheme="majorBidi"/>
          <w:sz w:val="20"/>
          <w:szCs w:val="20"/>
        </w:rPr>
        <w:footnoteRef/>
      </w:r>
      <w:r w:rsidRPr="00BD2CBB">
        <w:rPr>
          <w:rFonts w:asciiTheme="majorBidi" w:hAnsiTheme="majorBidi" w:cstheme="majorBidi"/>
          <w:sz w:val="20"/>
          <w:szCs w:val="20"/>
          <w:lang w:val="en-US"/>
        </w:rPr>
        <w:t xml:space="preserve"> </w:t>
      </w:r>
      <w:r w:rsidRPr="00BD2CBB">
        <w:rPr>
          <w:rFonts w:asciiTheme="majorBidi" w:hAnsiTheme="majorBidi" w:cstheme="majorBidi"/>
          <w:sz w:val="20"/>
          <w:szCs w:val="20"/>
          <w:lang w:val="en-US"/>
        </w:rPr>
        <w:t xml:space="preserve">Akturan, U. (2018). </w:t>
      </w:r>
      <w:r w:rsidRPr="00BD2CBB">
        <w:rPr>
          <w:rStyle w:val="Accentuation"/>
          <w:rFonts w:asciiTheme="majorBidi" w:hAnsiTheme="majorBidi" w:cstheme="majorBidi"/>
          <w:i w:val="0"/>
          <w:iCs w:val="0"/>
          <w:sz w:val="20"/>
          <w:szCs w:val="20"/>
          <w:lang w:val="en-US"/>
        </w:rPr>
        <w:t>How Greenwashing Affects Green Brand Equity and Purchase Intention?</w:t>
      </w:r>
      <w:r w:rsidRPr="00BD2CBB">
        <w:rPr>
          <w:rFonts w:asciiTheme="majorBidi" w:hAnsiTheme="majorBidi" w:cstheme="majorBidi"/>
          <w:sz w:val="20"/>
          <w:szCs w:val="20"/>
          <w:lang w:val="en-US"/>
        </w:rPr>
        <w:t xml:space="preserve"> </w:t>
      </w:r>
      <w:r w:rsidRPr="00BD2CBB">
        <w:rPr>
          <w:rStyle w:val="Accentuation"/>
          <w:rFonts w:asciiTheme="majorBidi" w:hAnsiTheme="majorBidi" w:cstheme="majorBidi"/>
          <w:i w:val="0"/>
          <w:iCs w:val="0"/>
          <w:sz w:val="20"/>
          <w:szCs w:val="20"/>
        </w:rPr>
        <w:t>Marketing Intelligence &amp; Planning</w:t>
      </w:r>
      <w:r w:rsidRPr="00BD2CBB">
        <w:rPr>
          <w:rFonts w:asciiTheme="majorBidi" w:hAnsiTheme="majorBidi" w:cstheme="majorBidi"/>
          <w:sz w:val="20"/>
          <w:szCs w:val="20"/>
        </w:rPr>
        <w:t>, 36(5), p. 559.</w:t>
      </w:r>
    </w:p>
  </w:footnote>
  <w:footnote w:id="116">
    <w:p w14:paraId="5231F35F" w14:textId="77777777" w:rsidR="003D09A2" w:rsidRPr="00BD2CBB" w:rsidRDefault="003D09A2" w:rsidP="003505FB">
      <w:pPr>
        <w:pStyle w:val="Notedebasdepage"/>
        <w:rPr>
          <w:rFonts w:cstheme="majorBidi"/>
        </w:rPr>
      </w:pPr>
      <w:r w:rsidRPr="00BD2CBB">
        <w:rPr>
          <w:rStyle w:val="Appelnotedebasdep"/>
          <w:rFonts w:cstheme="majorBidi"/>
        </w:rPr>
        <w:footnoteRef/>
      </w:r>
      <w:r w:rsidRPr="00BD2CBB">
        <w:rPr>
          <w:rFonts w:cstheme="majorBidi"/>
        </w:rPr>
        <w:t xml:space="preserve"> Rapport interne de la SCHB – Service HSE (septembre 2022), conventions de partenariat environnemental, directives du Groupe GICA en matière de développement durable.</w:t>
      </w:r>
    </w:p>
    <w:p w14:paraId="61525BDA" w14:textId="77777777" w:rsidR="003D09A2" w:rsidRPr="00BD2CBB" w:rsidRDefault="003D09A2" w:rsidP="003505FB">
      <w:pPr>
        <w:pStyle w:val="Notedebasdepage"/>
        <w:rPr>
          <w:rFonts w:cstheme="majorBidi"/>
        </w:rPr>
      </w:pPr>
      <w:r w:rsidRPr="00BD2CBB">
        <w:rPr>
          <w:rFonts w:cstheme="majorBidi"/>
        </w:rPr>
        <w:t>Ce service est également en relation avec les services techniques de la Direction Générale du Groupe GICA pour le suivi des indicateurs environnementaux à l’échelle nationale.</w:t>
      </w:r>
    </w:p>
  </w:footnote>
  <w:footnote w:id="117">
    <w:p w14:paraId="2F9A99F4" w14:textId="77777777" w:rsidR="003D09A2" w:rsidRPr="00BD2CBB" w:rsidRDefault="003D09A2">
      <w:pPr>
        <w:pStyle w:val="Notedebasdepage"/>
        <w:rPr>
          <w:rFonts w:cstheme="majorBidi"/>
        </w:rPr>
      </w:pPr>
      <w:r w:rsidRPr="00BD2CBB">
        <w:rPr>
          <w:rStyle w:val="Appelnotedebasdep"/>
          <w:rFonts w:cstheme="majorBidi"/>
        </w:rPr>
        <w:footnoteRef/>
      </w:r>
      <w:r w:rsidRPr="00BD2CBB">
        <w:rPr>
          <w:rFonts w:cstheme="majorBidi"/>
        </w:rPr>
        <w:t xml:space="preserve"> </w:t>
      </w:r>
      <w:r w:rsidRPr="00BD2CBB">
        <w:rPr>
          <w:rFonts w:cstheme="majorBidi"/>
        </w:rPr>
        <w:t>Saeed Al-Razzaq Azouz (2010), Al-Kamil en statistiques, leçons détaillées, exercices et problèmes avec solutions (première partie), Office des publications universitaires, Algérie, 15 pp.</w:t>
      </w:r>
    </w:p>
  </w:footnote>
  <w:footnote w:id="118">
    <w:p w14:paraId="591104B9" w14:textId="77777777" w:rsidR="003D09A2" w:rsidRPr="00BD2CBB" w:rsidRDefault="003D09A2">
      <w:pPr>
        <w:pStyle w:val="Notedebasdepage"/>
        <w:rPr>
          <w:rFonts w:cstheme="majorBidi"/>
        </w:rPr>
      </w:pPr>
      <w:r w:rsidRPr="00BD2CBB">
        <w:rPr>
          <w:rStyle w:val="Appelnotedebasdep"/>
          <w:rFonts w:cstheme="majorBidi"/>
        </w:rPr>
        <w:footnoteRef/>
      </w:r>
      <w:r w:rsidRPr="00BD2CBB">
        <w:rPr>
          <w:rFonts w:cstheme="majorBidi"/>
        </w:rPr>
        <w:t xml:space="preserve"> </w:t>
      </w:r>
      <w:r w:rsidRPr="00BD2CBB">
        <w:rPr>
          <w:rFonts w:cstheme="majorBidi"/>
        </w:rPr>
        <w:t>Joudah Mahfouz (2007), Méthodes de recherche scientifique dans le domaine des sciences administratives, Dar Zahran for Publishing and Distribution, Amman, Jordanie, à partir de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FBD46" w14:textId="77777777" w:rsidR="003D09A2" w:rsidRDefault="003D09A2">
    <w:pPr>
      <w:pStyle w:val="En-tte"/>
    </w:pPr>
    <w:r>
      <w:rPr>
        <w:noProof/>
        <w:lang w:eastAsia="fr-FR"/>
      </w:rPr>
      <mc:AlternateContent>
        <mc:Choice Requires="wps">
          <w:drawing>
            <wp:anchor distT="0" distB="0" distL="118745" distR="118745" simplePos="0" relativeHeight="251661312" behindDoc="1" locked="0" layoutInCell="1" allowOverlap="0" wp14:anchorId="5F39A43F" wp14:editId="415EF834">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0"/>
              <wp:wrapSquare wrapText="bothSides"/>
              <wp:docPr id="1" name="Rectangle 1"/>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eastAsia="Calibri" w:hAnsi="Times New Roman" w:cs="Times New Roman"/>
                              <w:b/>
                              <w:bCs/>
                              <w:sz w:val="28"/>
                              <w:szCs w:val="28"/>
                            </w:rPr>
                            <w:alias w:val="Titre"/>
                            <w:tag w:val=""/>
                            <w:id w:val="1622878915"/>
                            <w:dataBinding w:prefixMappings="xmlns:ns0='http://purl.org/dc/elements/1.1/' xmlns:ns1='http://schemas.openxmlformats.org/package/2006/metadata/core-properties' " w:xpath="/ns1:coreProperties[1]/ns0:title[1]" w:storeItemID="{6C3C8BC8-F283-45AE-878A-BAB7291924A1}"/>
                            <w:text/>
                          </w:sdtPr>
                          <w:sdtContent>
                            <w:p w14:paraId="787C28E6" w14:textId="77777777" w:rsidR="003D09A2" w:rsidRDefault="003D09A2" w:rsidP="001A1F05">
                              <w:pPr>
                                <w:pStyle w:val="En-tte"/>
                                <w:jc w:val="center"/>
                                <w:rPr>
                                  <w:caps/>
                                  <w:color w:val="FFFFFF" w:themeColor="background1"/>
                                </w:rPr>
                              </w:pPr>
                              <w:r w:rsidRPr="001A1F05">
                                <w:rPr>
                                  <w:rFonts w:ascii="Times New Roman" w:eastAsia="Calibri" w:hAnsi="Times New Roman" w:cs="Times New Roman"/>
                                  <w:b/>
                                  <w:bCs/>
                                  <w:sz w:val="28"/>
                                  <w:szCs w:val="28"/>
                                </w:rPr>
                                <w:t xml:space="preserve">Chapitre 01: </w:t>
                              </w:r>
                              <w:r>
                                <w:rPr>
                                  <w:rFonts w:ascii="Times New Roman" w:eastAsia="Calibri" w:hAnsi="Times New Roman" w:cs="Times New Roman"/>
                                  <w:b/>
                                  <w:bCs/>
                                  <w:sz w:val="28"/>
                                  <w:szCs w:val="28"/>
                                </w:rPr>
                                <w:t xml:space="preserve">                                 </w:t>
                              </w:r>
                              <w:r w:rsidRPr="001A1F05">
                                <w:rPr>
                                  <w:rFonts w:ascii="Times New Roman" w:eastAsia="Calibri" w:hAnsi="Times New Roman" w:cs="Times New Roman"/>
                                  <w:b/>
                                  <w:bCs/>
                                  <w:sz w:val="28"/>
                                  <w:szCs w:val="28"/>
                                </w:rPr>
                                <w:t>Le greenwashing: concepts et enjeux.</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F39A43F" id="Rectangle 1" o:spid="_x0000_s1033" style="position:absolute;left:0;text-align:left;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" o:allowoverlap="f" fillcolor="#8496b0 [1951]" stroked="f" strokeweight="1pt">
              <v:textbox style="mso-fit-shape-to-text:t">
                <w:txbxContent>
                  <w:sdt>
                    <w:sdtPr>
                      <w:rPr>
                        <w:rFonts w:ascii="Times New Roman" w:eastAsia="Calibri" w:hAnsi="Times New Roman" w:cs="Times New Roman"/>
                        <w:b/>
                        <w:bCs/>
                        <w:sz w:val="28"/>
                        <w:szCs w:val="28"/>
                      </w:rPr>
                      <w:alias w:val="Titre"/>
                      <w:tag w:val=""/>
                      <w:id w:val="1622878915"/>
                      <w:dataBinding w:prefixMappings="xmlns:ns0='http://purl.org/dc/elements/1.1/' xmlns:ns1='http://schemas.openxmlformats.org/package/2006/metadata/core-properties' " w:xpath="/ns1:coreProperties[1]/ns0:title[1]" w:storeItemID="{6C3C8BC8-F283-45AE-878A-BAB7291924A1}"/>
                      <w:text/>
                    </w:sdtPr>
                    <w:sdtContent>
                      <w:p w14:paraId="787C28E6" w14:textId="77777777" w:rsidR="003D09A2" w:rsidRDefault="003D09A2" w:rsidP="001A1F05">
                        <w:pPr>
                          <w:pStyle w:val="En-tte"/>
                          <w:jc w:val="center"/>
                          <w:rPr>
                            <w:caps/>
                            <w:color w:val="FFFFFF" w:themeColor="background1"/>
                          </w:rPr>
                        </w:pPr>
                        <w:r w:rsidRPr="001A1F05">
                          <w:rPr>
                            <w:rFonts w:ascii="Times New Roman" w:eastAsia="Calibri" w:hAnsi="Times New Roman" w:cs="Times New Roman"/>
                            <w:b/>
                            <w:bCs/>
                            <w:sz w:val="28"/>
                            <w:szCs w:val="28"/>
                          </w:rPr>
                          <w:t xml:space="preserve">Chapitre 01: </w:t>
                        </w:r>
                        <w:r>
                          <w:rPr>
                            <w:rFonts w:ascii="Times New Roman" w:eastAsia="Calibri" w:hAnsi="Times New Roman" w:cs="Times New Roman"/>
                            <w:b/>
                            <w:bCs/>
                            <w:sz w:val="28"/>
                            <w:szCs w:val="28"/>
                          </w:rPr>
                          <w:t xml:space="preserve">                                 </w:t>
                        </w:r>
                        <w:r w:rsidRPr="001A1F05">
                          <w:rPr>
                            <w:rFonts w:ascii="Times New Roman" w:eastAsia="Calibri" w:hAnsi="Times New Roman" w:cs="Times New Roman"/>
                            <w:b/>
                            <w:bCs/>
                            <w:sz w:val="28"/>
                            <w:szCs w:val="28"/>
                          </w:rPr>
                          <w:t>Le greenwashing: concepts et enjeux.</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F20A" w14:textId="77777777" w:rsidR="003D09A2" w:rsidRDefault="003D09A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7A24" w14:textId="77777777" w:rsidR="003D09A2" w:rsidRDefault="003D09A2">
    <w:pPr>
      <w:pStyle w:val="En-tte"/>
    </w:pPr>
    <w:r w:rsidRPr="009A0135">
      <w:rPr>
        <w:noProof/>
        <w:lang w:eastAsia="fr-FR"/>
      </w:rPr>
      <mc:AlternateContent>
        <mc:Choice Requires="wps">
          <w:drawing>
            <wp:anchor distT="0" distB="0" distL="118745" distR="118745" simplePos="0" relativeHeight="251665408" behindDoc="1" locked="0" layoutInCell="1" allowOverlap="0" wp14:anchorId="7364AB45" wp14:editId="780B61BC">
              <wp:simplePos x="0" y="0"/>
              <wp:positionH relativeFrom="margin">
                <wp:posOffset>0</wp:posOffset>
              </wp:positionH>
              <wp:positionV relativeFrom="page">
                <wp:posOffset>239395</wp:posOffset>
              </wp:positionV>
              <wp:extent cx="5950039" cy="270457"/>
              <wp:effectExtent l="0" t="0" r="0" b="6350"/>
              <wp:wrapSquare wrapText="bothSides"/>
              <wp:docPr id="14" name="Rectangle 14"/>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C000">
                          <a:lumMod val="75000"/>
                        </a:srgbClr>
                      </a:solidFill>
                      <a:ln w="12700" cap="flat" cmpd="sng" algn="ctr">
                        <a:noFill/>
                        <a:prstDash val="solid"/>
                        <a:miter lim="800000"/>
                      </a:ln>
                      <a:effectLst/>
                    </wps:spPr>
                    <wps:txbx>
                      <w:txbxContent>
                        <w:p w14:paraId="235498F2" w14:textId="77777777" w:rsidR="003D09A2" w:rsidRPr="009A0135" w:rsidRDefault="003D09A2" w:rsidP="009A0135">
                          <w:pPr>
                            <w:pStyle w:val="En-tte"/>
                            <w:jc w:val="center"/>
                            <w:rPr>
                              <w:caps/>
                              <w:color w:val="FFFFFF" w:themeColor="background1"/>
                            </w:rPr>
                          </w:pPr>
                          <w:r w:rsidRPr="009A0135">
                            <w:rPr>
                              <w:rFonts w:ascii="Times New Roman" w:eastAsia="Calibri" w:hAnsi="Times New Roman" w:cs="Times New Roman"/>
                              <w:b/>
                              <w:bCs/>
                              <w:color w:val="FFFFFF" w:themeColor="background1"/>
                              <w:sz w:val="28"/>
                              <w:szCs w:val="28"/>
                            </w:rPr>
                            <w:t xml:space="preserve">Chapitre 02:       La perception des consommateurs et son </w:t>
                          </w:r>
                          <w:r w:rsidRPr="009A0135">
                            <w:rPr>
                              <w:rFonts w:ascii="Times New Roman" w:eastAsia="Calibri" w:hAnsi="Times New Roman" w:cs="Times New Roman"/>
                              <w:b/>
                              <w:bCs/>
                              <w:color w:val="FFFFFF" w:themeColor="background1"/>
                              <w:sz w:val="28"/>
                              <w:szCs w:val="28"/>
                            </w:rPr>
                            <w:t>Influance Sur l'image de la marque.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364AB45" id="Rectangle 14" o:spid="_x0000_s1034" style="position:absolute;left:0;text-align:left;margin-left:0;margin-top:18.85pt;width:468.5pt;height:21.3pt;z-index:-251651072;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" o:allowoverlap="f" fillcolor="#bf9000" stroked="f" strokeweight="1pt">
              <v:textbox style="mso-fit-shape-to-text:t">
                <w:txbxContent>
                  <w:p w14:paraId="235498F2" w14:textId="77777777" w:rsidR="003D09A2" w:rsidRPr="009A0135" w:rsidRDefault="003D09A2" w:rsidP="009A0135">
                    <w:pPr>
                      <w:pStyle w:val="En-tte"/>
                      <w:jc w:val="center"/>
                      <w:rPr>
                        <w:caps/>
                        <w:color w:val="FFFFFF" w:themeColor="background1"/>
                      </w:rPr>
                    </w:pPr>
                    <w:r w:rsidRPr="009A0135">
                      <w:rPr>
                        <w:rFonts w:ascii="Times New Roman" w:eastAsia="Calibri" w:hAnsi="Times New Roman" w:cs="Times New Roman"/>
                        <w:b/>
                        <w:bCs/>
                        <w:color w:val="FFFFFF" w:themeColor="background1"/>
                        <w:sz w:val="28"/>
                        <w:szCs w:val="28"/>
                      </w:rPr>
                      <w:t xml:space="preserve">Chapitre 02:       La perception des consommateurs et son </w:t>
                    </w:r>
                    <w:r w:rsidRPr="009A0135">
                      <w:rPr>
                        <w:rFonts w:ascii="Times New Roman" w:eastAsia="Calibri" w:hAnsi="Times New Roman" w:cs="Times New Roman"/>
                        <w:b/>
                        <w:bCs/>
                        <w:color w:val="FFFFFF" w:themeColor="background1"/>
                        <w:sz w:val="28"/>
                        <w:szCs w:val="28"/>
                      </w:rPr>
                      <w:t>Influance Sur l'image de la marque.</w:t>
                    </w:r>
                  </w:p>
                </w:txbxContent>
              </v:textbox>
              <w10:wrap type="square" anchorx="margin"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C1020" w14:textId="77777777" w:rsidR="003D09A2" w:rsidRDefault="003D09A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4ADDA" w14:textId="77777777" w:rsidR="003D09A2" w:rsidRDefault="003D09A2">
    <w:pPr>
      <w:pStyle w:val="Corpsdetexte"/>
      <w:spacing w:line="14" w:lineRule="auto"/>
      <w:rPr>
        <w:sz w:val="20"/>
      </w:rPr>
    </w:pPr>
    <w:r w:rsidRPr="009A0135">
      <w:rPr>
        <w:noProof/>
        <w:lang w:val="fr-FR" w:eastAsia="fr-FR"/>
      </w:rPr>
      <mc:AlternateContent>
        <mc:Choice Requires="wps">
          <w:drawing>
            <wp:anchor distT="0" distB="0" distL="118745" distR="118745" simplePos="0" relativeHeight="251682816" behindDoc="1" locked="0" layoutInCell="1" allowOverlap="0" wp14:anchorId="67B16A3F" wp14:editId="1C45E3F5">
              <wp:simplePos x="0" y="0"/>
              <wp:positionH relativeFrom="margin">
                <wp:posOffset>84083</wp:posOffset>
              </wp:positionH>
              <wp:positionV relativeFrom="page">
                <wp:posOffset>216097</wp:posOffset>
              </wp:positionV>
              <wp:extent cx="5950039" cy="270457"/>
              <wp:effectExtent l="0" t="0" r="0" b="6350"/>
              <wp:wrapSquare wrapText="bothSides"/>
              <wp:docPr id="11" name="Rectangle 11"/>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C000">
                          <a:lumMod val="75000"/>
                        </a:srgbClr>
                      </a:solidFill>
                      <a:ln w="12700" cap="flat" cmpd="sng" algn="ctr">
                        <a:noFill/>
                        <a:prstDash val="solid"/>
                        <a:miter lim="800000"/>
                      </a:ln>
                      <a:effectLst/>
                    </wps:spPr>
                    <wps:txbx>
                      <w:txbxContent>
                        <w:p w14:paraId="5CA864AD" w14:textId="77777777" w:rsidR="003D09A2" w:rsidRPr="009A0135" w:rsidRDefault="003D09A2" w:rsidP="009966ED">
                          <w:pPr>
                            <w:pStyle w:val="En-tte"/>
                            <w:jc w:val="center"/>
                            <w:rPr>
                              <w:caps/>
                              <w:color w:val="FFFFFF" w:themeColor="background1"/>
                            </w:rPr>
                          </w:pPr>
                          <w:r>
                            <w:rPr>
                              <w:rFonts w:ascii="Times New Roman" w:eastAsia="Calibri" w:hAnsi="Times New Roman" w:cs="Times New Roman"/>
                              <w:b/>
                              <w:bCs/>
                              <w:color w:val="FFFFFF" w:themeColor="background1"/>
                              <w:sz w:val="28"/>
                              <w:szCs w:val="28"/>
                            </w:rPr>
                            <w:t xml:space="preserve">Chapitre 03 </w:t>
                          </w:r>
                          <w:r w:rsidRPr="009966ED">
                            <w:rPr>
                              <w:rFonts w:ascii="Times New Roman" w:eastAsia="Calibri" w:hAnsi="Times New Roman" w:cs="Times New Roman"/>
                              <w:b/>
                              <w:bCs/>
                              <w:color w:val="FFFFFF" w:themeColor="background1"/>
                              <w:sz w:val="28"/>
                              <w:szCs w:val="28"/>
                            </w:rPr>
                            <w:t xml:space="preserve">: Présentation générale de la société de ciment </w:t>
                          </w:r>
                          <w:r w:rsidRPr="009966ED">
                            <w:rPr>
                              <w:rFonts w:ascii="Times New Roman" w:eastAsia="Calibri" w:hAnsi="Times New Roman" w:cs="Times New Roman"/>
                              <w:b/>
                              <w:bCs/>
                              <w:color w:val="FFFFFF" w:themeColor="background1"/>
                              <w:sz w:val="28"/>
                              <w:szCs w:val="28"/>
                            </w:rPr>
                            <w:t>Hamma Bouziane à Constantine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7B16A3F" id="Rectangle 11" o:spid="_x0000_s1035" style="position:absolute;margin-left:6.6pt;margin-top:17pt;width:468.5pt;height:21.3pt;z-index:-25163366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" o:allowoverlap="f" fillcolor="#bf9000" stroked="f" strokeweight="1pt">
              <v:textbox style="mso-fit-shape-to-text:t">
                <w:txbxContent>
                  <w:p w14:paraId="5CA864AD" w14:textId="77777777" w:rsidR="003D09A2" w:rsidRPr="009A0135" w:rsidRDefault="003D09A2" w:rsidP="009966ED">
                    <w:pPr>
                      <w:pStyle w:val="En-tte"/>
                      <w:jc w:val="center"/>
                      <w:rPr>
                        <w:caps/>
                        <w:color w:val="FFFFFF" w:themeColor="background1"/>
                      </w:rPr>
                    </w:pPr>
                    <w:r>
                      <w:rPr>
                        <w:rFonts w:ascii="Times New Roman" w:eastAsia="Calibri" w:hAnsi="Times New Roman" w:cs="Times New Roman"/>
                        <w:b/>
                        <w:bCs/>
                        <w:color w:val="FFFFFF" w:themeColor="background1"/>
                        <w:sz w:val="28"/>
                        <w:szCs w:val="28"/>
                      </w:rPr>
                      <w:t xml:space="preserve">Chapitre 03 </w:t>
                    </w:r>
                    <w:r w:rsidRPr="009966ED">
                      <w:rPr>
                        <w:rFonts w:ascii="Times New Roman" w:eastAsia="Calibri" w:hAnsi="Times New Roman" w:cs="Times New Roman"/>
                        <w:b/>
                        <w:bCs/>
                        <w:color w:val="FFFFFF" w:themeColor="background1"/>
                        <w:sz w:val="28"/>
                        <w:szCs w:val="28"/>
                      </w:rPr>
                      <w:t xml:space="preserve">: Présentation générale de la société de ciment </w:t>
                    </w:r>
                    <w:r w:rsidRPr="009966ED">
                      <w:rPr>
                        <w:rFonts w:ascii="Times New Roman" w:eastAsia="Calibri" w:hAnsi="Times New Roman" w:cs="Times New Roman"/>
                        <w:b/>
                        <w:bCs/>
                        <w:color w:val="FFFFFF" w:themeColor="background1"/>
                        <w:sz w:val="28"/>
                        <w:szCs w:val="28"/>
                      </w:rPr>
                      <w:t>Hamma Bouziane à Constantine</w:t>
                    </w:r>
                  </w:p>
                </w:txbxContent>
              </v:textbox>
              <w10:wrap type="square" anchorx="margin"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1D157" w14:textId="77777777" w:rsidR="003D09A2" w:rsidRPr="002B5F78" w:rsidRDefault="003D09A2" w:rsidP="002B5F78">
    <w:pPr>
      <w:pStyle w:val="En-tte"/>
    </w:pPr>
    <w:r w:rsidRPr="009A0135">
      <w:rPr>
        <w:noProof/>
        <w:lang w:eastAsia="fr-FR"/>
      </w:rPr>
      <mc:AlternateContent>
        <mc:Choice Requires="wps">
          <w:drawing>
            <wp:anchor distT="0" distB="0" distL="118745" distR="118745" simplePos="0" relativeHeight="251684864" behindDoc="1" locked="0" layoutInCell="1" allowOverlap="0" wp14:anchorId="4046E527" wp14:editId="7AD1D704">
              <wp:simplePos x="0" y="0"/>
              <wp:positionH relativeFrom="margin">
                <wp:posOffset>0</wp:posOffset>
              </wp:positionH>
              <wp:positionV relativeFrom="page">
                <wp:posOffset>616585</wp:posOffset>
              </wp:positionV>
              <wp:extent cx="5950039" cy="270457"/>
              <wp:effectExtent l="0" t="0" r="0" b="6350"/>
              <wp:wrapSquare wrapText="bothSides"/>
              <wp:docPr id="20" name="Rectangle 20"/>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C000">
                          <a:lumMod val="75000"/>
                        </a:srgbClr>
                      </a:solidFill>
                      <a:ln w="12700" cap="flat" cmpd="sng" algn="ctr">
                        <a:noFill/>
                        <a:prstDash val="solid"/>
                        <a:miter lim="800000"/>
                      </a:ln>
                      <a:effectLst/>
                    </wps:spPr>
                    <wps:txbx>
                      <w:txbxContent>
                        <w:p w14:paraId="6A57C4D4" w14:textId="77777777" w:rsidR="003D09A2" w:rsidRPr="009A0135" w:rsidRDefault="003D09A2" w:rsidP="00612506">
                          <w:pPr>
                            <w:pStyle w:val="En-tte"/>
                            <w:jc w:val="center"/>
                            <w:rPr>
                              <w:caps/>
                              <w:color w:val="FFFFFF" w:themeColor="background1"/>
                            </w:rPr>
                          </w:pPr>
                          <w:r>
                            <w:rPr>
                              <w:rFonts w:ascii="Times New Roman" w:eastAsia="Calibri" w:hAnsi="Times New Roman" w:cs="Times New Roman"/>
                              <w:b/>
                              <w:bCs/>
                              <w:color w:val="FFFFFF" w:themeColor="background1"/>
                              <w:sz w:val="28"/>
                              <w:szCs w:val="28"/>
                            </w:rPr>
                            <w:t xml:space="preserve">Chapitre 03 </w:t>
                          </w:r>
                          <w:r w:rsidRPr="009966ED">
                            <w:rPr>
                              <w:rFonts w:ascii="Times New Roman" w:eastAsia="Calibri" w:hAnsi="Times New Roman" w:cs="Times New Roman"/>
                              <w:b/>
                              <w:bCs/>
                              <w:color w:val="FFFFFF" w:themeColor="background1"/>
                              <w:sz w:val="28"/>
                              <w:szCs w:val="28"/>
                            </w:rPr>
                            <w:t xml:space="preserve">: Présentation générale de la société de ciment </w:t>
                          </w:r>
                          <w:r w:rsidRPr="009966ED">
                            <w:rPr>
                              <w:rFonts w:ascii="Times New Roman" w:eastAsia="Calibri" w:hAnsi="Times New Roman" w:cs="Times New Roman"/>
                              <w:b/>
                              <w:bCs/>
                              <w:color w:val="FFFFFF" w:themeColor="background1"/>
                              <w:sz w:val="28"/>
                              <w:szCs w:val="28"/>
                            </w:rPr>
                            <w:t>Hamma Bouziane à Constantine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046E527" id="Rectangle 20" o:spid="_x0000_s1036" style="position:absolute;left:0;text-align:left;margin-left:0;margin-top:48.55pt;width:468.5pt;height:21.3pt;z-index:-2516316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" o:allowoverlap="f" fillcolor="#bf9000" stroked="f" strokeweight="1pt">
              <v:textbox style="mso-fit-shape-to-text:t">
                <w:txbxContent>
                  <w:p w14:paraId="6A57C4D4" w14:textId="77777777" w:rsidR="003D09A2" w:rsidRPr="009A0135" w:rsidRDefault="003D09A2" w:rsidP="00612506">
                    <w:pPr>
                      <w:pStyle w:val="En-tte"/>
                      <w:jc w:val="center"/>
                      <w:rPr>
                        <w:caps/>
                        <w:color w:val="FFFFFF" w:themeColor="background1"/>
                      </w:rPr>
                    </w:pPr>
                    <w:r>
                      <w:rPr>
                        <w:rFonts w:ascii="Times New Roman" w:eastAsia="Calibri" w:hAnsi="Times New Roman" w:cs="Times New Roman"/>
                        <w:b/>
                        <w:bCs/>
                        <w:color w:val="FFFFFF" w:themeColor="background1"/>
                        <w:sz w:val="28"/>
                        <w:szCs w:val="28"/>
                      </w:rPr>
                      <w:t xml:space="preserve">Chapitre 03 </w:t>
                    </w:r>
                    <w:r w:rsidRPr="009966ED">
                      <w:rPr>
                        <w:rFonts w:ascii="Times New Roman" w:eastAsia="Calibri" w:hAnsi="Times New Roman" w:cs="Times New Roman"/>
                        <w:b/>
                        <w:bCs/>
                        <w:color w:val="FFFFFF" w:themeColor="background1"/>
                        <w:sz w:val="28"/>
                        <w:szCs w:val="28"/>
                      </w:rPr>
                      <w:t xml:space="preserve">: Présentation générale de la société de ciment </w:t>
                    </w:r>
                    <w:r w:rsidRPr="009966ED">
                      <w:rPr>
                        <w:rFonts w:ascii="Times New Roman" w:eastAsia="Calibri" w:hAnsi="Times New Roman" w:cs="Times New Roman"/>
                        <w:b/>
                        <w:bCs/>
                        <w:color w:val="FFFFFF" w:themeColor="background1"/>
                        <w:sz w:val="28"/>
                        <w:szCs w:val="28"/>
                      </w:rPr>
                      <w:t>Hamma Bouziane à Constantine</w:t>
                    </w:r>
                  </w:p>
                </w:txbxContent>
              </v:textbox>
              <w10:wrap type="square" anchorx="margin"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C337" w14:textId="77777777" w:rsidR="003D09A2" w:rsidRDefault="003D09A2">
    <w:pPr>
      <w:pStyle w:val="En-tte"/>
    </w:pPr>
    <w:r w:rsidRPr="009A0135">
      <w:rPr>
        <w:noProof/>
        <w:lang w:eastAsia="fr-FR"/>
      </w:rPr>
      <mc:AlternateContent>
        <mc:Choice Requires="wps">
          <w:drawing>
            <wp:anchor distT="0" distB="0" distL="118745" distR="118745" simplePos="0" relativeHeight="251686912" behindDoc="1" locked="0" layoutInCell="1" allowOverlap="0" wp14:anchorId="5F32AA17" wp14:editId="35B41517">
              <wp:simplePos x="0" y="0"/>
              <wp:positionH relativeFrom="margin">
                <wp:posOffset>0</wp:posOffset>
              </wp:positionH>
              <wp:positionV relativeFrom="page">
                <wp:posOffset>396503</wp:posOffset>
              </wp:positionV>
              <wp:extent cx="5950039" cy="270457"/>
              <wp:effectExtent l="0" t="0" r="0" b="6350"/>
              <wp:wrapSquare wrapText="bothSides"/>
              <wp:docPr id="21" name="Rectangle 21"/>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C000">
                          <a:lumMod val="75000"/>
                        </a:srgbClr>
                      </a:solidFill>
                      <a:ln w="12700" cap="flat" cmpd="sng" algn="ctr">
                        <a:noFill/>
                        <a:prstDash val="solid"/>
                        <a:miter lim="800000"/>
                      </a:ln>
                      <a:effectLst/>
                    </wps:spPr>
                    <wps:txbx>
                      <w:txbxContent>
                        <w:p w14:paraId="22E0D14C" w14:textId="77777777" w:rsidR="003D09A2" w:rsidRPr="009A0135" w:rsidRDefault="003D09A2" w:rsidP="00612506">
                          <w:pPr>
                            <w:pStyle w:val="En-tte"/>
                            <w:jc w:val="center"/>
                            <w:rPr>
                              <w:caps/>
                              <w:color w:val="FFFFFF" w:themeColor="background1"/>
                            </w:rPr>
                          </w:pPr>
                          <w:r>
                            <w:rPr>
                              <w:rFonts w:ascii="Times New Roman" w:eastAsia="Calibri" w:hAnsi="Times New Roman" w:cs="Times New Roman"/>
                              <w:b/>
                              <w:bCs/>
                              <w:color w:val="FFFFFF" w:themeColor="background1"/>
                              <w:sz w:val="28"/>
                              <w:szCs w:val="28"/>
                            </w:rPr>
                            <w:t xml:space="preserve">Chapitre 03 </w:t>
                          </w:r>
                          <w:r w:rsidRPr="009966ED">
                            <w:rPr>
                              <w:rFonts w:ascii="Times New Roman" w:eastAsia="Calibri" w:hAnsi="Times New Roman" w:cs="Times New Roman"/>
                              <w:b/>
                              <w:bCs/>
                              <w:color w:val="FFFFFF" w:themeColor="background1"/>
                              <w:sz w:val="28"/>
                              <w:szCs w:val="28"/>
                            </w:rPr>
                            <w:t xml:space="preserve">: Présentation générale de la société de ciment </w:t>
                          </w:r>
                          <w:r w:rsidRPr="009966ED">
                            <w:rPr>
                              <w:rFonts w:ascii="Times New Roman" w:eastAsia="Calibri" w:hAnsi="Times New Roman" w:cs="Times New Roman"/>
                              <w:b/>
                              <w:bCs/>
                              <w:color w:val="FFFFFF" w:themeColor="background1"/>
                              <w:sz w:val="28"/>
                              <w:szCs w:val="28"/>
                            </w:rPr>
                            <w:t>Hamma Bouziane à Constantine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F32AA17" id="Rectangle 21" o:spid="_x0000_s1037" style="position:absolute;left:0;text-align:left;margin-left:0;margin-top:31.2pt;width:468.5pt;height:21.3pt;z-index:-25162956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" o:allowoverlap="f" fillcolor="#bf9000" stroked="f" strokeweight="1pt">
              <v:textbox style="mso-fit-shape-to-text:t">
                <w:txbxContent>
                  <w:p w14:paraId="22E0D14C" w14:textId="77777777" w:rsidR="003D09A2" w:rsidRPr="009A0135" w:rsidRDefault="003D09A2" w:rsidP="00612506">
                    <w:pPr>
                      <w:pStyle w:val="En-tte"/>
                      <w:jc w:val="center"/>
                      <w:rPr>
                        <w:caps/>
                        <w:color w:val="FFFFFF" w:themeColor="background1"/>
                      </w:rPr>
                    </w:pPr>
                    <w:r>
                      <w:rPr>
                        <w:rFonts w:ascii="Times New Roman" w:eastAsia="Calibri" w:hAnsi="Times New Roman" w:cs="Times New Roman"/>
                        <w:b/>
                        <w:bCs/>
                        <w:color w:val="FFFFFF" w:themeColor="background1"/>
                        <w:sz w:val="28"/>
                        <w:szCs w:val="28"/>
                      </w:rPr>
                      <w:t xml:space="preserve">Chapitre 03 </w:t>
                    </w:r>
                    <w:r w:rsidRPr="009966ED">
                      <w:rPr>
                        <w:rFonts w:ascii="Times New Roman" w:eastAsia="Calibri" w:hAnsi="Times New Roman" w:cs="Times New Roman"/>
                        <w:b/>
                        <w:bCs/>
                        <w:color w:val="FFFFFF" w:themeColor="background1"/>
                        <w:sz w:val="28"/>
                        <w:szCs w:val="28"/>
                      </w:rPr>
                      <w:t xml:space="preserve">: Présentation générale de la société de ciment </w:t>
                    </w:r>
                    <w:r w:rsidRPr="009966ED">
                      <w:rPr>
                        <w:rFonts w:ascii="Times New Roman" w:eastAsia="Calibri" w:hAnsi="Times New Roman" w:cs="Times New Roman"/>
                        <w:b/>
                        <w:bCs/>
                        <w:color w:val="FFFFFF" w:themeColor="background1"/>
                        <w:sz w:val="28"/>
                        <w:szCs w:val="28"/>
                      </w:rPr>
                      <w:t>Hamma Bouziane à Constantine</w:t>
                    </w:r>
                  </w:p>
                </w:txbxContent>
              </v:textbox>
              <w10:wrap type="square" anchorx="margin"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3B32" w14:textId="77777777" w:rsidR="003D09A2" w:rsidRDefault="003D09A2">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B9258" w14:textId="77777777" w:rsidR="003D09A2" w:rsidRDefault="003D09A2">
    <w:pPr>
      <w:pStyle w:val="En-tte"/>
    </w:pPr>
    <w:r w:rsidRPr="009A0135">
      <w:rPr>
        <w:noProof/>
        <w:lang w:eastAsia="fr-FR"/>
      </w:rPr>
      <mc:AlternateContent>
        <mc:Choice Requires="wps">
          <w:drawing>
            <wp:anchor distT="0" distB="0" distL="118745" distR="118745" simplePos="0" relativeHeight="251691008" behindDoc="1" locked="0" layoutInCell="1" allowOverlap="0" wp14:anchorId="5899D9F0" wp14:editId="214AAA13">
              <wp:simplePos x="0" y="0"/>
              <wp:positionH relativeFrom="margin">
                <wp:posOffset>0</wp:posOffset>
              </wp:positionH>
              <wp:positionV relativeFrom="page">
                <wp:posOffset>396503</wp:posOffset>
              </wp:positionV>
              <wp:extent cx="5950039" cy="270457"/>
              <wp:effectExtent l="0" t="0" r="0" b="6350"/>
              <wp:wrapSquare wrapText="bothSides"/>
              <wp:docPr id="23" name="Rectangle 2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C000">
                          <a:lumMod val="75000"/>
                        </a:srgbClr>
                      </a:solidFill>
                      <a:ln w="12700" cap="flat" cmpd="sng" algn="ctr">
                        <a:noFill/>
                        <a:prstDash val="solid"/>
                        <a:miter lim="800000"/>
                      </a:ln>
                      <a:effectLst/>
                    </wps:spPr>
                    <wps:txbx>
                      <w:txbxContent>
                        <w:p w14:paraId="568F1DAD" w14:textId="77777777" w:rsidR="003D09A2" w:rsidRPr="009A0135" w:rsidRDefault="003D09A2" w:rsidP="00612506">
                          <w:pPr>
                            <w:pStyle w:val="En-tte"/>
                            <w:jc w:val="center"/>
                            <w:rPr>
                              <w:caps/>
                              <w:color w:val="FFFFFF" w:themeColor="background1"/>
                            </w:rPr>
                          </w:pPr>
                          <w:r w:rsidRPr="006D73CB">
                            <w:rPr>
                              <w:rFonts w:ascii="Times New Roman" w:eastAsia="Calibri" w:hAnsi="Times New Roman" w:cs="Times New Roman"/>
                              <w:b/>
                              <w:bCs/>
                              <w:color w:val="FFFFFF" w:themeColor="background1"/>
                              <w:sz w:val="28"/>
                              <w:szCs w:val="28"/>
                            </w:rPr>
                            <w:t xml:space="preserve">Chapitre 04 : </w:t>
                          </w:r>
                          <w:r>
                            <w:rPr>
                              <w:rFonts w:ascii="Times New Roman" w:eastAsia="Calibri" w:hAnsi="Times New Roman" w:cs="Times New Roman"/>
                              <w:b/>
                              <w:bCs/>
                              <w:color w:val="FFFFFF" w:themeColor="background1"/>
                              <w:sz w:val="28"/>
                              <w:szCs w:val="28"/>
                            </w:rPr>
                            <w:t xml:space="preserve">                           </w:t>
                          </w:r>
                          <w:r w:rsidRPr="006D73CB">
                            <w:rPr>
                              <w:rFonts w:ascii="Times New Roman" w:eastAsia="Calibri" w:hAnsi="Times New Roman" w:cs="Times New Roman"/>
                              <w:b/>
                              <w:bCs/>
                              <w:color w:val="FFFFFF" w:themeColor="background1"/>
                              <w:sz w:val="28"/>
                              <w:szCs w:val="28"/>
                            </w:rPr>
                            <w:t>Méthodes et outils d’analyse statistique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899D9F0" id="Rectangle 23" o:spid="_x0000_s1038" style="position:absolute;left:0;text-align:left;margin-left:0;margin-top:31.2pt;width:468.5pt;height:21.3pt;z-index:-251625472;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" o:allowoverlap="f" fillcolor="#bf9000" stroked="f" strokeweight="1pt">
              <v:textbox style="mso-fit-shape-to-text:t">
                <w:txbxContent>
                  <w:p w14:paraId="568F1DAD" w14:textId="77777777" w:rsidR="003D09A2" w:rsidRPr="009A0135" w:rsidRDefault="003D09A2" w:rsidP="00612506">
                    <w:pPr>
                      <w:pStyle w:val="En-tte"/>
                      <w:jc w:val="center"/>
                      <w:rPr>
                        <w:caps/>
                        <w:color w:val="FFFFFF" w:themeColor="background1"/>
                      </w:rPr>
                    </w:pPr>
                    <w:r w:rsidRPr="006D73CB">
                      <w:rPr>
                        <w:rFonts w:ascii="Times New Roman" w:eastAsia="Calibri" w:hAnsi="Times New Roman" w:cs="Times New Roman"/>
                        <w:b/>
                        <w:bCs/>
                        <w:color w:val="FFFFFF" w:themeColor="background1"/>
                        <w:sz w:val="28"/>
                        <w:szCs w:val="28"/>
                      </w:rPr>
                      <w:t xml:space="preserve">Chapitre 04 : </w:t>
                    </w:r>
                    <w:r>
                      <w:rPr>
                        <w:rFonts w:ascii="Times New Roman" w:eastAsia="Calibri" w:hAnsi="Times New Roman" w:cs="Times New Roman"/>
                        <w:b/>
                        <w:bCs/>
                        <w:color w:val="FFFFFF" w:themeColor="background1"/>
                        <w:sz w:val="28"/>
                        <w:szCs w:val="28"/>
                      </w:rPr>
                      <w:t xml:space="preserve">                           </w:t>
                    </w:r>
                    <w:r w:rsidRPr="006D73CB">
                      <w:rPr>
                        <w:rFonts w:ascii="Times New Roman" w:eastAsia="Calibri" w:hAnsi="Times New Roman" w:cs="Times New Roman"/>
                        <w:b/>
                        <w:bCs/>
                        <w:color w:val="FFFFFF" w:themeColor="background1"/>
                        <w:sz w:val="28"/>
                        <w:szCs w:val="28"/>
                      </w:rPr>
                      <w:t>Méthodes et outils d’analyse statistique</w:t>
                    </w:r>
                  </w:p>
                </w:txbxContent>
              </v:textbox>
              <w10:wrap type="square" anchorx="margin"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79B10" w14:textId="77777777" w:rsidR="003D09A2" w:rsidRDefault="00EB52F7">
    <w:pPr>
      <w:pStyle w:val="En-tte"/>
    </w:pPr>
    <w:r w:rsidRPr="009A0135">
      <w:rPr>
        <w:noProof/>
        <w:lang w:eastAsia="fr-FR"/>
      </w:rPr>
      <mc:AlternateContent>
        <mc:Choice Requires="wps">
          <w:drawing>
            <wp:anchor distT="0" distB="0" distL="118745" distR="118745" simplePos="0" relativeHeight="251693056" behindDoc="1" locked="0" layoutInCell="1" allowOverlap="0" wp14:anchorId="486B653B" wp14:editId="5B176977">
              <wp:simplePos x="0" y="0"/>
              <wp:positionH relativeFrom="margin">
                <wp:posOffset>0</wp:posOffset>
              </wp:positionH>
              <wp:positionV relativeFrom="page">
                <wp:posOffset>622935</wp:posOffset>
              </wp:positionV>
              <wp:extent cx="5950039" cy="270457"/>
              <wp:effectExtent l="0" t="0" r="0" b="6350"/>
              <wp:wrapSquare wrapText="bothSides"/>
              <wp:docPr id="28" name="Rectangle 28"/>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FFC000">
                          <a:lumMod val="75000"/>
                        </a:srgbClr>
                      </a:solidFill>
                      <a:ln w="12700" cap="flat" cmpd="sng" algn="ctr">
                        <a:noFill/>
                        <a:prstDash val="solid"/>
                        <a:miter lim="800000"/>
                      </a:ln>
                      <a:effectLst/>
                    </wps:spPr>
                    <wps:txbx>
                      <w:txbxContent>
                        <w:p w14:paraId="7A48718A" w14:textId="77777777" w:rsidR="00EB52F7" w:rsidRPr="00EB52F7" w:rsidRDefault="00EB52F7" w:rsidP="00EB52F7">
                          <w:pPr>
                            <w:pStyle w:val="En-tte"/>
                            <w:jc w:val="center"/>
                            <w:rPr>
                              <w:caps/>
                              <w:color w:val="FFFFFF" w:themeColor="background1"/>
                              <w:lang w:val="en-GB"/>
                            </w:rPr>
                          </w:pPr>
                          <w:r>
                            <w:rPr>
                              <w:rFonts w:ascii="Times New Roman" w:eastAsia="Calibri" w:hAnsi="Times New Roman" w:cs="Times New Roman"/>
                              <w:b/>
                              <w:bCs/>
                              <w:color w:val="FFFFFF" w:themeColor="background1"/>
                              <w:sz w:val="28"/>
                              <w:szCs w:val="28"/>
                              <w:lang w:val="en-GB"/>
                            </w:rPr>
                            <w:t xml:space="preserve">Conclusion Générale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86B653B" id="Rectangle 28" o:spid="_x0000_s1039" style="position:absolute;left:0;text-align:left;margin-left:0;margin-top:49.05pt;width:468.5pt;height:21.3pt;z-index:-25162342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" o:allowoverlap="f" fillcolor="#bf9000" stroked="f" strokeweight="1pt">
              <v:textbox style="mso-fit-shape-to-text:t">
                <w:txbxContent>
                  <w:p w14:paraId="7A48718A" w14:textId="77777777" w:rsidR="00EB52F7" w:rsidRPr="00EB52F7" w:rsidRDefault="00EB52F7" w:rsidP="00EB52F7">
                    <w:pPr>
                      <w:pStyle w:val="En-tte"/>
                      <w:jc w:val="center"/>
                      <w:rPr>
                        <w:caps/>
                        <w:color w:val="FFFFFF" w:themeColor="background1"/>
                        <w:lang w:val="en-GB"/>
                      </w:rPr>
                    </w:pPr>
                    <w:r>
                      <w:rPr>
                        <w:rFonts w:ascii="Times New Roman" w:eastAsia="Calibri" w:hAnsi="Times New Roman" w:cs="Times New Roman"/>
                        <w:b/>
                        <w:bCs/>
                        <w:color w:val="FFFFFF" w:themeColor="background1"/>
                        <w:sz w:val="28"/>
                        <w:szCs w:val="28"/>
                        <w:lang w:val="en-GB"/>
                      </w:rPr>
                      <w:t xml:space="preserve">Conclusion Générale </w:t>
                    </w:r>
                  </w:p>
                </w:txbxContent>
              </v:textbox>
              <w10:wrap type="square" anchorx="margin"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F314" w14:textId="77777777" w:rsidR="003D09A2" w:rsidRDefault="003D09A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9A2DFC"/>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80C555C"/>
    <w:multiLevelType w:val="hybridMultilevel"/>
    <w:tmpl w:val="DFE02B3E"/>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 w15:restartNumberingAfterBreak="0">
    <w:nsid w:val="0B1265DE"/>
    <w:multiLevelType w:val="hybridMultilevel"/>
    <w:tmpl w:val="6A7C9456"/>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4" w15:restartNumberingAfterBreak="0">
    <w:nsid w:val="0BF02065"/>
    <w:multiLevelType w:val="hybridMultilevel"/>
    <w:tmpl w:val="D382D1F6"/>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5" w15:restartNumberingAfterBreak="0">
    <w:nsid w:val="0C7770CD"/>
    <w:multiLevelType w:val="hybridMultilevel"/>
    <w:tmpl w:val="8168017E"/>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6" w15:restartNumberingAfterBreak="0">
    <w:nsid w:val="0D907D94"/>
    <w:multiLevelType w:val="hybridMultilevel"/>
    <w:tmpl w:val="B0B458EA"/>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0DA1113B"/>
    <w:multiLevelType w:val="hybridMultilevel"/>
    <w:tmpl w:val="8BC466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6964A0"/>
    <w:multiLevelType w:val="multilevel"/>
    <w:tmpl w:val="30E2C2BA"/>
    <w:lvl w:ilvl="0">
      <w:start w:val="1"/>
      <w:numFmt w:val="decimal"/>
      <w:lvlText w:val="%1."/>
      <w:lvlJc w:val="left"/>
      <w:pPr>
        <w:ind w:left="2160" w:hanging="360"/>
      </w:pPr>
    </w:lvl>
    <w:lvl w:ilvl="1">
      <w:start w:val="2"/>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9" w15:restartNumberingAfterBreak="0">
    <w:nsid w:val="0FE61B4B"/>
    <w:multiLevelType w:val="hybridMultilevel"/>
    <w:tmpl w:val="DE6C9654"/>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0" w15:restartNumberingAfterBreak="0">
    <w:nsid w:val="11466F0A"/>
    <w:multiLevelType w:val="hybridMultilevel"/>
    <w:tmpl w:val="6884053A"/>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5867413"/>
    <w:multiLevelType w:val="hybridMultilevel"/>
    <w:tmpl w:val="7960B698"/>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2" w15:restartNumberingAfterBreak="0">
    <w:nsid w:val="220666E9"/>
    <w:multiLevelType w:val="hybridMultilevel"/>
    <w:tmpl w:val="88D60B80"/>
    <w:lvl w:ilvl="0" w:tplc="040C0003">
      <w:start w:val="1"/>
      <w:numFmt w:val="bullet"/>
      <w:lvlText w:val="o"/>
      <w:lvlJc w:val="left"/>
      <w:pPr>
        <w:ind w:left="1068" w:hanging="360"/>
      </w:pPr>
      <w:rPr>
        <w:rFonts w:ascii="Courier New" w:hAnsi="Courier New" w:cs="Courier New" w:hint="default"/>
      </w:rPr>
    </w:lvl>
    <w:lvl w:ilvl="1" w:tplc="040C0003">
      <w:start w:val="1"/>
      <w:numFmt w:val="bullet"/>
      <w:lvlText w:val="o"/>
      <w:lvlJc w:val="left"/>
      <w:pPr>
        <w:ind w:left="106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55E3410"/>
    <w:multiLevelType w:val="hybridMultilevel"/>
    <w:tmpl w:val="F6A83DD4"/>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5EB66D2"/>
    <w:multiLevelType w:val="hybridMultilevel"/>
    <w:tmpl w:val="B6A67096"/>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5" w15:restartNumberingAfterBreak="0">
    <w:nsid w:val="28F04475"/>
    <w:multiLevelType w:val="hybridMultilevel"/>
    <w:tmpl w:val="24C298B6"/>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6" w15:restartNumberingAfterBreak="0">
    <w:nsid w:val="2A8D0CC0"/>
    <w:multiLevelType w:val="hybridMultilevel"/>
    <w:tmpl w:val="9B0CB6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9D0223"/>
    <w:multiLevelType w:val="hybridMultilevel"/>
    <w:tmpl w:val="39C23FCC"/>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8" w15:restartNumberingAfterBreak="0">
    <w:nsid w:val="303B7C2F"/>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2733615"/>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5221604"/>
    <w:multiLevelType w:val="hybridMultilevel"/>
    <w:tmpl w:val="7C928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5E53D85"/>
    <w:multiLevelType w:val="hybridMultilevel"/>
    <w:tmpl w:val="8D70A8EA"/>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2" w15:restartNumberingAfterBreak="0">
    <w:nsid w:val="36674B1A"/>
    <w:multiLevelType w:val="hybridMultilevel"/>
    <w:tmpl w:val="6C3244BA"/>
    <w:lvl w:ilvl="0" w:tplc="25F81218">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3" w15:restartNumberingAfterBreak="0">
    <w:nsid w:val="3EB43D2A"/>
    <w:multiLevelType w:val="hybridMultilevel"/>
    <w:tmpl w:val="688058F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2C95A05"/>
    <w:multiLevelType w:val="hybridMultilevel"/>
    <w:tmpl w:val="96769D76"/>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5" w15:restartNumberingAfterBreak="0">
    <w:nsid w:val="43357DB4"/>
    <w:multiLevelType w:val="hybridMultilevel"/>
    <w:tmpl w:val="6B52B268"/>
    <w:lvl w:ilvl="0" w:tplc="EF368394">
      <w:start w:val="1"/>
      <w:numFmt w:val="decimal"/>
      <w:lvlText w:val="%1)"/>
      <w:lvlJc w:val="left"/>
      <w:pPr>
        <w:ind w:left="700" w:hanging="360"/>
      </w:pPr>
      <w:rPr>
        <w:rFonts w:hint="default"/>
      </w:rPr>
    </w:lvl>
    <w:lvl w:ilvl="1" w:tplc="040C0019" w:tentative="1">
      <w:start w:val="1"/>
      <w:numFmt w:val="lowerLetter"/>
      <w:lvlText w:val="%2."/>
      <w:lvlJc w:val="left"/>
      <w:pPr>
        <w:ind w:left="1420" w:hanging="360"/>
      </w:pPr>
    </w:lvl>
    <w:lvl w:ilvl="2" w:tplc="040C001B" w:tentative="1">
      <w:start w:val="1"/>
      <w:numFmt w:val="lowerRoman"/>
      <w:lvlText w:val="%3."/>
      <w:lvlJc w:val="right"/>
      <w:pPr>
        <w:ind w:left="2140" w:hanging="180"/>
      </w:pPr>
    </w:lvl>
    <w:lvl w:ilvl="3" w:tplc="040C000F" w:tentative="1">
      <w:start w:val="1"/>
      <w:numFmt w:val="decimal"/>
      <w:lvlText w:val="%4."/>
      <w:lvlJc w:val="left"/>
      <w:pPr>
        <w:ind w:left="2860" w:hanging="360"/>
      </w:pPr>
    </w:lvl>
    <w:lvl w:ilvl="4" w:tplc="040C0019" w:tentative="1">
      <w:start w:val="1"/>
      <w:numFmt w:val="lowerLetter"/>
      <w:lvlText w:val="%5."/>
      <w:lvlJc w:val="left"/>
      <w:pPr>
        <w:ind w:left="3580" w:hanging="360"/>
      </w:pPr>
    </w:lvl>
    <w:lvl w:ilvl="5" w:tplc="040C001B" w:tentative="1">
      <w:start w:val="1"/>
      <w:numFmt w:val="lowerRoman"/>
      <w:lvlText w:val="%6."/>
      <w:lvlJc w:val="right"/>
      <w:pPr>
        <w:ind w:left="4300" w:hanging="180"/>
      </w:pPr>
    </w:lvl>
    <w:lvl w:ilvl="6" w:tplc="040C000F" w:tentative="1">
      <w:start w:val="1"/>
      <w:numFmt w:val="decimal"/>
      <w:lvlText w:val="%7."/>
      <w:lvlJc w:val="left"/>
      <w:pPr>
        <w:ind w:left="5020" w:hanging="360"/>
      </w:pPr>
    </w:lvl>
    <w:lvl w:ilvl="7" w:tplc="040C0019" w:tentative="1">
      <w:start w:val="1"/>
      <w:numFmt w:val="lowerLetter"/>
      <w:lvlText w:val="%8."/>
      <w:lvlJc w:val="left"/>
      <w:pPr>
        <w:ind w:left="5740" w:hanging="360"/>
      </w:pPr>
    </w:lvl>
    <w:lvl w:ilvl="8" w:tplc="040C001B" w:tentative="1">
      <w:start w:val="1"/>
      <w:numFmt w:val="lowerRoman"/>
      <w:lvlText w:val="%9."/>
      <w:lvlJc w:val="right"/>
      <w:pPr>
        <w:ind w:left="6460" w:hanging="180"/>
      </w:pPr>
    </w:lvl>
  </w:abstractNum>
  <w:abstractNum w:abstractNumId="26" w15:restartNumberingAfterBreak="0">
    <w:nsid w:val="4C023C12"/>
    <w:multiLevelType w:val="hybridMultilevel"/>
    <w:tmpl w:val="72FC8846"/>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7" w15:restartNumberingAfterBreak="0">
    <w:nsid w:val="4C1635C8"/>
    <w:multiLevelType w:val="hybridMultilevel"/>
    <w:tmpl w:val="DE146948"/>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8" w15:restartNumberingAfterBreak="0">
    <w:nsid w:val="4DFE521A"/>
    <w:multiLevelType w:val="hybridMultilevel"/>
    <w:tmpl w:val="E16ED506"/>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29" w15:restartNumberingAfterBreak="0">
    <w:nsid w:val="4EB36E6E"/>
    <w:multiLevelType w:val="hybridMultilevel"/>
    <w:tmpl w:val="7A4E81C0"/>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0" w15:restartNumberingAfterBreak="0">
    <w:nsid w:val="507A1C47"/>
    <w:multiLevelType w:val="hybridMultilevel"/>
    <w:tmpl w:val="F6E67A36"/>
    <w:lvl w:ilvl="0" w:tplc="040C0001">
      <w:start w:val="1"/>
      <w:numFmt w:val="bullet"/>
      <w:lvlText w:val=""/>
      <w:lvlJc w:val="left"/>
      <w:pPr>
        <w:ind w:left="1060" w:hanging="360"/>
      </w:pPr>
      <w:rPr>
        <w:rFonts w:ascii="Symbol" w:hAnsi="Symbol" w:hint="default"/>
      </w:rPr>
    </w:lvl>
    <w:lvl w:ilvl="1" w:tplc="EB58498C">
      <w:numFmt w:val="bullet"/>
      <w:lvlText w:val="•"/>
      <w:lvlJc w:val="left"/>
      <w:pPr>
        <w:ind w:left="1780" w:hanging="360"/>
      </w:pPr>
      <w:rPr>
        <w:rFonts w:ascii="Times New Roman" w:eastAsiaTheme="minorHAnsi" w:hAnsi="Times New Roman" w:cs="Times New Roman"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1" w15:restartNumberingAfterBreak="0">
    <w:nsid w:val="517B2839"/>
    <w:multiLevelType w:val="hybridMultilevel"/>
    <w:tmpl w:val="A4F6FA02"/>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2" w15:restartNumberingAfterBreak="0">
    <w:nsid w:val="574A7456"/>
    <w:multiLevelType w:val="hybridMultilevel"/>
    <w:tmpl w:val="C04A7D64"/>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3" w15:restartNumberingAfterBreak="0">
    <w:nsid w:val="5A315107"/>
    <w:multiLevelType w:val="hybridMultilevel"/>
    <w:tmpl w:val="86562FC8"/>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4" w15:restartNumberingAfterBreak="0">
    <w:nsid w:val="5B010486"/>
    <w:multiLevelType w:val="hybridMultilevel"/>
    <w:tmpl w:val="0D4803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B866D36"/>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5DBA7E20"/>
    <w:multiLevelType w:val="hybridMultilevel"/>
    <w:tmpl w:val="ACF4B5D6"/>
    <w:lvl w:ilvl="0" w:tplc="040C0005">
      <w:start w:val="1"/>
      <w:numFmt w:val="bullet"/>
      <w:lvlText w:val=""/>
      <w:lvlJc w:val="left"/>
      <w:pPr>
        <w:ind w:left="851" w:hanging="360"/>
      </w:pPr>
      <w:rPr>
        <w:rFonts w:ascii="Wingdings" w:hAnsi="Wingdings" w:hint="default"/>
      </w:rPr>
    </w:lvl>
    <w:lvl w:ilvl="1" w:tplc="040C0003" w:tentative="1">
      <w:start w:val="1"/>
      <w:numFmt w:val="bullet"/>
      <w:lvlText w:val="o"/>
      <w:lvlJc w:val="left"/>
      <w:pPr>
        <w:ind w:left="1571" w:hanging="360"/>
      </w:pPr>
      <w:rPr>
        <w:rFonts w:ascii="Courier New" w:hAnsi="Courier New" w:cs="Courier New" w:hint="default"/>
      </w:rPr>
    </w:lvl>
    <w:lvl w:ilvl="2" w:tplc="040C0005" w:tentative="1">
      <w:start w:val="1"/>
      <w:numFmt w:val="bullet"/>
      <w:lvlText w:val=""/>
      <w:lvlJc w:val="left"/>
      <w:pPr>
        <w:ind w:left="2291" w:hanging="360"/>
      </w:pPr>
      <w:rPr>
        <w:rFonts w:ascii="Wingdings" w:hAnsi="Wingdings" w:hint="default"/>
      </w:rPr>
    </w:lvl>
    <w:lvl w:ilvl="3" w:tplc="040C0001" w:tentative="1">
      <w:start w:val="1"/>
      <w:numFmt w:val="bullet"/>
      <w:lvlText w:val=""/>
      <w:lvlJc w:val="left"/>
      <w:pPr>
        <w:ind w:left="3011" w:hanging="360"/>
      </w:pPr>
      <w:rPr>
        <w:rFonts w:ascii="Symbol" w:hAnsi="Symbol" w:hint="default"/>
      </w:rPr>
    </w:lvl>
    <w:lvl w:ilvl="4" w:tplc="040C0003" w:tentative="1">
      <w:start w:val="1"/>
      <w:numFmt w:val="bullet"/>
      <w:lvlText w:val="o"/>
      <w:lvlJc w:val="left"/>
      <w:pPr>
        <w:ind w:left="3731" w:hanging="360"/>
      </w:pPr>
      <w:rPr>
        <w:rFonts w:ascii="Courier New" w:hAnsi="Courier New" w:cs="Courier New" w:hint="default"/>
      </w:rPr>
    </w:lvl>
    <w:lvl w:ilvl="5" w:tplc="040C0005" w:tentative="1">
      <w:start w:val="1"/>
      <w:numFmt w:val="bullet"/>
      <w:lvlText w:val=""/>
      <w:lvlJc w:val="left"/>
      <w:pPr>
        <w:ind w:left="4451" w:hanging="360"/>
      </w:pPr>
      <w:rPr>
        <w:rFonts w:ascii="Wingdings" w:hAnsi="Wingdings" w:hint="default"/>
      </w:rPr>
    </w:lvl>
    <w:lvl w:ilvl="6" w:tplc="040C0001" w:tentative="1">
      <w:start w:val="1"/>
      <w:numFmt w:val="bullet"/>
      <w:lvlText w:val=""/>
      <w:lvlJc w:val="left"/>
      <w:pPr>
        <w:ind w:left="5171" w:hanging="360"/>
      </w:pPr>
      <w:rPr>
        <w:rFonts w:ascii="Symbol" w:hAnsi="Symbol" w:hint="default"/>
      </w:rPr>
    </w:lvl>
    <w:lvl w:ilvl="7" w:tplc="040C0003" w:tentative="1">
      <w:start w:val="1"/>
      <w:numFmt w:val="bullet"/>
      <w:lvlText w:val="o"/>
      <w:lvlJc w:val="left"/>
      <w:pPr>
        <w:ind w:left="5891" w:hanging="360"/>
      </w:pPr>
      <w:rPr>
        <w:rFonts w:ascii="Courier New" w:hAnsi="Courier New" w:cs="Courier New" w:hint="default"/>
      </w:rPr>
    </w:lvl>
    <w:lvl w:ilvl="8" w:tplc="040C0005" w:tentative="1">
      <w:start w:val="1"/>
      <w:numFmt w:val="bullet"/>
      <w:lvlText w:val=""/>
      <w:lvlJc w:val="left"/>
      <w:pPr>
        <w:ind w:left="6611" w:hanging="360"/>
      </w:pPr>
      <w:rPr>
        <w:rFonts w:ascii="Wingdings" w:hAnsi="Wingdings" w:hint="default"/>
      </w:rPr>
    </w:lvl>
  </w:abstractNum>
  <w:abstractNum w:abstractNumId="37" w15:restartNumberingAfterBreak="0">
    <w:nsid w:val="5FD54171"/>
    <w:multiLevelType w:val="hybridMultilevel"/>
    <w:tmpl w:val="858E3D9A"/>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8" w15:restartNumberingAfterBreak="0">
    <w:nsid w:val="63F16860"/>
    <w:multiLevelType w:val="hybridMultilevel"/>
    <w:tmpl w:val="E89E84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6824320"/>
    <w:multiLevelType w:val="hybridMultilevel"/>
    <w:tmpl w:val="2F58CCB4"/>
    <w:lvl w:ilvl="0" w:tplc="040C0019">
      <w:start w:val="1"/>
      <w:numFmt w:val="lowerLetter"/>
      <w:lvlText w:val="%1."/>
      <w:lvlJc w:val="left"/>
      <w:pPr>
        <w:ind w:left="1122" w:hanging="360"/>
      </w:pPr>
    </w:lvl>
    <w:lvl w:ilvl="1" w:tplc="040C0019" w:tentative="1">
      <w:start w:val="1"/>
      <w:numFmt w:val="lowerLetter"/>
      <w:lvlText w:val="%2."/>
      <w:lvlJc w:val="left"/>
      <w:pPr>
        <w:ind w:left="1842" w:hanging="360"/>
      </w:pPr>
    </w:lvl>
    <w:lvl w:ilvl="2" w:tplc="040C001B" w:tentative="1">
      <w:start w:val="1"/>
      <w:numFmt w:val="lowerRoman"/>
      <w:lvlText w:val="%3."/>
      <w:lvlJc w:val="right"/>
      <w:pPr>
        <w:ind w:left="2562" w:hanging="180"/>
      </w:pPr>
    </w:lvl>
    <w:lvl w:ilvl="3" w:tplc="040C000F" w:tentative="1">
      <w:start w:val="1"/>
      <w:numFmt w:val="decimal"/>
      <w:lvlText w:val="%4."/>
      <w:lvlJc w:val="left"/>
      <w:pPr>
        <w:ind w:left="3282" w:hanging="360"/>
      </w:pPr>
    </w:lvl>
    <w:lvl w:ilvl="4" w:tplc="040C0019" w:tentative="1">
      <w:start w:val="1"/>
      <w:numFmt w:val="lowerLetter"/>
      <w:lvlText w:val="%5."/>
      <w:lvlJc w:val="left"/>
      <w:pPr>
        <w:ind w:left="4002" w:hanging="360"/>
      </w:pPr>
    </w:lvl>
    <w:lvl w:ilvl="5" w:tplc="040C001B" w:tentative="1">
      <w:start w:val="1"/>
      <w:numFmt w:val="lowerRoman"/>
      <w:lvlText w:val="%6."/>
      <w:lvlJc w:val="right"/>
      <w:pPr>
        <w:ind w:left="4722" w:hanging="180"/>
      </w:pPr>
    </w:lvl>
    <w:lvl w:ilvl="6" w:tplc="040C000F" w:tentative="1">
      <w:start w:val="1"/>
      <w:numFmt w:val="decimal"/>
      <w:lvlText w:val="%7."/>
      <w:lvlJc w:val="left"/>
      <w:pPr>
        <w:ind w:left="5442" w:hanging="360"/>
      </w:pPr>
    </w:lvl>
    <w:lvl w:ilvl="7" w:tplc="040C0019" w:tentative="1">
      <w:start w:val="1"/>
      <w:numFmt w:val="lowerLetter"/>
      <w:lvlText w:val="%8."/>
      <w:lvlJc w:val="left"/>
      <w:pPr>
        <w:ind w:left="6162" w:hanging="360"/>
      </w:pPr>
    </w:lvl>
    <w:lvl w:ilvl="8" w:tplc="040C001B" w:tentative="1">
      <w:start w:val="1"/>
      <w:numFmt w:val="lowerRoman"/>
      <w:lvlText w:val="%9."/>
      <w:lvlJc w:val="right"/>
      <w:pPr>
        <w:ind w:left="6882" w:hanging="180"/>
      </w:pPr>
    </w:lvl>
  </w:abstractNum>
  <w:abstractNum w:abstractNumId="40" w15:restartNumberingAfterBreak="0">
    <w:nsid w:val="67817F5C"/>
    <w:multiLevelType w:val="hybridMultilevel"/>
    <w:tmpl w:val="6CF442F0"/>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41" w15:restartNumberingAfterBreak="0">
    <w:nsid w:val="6C0E2EF9"/>
    <w:multiLevelType w:val="hybridMultilevel"/>
    <w:tmpl w:val="C150BF9E"/>
    <w:lvl w:ilvl="0" w:tplc="D74C1E12">
      <w:start w:val="1"/>
      <w:numFmt w:val="decimal"/>
      <w:lvlText w:val="%1"/>
      <w:lvlJc w:val="left"/>
      <w:pPr>
        <w:ind w:left="1060" w:hanging="360"/>
      </w:pPr>
      <w:rPr>
        <w:rFonts w:hint="default"/>
        <w:b/>
        <w:bCs/>
        <w:sz w:val="28"/>
        <w:szCs w:val="20"/>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42" w15:restartNumberingAfterBreak="0">
    <w:nsid w:val="6F196E89"/>
    <w:multiLevelType w:val="hybridMultilevel"/>
    <w:tmpl w:val="83609470"/>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43" w15:restartNumberingAfterBreak="0">
    <w:nsid w:val="71E35CD5"/>
    <w:multiLevelType w:val="hybridMultilevel"/>
    <w:tmpl w:val="5D10B73A"/>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44" w15:restartNumberingAfterBreak="0">
    <w:nsid w:val="752677CE"/>
    <w:multiLevelType w:val="hybridMultilevel"/>
    <w:tmpl w:val="F67211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8AB10A2"/>
    <w:multiLevelType w:val="hybridMultilevel"/>
    <w:tmpl w:val="B03C80A0"/>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6" w15:restartNumberingAfterBreak="0">
    <w:nsid w:val="79FF0DE0"/>
    <w:multiLevelType w:val="hybridMultilevel"/>
    <w:tmpl w:val="0FAEC7EE"/>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num w:numId="1" w16cid:durableId="1449155914">
    <w:abstractNumId w:val="1"/>
  </w:num>
  <w:num w:numId="2" w16cid:durableId="583997051">
    <w:abstractNumId w:val="26"/>
  </w:num>
  <w:num w:numId="3" w16cid:durableId="1622806243">
    <w:abstractNumId w:val="25"/>
  </w:num>
  <w:num w:numId="4" w16cid:durableId="3634682">
    <w:abstractNumId w:val="30"/>
  </w:num>
  <w:num w:numId="5" w16cid:durableId="495994553">
    <w:abstractNumId w:val="22"/>
  </w:num>
  <w:num w:numId="6" w16cid:durableId="902838155">
    <w:abstractNumId w:val="35"/>
  </w:num>
  <w:num w:numId="7" w16cid:durableId="887953294">
    <w:abstractNumId w:val="29"/>
  </w:num>
  <w:num w:numId="8" w16cid:durableId="1166364856">
    <w:abstractNumId w:val="0"/>
  </w:num>
  <w:num w:numId="9" w16cid:durableId="1436319007">
    <w:abstractNumId w:val="42"/>
  </w:num>
  <w:num w:numId="10" w16cid:durableId="1130587169">
    <w:abstractNumId w:val="15"/>
  </w:num>
  <w:num w:numId="11" w16cid:durableId="1582328092">
    <w:abstractNumId w:val="28"/>
  </w:num>
  <w:num w:numId="12" w16cid:durableId="936249375">
    <w:abstractNumId w:val="3"/>
  </w:num>
  <w:num w:numId="13" w16cid:durableId="992760581">
    <w:abstractNumId w:val="37"/>
  </w:num>
  <w:num w:numId="14" w16cid:durableId="366832216">
    <w:abstractNumId w:val="31"/>
  </w:num>
  <w:num w:numId="15" w16cid:durableId="1225220276">
    <w:abstractNumId w:val="24"/>
  </w:num>
  <w:num w:numId="16" w16cid:durableId="126777034">
    <w:abstractNumId w:val="21"/>
  </w:num>
  <w:num w:numId="17" w16cid:durableId="18886446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8971786">
    <w:abstractNumId w:val="11"/>
  </w:num>
  <w:num w:numId="19" w16cid:durableId="1901743027">
    <w:abstractNumId w:val="32"/>
  </w:num>
  <w:num w:numId="20" w16cid:durableId="1521886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5736259">
    <w:abstractNumId w:val="27"/>
  </w:num>
  <w:num w:numId="22" w16cid:durableId="118912245">
    <w:abstractNumId w:val="40"/>
  </w:num>
  <w:num w:numId="23" w16cid:durableId="1267419201">
    <w:abstractNumId w:val="5"/>
  </w:num>
  <w:num w:numId="24" w16cid:durableId="1872182520">
    <w:abstractNumId w:val="39"/>
  </w:num>
  <w:num w:numId="25" w16cid:durableId="21085763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5349642">
    <w:abstractNumId w:val="4"/>
  </w:num>
  <w:num w:numId="27" w16cid:durableId="12802718">
    <w:abstractNumId w:val="33"/>
  </w:num>
  <w:num w:numId="28" w16cid:durableId="1058741985">
    <w:abstractNumId w:val="17"/>
  </w:num>
  <w:num w:numId="29" w16cid:durableId="1038898456">
    <w:abstractNumId w:val="43"/>
  </w:num>
  <w:num w:numId="30" w16cid:durableId="1783190422">
    <w:abstractNumId w:val="2"/>
  </w:num>
  <w:num w:numId="31" w16cid:durableId="1207763023">
    <w:abstractNumId w:val="46"/>
  </w:num>
  <w:num w:numId="32" w16cid:durableId="1412312265">
    <w:abstractNumId w:val="9"/>
  </w:num>
  <w:num w:numId="33" w16cid:durableId="675229735">
    <w:abstractNumId w:val="14"/>
  </w:num>
  <w:num w:numId="34" w16cid:durableId="963342451">
    <w:abstractNumId w:val="19"/>
  </w:num>
  <w:num w:numId="35" w16cid:durableId="1288970819">
    <w:abstractNumId w:val="18"/>
  </w:num>
  <w:num w:numId="36" w16cid:durableId="3324194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40312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68530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63025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7537416">
    <w:abstractNumId w:val="44"/>
  </w:num>
  <w:num w:numId="41" w16cid:durableId="595408943">
    <w:abstractNumId w:val="7"/>
  </w:num>
  <w:num w:numId="42" w16cid:durableId="45107947">
    <w:abstractNumId w:val="6"/>
  </w:num>
  <w:num w:numId="43" w16cid:durableId="832329629">
    <w:abstractNumId w:val="45"/>
  </w:num>
  <w:num w:numId="44" w16cid:durableId="1687097691">
    <w:abstractNumId w:val="12"/>
  </w:num>
  <w:num w:numId="45" w16cid:durableId="969093691">
    <w:abstractNumId w:val="23"/>
  </w:num>
  <w:num w:numId="46" w16cid:durableId="1125660699">
    <w:abstractNumId w:val="13"/>
  </w:num>
  <w:num w:numId="47" w16cid:durableId="955411146">
    <w:abstractNumId w:val="10"/>
  </w:num>
  <w:num w:numId="48" w16cid:durableId="1417937582">
    <w:abstractNumId w:val="20"/>
  </w:num>
  <w:num w:numId="49" w16cid:durableId="1896046553">
    <w:abstractNumId w:val="38"/>
  </w:num>
  <w:num w:numId="50" w16cid:durableId="930087408">
    <w:abstractNumId w:val="36"/>
  </w:num>
  <w:num w:numId="51" w16cid:durableId="690882113">
    <w:abstractNumId w:val="41"/>
  </w:num>
  <w:num w:numId="52" w16cid:durableId="376009882">
    <w:abstractNumId w:val="16"/>
  </w:num>
  <w:num w:numId="53" w16cid:durableId="660811385">
    <w:abstractNumId w:val="34"/>
  </w:num>
  <w:num w:numId="54" w16cid:durableId="1720126424">
    <w:abstractNumId w:val="8"/>
  </w:num>
  <w:num w:numId="55" w16cid:durableId="1947620209">
    <w:abstractNumId w:val="1"/>
    <w:lvlOverride w:ilvl="0">
      <w:startOverride w:val="4"/>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F05"/>
    <w:rsid w:val="0002695E"/>
    <w:rsid w:val="00041768"/>
    <w:rsid w:val="00042A82"/>
    <w:rsid w:val="00063796"/>
    <w:rsid w:val="00070EF8"/>
    <w:rsid w:val="00071502"/>
    <w:rsid w:val="000804A9"/>
    <w:rsid w:val="0008376E"/>
    <w:rsid w:val="00087FC4"/>
    <w:rsid w:val="000A2ABB"/>
    <w:rsid w:val="000B23F5"/>
    <w:rsid w:val="000B457B"/>
    <w:rsid w:val="000C4755"/>
    <w:rsid w:val="000E1914"/>
    <w:rsid w:val="000F38DB"/>
    <w:rsid w:val="00122039"/>
    <w:rsid w:val="00130BFC"/>
    <w:rsid w:val="00134180"/>
    <w:rsid w:val="0013470E"/>
    <w:rsid w:val="00140F7C"/>
    <w:rsid w:val="001512D2"/>
    <w:rsid w:val="00152406"/>
    <w:rsid w:val="00154503"/>
    <w:rsid w:val="00160054"/>
    <w:rsid w:val="0016342D"/>
    <w:rsid w:val="00165A61"/>
    <w:rsid w:val="00187635"/>
    <w:rsid w:val="001A079E"/>
    <w:rsid w:val="001A1F05"/>
    <w:rsid w:val="001A4866"/>
    <w:rsid w:val="001B2A36"/>
    <w:rsid w:val="001C6422"/>
    <w:rsid w:val="001D2A20"/>
    <w:rsid w:val="001E58AB"/>
    <w:rsid w:val="001E728D"/>
    <w:rsid w:val="0021135E"/>
    <w:rsid w:val="00213B0D"/>
    <w:rsid w:val="002252E0"/>
    <w:rsid w:val="00242BC2"/>
    <w:rsid w:val="00266C7B"/>
    <w:rsid w:val="00270E64"/>
    <w:rsid w:val="0029757C"/>
    <w:rsid w:val="002A05BF"/>
    <w:rsid w:val="002A2BB3"/>
    <w:rsid w:val="002B5F78"/>
    <w:rsid w:val="002C290E"/>
    <w:rsid w:val="002C6EBD"/>
    <w:rsid w:val="002C7060"/>
    <w:rsid w:val="002C7E4A"/>
    <w:rsid w:val="002E6448"/>
    <w:rsid w:val="00302915"/>
    <w:rsid w:val="00310018"/>
    <w:rsid w:val="00314C89"/>
    <w:rsid w:val="00324287"/>
    <w:rsid w:val="003440B4"/>
    <w:rsid w:val="0034459E"/>
    <w:rsid w:val="003505FB"/>
    <w:rsid w:val="00350FA5"/>
    <w:rsid w:val="00362AE2"/>
    <w:rsid w:val="00373DAD"/>
    <w:rsid w:val="00376000"/>
    <w:rsid w:val="003914A2"/>
    <w:rsid w:val="003929D2"/>
    <w:rsid w:val="003C07B4"/>
    <w:rsid w:val="003C27C0"/>
    <w:rsid w:val="003C77D2"/>
    <w:rsid w:val="003D09A2"/>
    <w:rsid w:val="003E47BC"/>
    <w:rsid w:val="00417A34"/>
    <w:rsid w:val="00420458"/>
    <w:rsid w:val="00430BA9"/>
    <w:rsid w:val="004416E6"/>
    <w:rsid w:val="00455719"/>
    <w:rsid w:val="00465696"/>
    <w:rsid w:val="00472C44"/>
    <w:rsid w:val="004864CD"/>
    <w:rsid w:val="00491044"/>
    <w:rsid w:val="00496C8B"/>
    <w:rsid w:val="00497FC6"/>
    <w:rsid w:val="004A2378"/>
    <w:rsid w:val="004B4BE3"/>
    <w:rsid w:val="004C3414"/>
    <w:rsid w:val="00515C9A"/>
    <w:rsid w:val="00547525"/>
    <w:rsid w:val="0056640B"/>
    <w:rsid w:val="00594410"/>
    <w:rsid w:val="00594C8A"/>
    <w:rsid w:val="005A6564"/>
    <w:rsid w:val="005B6E1B"/>
    <w:rsid w:val="00612506"/>
    <w:rsid w:val="00623079"/>
    <w:rsid w:val="006255DA"/>
    <w:rsid w:val="0063337D"/>
    <w:rsid w:val="006A6BE2"/>
    <w:rsid w:val="006A7907"/>
    <w:rsid w:val="006B05C3"/>
    <w:rsid w:val="006B6638"/>
    <w:rsid w:val="006D2A0B"/>
    <w:rsid w:val="006D432A"/>
    <w:rsid w:val="006D73CB"/>
    <w:rsid w:val="006F4246"/>
    <w:rsid w:val="006F6589"/>
    <w:rsid w:val="007200AA"/>
    <w:rsid w:val="00752726"/>
    <w:rsid w:val="0075277F"/>
    <w:rsid w:val="00775AC8"/>
    <w:rsid w:val="0077731B"/>
    <w:rsid w:val="0078522A"/>
    <w:rsid w:val="00786A6C"/>
    <w:rsid w:val="007A0241"/>
    <w:rsid w:val="007A6311"/>
    <w:rsid w:val="007B0EF3"/>
    <w:rsid w:val="007B5D9F"/>
    <w:rsid w:val="007D2862"/>
    <w:rsid w:val="007D4740"/>
    <w:rsid w:val="00812C4D"/>
    <w:rsid w:val="008155E4"/>
    <w:rsid w:val="00821313"/>
    <w:rsid w:val="00833904"/>
    <w:rsid w:val="008655CA"/>
    <w:rsid w:val="00886A3C"/>
    <w:rsid w:val="008A3B25"/>
    <w:rsid w:val="008E08EF"/>
    <w:rsid w:val="008E4736"/>
    <w:rsid w:val="008F6D71"/>
    <w:rsid w:val="00900376"/>
    <w:rsid w:val="00912341"/>
    <w:rsid w:val="009146B9"/>
    <w:rsid w:val="00952E14"/>
    <w:rsid w:val="00954BF0"/>
    <w:rsid w:val="00962E5D"/>
    <w:rsid w:val="0096386D"/>
    <w:rsid w:val="009645CF"/>
    <w:rsid w:val="00975FE2"/>
    <w:rsid w:val="00980613"/>
    <w:rsid w:val="009849A5"/>
    <w:rsid w:val="0099369B"/>
    <w:rsid w:val="009966ED"/>
    <w:rsid w:val="009A0135"/>
    <w:rsid w:val="009A4AA8"/>
    <w:rsid w:val="009C4A5A"/>
    <w:rsid w:val="009E7A70"/>
    <w:rsid w:val="009F7AF6"/>
    <w:rsid w:val="00A1053D"/>
    <w:rsid w:val="00A134E2"/>
    <w:rsid w:val="00A20686"/>
    <w:rsid w:val="00A346C6"/>
    <w:rsid w:val="00A37172"/>
    <w:rsid w:val="00A558BB"/>
    <w:rsid w:val="00A643CB"/>
    <w:rsid w:val="00AA2FE0"/>
    <w:rsid w:val="00AB4C8C"/>
    <w:rsid w:val="00AC6AD1"/>
    <w:rsid w:val="00AC729A"/>
    <w:rsid w:val="00B005EF"/>
    <w:rsid w:val="00B10649"/>
    <w:rsid w:val="00B1399D"/>
    <w:rsid w:val="00B15608"/>
    <w:rsid w:val="00B55438"/>
    <w:rsid w:val="00B63B87"/>
    <w:rsid w:val="00B90A7C"/>
    <w:rsid w:val="00BA6C86"/>
    <w:rsid w:val="00BB1F80"/>
    <w:rsid w:val="00BD2CBB"/>
    <w:rsid w:val="00BD5392"/>
    <w:rsid w:val="00BF6663"/>
    <w:rsid w:val="00BF73A2"/>
    <w:rsid w:val="00C07539"/>
    <w:rsid w:val="00C10F7C"/>
    <w:rsid w:val="00C374C4"/>
    <w:rsid w:val="00C518E1"/>
    <w:rsid w:val="00C561A2"/>
    <w:rsid w:val="00C61DD9"/>
    <w:rsid w:val="00C82E9F"/>
    <w:rsid w:val="00CA088A"/>
    <w:rsid w:val="00CA0C14"/>
    <w:rsid w:val="00CA19BE"/>
    <w:rsid w:val="00CA5E68"/>
    <w:rsid w:val="00CC732D"/>
    <w:rsid w:val="00CD1BAF"/>
    <w:rsid w:val="00CD1DF1"/>
    <w:rsid w:val="00CD3D49"/>
    <w:rsid w:val="00CE7403"/>
    <w:rsid w:val="00CE7C8A"/>
    <w:rsid w:val="00D02E95"/>
    <w:rsid w:val="00D4371C"/>
    <w:rsid w:val="00D5614D"/>
    <w:rsid w:val="00D56B58"/>
    <w:rsid w:val="00D609FC"/>
    <w:rsid w:val="00D6144D"/>
    <w:rsid w:val="00D7790B"/>
    <w:rsid w:val="00D9450E"/>
    <w:rsid w:val="00DA1DE6"/>
    <w:rsid w:val="00DB21A2"/>
    <w:rsid w:val="00DD4A8B"/>
    <w:rsid w:val="00DF2569"/>
    <w:rsid w:val="00DF5043"/>
    <w:rsid w:val="00DF52A4"/>
    <w:rsid w:val="00E019CD"/>
    <w:rsid w:val="00E11289"/>
    <w:rsid w:val="00E200A7"/>
    <w:rsid w:val="00E301E9"/>
    <w:rsid w:val="00E43F1C"/>
    <w:rsid w:val="00E5307D"/>
    <w:rsid w:val="00E54F6F"/>
    <w:rsid w:val="00E56125"/>
    <w:rsid w:val="00E84339"/>
    <w:rsid w:val="00E8725A"/>
    <w:rsid w:val="00E9234E"/>
    <w:rsid w:val="00EB37F7"/>
    <w:rsid w:val="00EB52F7"/>
    <w:rsid w:val="00EC5299"/>
    <w:rsid w:val="00ED7F32"/>
    <w:rsid w:val="00EE6F72"/>
    <w:rsid w:val="00F04F27"/>
    <w:rsid w:val="00F15548"/>
    <w:rsid w:val="00F30B98"/>
    <w:rsid w:val="00F403B4"/>
    <w:rsid w:val="00F43CF8"/>
    <w:rsid w:val="00F577B6"/>
    <w:rsid w:val="00F62EB1"/>
    <w:rsid w:val="00F6608B"/>
    <w:rsid w:val="00F6652A"/>
    <w:rsid w:val="00F73EF6"/>
    <w:rsid w:val="00F75DBD"/>
    <w:rsid w:val="00F81427"/>
    <w:rsid w:val="00FA7859"/>
    <w:rsid w:val="00FB0F4A"/>
    <w:rsid w:val="00FB6F25"/>
    <w:rsid w:val="00FB724E"/>
    <w:rsid w:val="00FC012A"/>
    <w:rsid w:val="00FC1461"/>
    <w:rsid w:val="00FC2E58"/>
    <w:rsid w:val="00FC735B"/>
    <w:rsid w:val="00FF60D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6AC7E"/>
  <w15:chartTrackingRefBased/>
  <w15:docId w15:val="{4C7CA2C8-5539-43B8-B737-B414B854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before="240" w:after="240" w:line="360" w:lineRule="auto"/>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A70"/>
    <w:pPr>
      <w:ind w:firstLine="454"/>
    </w:pPr>
    <w:rPr>
      <w:rFonts w:asciiTheme="majorBidi" w:hAnsiTheme="majorBidi"/>
      <w:sz w:val="24"/>
    </w:rPr>
  </w:style>
  <w:style w:type="paragraph" w:styleId="Titre1">
    <w:name w:val="heading 1"/>
    <w:basedOn w:val="Normal"/>
    <w:next w:val="Normal"/>
    <w:link w:val="Titre1Car"/>
    <w:uiPriority w:val="9"/>
    <w:qFormat/>
    <w:rsid w:val="001A1F05"/>
    <w:pPr>
      <w:keepNext/>
      <w:keepLines/>
      <w:numPr>
        <w:numId w:val="1"/>
      </w:numPr>
      <w:spacing w:after="0"/>
      <w:outlineLvl w:val="0"/>
    </w:pPr>
    <w:rPr>
      <w:rFonts w:eastAsiaTheme="majorEastAsia" w:cstheme="majorBidi"/>
      <w:b/>
      <w:color w:val="000000" w:themeColor="text1"/>
      <w:sz w:val="28"/>
      <w:szCs w:val="32"/>
    </w:rPr>
  </w:style>
  <w:style w:type="paragraph" w:styleId="Titre2">
    <w:name w:val="heading 2"/>
    <w:basedOn w:val="Normal"/>
    <w:next w:val="Normal"/>
    <w:link w:val="Titre2Car"/>
    <w:uiPriority w:val="9"/>
    <w:unhideWhenUsed/>
    <w:qFormat/>
    <w:rsid w:val="001A1F05"/>
    <w:pPr>
      <w:keepNext/>
      <w:keepLines/>
      <w:numPr>
        <w:ilvl w:val="1"/>
        <w:numId w:val="1"/>
      </w:numPr>
      <w:spacing w:before="40" w:after="0"/>
      <w:outlineLvl w:val="1"/>
    </w:pPr>
    <w:rPr>
      <w:rFonts w:eastAsiaTheme="majorEastAsia" w:cstheme="majorBidi"/>
      <w:b/>
      <w:color w:val="000000" w:themeColor="text1"/>
      <w:szCs w:val="26"/>
    </w:rPr>
  </w:style>
  <w:style w:type="paragraph" w:styleId="Titre3">
    <w:name w:val="heading 3"/>
    <w:basedOn w:val="Normal"/>
    <w:next w:val="Normal"/>
    <w:link w:val="Titre3Car"/>
    <w:uiPriority w:val="9"/>
    <w:unhideWhenUsed/>
    <w:qFormat/>
    <w:rsid w:val="001A1F05"/>
    <w:pPr>
      <w:keepNext/>
      <w:keepLines/>
      <w:numPr>
        <w:ilvl w:val="2"/>
        <w:numId w:val="1"/>
      </w:numPr>
      <w:spacing w:before="40" w:after="0"/>
      <w:outlineLvl w:val="2"/>
    </w:pPr>
    <w:rPr>
      <w:rFonts w:eastAsiaTheme="majorEastAsia" w:cstheme="majorBidi"/>
      <w:b/>
      <w:color w:val="000000" w:themeColor="text1"/>
      <w:szCs w:val="24"/>
    </w:rPr>
  </w:style>
  <w:style w:type="paragraph" w:styleId="Titre4">
    <w:name w:val="heading 4"/>
    <w:basedOn w:val="Normal"/>
    <w:next w:val="Normal"/>
    <w:link w:val="Titre4Car"/>
    <w:uiPriority w:val="9"/>
    <w:unhideWhenUsed/>
    <w:qFormat/>
    <w:rsid w:val="0077731B"/>
    <w:pPr>
      <w:keepNext/>
      <w:keepLines/>
      <w:numPr>
        <w:ilvl w:val="3"/>
        <w:numId w:val="1"/>
      </w:numPr>
      <w:spacing w:before="40" w:after="0"/>
      <w:outlineLvl w:val="3"/>
    </w:pPr>
    <w:rPr>
      <w:rFonts w:eastAsiaTheme="majorEastAsia" w:cstheme="majorBidi"/>
      <w:b/>
      <w:iCs/>
      <w:color w:val="000000" w:themeColor="text1"/>
    </w:rPr>
  </w:style>
  <w:style w:type="paragraph" w:styleId="Titre5">
    <w:name w:val="heading 5"/>
    <w:basedOn w:val="Normal"/>
    <w:next w:val="Normal"/>
    <w:link w:val="Titre5Car"/>
    <w:uiPriority w:val="9"/>
    <w:semiHidden/>
    <w:unhideWhenUsed/>
    <w:qFormat/>
    <w:rsid w:val="001A1F0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1A1F0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1A1F0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1A1F0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1A1F0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1F05"/>
    <w:rPr>
      <w:rFonts w:asciiTheme="majorBidi" w:eastAsiaTheme="majorEastAsia" w:hAnsiTheme="majorBidi" w:cstheme="majorBidi"/>
      <w:b/>
      <w:color w:val="000000" w:themeColor="text1"/>
      <w:sz w:val="28"/>
      <w:szCs w:val="32"/>
    </w:rPr>
  </w:style>
  <w:style w:type="character" w:customStyle="1" w:styleId="Titre2Car">
    <w:name w:val="Titre 2 Car"/>
    <w:basedOn w:val="Policepardfaut"/>
    <w:link w:val="Titre2"/>
    <w:uiPriority w:val="9"/>
    <w:rsid w:val="001A1F05"/>
    <w:rPr>
      <w:rFonts w:asciiTheme="majorBidi" w:eastAsiaTheme="majorEastAsia" w:hAnsiTheme="majorBidi" w:cstheme="majorBidi"/>
      <w:b/>
      <w:color w:val="000000" w:themeColor="text1"/>
      <w:sz w:val="24"/>
      <w:szCs w:val="26"/>
    </w:rPr>
  </w:style>
  <w:style w:type="character" w:customStyle="1" w:styleId="Titre3Car">
    <w:name w:val="Titre 3 Car"/>
    <w:basedOn w:val="Policepardfaut"/>
    <w:link w:val="Titre3"/>
    <w:uiPriority w:val="9"/>
    <w:rsid w:val="001A1F05"/>
    <w:rPr>
      <w:rFonts w:asciiTheme="majorBidi" w:eastAsiaTheme="majorEastAsia" w:hAnsiTheme="majorBidi" w:cstheme="majorBidi"/>
      <w:b/>
      <w:color w:val="000000" w:themeColor="text1"/>
      <w:sz w:val="24"/>
      <w:szCs w:val="24"/>
    </w:rPr>
  </w:style>
  <w:style w:type="character" w:customStyle="1" w:styleId="Titre4Car">
    <w:name w:val="Titre 4 Car"/>
    <w:basedOn w:val="Policepardfaut"/>
    <w:link w:val="Titre4"/>
    <w:uiPriority w:val="9"/>
    <w:rsid w:val="0077731B"/>
    <w:rPr>
      <w:rFonts w:asciiTheme="majorBidi" w:eastAsiaTheme="majorEastAsia" w:hAnsiTheme="majorBidi" w:cstheme="majorBidi"/>
      <w:b/>
      <w:iCs/>
      <w:color w:val="000000" w:themeColor="text1"/>
      <w:sz w:val="24"/>
    </w:rPr>
  </w:style>
  <w:style w:type="character" w:customStyle="1" w:styleId="Titre5Car">
    <w:name w:val="Titre 5 Car"/>
    <w:basedOn w:val="Policepardfaut"/>
    <w:link w:val="Titre5"/>
    <w:uiPriority w:val="9"/>
    <w:semiHidden/>
    <w:rsid w:val="001A1F05"/>
    <w:rPr>
      <w:rFonts w:asciiTheme="majorHAnsi" w:eastAsiaTheme="majorEastAsia" w:hAnsiTheme="majorHAnsi" w:cstheme="majorBidi"/>
      <w:color w:val="2E74B5" w:themeColor="accent1" w:themeShade="BF"/>
      <w:sz w:val="24"/>
    </w:rPr>
  </w:style>
  <w:style w:type="character" w:customStyle="1" w:styleId="Titre6Car">
    <w:name w:val="Titre 6 Car"/>
    <w:basedOn w:val="Policepardfaut"/>
    <w:link w:val="Titre6"/>
    <w:uiPriority w:val="9"/>
    <w:semiHidden/>
    <w:rsid w:val="001A1F05"/>
    <w:rPr>
      <w:rFonts w:asciiTheme="majorHAnsi" w:eastAsiaTheme="majorEastAsia" w:hAnsiTheme="majorHAnsi" w:cstheme="majorBidi"/>
      <w:color w:val="1F4D78" w:themeColor="accent1" w:themeShade="7F"/>
      <w:sz w:val="24"/>
    </w:rPr>
  </w:style>
  <w:style w:type="character" w:customStyle="1" w:styleId="Titre7Car">
    <w:name w:val="Titre 7 Car"/>
    <w:basedOn w:val="Policepardfaut"/>
    <w:link w:val="Titre7"/>
    <w:uiPriority w:val="9"/>
    <w:semiHidden/>
    <w:rsid w:val="001A1F05"/>
    <w:rPr>
      <w:rFonts w:asciiTheme="majorHAnsi" w:eastAsiaTheme="majorEastAsia" w:hAnsiTheme="majorHAnsi" w:cstheme="majorBidi"/>
      <w:i/>
      <w:iCs/>
      <w:color w:val="1F4D78" w:themeColor="accent1" w:themeShade="7F"/>
      <w:sz w:val="24"/>
    </w:rPr>
  </w:style>
  <w:style w:type="character" w:customStyle="1" w:styleId="Titre8Car">
    <w:name w:val="Titre 8 Car"/>
    <w:basedOn w:val="Policepardfaut"/>
    <w:link w:val="Titre8"/>
    <w:uiPriority w:val="9"/>
    <w:semiHidden/>
    <w:rsid w:val="001A1F05"/>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1A1F05"/>
    <w:rPr>
      <w:rFonts w:asciiTheme="majorHAnsi" w:eastAsiaTheme="majorEastAsia" w:hAnsiTheme="majorHAnsi" w:cstheme="majorBidi"/>
      <w:i/>
      <w:iCs/>
      <w:color w:val="272727" w:themeColor="text1" w:themeTint="D8"/>
      <w:sz w:val="21"/>
      <w:szCs w:val="21"/>
    </w:rPr>
  </w:style>
  <w:style w:type="paragraph" w:styleId="Paragraphedeliste">
    <w:name w:val="List Paragraph"/>
    <w:basedOn w:val="Normal"/>
    <w:uiPriority w:val="34"/>
    <w:qFormat/>
    <w:rsid w:val="001A1F05"/>
    <w:pPr>
      <w:ind w:left="720"/>
      <w:contextualSpacing/>
    </w:pPr>
  </w:style>
  <w:style w:type="paragraph" w:styleId="Notedebasdepage">
    <w:name w:val="footnote text"/>
    <w:basedOn w:val="Normal"/>
    <w:link w:val="NotedebasdepageCar"/>
    <w:uiPriority w:val="99"/>
    <w:semiHidden/>
    <w:unhideWhenUsed/>
    <w:rsid w:val="001A1F05"/>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1A1F05"/>
    <w:rPr>
      <w:sz w:val="20"/>
      <w:szCs w:val="20"/>
    </w:rPr>
  </w:style>
  <w:style w:type="character" w:styleId="Appelnotedebasdep">
    <w:name w:val="footnote reference"/>
    <w:basedOn w:val="Policepardfaut"/>
    <w:uiPriority w:val="99"/>
    <w:semiHidden/>
    <w:unhideWhenUsed/>
    <w:rsid w:val="001A1F05"/>
    <w:rPr>
      <w:vertAlign w:val="superscript"/>
    </w:rPr>
  </w:style>
  <w:style w:type="paragraph" w:styleId="Sansinterligne">
    <w:name w:val="No Spacing"/>
    <w:uiPriority w:val="1"/>
    <w:qFormat/>
    <w:rsid w:val="001A1F05"/>
    <w:pPr>
      <w:spacing w:before="0" w:after="0" w:line="240" w:lineRule="auto"/>
    </w:pPr>
  </w:style>
  <w:style w:type="character" w:styleId="Lienhypertexte">
    <w:name w:val="Hyperlink"/>
    <w:basedOn w:val="Policepardfaut"/>
    <w:uiPriority w:val="99"/>
    <w:unhideWhenUsed/>
    <w:rsid w:val="001A1F05"/>
    <w:rPr>
      <w:color w:val="0563C1" w:themeColor="hyperlink"/>
      <w:u w:val="single"/>
    </w:rPr>
  </w:style>
  <w:style w:type="paragraph" w:styleId="En-tte">
    <w:name w:val="header"/>
    <w:basedOn w:val="Normal"/>
    <w:link w:val="En-tteCar"/>
    <w:uiPriority w:val="99"/>
    <w:unhideWhenUsed/>
    <w:rsid w:val="001A1F05"/>
    <w:pPr>
      <w:tabs>
        <w:tab w:val="center" w:pos="4536"/>
        <w:tab w:val="right" w:pos="9072"/>
      </w:tabs>
      <w:spacing w:before="0" w:after="0" w:line="240" w:lineRule="auto"/>
    </w:pPr>
  </w:style>
  <w:style w:type="character" w:customStyle="1" w:styleId="En-tteCar">
    <w:name w:val="En-tête Car"/>
    <w:basedOn w:val="Policepardfaut"/>
    <w:link w:val="En-tte"/>
    <w:uiPriority w:val="99"/>
    <w:rsid w:val="001A1F05"/>
  </w:style>
  <w:style w:type="paragraph" w:styleId="Pieddepage">
    <w:name w:val="footer"/>
    <w:basedOn w:val="Normal"/>
    <w:link w:val="PieddepageCar"/>
    <w:uiPriority w:val="99"/>
    <w:unhideWhenUsed/>
    <w:rsid w:val="001A1F05"/>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1A1F05"/>
  </w:style>
  <w:style w:type="character" w:styleId="lev">
    <w:name w:val="Strong"/>
    <w:basedOn w:val="Policepardfaut"/>
    <w:uiPriority w:val="22"/>
    <w:qFormat/>
    <w:rsid w:val="00CA088A"/>
    <w:rPr>
      <w:b/>
      <w:bCs/>
    </w:rPr>
  </w:style>
  <w:style w:type="paragraph" w:styleId="NormalWeb">
    <w:name w:val="Normal (Web)"/>
    <w:basedOn w:val="Normal"/>
    <w:uiPriority w:val="99"/>
    <w:semiHidden/>
    <w:unhideWhenUsed/>
    <w:rsid w:val="00CA088A"/>
    <w:pPr>
      <w:spacing w:before="100" w:beforeAutospacing="1" w:after="100" w:afterAutospacing="1" w:line="240" w:lineRule="auto"/>
      <w:ind w:firstLine="0"/>
      <w:jc w:val="left"/>
    </w:pPr>
    <w:rPr>
      <w:rFonts w:ascii="Times New Roman" w:eastAsia="Times New Roman" w:hAnsi="Times New Roman" w:cs="Times New Roman"/>
      <w:szCs w:val="24"/>
      <w:lang w:eastAsia="fr-FR"/>
    </w:rPr>
  </w:style>
  <w:style w:type="character" w:styleId="Accentuation">
    <w:name w:val="Emphasis"/>
    <w:basedOn w:val="Policepardfaut"/>
    <w:uiPriority w:val="20"/>
    <w:qFormat/>
    <w:rsid w:val="00CA088A"/>
    <w:rPr>
      <w:i/>
      <w:iCs/>
    </w:rPr>
  </w:style>
  <w:style w:type="character" w:customStyle="1" w:styleId="relative">
    <w:name w:val="relative"/>
    <w:basedOn w:val="Policepardfaut"/>
    <w:rsid w:val="009A0135"/>
  </w:style>
  <w:style w:type="table" w:styleId="Grilledutableau">
    <w:name w:val="Table Grid"/>
    <w:basedOn w:val="TableauNormal"/>
    <w:uiPriority w:val="39"/>
    <w:rsid w:val="00F577B6"/>
    <w:pPr>
      <w:spacing w:before="0" w:after="0" w:line="240" w:lineRule="auto"/>
      <w:ind w:firstLine="0"/>
      <w:jc w:val="left"/>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uiPriority w:val="99"/>
    <w:unhideWhenUsed/>
    <w:rsid w:val="00F577B6"/>
    <w:pPr>
      <w:numPr>
        <w:numId w:val="8"/>
      </w:numPr>
      <w:spacing w:before="0" w:after="200" w:line="276" w:lineRule="auto"/>
      <w:contextualSpacing/>
      <w:jc w:val="left"/>
    </w:pPr>
    <w:rPr>
      <w:rFonts w:asciiTheme="minorHAnsi" w:eastAsiaTheme="minorEastAsia" w:hAnsiTheme="minorHAnsi"/>
      <w:sz w:val="22"/>
      <w:lang w:val="en-US"/>
    </w:rPr>
  </w:style>
  <w:style w:type="table" w:customStyle="1" w:styleId="TableNormal">
    <w:name w:val="Table Normal"/>
    <w:uiPriority w:val="2"/>
    <w:semiHidden/>
    <w:unhideWhenUsed/>
    <w:qFormat/>
    <w:rsid w:val="004A2378"/>
    <w:pPr>
      <w:widowControl w:val="0"/>
      <w:autoSpaceDE w:val="0"/>
      <w:autoSpaceDN w:val="0"/>
      <w:spacing w:before="0" w:after="0" w:line="240" w:lineRule="auto"/>
      <w:ind w:firstLine="0"/>
      <w:jc w:val="left"/>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4A2378"/>
    <w:pPr>
      <w:widowControl w:val="0"/>
      <w:autoSpaceDE w:val="0"/>
      <w:autoSpaceDN w:val="0"/>
      <w:spacing w:before="0" w:after="0" w:line="240" w:lineRule="auto"/>
      <w:ind w:firstLine="0"/>
      <w:jc w:val="left"/>
    </w:pPr>
    <w:rPr>
      <w:rFonts w:ascii="Calibri" w:eastAsia="Calibri" w:hAnsi="Calibri" w:cs="Calibri"/>
      <w:sz w:val="28"/>
      <w:szCs w:val="28"/>
      <w:lang w:val="en-US"/>
    </w:rPr>
  </w:style>
  <w:style w:type="character" w:customStyle="1" w:styleId="CorpsdetexteCar">
    <w:name w:val="Corps de texte Car"/>
    <w:basedOn w:val="Policepardfaut"/>
    <w:link w:val="Corpsdetexte"/>
    <w:uiPriority w:val="1"/>
    <w:rsid w:val="004A2378"/>
    <w:rPr>
      <w:rFonts w:ascii="Calibri" w:eastAsia="Calibri" w:hAnsi="Calibri" w:cs="Calibri"/>
      <w:sz w:val="28"/>
      <w:szCs w:val="28"/>
      <w:lang w:val="en-US"/>
    </w:rPr>
  </w:style>
  <w:style w:type="paragraph" w:styleId="Titre">
    <w:name w:val="Title"/>
    <w:basedOn w:val="Normal"/>
    <w:link w:val="TitreCar"/>
    <w:uiPriority w:val="10"/>
    <w:qFormat/>
    <w:rsid w:val="004A2378"/>
    <w:pPr>
      <w:widowControl w:val="0"/>
      <w:autoSpaceDE w:val="0"/>
      <w:autoSpaceDN w:val="0"/>
      <w:spacing w:before="0" w:after="0" w:line="509" w:lineRule="exact"/>
      <w:ind w:right="566" w:firstLine="0"/>
      <w:jc w:val="right"/>
    </w:pPr>
    <w:rPr>
      <w:rFonts w:ascii="Calibri" w:eastAsia="Calibri" w:hAnsi="Calibri" w:cs="Calibri"/>
      <w:b/>
      <w:bCs/>
      <w:sz w:val="42"/>
      <w:szCs w:val="42"/>
      <w:lang w:val="en-US"/>
    </w:rPr>
  </w:style>
  <w:style w:type="character" w:customStyle="1" w:styleId="TitreCar">
    <w:name w:val="Titre Car"/>
    <w:basedOn w:val="Policepardfaut"/>
    <w:link w:val="Titre"/>
    <w:uiPriority w:val="10"/>
    <w:rsid w:val="004A2378"/>
    <w:rPr>
      <w:rFonts w:ascii="Calibri" w:eastAsia="Calibri" w:hAnsi="Calibri" w:cs="Calibri"/>
      <w:b/>
      <w:bCs/>
      <w:sz w:val="42"/>
      <w:szCs w:val="42"/>
      <w:lang w:val="en-US"/>
    </w:rPr>
  </w:style>
  <w:style w:type="paragraph" w:customStyle="1" w:styleId="TableParagraph">
    <w:name w:val="Table Paragraph"/>
    <w:basedOn w:val="Normal"/>
    <w:uiPriority w:val="1"/>
    <w:qFormat/>
    <w:rsid w:val="004A2378"/>
    <w:pPr>
      <w:widowControl w:val="0"/>
      <w:autoSpaceDE w:val="0"/>
      <w:autoSpaceDN w:val="0"/>
      <w:spacing w:before="0" w:after="0" w:line="240" w:lineRule="auto"/>
      <w:ind w:firstLine="0"/>
      <w:jc w:val="right"/>
    </w:pPr>
    <w:rPr>
      <w:rFonts w:ascii="Calibri" w:eastAsia="Calibri" w:hAnsi="Calibri" w:cs="Calibri"/>
      <w:sz w:val="22"/>
      <w:lang w:val="en-US"/>
    </w:rPr>
  </w:style>
  <w:style w:type="character" w:customStyle="1" w:styleId="apple-converted-space">
    <w:name w:val="apple-converted-space"/>
    <w:basedOn w:val="Policepardfaut"/>
    <w:rsid w:val="004A2378"/>
  </w:style>
  <w:style w:type="paragraph" w:styleId="Citation">
    <w:name w:val="Quote"/>
    <w:basedOn w:val="Normal"/>
    <w:next w:val="Normal"/>
    <w:link w:val="CitationCar"/>
    <w:uiPriority w:val="29"/>
    <w:qFormat/>
    <w:rsid w:val="00B15608"/>
    <w:pPr>
      <w:spacing w:before="200" w:after="160"/>
      <w:ind w:left="864" w:right="864"/>
      <w:jc w:val="center"/>
    </w:pPr>
    <w:rPr>
      <w:b/>
      <w:iCs/>
      <w:color w:val="000000" w:themeColor="text1"/>
      <w:sz w:val="32"/>
    </w:rPr>
  </w:style>
  <w:style w:type="character" w:customStyle="1" w:styleId="CitationCar">
    <w:name w:val="Citation Car"/>
    <w:basedOn w:val="Policepardfaut"/>
    <w:link w:val="Citation"/>
    <w:uiPriority w:val="29"/>
    <w:rsid w:val="00B15608"/>
    <w:rPr>
      <w:rFonts w:asciiTheme="majorBidi" w:hAnsiTheme="majorBidi"/>
      <w:b/>
      <w:iCs/>
      <w:color w:val="000000" w:themeColor="text1"/>
      <w:sz w:val="32"/>
    </w:rPr>
  </w:style>
  <w:style w:type="paragraph" w:styleId="Lgende">
    <w:name w:val="caption"/>
    <w:basedOn w:val="Normal"/>
    <w:next w:val="Normal"/>
    <w:uiPriority w:val="35"/>
    <w:unhideWhenUsed/>
    <w:qFormat/>
    <w:rsid w:val="00496C8B"/>
    <w:pPr>
      <w:spacing w:before="0" w:after="200" w:line="240" w:lineRule="auto"/>
    </w:pPr>
    <w:rPr>
      <w:i/>
      <w:iCs/>
      <w:color w:val="44546A" w:themeColor="text2"/>
      <w:sz w:val="18"/>
      <w:szCs w:val="18"/>
    </w:rPr>
  </w:style>
  <w:style w:type="paragraph" w:styleId="Citationintense">
    <w:name w:val="Intense Quote"/>
    <w:basedOn w:val="Normal"/>
    <w:next w:val="Normal"/>
    <w:link w:val="CitationintenseCar"/>
    <w:uiPriority w:val="30"/>
    <w:qFormat/>
    <w:rsid w:val="00612506"/>
    <w:pPr>
      <w:framePr w:wrap="notBeside" w:vAnchor="text" w:hAnchor="text" w:y="1"/>
      <w:spacing w:before="360" w:after="360"/>
      <w:ind w:left="862" w:right="862"/>
      <w:jc w:val="left"/>
    </w:pPr>
    <w:rPr>
      <w:b/>
      <w:iCs/>
      <w:color w:val="000000" w:themeColor="text1"/>
      <w:sz w:val="32"/>
    </w:rPr>
  </w:style>
  <w:style w:type="character" w:customStyle="1" w:styleId="CitationintenseCar">
    <w:name w:val="Citation intense Car"/>
    <w:basedOn w:val="Policepardfaut"/>
    <w:link w:val="Citationintense"/>
    <w:uiPriority w:val="30"/>
    <w:rsid w:val="00612506"/>
    <w:rPr>
      <w:rFonts w:asciiTheme="majorBidi" w:hAnsiTheme="majorBidi"/>
      <w:b/>
      <w:iCs/>
      <w:color w:val="000000" w:themeColor="text1"/>
      <w:sz w:val="32"/>
    </w:rPr>
  </w:style>
  <w:style w:type="paragraph" w:styleId="Tabledesillustrations">
    <w:name w:val="table of figures"/>
    <w:basedOn w:val="Normal"/>
    <w:next w:val="Normal"/>
    <w:uiPriority w:val="99"/>
    <w:unhideWhenUsed/>
    <w:rsid w:val="008A3B25"/>
    <w:pPr>
      <w:spacing w:after="0"/>
    </w:pPr>
  </w:style>
  <w:style w:type="paragraph" w:styleId="TM1">
    <w:name w:val="toc 1"/>
    <w:basedOn w:val="Normal"/>
    <w:next w:val="Normal"/>
    <w:autoRedefine/>
    <w:uiPriority w:val="39"/>
    <w:unhideWhenUsed/>
    <w:rsid w:val="00350FA5"/>
    <w:pPr>
      <w:tabs>
        <w:tab w:val="left" w:pos="880"/>
        <w:tab w:val="right" w:leader="dot" w:pos="9062"/>
      </w:tabs>
      <w:spacing w:after="100"/>
      <w:ind w:left="360" w:firstLine="0"/>
    </w:pPr>
  </w:style>
  <w:style w:type="paragraph" w:styleId="TM2">
    <w:name w:val="toc 2"/>
    <w:basedOn w:val="Normal"/>
    <w:next w:val="Normal"/>
    <w:autoRedefine/>
    <w:uiPriority w:val="39"/>
    <w:unhideWhenUsed/>
    <w:rsid w:val="00623079"/>
    <w:pPr>
      <w:tabs>
        <w:tab w:val="left" w:pos="1320"/>
        <w:tab w:val="right" w:leader="dot" w:pos="9062"/>
      </w:tabs>
      <w:spacing w:after="100"/>
      <w:ind w:left="360" w:firstLine="0"/>
    </w:pPr>
  </w:style>
  <w:style w:type="paragraph" w:styleId="TM3">
    <w:name w:val="toc 3"/>
    <w:basedOn w:val="Normal"/>
    <w:next w:val="Normal"/>
    <w:autoRedefine/>
    <w:uiPriority w:val="39"/>
    <w:unhideWhenUsed/>
    <w:rsid w:val="00242BC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0082">
      <w:bodyDiv w:val="1"/>
      <w:marLeft w:val="0"/>
      <w:marRight w:val="0"/>
      <w:marTop w:val="0"/>
      <w:marBottom w:val="0"/>
      <w:divBdr>
        <w:top w:val="none" w:sz="0" w:space="0" w:color="auto"/>
        <w:left w:val="none" w:sz="0" w:space="0" w:color="auto"/>
        <w:bottom w:val="none" w:sz="0" w:space="0" w:color="auto"/>
        <w:right w:val="none" w:sz="0" w:space="0" w:color="auto"/>
      </w:divBdr>
    </w:div>
    <w:div w:id="92824891">
      <w:bodyDiv w:val="1"/>
      <w:marLeft w:val="0"/>
      <w:marRight w:val="0"/>
      <w:marTop w:val="0"/>
      <w:marBottom w:val="0"/>
      <w:divBdr>
        <w:top w:val="none" w:sz="0" w:space="0" w:color="auto"/>
        <w:left w:val="none" w:sz="0" w:space="0" w:color="auto"/>
        <w:bottom w:val="none" w:sz="0" w:space="0" w:color="auto"/>
        <w:right w:val="none" w:sz="0" w:space="0" w:color="auto"/>
      </w:divBdr>
    </w:div>
    <w:div w:id="114300902">
      <w:bodyDiv w:val="1"/>
      <w:marLeft w:val="0"/>
      <w:marRight w:val="0"/>
      <w:marTop w:val="0"/>
      <w:marBottom w:val="0"/>
      <w:divBdr>
        <w:top w:val="none" w:sz="0" w:space="0" w:color="auto"/>
        <w:left w:val="none" w:sz="0" w:space="0" w:color="auto"/>
        <w:bottom w:val="none" w:sz="0" w:space="0" w:color="auto"/>
        <w:right w:val="none" w:sz="0" w:space="0" w:color="auto"/>
      </w:divBdr>
    </w:div>
    <w:div w:id="114954398">
      <w:bodyDiv w:val="1"/>
      <w:marLeft w:val="0"/>
      <w:marRight w:val="0"/>
      <w:marTop w:val="0"/>
      <w:marBottom w:val="0"/>
      <w:divBdr>
        <w:top w:val="none" w:sz="0" w:space="0" w:color="auto"/>
        <w:left w:val="none" w:sz="0" w:space="0" w:color="auto"/>
        <w:bottom w:val="none" w:sz="0" w:space="0" w:color="auto"/>
        <w:right w:val="none" w:sz="0" w:space="0" w:color="auto"/>
      </w:divBdr>
    </w:div>
    <w:div w:id="121923313">
      <w:bodyDiv w:val="1"/>
      <w:marLeft w:val="0"/>
      <w:marRight w:val="0"/>
      <w:marTop w:val="0"/>
      <w:marBottom w:val="0"/>
      <w:divBdr>
        <w:top w:val="none" w:sz="0" w:space="0" w:color="auto"/>
        <w:left w:val="none" w:sz="0" w:space="0" w:color="auto"/>
        <w:bottom w:val="none" w:sz="0" w:space="0" w:color="auto"/>
        <w:right w:val="none" w:sz="0" w:space="0" w:color="auto"/>
      </w:divBdr>
    </w:div>
    <w:div w:id="137847475">
      <w:bodyDiv w:val="1"/>
      <w:marLeft w:val="0"/>
      <w:marRight w:val="0"/>
      <w:marTop w:val="0"/>
      <w:marBottom w:val="0"/>
      <w:divBdr>
        <w:top w:val="none" w:sz="0" w:space="0" w:color="auto"/>
        <w:left w:val="none" w:sz="0" w:space="0" w:color="auto"/>
        <w:bottom w:val="none" w:sz="0" w:space="0" w:color="auto"/>
        <w:right w:val="none" w:sz="0" w:space="0" w:color="auto"/>
      </w:divBdr>
    </w:div>
    <w:div w:id="149910284">
      <w:bodyDiv w:val="1"/>
      <w:marLeft w:val="0"/>
      <w:marRight w:val="0"/>
      <w:marTop w:val="0"/>
      <w:marBottom w:val="0"/>
      <w:divBdr>
        <w:top w:val="none" w:sz="0" w:space="0" w:color="auto"/>
        <w:left w:val="none" w:sz="0" w:space="0" w:color="auto"/>
        <w:bottom w:val="none" w:sz="0" w:space="0" w:color="auto"/>
        <w:right w:val="none" w:sz="0" w:space="0" w:color="auto"/>
      </w:divBdr>
    </w:div>
    <w:div w:id="210196371">
      <w:bodyDiv w:val="1"/>
      <w:marLeft w:val="0"/>
      <w:marRight w:val="0"/>
      <w:marTop w:val="0"/>
      <w:marBottom w:val="0"/>
      <w:divBdr>
        <w:top w:val="none" w:sz="0" w:space="0" w:color="auto"/>
        <w:left w:val="none" w:sz="0" w:space="0" w:color="auto"/>
        <w:bottom w:val="none" w:sz="0" w:space="0" w:color="auto"/>
        <w:right w:val="none" w:sz="0" w:space="0" w:color="auto"/>
      </w:divBdr>
    </w:div>
    <w:div w:id="302084497">
      <w:bodyDiv w:val="1"/>
      <w:marLeft w:val="0"/>
      <w:marRight w:val="0"/>
      <w:marTop w:val="0"/>
      <w:marBottom w:val="0"/>
      <w:divBdr>
        <w:top w:val="none" w:sz="0" w:space="0" w:color="auto"/>
        <w:left w:val="none" w:sz="0" w:space="0" w:color="auto"/>
        <w:bottom w:val="none" w:sz="0" w:space="0" w:color="auto"/>
        <w:right w:val="none" w:sz="0" w:space="0" w:color="auto"/>
      </w:divBdr>
    </w:div>
    <w:div w:id="302276950">
      <w:bodyDiv w:val="1"/>
      <w:marLeft w:val="0"/>
      <w:marRight w:val="0"/>
      <w:marTop w:val="0"/>
      <w:marBottom w:val="0"/>
      <w:divBdr>
        <w:top w:val="none" w:sz="0" w:space="0" w:color="auto"/>
        <w:left w:val="none" w:sz="0" w:space="0" w:color="auto"/>
        <w:bottom w:val="none" w:sz="0" w:space="0" w:color="auto"/>
        <w:right w:val="none" w:sz="0" w:space="0" w:color="auto"/>
      </w:divBdr>
    </w:div>
    <w:div w:id="313753007">
      <w:bodyDiv w:val="1"/>
      <w:marLeft w:val="0"/>
      <w:marRight w:val="0"/>
      <w:marTop w:val="0"/>
      <w:marBottom w:val="0"/>
      <w:divBdr>
        <w:top w:val="none" w:sz="0" w:space="0" w:color="auto"/>
        <w:left w:val="none" w:sz="0" w:space="0" w:color="auto"/>
        <w:bottom w:val="none" w:sz="0" w:space="0" w:color="auto"/>
        <w:right w:val="none" w:sz="0" w:space="0" w:color="auto"/>
      </w:divBdr>
    </w:div>
    <w:div w:id="324743272">
      <w:bodyDiv w:val="1"/>
      <w:marLeft w:val="0"/>
      <w:marRight w:val="0"/>
      <w:marTop w:val="0"/>
      <w:marBottom w:val="0"/>
      <w:divBdr>
        <w:top w:val="none" w:sz="0" w:space="0" w:color="auto"/>
        <w:left w:val="none" w:sz="0" w:space="0" w:color="auto"/>
        <w:bottom w:val="none" w:sz="0" w:space="0" w:color="auto"/>
        <w:right w:val="none" w:sz="0" w:space="0" w:color="auto"/>
      </w:divBdr>
    </w:div>
    <w:div w:id="328991288">
      <w:bodyDiv w:val="1"/>
      <w:marLeft w:val="0"/>
      <w:marRight w:val="0"/>
      <w:marTop w:val="0"/>
      <w:marBottom w:val="0"/>
      <w:divBdr>
        <w:top w:val="none" w:sz="0" w:space="0" w:color="auto"/>
        <w:left w:val="none" w:sz="0" w:space="0" w:color="auto"/>
        <w:bottom w:val="none" w:sz="0" w:space="0" w:color="auto"/>
        <w:right w:val="none" w:sz="0" w:space="0" w:color="auto"/>
      </w:divBdr>
    </w:div>
    <w:div w:id="361172732">
      <w:bodyDiv w:val="1"/>
      <w:marLeft w:val="0"/>
      <w:marRight w:val="0"/>
      <w:marTop w:val="0"/>
      <w:marBottom w:val="0"/>
      <w:divBdr>
        <w:top w:val="none" w:sz="0" w:space="0" w:color="auto"/>
        <w:left w:val="none" w:sz="0" w:space="0" w:color="auto"/>
        <w:bottom w:val="none" w:sz="0" w:space="0" w:color="auto"/>
        <w:right w:val="none" w:sz="0" w:space="0" w:color="auto"/>
      </w:divBdr>
    </w:div>
    <w:div w:id="363750575">
      <w:bodyDiv w:val="1"/>
      <w:marLeft w:val="0"/>
      <w:marRight w:val="0"/>
      <w:marTop w:val="0"/>
      <w:marBottom w:val="0"/>
      <w:divBdr>
        <w:top w:val="none" w:sz="0" w:space="0" w:color="auto"/>
        <w:left w:val="none" w:sz="0" w:space="0" w:color="auto"/>
        <w:bottom w:val="none" w:sz="0" w:space="0" w:color="auto"/>
        <w:right w:val="none" w:sz="0" w:space="0" w:color="auto"/>
      </w:divBdr>
    </w:div>
    <w:div w:id="430392996">
      <w:bodyDiv w:val="1"/>
      <w:marLeft w:val="0"/>
      <w:marRight w:val="0"/>
      <w:marTop w:val="0"/>
      <w:marBottom w:val="0"/>
      <w:divBdr>
        <w:top w:val="none" w:sz="0" w:space="0" w:color="auto"/>
        <w:left w:val="none" w:sz="0" w:space="0" w:color="auto"/>
        <w:bottom w:val="none" w:sz="0" w:space="0" w:color="auto"/>
        <w:right w:val="none" w:sz="0" w:space="0" w:color="auto"/>
      </w:divBdr>
    </w:div>
    <w:div w:id="462774962">
      <w:bodyDiv w:val="1"/>
      <w:marLeft w:val="0"/>
      <w:marRight w:val="0"/>
      <w:marTop w:val="0"/>
      <w:marBottom w:val="0"/>
      <w:divBdr>
        <w:top w:val="none" w:sz="0" w:space="0" w:color="auto"/>
        <w:left w:val="none" w:sz="0" w:space="0" w:color="auto"/>
        <w:bottom w:val="none" w:sz="0" w:space="0" w:color="auto"/>
        <w:right w:val="none" w:sz="0" w:space="0" w:color="auto"/>
      </w:divBdr>
    </w:div>
    <w:div w:id="468593428">
      <w:bodyDiv w:val="1"/>
      <w:marLeft w:val="0"/>
      <w:marRight w:val="0"/>
      <w:marTop w:val="0"/>
      <w:marBottom w:val="0"/>
      <w:divBdr>
        <w:top w:val="none" w:sz="0" w:space="0" w:color="auto"/>
        <w:left w:val="none" w:sz="0" w:space="0" w:color="auto"/>
        <w:bottom w:val="none" w:sz="0" w:space="0" w:color="auto"/>
        <w:right w:val="none" w:sz="0" w:space="0" w:color="auto"/>
      </w:divBdr>
    </w:div>
    <w:div w:id="485631266">
      <w:bodyDiv w:val="1"/>
      <w:marLeft w:val="0"/>
      <w:marRight w:val="0"/>
      <w:marTop w:val="0"/>
      <w:marBottom w:val="0"/>
      <w:divBdr>
        <w:top w:val="none" w:sz="0" w:space="0" w:color="auto"/>
        <w:left w:val="none" w:sz="0" w:space="0" w:color="auto"/>
        <w:bottom w:val="none" w:sz="0" w:space="0" w:color="auto"/>
        <w:right w:val="none" w:sz="0" w:space="0" w:color="auto"/>
      </w:divBdr>
    </w:div>
    <w:div w:id="530847726">
      <w:bodyDiv w:val="1"/>
      <w:marLeft w:val="0"/>
      <w:marRight w:val="0"/>
      <w:marTop w:val="0"/>
      <w:marBottom w:val="0"/>
      <w:divBdr>
        <w:top w:val="none" w:sz="0" w:space="0" w:color="auto"/>
        <w:left w:val="none" w:sz="0" w:space="0" w:color="auto"/>
        <w:bottom w:val="none" w:sz="0" w:space="0" w:color="auto"/>
        <w:right w:val="none" w:sz="0" w:space="0" w:color="auto"/>
      </w:divBdr>
    </w:div>
    <w:div w:id="548346703">
      <w:bodyDiv w:val="1"/>
      <w:marLeft w:val="0"/>
      <w:marRight w:val="0"/>
      <w:marTop w:val="0"/>
      <w:marBottom w:val="0"/>
      <w:divBdr>
        <w:top w:val="none" w:sz="0" w:space="0" w:color="auto"/>
        <w:left w:val="none" w:sz="0" w:space="0" w:color="auto"/>
        <w:bottom w:val="none" w:sz="0" w:space="0" w:color="auto"/>
        <w:right w:val="none" w:sz="0" w:space="0" w:color="auto"/>
      </w:divBdr>
    </w:div>
    <w:div w:id="577403645">
      <w:bodyDiv w:val="1"/>
      <w:marLeft w:val="0"/>
      <w:marRight w:val="0"/>
      <w:marTop w:val="0"/>
      <w:marBottom w:val="0"/>
      <w:divBdr>
        <w:top w:val="none" w:sz="0" w:space="0" w:color="auto"/>
        <w:left w:val="none" w:sz="0" w:space="0" w:color="auto"/>
        <w:bottom w:val="none" w:sz="0" w:space="0" w:color="auto"/>
        <w:right w:val="none" w:sz="0" w:space="0" w:color="auto"/>
      </w:divBdr>
    </w:div>
    <w:div w:id="588200521">
      <w:bodyDiv w:val="1"/>
      <w:marLeft w:val="0"/>
      <w:marRight w:val="0"/>
      <w:marTop w:val="0"/>
      <w:marBottom w:val="0"/>
      <w:divBdr>
        <w:top w:val="none" w:sz="0" w:space="0" w:color="auto"/>
        <w:left w:val="none" w:sz="0" w:space="0" w:color="auto"/>
        <w:bottom w:val="none" w:sz="0" w:space="0" w:color="auto"/>
        <w:right w:val="none" w:sz="0" w:space="0" w:color="auto"/>
      </w:divBdr>
    </w:div>
    <w:div w:id="589117813">
      <w:bodyDiv w:val="1"/>
      <w:marLeft w:val="0"/>
      <w:marRight w:val="0"/>
      <w:marTop w:val="0"/>
      <w:marBottom w:val="0"/>
      <w:divBdr>
        <w:top w:val="none" w:sz="0" w:space="0" w:color="auto"/>
        <w:left w:val="none" w:sz="0" w:space="0" w:color="auto"/>
        <w:bottom w:val="none" w:sz="0" w:space="0" w:color="auto"/>
        <w:right w:val="none" w:sz="0" w:space="0" w:color="auto"/>
      </w:divBdr>
    </w:div>
    <w:div w:id="602539014">
      <w:bodyDiv w:val="1"/>
      <w:marLeft w:val="0"/>
      <w:marRight w:val="0"/>
      <w:marTop w:val="0"/>
      <w:marBottom w:val="0"/>
      <w:divBdr>
        <w:top w:val="none" w:sz="0" w:space="0" w:color="auto"/>
        <w:left w:val="none" w:sz="0" w:space="0" w:color="auto"/>
        <w:bottom w:val="none" w:sz="0" w:space="0" w:color="auto"/>
        <w:right w:val="none" w:sz="0" w:space="0" w:color="auto"/>
      </w:divBdr>
    </w:div>
    <w:div w:id="629745312">
      <w:bodyDiv w:val="1"/>
      <w:marLeft w:val="0"/>
      <w:marRight w:val="0"/>
      <w:marTop w:val="0"/>
      <w:marBottom w:val="0"/>
      <w:divBdr>
        <w:top w:val="none" w:sz="0" w:space="0" w:color="auto"/>
        <w:left w:val="none" w:sz="0" w:space="0" w:color="auto"/>
        <w:bottom w:val="none" w:sz="0" w:space="0" w:color="auto"/>
        <w:right w:val="none" w:sz="0" w:space="0" w:color="auto"/>
      </w:divBdr>
    </w:div>
    <w:div w:id="634263993">
      <w:bodyDiv w:val="1"/>
      <w:marLeft w:val="0"/>
      <w:marRight w:val="0"/>
      <w:marTop w:val="0"/>
      <w:marBottom w:val="0"/>
      <w:divBdr>
        <w:top w:val="none" w:sz="0" w:space="0" w:color="auto"/>
        <w:left w:val="none" w:sz="0" w:space="0" w:color="auto"/>
        <w:bottom w:val="none" w:sz="0" w:space="0" w:color="auto"/>
        <w:right w:val="none" w:sz="0" w:space="0" w:color="auto"/>
      </w:divBdr>
    </w:div>
    <w:div w:id="642082943">
      <w:bodyDiv w:val="1"/>
      <w:marLeft w:val="0"/>
      <w:marRight w:val="0"/>
      <w:marTop w:val="0"/>
      <w:marBottom w:val="0"/>
      <w:divBdr>
        <w:top w:val="none" w:sz="0" w:space="0" w:color="auto"/>
        <w:left w:val="none" w:sz="0" w:space="0" w:color="auto"/>
        <w:bottom w:val="none" w:sz="0" w:space="0" w:color="auto"/>
        <w:right w:val="none" w:sz="0" w:space="0" w:color="auto"/>
      </w:divBdr>
    </w:div>
    <w:div w:id="646008589">
      <w:bodyDiv w:val="1"/>
      <w:marLeft w:val="0"/>
      <w:marRight w:val="0"/>
      <w:marTop w:val="0"/>
      <w:marBottom w:val="0"/>
      <w:divBdr>
        <w:top w:val="none" w:sz="0" w:space="0" w:color="auto"/>
        <w:left w:val="none" w:sz="0" w:space="0" w:color="auto"/>
        <w:bottom w:val="none" w:sz="0" w:space="0" w:color="auto"/>
        <w:right w:val="none" w:sz="0" w:space="0" w:color="auto"/>
      </w:divBdr>
    </w:div>
    <w:div w:id="652179669">
      <w:bodyDiv w:val="1"/>
      <w:marLeft w:val="0"/>
      <w:marRight w:val="0"/>
      <w:marTop w:val="0"/>
      <w:marBottom w:val="0"/>
      <w:divBdr>
        <w:top w:val="none" w:sz="0" w:space="0" w:color="auto"/>
        <w:left w:val="none" w:sz="0" w:space="0" w:color="auto"/>
        <w:bottom w:val="none" w:sz="0" w:space="0" w:color="auto"/>
        <w:right w:val="none" w:sz="0" w:space="0" w:color="auto"/>
      </w:divBdr>
    </w:div>
    <w:div w:id="673844221">
      <w:bodyDiv w:val="1"/>
      <w:marLeft w:val="0"/>
      <w:marRight w:val="0"/>
      <w:marTop w:val="0"/>
      <w:marBottom w:val="0"/>
      <w:divBdr>
        <w:top w:val="none" w:sz="0" w:space="0" w:color="auto"/>
        <w:left w:val="none" w:sz="0" w:space="0" w:color="auto"/>
        <w:bottom w:val="none" w:sz="0" w:space="0" w:color="auto"/>
        <w:right w:val="none" w:sz="0" w:space="0" w:color="auto"/>
      </w:divBdr>
    </w:div>
    <w:div w:id="683748671">
      <w:bodyDiv w:val="1"/>
      <w:marLeft w:val="0"/>
      <w:marRight w:val="0"/>
      <w:marTop w:val="0"/>
      <w:marBottom w:val="0"/>
      <w:divBdr>
        <w:top w:val="none" w:sz="0" w:space="0" w:color="auto"/>
        <w:left w:val="none" w:sz="0" w:space="0" w:color="auto"/>
        <w:bottom w:val="none" w:sz="0" w:space="0" w:color="auto"/>
        <w:right w:val="none" w:sz="0" w:space="0" w:color="auto"/>
      </w:divBdr>
    </w:div>
    <w:div w:id="692728994">
      <w:bodyDiv w:val="1"/>
      <w:marLeft w:val="0"/>
      <w:marRight w:val="0"/>
      <w:marTop w:val="0"/>
      <w:marBottom w:val="0"/>
      <w:divBdr>
        <w:top w:val="none" w:sz="0" w:space="0" w:color="auto"/>
        <w:left w:val="none" w:sz="0" w:space="0" w:color="auto"/>
        <w:bottom w:val="none" w:sz="0" w:space="0" w:color="auto"/>
        <w:right w:val="none" w:sz="0" w:space="0" w:color="auto"/>
      </w:divBdr>
      <w:divsChild>
        <w:div w:id="353501775">
          <w:marLeft w:val="0"/>
          <w:marRight w:val="0"/>
          <w:marTop w:val="0"/>
          <w:marBottom w:val="0"/>
          <w:divBdr>
            <w:top w:val="none" w:sz="0" w:space="0" w:color="auto"/>
            <w:left w:val="none" w:sz="0" w:space="0" w:color="auto"/>
            <w:bottom w:val="none" w:sz="0" w:space="0" w:color="auto"/>
            <w:right w:val="none" w:sz="0" w:space="0" w:color="auto"/>
          </w:divBdr>
          <w:divsChild>
            <w:div w:id="1051072007">
              <w:marLeft w:val="0"/>
              <w:marRight w:val="0"/>
              <w:marTop w:val="0"/>
              <w:marBottom w:val="0"/>
              <w:divBdr>
                <w:top w:val="none" w:sz="0" w:space="0" w:color="auto"/>
                <w:left w:val="none" w:sz="0" w:space="0" w:color="auto"/>
                <w:bottom w:val="none" w:sz="0" w:space="0" w:color="auto"/>
                <w:right w:val="none" w:sz="0" w:space="0" w:color="auto"/>
              </w:divBdr>
              <w:divsChild>
                <w:div w:id="1998341273">
                  <w:marLeft w:val="0"/>
                  <w:marRight w:val="0"/>
                  <w:marTop w:val="0"/>
                  <w:marBottom w:val="0"/>
                  <w:divBdr>
                    <w:top w:val="none" w:sz="0" w:space="0" w:color="auto"/>
                    <w:left w:val="none" w:sz="0" w:space="0" w:color="auto"/>
                    <w:bottom w:val="none" w:sz="0" w:space="0" w:color="auto"/>
                    <w:right w:val="none" w:sz="0" w:space="0" w:color="auto"/>
                  </w:divBdr>
                  <w:divsChild>
                    <w:div w:id="1480076651">
                      <w:marLeft w:val="0"/>
                      <w:marRight w:val="0"/>
                      <w:marTop w:val="0"/>
                      <w:marBottom w:val="0"/>
                      <w:divBdr>
                        <w:top w:val="none" w:sz="0" w:space="0" w:color="auto"/>
                        <w:left w:val="none" w:sz="0" w:space="0" w:color="auto"/>
                        <w:bottom w:val="none" w:sz="0" w:space="0" w:color="auto"/>
                        <w:right w:val="none" w:sz="0" w:space="0" w:color="auto"/>
                      </w:divBdr>
                      <w:divsChild>
                        <w:div w:id="1693385136">
                          <w:marLeft w:val="0"/>
                          <w:marRight w:val="0"/>
                          <w:marTop w:val="0"/>
                          <w:marBottom w:val="0"/>
                          <w:divBdr>
                            <w:top w:val="none" w:sz="0" w:space="0" w:color="auto"/>
                            <w:left w:val="none" w:sz="0" w:space="0" w:color="auto"/>
                            <w:bottom w:val="none" w:sz="0" w:space="0" w:color="auto"/>
                            <w:right w:val="none" w:sz="0" w:space="0" w:color="auto"/>
                          </w:divBdr>
                          <w:divsChild>
                            <w:div w:id="587467032">
                              <w:marLeft w:val="0"/>
                              <w:marRight w:val="0"/>
                              <w:marTop w:val="0"/>
                              <w:marBottom w:val="0"/>
                              <w:divBdr>
                                <w:top w:val="none" w:sz="0" w:space="0" w:color="auto"/>
                                <w:left w:val="none" w:sz="0" w:space="0" w:color="auto"/>
                                <w:bottom w:val="none" w:sz="0" w:space="0" w:color="auto"/>
                                <w:right w:val="none" w:sz="0" w:space="0" w:color="auto"/>
                              </w:divBdr>
                              <w:divsChild>
                                <w:div w:id="2116555458">
                                  <w:marLeft w:val="0"/>
                                  <w:marRight w:val="0"/>
                                  <w:marTop w:val="0"/>
                                  <w:marBottom w:val="0"/>
                                  <w:divBdr>
                                    <w:top w:val="none" w:sz="0" w:space="0" w:color="auto"/>
                                    <w:left w:val="none" w:sz="0" w:space="0" w:color="auto"/>
                                    <w:bottom w:val="none" w:sz="0" w:space="0" w:color="auto"/>
                                    <w:right w:val="none" w:sz="0" w:space="0" w:color="auto"/>
                                  </w:divBdr>
                                  <w:divsChild>
                                    <w:div w:id="1954704271">
                                      <w:marLeft w:val="0"/>
                                      <w:marRight w:val="0"/>
                                      <w:marTop w:val="0"/>
                                      <w:marBottom w:val="0"/>
                                      <w:divBdr>
                                        <w:top w:val="none" w:sz="0" w:space="0" w:color="auto"/>
                                        <w:left w:val="none" w:sz="0" w:space="0" w:color="auto"/>
                                        <w:bottom w:val="none" w:sz="0" w:space="0" w:color="auto"/>
                                        <w:right w:val="none" w:sz="0" w:space="0" w:color="auto"/>
                                      </w:divBdr>
                                      <w:divsChild>
                                        <w:div w:id="130312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399310">
      <w:bodyDiv w:val="1"/>
      <w:marLeft w:val="0"/>
      <w:marRight w:val="0"/>
      <w:marTop w:val="0"/>
      <w:marBottom w:val="0"/>
      <w:divBdr>
        <w:top w:val="none" w:sz="0" w:space="0" w:color="auto"/>
        <w:left w:val="none" w:sz="0" w:space="0" w:color="auto"/>
        <w:bottom w:val="none" w:sz="0" w:space="0" w:color="auto"/>
        <w:right w:val="none" w:sz="0" w:space="0" w:color="auto"/>
      </w:divBdr>
    </w:div>
    <w:div w:id="792014272">
      <w:bodyDiv w:val="1"/>
      <w:marLeft w:val="0"/>
      <w:marRight w:val="0"/>
      <w:marTop w:val="0"/>
      <w:marBottom w:val="0"/>
      <w:divBdr>
        <w:top w:val="none" w:sz="0" w:space="0" w:color="auto"/>
        <w:left w:val="none" w:sz="0" w:space="0" w:color="auto"/>
        <w:bottom w:val="none" w:sz="0" w:space="0" w:color="auto"/>
        <w:right w:val="none" w:sz="0" w:space="0" w:color="auto"/>
      </w:divBdr>
    </w:div>
    <w:div w:id="851379199">
      <w:bodyDiv w:val="1"/>
      <w:marLeft w:val="0"/>
      <w:marRight w:val="0"/>
      <w:marTop w:val="0"/>
      <w:marBottom w:val="0"/>
      <w:divBdr>
        <w:top w:val="none" w:sz="0" w:space="0" w:color="auto"/>
        <w:left w:val="none" w:sz="0" w:space="0" w:color="auto"/>
        <w:bottom w:val="none" w:sz="0" w:space="0" w:color="auto"/>
        <w:right w:val="none" w:sz="0" w:space="0" w:color="auto"/>
      </w:divBdr>
    </w:div>
    <w:div w:id="880020113">
      <w:bodyDiv w:val="1"/>
      <w:marLeft w:val="0"/>
      <w:marRight w:val="0"/>
      <w:marTop w:val="0"/>
      <w:marBottom w:val="0"/>
      <w:divBdr>
        <w:top w:val="none" w:sz="0" w:space="0" w:color="auto"/>
        <w:left w:val="none" w:sz="0" w:space="0" w:color="auto"/>
        <w:bottom w:val="none" w:sz="0" w:space="0" w:color="auto"/>
        <w:right w:val="none" w:sz="0" w:space="0" w:color="auto"/>
      </w:divBdr>
    </w:div>
    <w:div w:id="887688290">
      <w:bodyDiv w:val="1"/>
      <w:marLeft w:val="0"/>
      <w:marRight w:val="0"/>
      <w:marTop w:val="0"/>
      <w:marBottom w:val="0"/>
      <w:divBdr>
        <w:top w:val="none" w:sz="0" w:space="0" w:color="auto"/>
        <w:left w:val="none" w:sz="0" w:space="0" w:color="auto"/>
        <w:bottom w:val="none" w:sz="0" w:space="0" w:color="auto"/>
        <w:right w:val="none" w:sz="0" w:space="0" w:color="auto"/>
      </w:divBdr>
    </w:div>
    <w:div w:id="894925439">
      <w:bodyDiv w:val="1"/>
      <w:marLeft w:val="0"/>
      <w:marRight w:val="0"/>
      <w:marTop w:val="0"/>
      <w:marBottom w:val="0"/>
      <w:divBdr>
        <w:top w:val="none" w:sz="0" w:space="0" w:color="auto"/>
        <w:left w:val="none" w:sz="0" w:space="0" w:color="auto"/>
        <w:bottom w:val="none" w:sz="0" w:space="0" w:color="auto"/>
        <w:right w:val="none" w:sz="0" w:space="0" w:color="auto"/>
      </w:divBdr>
    </w:div>
    <w:div w:id="921375855">
      <w:bodyDiv w:val="1"/>
      <w:marLeft w:val="0"/>
      <w:marRight w:val="0"/>
      <w:marTop w:val="0"/>
      <w:marBottom w:val="0"/>
      <w:divBdr>
        <w:top w:val="none" w:sz="0" w:space="0" w:color="auto"/>
        <w:left w:val="none" w:sz="0" w:space="0" w:color="auto"/>
        <w:bottom w:val="none" w:sz="0" w:space="0" w:color="auto"/>
        <w:right w:val="none" w:sz="0" w:space="0" w:color="auto"/>
      </w:divBdr>
    </w:div>
    <w:div w:id="964887879">
      <w:bodyDiv w:val="1"/>
      <w:marLeft w:val="0"/>
      <w:marRight w:val="0"/>
      <w:marTop w:val="0"/>
      <w:marBottom w:val="0"/>
      <w:divBdr>
        <w:top w:val="none" w:sz="0" w:space="0" w:color="auto"/>
        <w:left w:val="none" w:sz="0" w:space="0" w:color="auto"/>
        <w:bottom w:val="none" w:sz="0" w:space="0" w:color="auto"/>
        <w:right w:val="none" w:sz="0" w:space="0" w:color="auto"/>
      </w:divBdr>
    </w:div>
    <w:div w:id="969358344">
      <w:bodyDiv w:val="1"/>
      <w:marLeft w:val="0"/>
      <w:marRight w:val="0"/>
      <w:marTop w:val="0"/>
      <w:marBottom w:val="0"/>
      <w:divBdr>
        <w:top w:val="none" w:sz="0" w:space="0" w:color="auto"/>
        <w:left w:val="none" w:sz="0" w:space="0" w:color="auto"/>
        <w:bottom w:val="none" w:sz="0" w:space="0" w:color="auto"/>
        <w:right w:val="none" w:sz="0" w:space="0" w:color="auto"/>
      </w:divBdr>
    </w:div>
    <w:div w:id="1057046957">
      <w:bodyDiv w:val="1"/>
      <w:marLeft w:val="0"/>
      <w:marRight w:val="0"/>
      <w:marTop w:val="0"/>
      <w:marBottom w:val="0"/>
      <w:divBdr>
        <w:top w:val="none" w:sz="0" w:space="0" w:color="auto"/>
        <w:left w:val="none" w:sz="0" w:space="0" w:color="auto"/>
        <w:bottom w:val="none" w:sz="0" w:space="0" w:color="auto"/>
        <w:right w:val="none" w:sz="0" w:space="0" w:color="auto"/>
      </w:divBdr>
    </w:div>
    <w:div w:id="1102410746">
      <w:bodyDiv w:val="1"/>
      <w:marLeft w:val="0"/>
      <w:marRight w:val="0"/>
      <w:marTop w:val="0"/>
      <w:marBottom w:val="0"/>
      <w:divBdr>
        <w:top w:val="none" w:sz="0" w:space="0" w:color="auto"/>
        <w:left w:val="none" w:sz="0" w:space="0" w:color="auto"/>
        <w:bottom w:val="none" w:sz="0" w:space="0" w:color="auto"/>
        <w:right w:val="none" w:sz="0" w:space="0" w:color="auto"/>
      </w:divBdr>
    </w:div>
    <w:div w:id="1113089322">
      <w:bodyDiv w:val="1"/>
      <w:marLeft w:val="0"/>
      <w:marRight w:val="0"/>
      <w:marTop w:val="0"/>
      <w:marBottom w:val="0"/>
      <w:divBdr>
        <w:top w:val="none" w:sz="0" w:space="0" w:color="auto"/>
        <w:left w:val="none" w:sz="0" w:space="0" w:color="auto"/>
        <w:bottom w:val="none" w:sz="0" w:space="0" w:color="auto"/>
        <w:right w:val="none" w:sz="0" w:space="0" w:color="auto"/>
      </w:divBdr>
    </w:div>
    <w:div w:id="1139956017">
      <w:bodyDiv w:val="1"/>
      <w:marLeft w:val="0"/>
      <w:marRight w:val="0"/>
      <w:marTop w:val="0"/>
      <w:marBottom w:val="0"/>
      <w:divBdr>
        <w:top w:val="none" w:sz="0" w:space="0" w:color="auto"/>
        <w:left w:val="none" w:sz="0" w:space="0" w:color="auto"/>
        <w:bottom w:val="none" w:sz="0" w:space="0" w:color="auto"/>
        <w:right w:val="none" w:sz="0" w:space="0" w:color="auto"/>
      </w:divBdr>
    </w:div>
    <w:div w:id="1165780445">
      <w:bodyDiv w:val="1"/>
      <w:marLeft w:val="0"/>
      <w:marRight w:val="0"/>
      <w:marTop w:val="0"/>
      <w:marBottom w:val="0"/>
      <w:divBdr>
        <w:top w:val="none" w:sz="0" w:space="0" w:color="auto"/>
        <w:left w:val="none" w:sz="0" w:space="0" w:color="auto"/>
        <w:bottom w:val="none" w:sz="0" w:space="0" w:color="auto"/>
        <w:right w:val="none" w:sz="0" w:space="0" w:color="auto"/>
      </w:divBdr>
    </w:div>
    <w:div w:id="1211110276">
      <w:bodyDiv w:val="1"/>
      <w:marLeft w:val="0"/>
      <w:marRight w:val="0"/>
      <w:marTop w:val="0"/>
      <w:marBottom w:val="0"/>
      <w:divBdr>
        <w:top w:val="none" w:sz="0" w:space="0" w:color="auto"/>
        <w:left w:val="none" w:sz="0" w:space="0" w:color="auto"/>
        <w:bottom w:val="none" w:sz="0" w:space="0" w:color="auto"/>
        <w:right w:val="none" w:sz="0" w:space="0" w:color="auto"/>
      </w:divBdr>
    </w:div>
    <w:div w:id="1239173791">
      <w:bodyDiv w:val="1"/>
      <w:marLeft w:val="0"/>
      <w:marRight w:val="0"/>
      <w:marTop w:val="0"/>
      <w:marBottom w:val="0"/>
      <w:divBdr>
        <w:top w:val="none" w:sz="0" w:space="0" w:color="auto"/>
        <w:left w:val="none" w:sz="0" w:space="0" w:color="auto"/>
        <w:bottom w:val="none" w:sz="0" w:space="0" w:color="auto"/>
        <w:right w:val="none" w:sz="0" w:space="0" w:color="auto"/>
      </w:divBdr>
    </w:div>
    <w:div w:id="1256210182">
      <w:bodyDiv w:val="1"/>
      <w:marLeft w:val="0"/>
      <w:marRight w:val="0"/>
      <w:marTop w:val="0"/>
      <w:marBottom w:val="0"/>
      <w:divBdr>
        <w:top w:val="none" w:sz="0" w:space="0" w:color="auto"/>
        <w:left w:val="none" w:sz="0" w:space="0" w:color="auto"/>
        <w:bottom w:val="none" w:sz="0" w:space="0" w:color="auto"/>
        <w:right w:val="none" w:sz="0" w:space="0" w:color="auto"/>
      </w:divBdr>
    </w:div>
    <w:div w:id="1277760531">
      <w:bodyDiv w:val="1"/>
      <w:marLeft w:val="0"/>
      <w:marRight w:val="0"/>
      <w:marTop w:val="0"/>
      <w:marBottom w:val="0"/>
      <w:divBdr>
        <w:top w:val="none" w:sz="0" w:space="0" w:color="auto"/>
        <w:left w:val="none" w:sz="0" w:space="0" w:color="auto"/>
        <w:bottom w:val="none" w:sz="0" w:space="0" w:color="auto"/>
        <w:right w:val="none" w:sz="0" w:space="0" w:color="auto"/>
      </w:divBdr>
    </w:div>
    <w:div w:id="1351644262">
      <w:bodyDiv w:val="1"/>
      <w:marLeft w:val="0"/>
      <w:marRight w:val="0"/>
      <w:marTop w:val="0"/>
      <w:marBottom w:val="0"/>
      <w:divBdr>
        <w:top w:val="none" w:sz="0" w:space="0" w:color="auto"/>
        <w:left w:val="none" w:sz="0" w:space="0" w:color="auto"/>
        <w:bottom w:val="none" w:sz="0" w:space="0" w:color="auto"/>
        <w:right w:val="none" w:sz="0" w:space="0" w:color="auto"/>
      </w:divBdr>
    </w:div>
    <w:div w:id="1398281500">
      <w:bodyDiv w:val="1"/>
      <w:marLeft w:val="0"/>
      <w:marRight w:val="0"/>
      <w:marTop w:val="0"/>
      <w:marBottom w:val="0"/>
      <w:divBdr>
        <w:top w:val="none" w:sz="0" w:space="0" w:color="auto"/>
        <w:left w:val="none" w:sz="0" w:space="0" w:color="auto"/>
        <w:bottom w:val="none" w:sz="0" w:space="0" w:color="auto"/>
        <w:right w:val="none" w:sz="0" w:space="0" w:color="auto"/>
      </w:divBdr>
    </w:div>
    <w:div w:id="1405562780">
      <w:bodyDiv w:val="1"/>
      <w:marLeft w:val="0"/>
      <w:marRight w:val="0"/>
      <w:marTop w:val="0"/>
      <w:marBottom w:val="0"/>
      <w:divBdr>
        <w:top w:val="none" w:sz="0" w:space="0" w:color="auto"/>
        <w:left w:val="none" w:sz="0" w:space="0" w:color="auto"/>
        <w:bottom w:val="none" w:sz="0" w:space="0" w:color="auto"/>
        <w:right w:val="none" w:sz="0" w:space="0" w:color="auto"/>
      </w:divBdr>
    </w:div>
    <w:div w:id="1418166001">
      <w:bodyDiv w:val="1"/>
      <w:marLeft w:val="0"/>
      <w:marRight w:val="0"/>
      <w:marTop w:val="0"/>
      <w:marBottom w:val="0"/>
      <w:divBdr>
        <w:top w:val="none" w:sz="0" w:space="0" w:color="auto"/>
        <w:left w:val="none" w:sz="0" w:space="0" w:color="auto"/>
        <w:bottom w:val="none" w:sz="0" w:space="0" w:color="auto"/>
        <w:right w:val="none" w:sz="0" w:space="0" w:color="auto"/>
      </w:divBdr>
    </w:div>
    <w:div w:id="1577090263">
      <w:bodyDiv w:val="1"/>
      <w:marLeft w:val="0"/>
      <w:marRight w:val="0"/>
      <w:marTop w:val="0"/>
      <w:marBottom w:val="0"/>
      <w:divBdr>
        <w:top w:val="none" w:sz="0" w:space="0" w:color="auto"/>
        <w:left w:val="none" w:sz="0" w:space="0" w:color="auto"/>
        <w:bottom w:val="none" w:sz="0" w:space="0" w:color="auto"/>
        <w:right w:val="none" w:sz="0" w:space="0" w:color="auto"/>
      </w:divBdr>
    </w:div>
    <w:div w:id="1579440414">
      <w:bodyDiv w:val="1"/>
      <w:marLeft w:val="0"/>
      <w:marRight w:val="0"/>
      <w:marTop w:val="0"/>
      <w:marBottom w:val="0"/>
      <w:divBdr>
        <w:top w:val="none" w:sz="0" w:space="0" w:color="auto"/>
        <w:left w:val="none" w:sz="0" w:space="0" w:color="auto"/>
        <w:bottom w:val="none" w:sz="0" w:space="0" w:color="auto"/>
        <w:right w:val="none" w:sz="0" w:space="0" w:color="auto"/>
      </w:divBdr>
    </w:div>
    <w:div w:id="1647903627">
      <w:bodyDiv w:val="1"/>
      <w:marLeft w:val="0"/>
      <w:marRight w:val="0"/>
      <w:marTop w:val="0"/>
      <w:marBottom w:val="0"/>
      <w:divBdr>
        <w:top w:val="none" w:sz="0" w:space="0" w:color="auto"/>
        <w:left w:val="none" w:sz="0" w:space="0" w:color="auto"/>
        <w:bottom w:val="none" w:sz="0" w:space="0" w:color="auto"/>
        <w:right w:val="none" w:sz="0" w:space="0" w:color="auto"/>
      </w:divBdr>
    </w:div>
    <w:div w:id="1671255296">
      <w:bodyDiv w:val="1"/>
      <w:marLeft w:val="0"/>
      <w:marRight w:val="0"/>
      <w:marTop w:val="0"/>
      <w:marBottom w:val="0"/>
      <w:divBdr>
        <w:top w:val="none" w:sz="0" w:space="0" w:color="auto"/>
        <w:left w:val="none" w:sz="0" w:space="0" w:color="auto"/>
        <w:bottom w:val="none" w:sz="0" w:space="0" w:color="auto"/>
        <w:right w:val="none" w:sz="0" w:space="0" w:color="auto"/>
      </w:divBdr>
      <w:divsChild>
        <w:div w:id="678385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6493095">
      <w:bodyDiv w:val="1"/>
      <w:marLeft w:val="0"/>
      <w:marRight w:val="0"/>
      <w:marTop w:val="0"/>
      <w:marBottom w:val="0"/>
      <w:divBdr>
        <w:top w:val="none" w:sz="0" w:space="0" w:color="auto"/>
        <w:left w:val="none" w:sz="0" w:space="0" w:color="auto"/>
        <w:bottom w:val="none" w:sz="0" w:space="0" w:color="auto"/>
        <w:right w:val="none" w:sz="0" w:space="0" w:color="auto"/>
      </w:divBdr>
    </w:div>
    <w:div w:id="1701127452">
      <w:bodyDiv w:val="1"/>
      <w:marLeft w:val="0"/>
      <w:marRight w:val="0"/>
      <w:marTop w:val="0"/>
      <w:marBottom w:val="0"/>
      <w:divBdr>
        <w:top w:val="none" w:sz="0" w:space="0" w:color="auto"/>
        <w:left w:val="none" w:sz="0" w:space="0" w:color="auto"/>
        <w:bottom w:val="none" w:sz="0" w:space="0" w:color="auto"/>
        <w:right w:val="none" w:sz="0" w:space="0" w:color="auto"/>
      </w:divBdr>
    </w:div>
    <w:div w:id="1743211495">
      <w:bodyDiv w:val="1"/>
      <w:marLeft w:val="0"/>
      <w:marRight w:val="0"/>
      <w:marTop w:val="0"/>
      <w:marBottom w:val="0"/>
      <w:divBdr>
        <w:top w:val="none" w:sz="0" w:space="0" w:color="auto"/>
        <w:left w:val="none" w:sz="0" w:space="0" w:color="auto"/>
        <w:bottom w:val="none" w:sz="0" w:space="0" w:color="auto"/>
        <w:right w:val="none" w:sz="0" w:space="0" w:color="auto"/>
      </w:divBdr>
      <w:divsChild>
        <w:div w:id="1721635929">
          <w:marLeft w:val="0"/>
          <w:marRight w:val="0"/>
          <w:marTop w:val="0"/>
          <w:marBottom w:val="0"/>
          <w:divBdr>
            <w:top w:val="none" w:sz="0" w:space="0" w:color="auto"/>
            <w:left w:val="none" w:sz="0" w:space="0" w:color="auto"/>
            <w:bottom w:val="none" w:sz="0" w:space="0" w:color="auto"/>
            <w:right w:val="none" w:sz="0" w:space="0" w:color="auto"/>
          </w:divBdr>
        </w:div>
        <w:div w:id="836311296">
          <w:marLeft w:val="0"/>
          <w:marRight w:val="0"/>
          <w:marTop w:val="0"/>
          <w:marBottom w:val="0"/>
          <w:divBdr>
            <w:top w:val="none" w:sz="0" w:space="0" w:color="auto"/>
            <w:left w:val="none" w:sz="0" w:space="0" w:color="auto"/>
            <w:bottom w:val="none" w:sz="0" w:space="0" w:color="auto"/>
            <w:right w:val="none" w:sz="0" w:space="0" w:color="auto"/>
          </w:divBdr>
        </w:div>
        <w:div w:id="663780123">
          <w:marLeft w:val="0"/>
          <w:marRight w:val="0"/>
          <w:marTop w:val="0"/>
          <w:marBottom w:val="0"/>
          <w:divBdr>
            <w:top w:val="none" w:sz="0" w:space="0" w:color="auto"/>
            <w:left w:val="none" w:sz="0" w:space="0" w:color="auto"/>
            <w:bottom w:val="none" w:sz="0" w:space="0" w:color="auto"/>
            <w:right w:val="none" w:sz="0" w:space="0" w:color="auto"/>
          </w:divBdr>
        </w:div>
        <w:div w:id="1828205122">
          <w:marLeft w:val="0"/>
          <w:marRight w:val="0"/>
          <w:marTop w:val="0"/>
          <w:marBottom w:val="0"/>
          <w:divBdr>
            <w:top w:val="none" w:sz="0" w:space="0" w:color="auto"/>
            <w:left w:val="none" w:sz="0" w:space="0" w:color="auto"/>
            <w:bottom w:val="none" w:sz="0" w:space="0" w:color="auto"/>
            <w:right w:val="none" w:sz="0" w:space="0" w:color="auto"/>
          </w:divBdr>
        </w:div>
        <w:div w:id="714356013">
          <w:marLeft w:val="0"/>
          <w:marRight w:val="0"/>
          <w:marTop w:val="0"/>
          <w:marBottom w:val="0"/>
          <w:divBdr>
            <w:top w:val="none" w:sz="0" w:space="0" w:color="auto"/>
            <w:left w:val="none" w:sz="0" w:space="0" w:color="auto"/>
            <w:bottom w:val="none" w:sz="0" w:space="0" w:color="auto"/>
            <w:right w:val="none" w:sz="0" w:space="0" w:color="auto"/>
          </w:divBdr>
        </w:div>
        <w:div w:id="112749668">
          <w:marLeft w:val="0"/>
          <w:marRight w:val="0"/>
          <w:marTop w:val="0"/>
          <w:marBottom w:val="0"/>
          <w:divBdr>
            <w:top w:val="none" w:sz="0" w:space="0" w:color="auto"/>
            <w:left w:val="none" w:sz="0" w:space="0" w:color="auto"/>
            <w:bottom w:val="none" w:sz="0" w:space="0" w:color="auto"/>
            <w:right w:val="none" w:sz="0" w:space="0" w:color="auto"/>
          </w:divBdr>
        </w:div>
        <w:div w:id="1517958064">
          <w:marLeft w:val="0"/>
          <w:marRight w:val="0"/>
          <w:marTop w:val="0"/>
          <w:marBottom w:val="0"/>
          <w:divBdr>
            <w:top w:val="none" w:sz="0" w:space="0" w:color="auto"/>
            <w:left w:val="none" w:sz="0" w:space="0" w:color="auto"/>
            <w:bottom w:val="none" w:sz="0" w:space="0" w:color="auto"/>
            <w:right w:val="none" w:sz="0" w:space="0" w:color="auto"/>
          </w:divBdr>
        </w:div>
        <w:div w:id="1933472419">
          <w:marLeft w:val="0"/>
          <w:marRight w:val="0"/>
          <w:marTop w:val="0"/>
          <w:marBottom w:val="0"/>
          <w:divBdr>
            <w:top w:val="none" w:sz="0" w:space="0" w:color="auto"/>
            <w:left w:val="none" w:sz="0" w:space="0" w:color="auto"/>
            <w:bottom w:val="none" w:sz="0" w:space="0" w:color="auto"/>
            <w:right w:val="none" w:sz="0" w:space="0" w:color="auto"/>
          </w:divBdr>
        </w:div>
        <w:div w:id="231623851">
          <w:marLeft w:val="0"/>
          <w:marRight w:val="0"/>
          <w:marTop w:val="0"/>
          <w:marBottom w:val="0"/>
          <w:divBdr>
            <w:top w:val="none" w:sz="0" w:space="0" w:color="auto"/>
            <w:left w:val="none" w:sz="0" w:space="0" w:color="auto"/>
            <w:bottom w:val="none" w:sz="0" w:space="0" w:color="auto"/>
            <w:right w:val="none" w:sz="0" w:space="0" w:color="auto"/>
          </w:divBdr>
        </w:div>
      </w:divsChild>
    </w:div>
    <w:div w:id="1744184708">
      <w:bodyDiv w:val="1"/>
      <w:marLeft w:val="0"/>
      <w:marRight w:val="0"/>
      <w:marTop w:val="0"/>
      <w:marBottom w:val="0"/>
      <w:divBdr>
        <w:top w:val="none" w:sz="0" w:space="0" w:color="auto"/>
        <w:left w:val="none" w:sz="0" w:space="0" w:color="auto"/>
        <w:bottom w:val="none" w:sz="0" w:space="0" w:color="auto"/>
        <w:right w:val="none" w:sz="0" w:space="0" w:color="auto"/>
      </w:divBdr>
    </w:div>
    <w:div w:id="1793673681">
      <w:bodyDiv w:val="1"/>
      <w:marLeft w:val="0"/>
      <w:marRight w:val="0"/>
      <w:marTop w:val="0"/>
      <w:marBottom w:val="0"/>
      <w:divBdr>
        <w:top w:val="none" w:sz="0" w:space="0" w:color="auto"/>
        <w:left w:val="none" w:sz="0" w:space="0" w:color="auto"/>
        <w:bottom w:val="none" w:sz="0" w:space="0" w:color="auto"/>
        <w:right w:val="none" w:sz="0" w:space="0" w:color="auto"/>
      </w:divBdr>
    </w:div>
    <w:div w:id="1874611602">
      <w:bodyDiv w:val="1"/>
      <w:marLeft w:val="0"/>
      <w:marRight w:val="0"/>
      <w:marTop w:val="0"/>
      <w:marBottom w:val="0"/>
      <w:divBdr>
        <w:top w:val="none" w:sz="0" w:space="0" w:color="auto"/>
        <w:left w:val="none" w:sz="0" w:space="0" w:color="auto"/>
        <w:bottom w:val="none" w:sz="0" w:space="0" w:color="auto"/>
        <w:right w:val="none" w:sz="0" w:space="0" w:color="auto"/>
      </w:divBdr>
    </w:div>
    <w:div w:id="1934194000">
      <w:bodyDiv w:val="1"/>
      <w:marLeft w:val="0"/>
      <w:marRight w:val="0"/>
      <w:marTop w:val="0"/>
      <w:marBottom w:val="0"/>
      <w:divBdr>
        <w:top w:val="none" w:sz="0" w:space="0" w:color="auto"/>
        <w:left w:val="none" w:sz="0" w:space="0" w:color="auto"/>
        <w:bottom w:val="none" w:sz="0" w:space="0" w:color="auto"/>
        <w:right w:val="none" w:sz="0" w:space="0" w:color="auto"/>
      </w:divBdr>
    </w:div>
    <w:div w:id="1952125514">
      <w:bodyDiv w:val="1"/>
      <w:marLeft w:val="0"/>
      <w:marRight w:val="0"/>
      <w:marTop w:val="0"/>
      <w:marBottom w:val="0"/>
      <w:divBdr>
        <w:top w:val="none" w:sz="0" w:space="0" w:color="auto"/>
        <w:left w:val="none" w:sz="0" w:space="0" w:color="auto"/>
        <w:bottom w:val="none" w:sz="0" w:space="0" w:color="auto"/>
        <w:right w:val="none" w:sz="0" w:space="0" w:color="auto"/>
      </w:divBdr>
    </w:div>
    <w:div w:id="1980302472">
      <w:bodyDiv w:val="1"/>
      <w:marLeft w:val="0"/>
      <w:marRight w:val="0"/>
      <w:marTop w:val="0"/>
      <w:marBottom w:val="0"/>
      <w:divBdr>
        <w:top w:val="none" w:sz="0" w:space="0" w:color="auto"/>
        <w:left w:val="none" w:sz="0" w:space="0" w:color="auto"/>
        <w:bottom w:val="none" w:sz="0" w:space="0" w:color="auto"/>
        <w:right w:val="none" w:sz="0" w:space="0" w:color="auto"/>
      </w:divBdr>
    </w:div>
    <w:div w:id="1988628403">
      <w:bodyDiv w:val="1"/>
      <w:marLeft w:val="0"/>
      <w:marRight w:val="0"/>
      <w:marTop w:val="0"/>
      <w:marBottom w:val="0"/>
      <w:divBdr>
        <w:top w:val="none" w:sz="0" w:space="0" w:color="auto"/>
        <w:left w:val="none" w:sz="0" w:space="0" w:color="auto"/>
        <w:bottom w:val="none" w:sz="0" w:space="0" w:color="auto"/>
        <w:right w:val="none" w:sz="0" w:space="0" w:color="auto"/>
      </w:divBdr>
    </w:div>
    <w:div w:id="2001502073">
      <w:bodyDiv w:val="1"/>
      <w:marLeft w:val="0"/>
      <w:marRight w:val="0"/>
      <w:marTop w:val="0"/>
      <w:marBottom w:val="0"/>
      <w:divBdr>
        <w:top w:val="none" w:sz="0" w:space="0" w:color="auto"/>
        <w:left w:val="none" w:sz="0" w:space="0" w:color="auto"/>
        <w:bottom w:val="none" w:sz="0" w:space="0" w:color="auto"/>
        <w:right w:val="none" w:sz="0" w:space="0" w:color="auto"/>
      </w:divBdr>
    </w:div>
    <w:div w:id="2005551568">
      <w:bodyDiv w:val="1"/>
      <w:marLeft w:val="0"/>
      <w:marRight w:val="0"/>
      <w:marTop w:val="0"/>
      <w:marBottom w:val="0"/>
      <w:divBdr>
        <w:top w:val="none" w:sz="0" w:space="0" w:color="auto"/>
        <w:left w:val="none" w:sz="0" w:space="0" w:color="auto"/>
        <w:bottom w:val="none" w:sz="0" w:space="0" w:color="auto"/>
        <w:right w:val="none" w:sz="0" w:space="0" w:color="auto"/>
      </w:divBdr>
    </w:div>
    <w:div w:id="2019842013">
      <w:bodyDiv w:val="1"/>
      <w:marLeft w:val="0"/>
      <w:marRight w:val="0"/>
      <w:marTop w:val="0"/>
      <w:marBottom w:val="0"/>
      <w:divBdr>
        <w:top w:val="none" w:sz="0" w:space="0" w:color="auto"/>
        <w:left w:val="none" w:sz="0" w:space="0" w:color="auto"/>
        <w:bottom w:val="none" w:sz="0" w:space="0" w:color="auto"/>
        <w:right w:val="none" w:sz="0" w:space="0" w:color="auto"/>
      </w:divBdr>
    </w:div>
    <w:div w:id="2034841224">
      <w:bodyDiv w:val="1"/>
      <w:marLeft w:val="0"/>
      <w:marRight w:val="0"/>
      <w:marTop w:val="0"/>
      <w:marBottom w:val="0"/>
      <w:divBdr>
        <w:top w:val="none" w:sz="0" w:space="0" w:color="auto"/>
        <w:left w:val="none" w:sz="0" w:space="0" w:color="auto"/>
        <w:bottom w:val="none" w:sz="0" w:space="0" w:color="auto"/>
        <w:right w:val="none" w:sz="0" w:space="0" w:color="auto"/>
      </w:divBdr>
    </w:div>
    <w:div w:id="2052071938">
      <w:bodyDiv w:val="1"/>
      <w:marLeft w:val="0"/>
      <w:marRight w:val="0"/>
      <w:marTop w:val="0"/>
      <w:marBottom w:val="0"/>
      <w:divBdr>
        <w:top w:val="none" w:sz="0" w:space="0" w:color="auto"/>
        <w:left w:val="none" w:sz="0" w:space="0" w:color="auto"/>
        <w:bottom w:val="none" w:sz="0" w:space="0" w:color="auto"/>
        <w:right w:val="none" w:sz="0" w:space="0" w:color="auto"/>
      </w:divBdr>
    </w:div>
    <w:div w:id="2059165401">
      <w:bodyDiv w:val="1"/>
      <w:marLeft w:val="0"/>
      <w:marRight w:val="0"/>
      <w:marTop w:val="0"/>
      <w:marBottom w:val="0"/>
      <w:divBdr>
        <w:top w:val="none" w:sz="0" w:space="0" w:color="auto"/>
        <w:left w:val="none" w:sz="0" w:space="0" w:color="auto"/>
        <w:bottom w:val="none" w:sz="0" w:space="0" w:color="auto"/>
        <w:right w:val="none" w:sz="0" w:space="0" w:color="auto"/>
      </w:divBdr>
    </w:div>
    <w:div w:id="2085835915">
      <w:bodyDiv w:val="1"/>
      <w:marLeft w:val="0"/>
      <w:marRight w:val="0"/>
      <w:marTop w:val="0"/>
      <w:marBottom w:val="0"/>
      <w:divBdr>
        <w:top w:val="none" w:sz="0" w:space="0" w:color="auto"/>
        <w:left w:val="none" w:sz="0" w:space="0" w:color="auto"/>
        <w:bottom w:val="none" w:sz="0" w:space="0" w:color="auto"/>
        <w:right w:val="none" w:sz="0" w:space="0" w:color="auto"/>
      </w:divBdr>
    </w:div>
    <w:div w:id="2110467632">
      <w:bodyDiv w:val="1"/>
      <w:marLeft w:val="0"/>
      <w:marRight w:val="0"/>
      <w:marTop w:val="0"/>
      <w:marBottom w:val="0"/>
      <w:divBdr>
        <w:top w:val="none" w:sz="0" w:space="0" w:color="auto"/>
        <w:left w:val="none" w:sz="0" w:space="0" w:color="auto"/>
        <w:bottom w:val="none" w:sz="0" w:space="0" w:color="auto"/>
        <w:right w:val="none" w:sz="0" w:space="0" w:color="auto"/>
      </w:divBdr>
    </w:div>
    <w:div w:id="2114282472">
      <w:bodyDiv w:val="1"/>
      <w:marLeft w:val="0"/>
      <w:marRight w:val="0"/>
      <w:marTop w:val="0"/>
      <w:marBottom w:val="0"/>
      <w:divBdr>
        <w:top w:val="none" w:sz="0" w:space="0" w:color="auto"/>
        <w:left w:val="none" w:sz="0" w:space="0" w:color="auto"/>
        <w:bottom w:val="none" w:sz="0" w:space="0" w:color="auto"/>
        <w:right w:val="none" w:sz="0" w:space="0" w:color="auto"/>
      </w:divBdr>
    </w:div>
    <w:div w:id="2114477962">
      <w:bodyDiv w:val="1"/>
      <w:marLeft w:val="0"/>
      <w:marRight w:val="0"/>
      <w:marTop w:val="0"/>
      <w:marBottom w:val="0"/>
      <w:divBdr>
        <w:top w:val="none" w:sz="0" w:space="0" w:color="auto"/>
        <w:left w:val="none" w:sz="0" w:space="0" w:color="auto"/>
        <w:bottom w:val="none" w:sz="0" w:space="0" w:color="auto"/>
        <w:right w:val="none" w:sz="0" w:space="0" w:color="auto"/>
      </w:divBdr>
    </w:div>
    <w:div w:id="2115441824">
      <w:bodyDiv w:val="1"/>
      <w:marLeft w:val="0"/>
      <w:marRight w:val="0"/>
      <w:marTop w:val="0"/>
      <w:marBottom w:val="0"/>
      <w:divBdr>
        <w:top w:val="none" w:sz="0" w:space="0" w:color="auto"/>
        <w:left w:val="none" w:sz="0" w:space="0" w:color="auto"/>
        <w:bottom w:val="none" w:sz="0" w:space="0" w:color="auto"/>
        <w:right w:val="none" w:sz="0" w:space="0" w:color="auto"/>
      </w:divBdr>
    </w:div>
    <w:div w:id="214257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footer" Target="footer4.xml"/><Relationship Id="rId39" Type="http://schemas.microsoft.com/office/2007/relationships/diagramDrawing" Target="diagrams/drawing1.xml"/><Relationship Id="rId21" Type="http://schemas.openxmlformats.org/officeDocument/2006/relationships/hyperlink" Target="https://thesustainableagency.com/blog/greenwashing-example" TargetMode="External"/><Relationship Id="rId34" Type="http://schemas.openxmlformats.org/officeDocument/2006/relationships/footer" Target="footer7.xml"/><Relationship Id="rId42" Type="http://schemas.openxmlformats.org/officeDocument/2006/relationships/hyperlink" Target="https://www.facebook.com/GroupeGICA" TargetMode="External"/><Relationship Id="rId47" Type="http://schemas.openxmlformats.org/officeDocument/2006/relationships/footer" Target="footer9.xml"/><Relationship Id="rId50" Type="http://schemas.openxmlformats.org/officeDocument/2006/relationships/image" Target="media/image16.png"/><Relationship Id="rId55"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eader" Target="header3.xml"/><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footer" Target="footer6.xml"/><Relationship Id="rId37" Type="http://schemas.openxmlformats.org/officeDocument/2006/relationships/diagramQuickStyle" Target="diagrams/quickStyle1.xml"/><Relationship Id="rId40" Type="http://schemas.openxmlformats.org/officeDocument/2006/relationships/header" Target="header6.xml"/><Relationship Id="rId45" Type="http://schemas.openxmlformats.org/officeDocument/2006/relationships/header" Target="header7.xml"/><Relationship Id="rId53" Type="http://schemas.openxmlformats.org/officeDocument/2006/relationships/image" Target="media/image19.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2.png"/><Relationship Id="rId30" Type="http://schemas.openxmlformats.org/officeDocument/2006/relationships/footer" Target="footer5.xml"/><Relationship Id="rId35" Type="http://schemas.openxmlformats.org/officeDocument/2006/relationships/diagramData" Target="diagrams/data1.xml"/><Relationship Id="rId43" Type="http://schemas.openxmlformats.org/officeDocument/2006/relationships/hyperlink" Target="https://www.youtube.com/@GroupeGICA" TargetMode="External"/><Relationship Id="rId48" Type="http://schemas.openxmlformats.org/officeDocument/2006/relationships/image" Target="media/image14.png"/><Relationship Id="rId56"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image" Target="media/image17.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clientearth.org/latest/latest-updates/news/bp-greenwash%20ing-complaint-sets-precedent-for-action-on-misleading-adcampaigns/" TargetMode="External"/><Relationship Id="rId25" Type="http://schemas.openxmlformats.org/officeDocument/2006/relationships/header" Target="header2.xml"/><Relationship Id="rId33" Type="http://schemas.openxmlformats.org/officeDocument/2006/relationships/header" Target="header5.xml"/><Relationship Id="rId38" Type="http://schemas.openxmlformats.org/officeDocument/2006/relationships/diagramColors" Target="diagrams/colors1.xml"/><Relationship Id="rId46" Type="http://schemas.openxmlformats.org/officeDocument/2006/relationships/header" Target="header8.xml"/><Relationship Id="rId59"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footer" Target="footer8.xml"/><Relationship Id="rId54"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image" Target="media/image13.png"/><Relationship Id="rId36" Type="http://schemas.openxmlformats.org/officeDocument/2006/relationships/diagramLayout" Target="diagrams/layout1.xml"/><Relationship Id="rId49" Type="http://schemas.openxmlformats.org/officeDocument/2006/relationships/image" Target="media/image15.png"/><Relationship Id="rId57" Type="http://schemas.openxmlformats.org/officeDocument/2006/relationships/header" Target="header11.xml"/><Relationship Id="rId10" Type="http://schemas.openxmlformats.org/officeDocument/2006/relationships/image" Target="media/image3.png"/><Relationship Id="rId31" Type="http://schemas.openxmlformats.org/officeDocument/2006/relationships/header" Target="header4.xml"/><Relationship Id="rId44" Type="http://schemas.openxmlformats.org/officeDocument/2006/relationships/hyperlink" Target="http://www.groupegica.dz" TargetMode="External"/><Relationship Id="rId52" Type="http://schemas.openxmlformats.org/officeDocument/2006/relationships/image" Target="media/image18.png"/></Relationships>
</file>

<file path=word/_rels/footnotes.xml.rels><?xml version="1.0" encoding="UTF-8" standalone="yes"?>
<Relationships xmlns="http://schemas.openxmlformats.org/package/2006/relationships"><Relationship Id="rId3" Type="http://schemas.openxmlformats.org/officeDocument/2006/relationships/hyperlink" Target="https://www.student.be/fr/student-life/greenwashing-definition-exemples-et-impact-sur-les-consommateurs/" TargetMode="External"/><Relationship Id="rId2" Type="http://schemas.openxmlformats.org/officeDocument/2006/relationships/hyperlink" Target="https://www.ul.com/services/solutions/" TargetMode="External"/><Relationship Id="rId1" Type="http://schemas.openxmlformats.org/officeDocument/2006/relationships/hyperlink" Target="https://www.twosides.info/wp-content/uploads/2018/05/Terrachoice_The_Sins_of_Greenwashing_-_Home_and_Family_Edition_2010.pdf" TargetMode="External"/><Relationship Id="rId4" Type="http://schemas.openxmlformats.org/officeDocument/2006/relationships/hyperlink" Target="https://www.la-communication-verte.com/greenwashing-consequence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8D9F284-9490-4755-82A1-C6629389A0B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0A57AB70-7E60-4E66-B2DF-4F41EFFA9B3B}">
      <dgm:prSet phldrT="[Texte]" custT="1"/>
      <dgm:spPr>
        <a:xfrm>
          <a:off x="3919892" y="681374"/>
          <a:ext cx="880827" cy="401870"/>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Directeur Cimenterie</a:t>
          </a:r>
        </a:p>
      </dgm:t>
    </dgm:pt>
    <dgm:pt modelId="{65959B54-DE3B-4309-86E4-4AE0CF61A70A}" type="parTrans" cxnId="{3C817C5B-C7E4-426C-BE66-85BE0DEE27CE}">
      <dgm:prSet/>
      <dgm:spPr/>
      <dgm:t>
        <a:bodyPr/>
        <a:lstStyle/>
        <a:p>
          <a:pPr algn="ctr"/>
          <a:endParaRPr lang="fr-FR"/>
        </a:p>
      </dgm:t>
    </dgm:pt>
    <dgm:pt modelId="{B050A7D2-5A0F-4D1D-96E6-FAB80AB9DC53}" type="sibTrans" cxnId="{3C817C5B-C7E4-426C-BE66-85BE0DEE27CE}">
      <dgm:prSet/>
      <dgm:spPr/>
      <dgm:t>
        <a:bodyPr/>
        <a:lstStyle/>
        <a:p>
          <a:pPr algn="ctr"/>
          <a:endParaRPr lang="fr-FR"/>
        </a:p>
      </dgm:t>
    </dgm:pt>
    <dgm:pt modelId="{27D5E9EA-B0CF-4739-9D1B-3B35881F92A7}">
      <dgm:prSet phldrT="[Texte]" custT="1"/>
      <dgm:spPr>
        <a:xfrm>
          <a:off x="3249" y="1315377"/>
          <a:ext cx="340919" cy="186392"/>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DFC</a:t>
          </a:r>
        </a:p>
      </dgm:t>
    </dgm:pt>
    <dgm:pt modelId="{8300F5F4-30F9-4488-9CD3-D35648827F18}" type="parTrans" cxnId="{7BDC8FBD-6991-4884-A7F5-103D63611298}">
      <dgm:prSet/>
      <dgm:spPr>
        <a:xfrm>
          <a:off x="173709" y="1083245"/>
          <a:ext cx="4186596" cy="232132"/>
        </a:xfrm>
        <a:custGeom>
          <a:avLst/>
          <a:gdLst/>
          <a:ahLst/>
          <a:cxnLst/>
          <a:rect l="0" t="0" r="0" b="0"/>
          <a:pathLst>
            <a:path>
              <a:moveTo>
                <a:pt x="4186596" y="0"/>
              </a:moveTo>
              <a:lnTo>
                <a:pt x="4186596" y="196335"/>
              </a:lnTo>
              <a:lnTo>
                <a:pt x="0" y="196335"/>
              </a:lnTo>
              <a:lnTo>
                <a:pt x="0" y="232132"/>
              </a:lnTo>
            </a:path>
          </a:pathLst>
        </a:custGeom>
        <a:noFill/>
        <a:ln w="25400" cap="flat" cmpd="sng" algn="ctr">
          <a:solidFill>
            <a:sysClr val="windowText" lastClr="000000"/>
          </a:solidFill>
          <a:prstDash val="solid"/>
        </a:ln>
        <a:effectLst/>
      </dgm:spPr>
      <dgm:t>
        <a:bodyPr/>
        <a:lstStyle/>
        <a:p>
          <a:pPr algn="ctr"/>
          <a:endParaRPr lang="fr-FR"/>
        </a:p>
      </dgm:t>
    </dgm:pt>
    <dgm:pt modelId="{7B5F5D3E-6F27-4AD7-B63B-37B47783D3AC}" type="sibTrans" cxnId="{7BDC8FBD-6991-4884-A7F5-103D63611298}">
      <dgm:prSet/>
      <dgm:spPr/>
      <dgm:t>
        <a:bodyPr/>
        <a:lstStyle/>
        <a:p>
          <a:pPr algn="ctr"/>
          <a:endParaRPr lang="fr-FR"/>
        </a:p>
      </dgm:t>
    </dgm:pt>
    <dgm:pt modelId="{C5A12A19-EB7E-4432-B174-700B462FB6A6}">
      <dgm:prSet phldrT="[Texte]" custT="1"/>
      <dgm:spPr>
        <a:xfrm>
          <a:off x="526418" y="1315377"/>
          <a:ext cx="340919" cy="170459"/>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DRH</a:t>
          </a:r>
        </a:p>
      </dgm:t>
    </dgm:pt>
    <dgm:pt modelId="{7D079000-774C-4057-98D3-B2FEA6DBD035}" type="parTrans" cxnId="{0A27B73B-A4FB-47AA-AFF9-AEBA93023778}">
      <dgm:prSet/>
      <dgm:spPr>
        <a:xfrm>
          <a:off x="696878" y="1083245"/>
          <a:ext cx="3663427" cy="232132"/>
        </a:xfrm>
        <a:custGeom>
          <a:avLst/>
          <a:gdLst/>
          <a:ahLst/>
          <a:cxnLst/>
          <a:rect l="0" t="0" r="0" b="0"/>
          <a:pathLst>
            <a:path>
              <a:moveTo>
                <a:pt x="3663427" y="0"/>
              </a:moveTo>
              <a:lnTo>
                <a:pt x="3663427" y="196335"/>
              </a:lnTo>
              <a:lnTo>
                <a:pt x="0" y="196335"/>
              </a:lnTo>
              <a:lnTo>
                <a:pt x="0" y="232132"/>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fr-FR"/>
        </a:p>
      </dgm:t>
    </dgm:pt>
    <dgm:pt modelId="{0139C73F-1319-4B72-91E4-8B70E41B4DFD}" type="sibTrans" cxnId="{0A27B73B-A4FB-47AA-AFF9-AEBA93023778}">
      <dgm:prSet/>
      <dgm:spPr/>
      <dgm:t>
        <a:bodyPr/>
        <a:lstStyle/>
        <a:p>
          <a:pPr algn="ctr"/>
          <a:endParaRPr lang="fr-FR"/>
        </a:p>
      </dgm:t>
    </dgm:pt>
    <dgm:pt modelId="{C3B78B50-CB71-4EDD-BA49-742BFB486C0C}">
      <dgm:prSet phldrT="[Texte]" custT="1"/>
      <dgm:spPr>
        <a:xfrm>
          <a:off x="1053404" y="1315377"/>
          <a:ext cx="508761" cy="282436"/>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Dept Appros</a:t>
          </a:r>
        </a:p>
      </dgm:t>
    </dgm:pt>
    <dgm:pt modelId="{988E215F-AF01-483D-B481-9C7A46BA1C73}" type="parTrans" cxnId="{9FA084BF-287F-479C-92A5-4519055B4FFB}">
      <dgm:prSet/>
      <dgm:spPr>
        <a:xfrm>
          <a:off x="1307785" y="1083245"/>
          <a:ext cx="3052520" cy="232132"/>
        </a:xfrm>
        <a:custGeom>
          <a:avLst/>
          <a:gdLst/>
          <a:ahLst/>
          <a:cxnLst/>
          <a:rect l="0" t="0" r="0" b="0"/>
          <a:pathLst>
            <a:path>
              <a:moveTo>
                <a:pt x="3052520" y="0"/>
              </a:moveTo>
              <a:lnTo>
                <a:pt x="3052520" y="196335"/>
              </a:lnTo>
              <a:lnTo>
                <a:pt x="0" y="196335"/>
              </a:lnTo>
              <a:lnTo>
                <a:pt x="0" y="232132"/>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fr-FR"/>
        </a:p>
      </dgm:t>
    </dgm:pt>
    <dgm:pt modelId="{E4B17C86-BE86-4BB2-8AA6-6892EBB3F14A}" type="sibTrans" cxnId="{9FA084BF-287F-479C-92A5-4519055B4FFB}">
      <dgm:prSet/>
      <dgm:spPr/>
      <dgm:t>
        <a:bodyPr/>
        <a:lstStyle/>
        <a:p>
          <a:pPr algn="ctr"/>
          <a:endParaRPr lang="fr-FR"/>
        </a:p>
      </dgm:t>
    </dgm:pt>
    <dgm:pt modelId="{77E74AD6-103B-4957-832F-CBE0704A1B63}">
      <dgm:prSet custT="1"/>
      <dgm:spPr>
        <a:xfrm>
          <a:off x="1633759" y="1315377"/>
          <a:ext cx="823917" cy="736442"/>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Marketing et Commercial</a:t>
          </a:r>
        </a:p>
      </dgm:t>
    </dgm:pt>
    <dgm:pt modelId="{574B0C0B-B634-45A2-B43D-D787DB70D178}" type="parTrans" cxnId="{F44F2790-A3CF-4E07-B060-DADC893EC414}">
      <dgm:prSet/>
      <dgm:spPr>
        <a:xfrm>
          <a:off x="2045717" y="1083245"/>
          <a:ext cx="2314587" cy="232132"/>
        </a:xfrm>
        <a:custGeom>
          <a:avLst/>
          <a:gdLst/>
          <a:ahLst/>
          <a:cxnLst/>
          <a:rect l="0" t="0" r="0" b="0"/>
          <a:pathLst>
            <a:path>
              <a:moveTo>
                <a:pt x="2314587" y="0"/>
              </a:moveTo>
              <a:lnTo>
                <a:pt x="2314587" y="196335"/>
              </a:lnTo>
              <a:lnTo>
                <a:pt x="0" y="196335"/>
              </a:lnTo>
              <a:lnTo>
                <a:pt x="0" y="232132"/>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fr-FR"/>
        </a:p>
      </dgm:t>
    </dgm:pt>
    <dgm:pt modelId="{9E2E34D9-2D58-406E-8E3B-411A2CD92448}" type="sibTrans" cxnId="{F44F2790-A3CF-4E07-B060-DADC893EC414}">
      <dgm:prSet/>
      <dgm:spPr/>
      <dgm:t>
        <a:bodyPr/>
        <a:lstStyle/>
        <a:p>
          <a:pPr algn="ctr"/>
          <a:endParaRPr lang="fr-FR"/>
        </a:p>
      </dgm:t>
    </dgm:pt>
    <dgm:pt modelId="{888B1B36-E1DD-46C1-B478-334D076CF39E}">
      <dgm:prSet custT="1"/>
      <dgm:spPr>
        <a:xfrm>
          <a:off x="2720883" y="1315377"/>
          <a:ext cx="705631" cy="429023"/>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Production</a:t>
          </a:r>
        </a:p>
      </dgm:t>
    </dgm:pt>
    <dgm:pt modelId="{F82773D8-FEFD-4165-9A43-78196BB02DF9}" type="parTrans" cxnId="{B941E7C1-EC4C-4813-8729-5AD45D82FBAD}">
      <dgm:prSet/>
      <dgm:spPr>
        <a:xfrm>
          <a:off x="3073699" y="1083245"/>
          <a:ext cx="1286606" cy="232132"/>
        </a:xfrm>
        <a:custGeom>
          <a:avLst/>
          <a:gdLst/>
          <a:ahLst/>
          <a:cxnLst/>
          <a:rect l="0" t="0" r="0" b="0"/>
          <a:pathLst>
            <a:path>
              <a:moveTo>
                <a:pt x="1286606" y="0"/>
              </a:moveTo>
              <a:lnTo>
                <a:pt x="1286606" y="196335"/>
              </a:lnTo>
              <a:lnTo>
                <a:pt x="0" y="196335"/>
              </a:lnTo>
              <a:lnTo>
                <a:pt x="0" y="232132"/>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fr-FR"/>
        </a:p>
      </dgm:t>
    </dgm:pt>
    <dgm:pt modelId="{0674DB2E-019D-4006-B1BF-0B923B4A8070}" type="sibTrans" cxnId="{B941E7C1-EC4C-4813-8729-5AD45D82FBAD}">
      <dgm:prSet/>
      <dgm:spPr/>
      <dgm:t>
        <a:bodyPr/>
        <a:lstStyle/>
        <a:p>
          <a:pPr algn="ctr"/>
          <a:endParaRPr lang="fr-FR"/>
        </a:p>
      </dgm:t>
    </dgm:pt>
    <dgm:pt modelId="{007C8078-089A-44D0-B371-02A00C7D2BAB}">
      <dgm:prSet custT="1"/>
      <dgm:spPr>
        <a:xfrm>
          <a:off x="3498108" y="1315377"/>
          <a:ext cx="712620" cy="386224"/>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Mécanique</a:t>
          </a:r>
        </a:p>
      </dgm:t>
    </dgm:pt>
    <dgm:pt modelId="{30A57D94-654E-42B4-BD7F-CDA9392FAC91}" type="parTrans" cxnId="{F6D55CEA-FE9F-401B-BFFF-CE824C160BB6}">
      <dgm:prSet/>
      <dgm:spPr>
        <a:xfrm>
          <a:off x="3854419" y="1083245"/>
          <a:ext cx="505886" cy="232132"/>
        </a:xfrm>
        <a:custGeom>
          <a:avLst/>
          <a:gdLst/>
          <a:ahLst/>
          <a:cxnLst/>
          <a:rect l="0" t="0" r="0" b="0"/>
          <a:pathLst>
            <a:path>
              <a:moveTo>
                <a:pt x="505886" y="0"/>
              </a:moveTo>
              <a:lnTo>
                <a:pt x="505886" y="196335"/>
              </a:lnTo>
              <a:lnTo>
                <a:pt x="0" y="196335"/>
              </a:lnTo>
              <a:lnTo>
                <a:pt x="0" y="232132"/>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fr-FR"/>
        </a:p>
      </dgm:t>
    </dgm:pt>
    <dgm:pt modelId="{BED7441E-EADC-4ACE-B8B6-2641B20E1C83}" type="sibTrans" cxnId="{F6D55CEA-FE9F-401B-BFFF-CE824C160BB6}">
      <dgm:prSet/>
      <dgm:spPr/>
      <dgm:t>
        <a:bodyPr/>
        <a:lstStyle/>
        <a:p>
          <a:pPr algn="ctr"/>
          <a:endParaRPr lang="fr-FR"/>
        </a:p>
      </dgm:t>
    </dgm:pt>
    <dgm:pt modelId="{1D40E771-1A92-43AF-A112-D0C5F13D1F59}">
      <dgm:prSet custT="1"/>
      <dgm:spPr>
        <a:xfrm>
          <a:off x="5823288" y="1315377"/>
          <a:ext cx="568752" cy="291561"/>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Qualité</a:t>
          </a:r>
        </a:p>
      </dgm:t>
    </dgm:pt>
    <dgm:pt modelId="{A8AA99EF-8CA2-479C-BE5C-7BB99A8026D6}" type="parTrans" cxnId="{0F97CB62-80A9-4F1E-9DE6-C1A4E11063A3}">
      <dgm:prSet/>
      <dgm:spPr>
        <a:xfrm>
          <a:off x="4360305" y="1083245"/>
          <a:ext cx="1747359" cy="232132"/>
        </a:xfrm>
        <a:custGeom>
          <a:avLst/>
          <a:gdLst/>
          <a:ahLst/>
          <a:cxnLst/>
          <a:rect l="0" t="0" r="0" b="0"/>
          <a:pathLst>
            <a:path>
              <a:moveTo>
                <a:pt x="0" y="0"/>
              </a:moveTo>
              <a:lnTo>
                <a:pt x="0" y="196335"/>
              </a:lnTo>
              <a:lnTo>
                <a:pt x="1747359" y="196335"/>
              </a:lnTo>
              <a:lnTo>
                <a:pt x="1747359" y="232132"/>
              </a:lnTo>
            </a:path>
          </a:pathLst>
        </a:custGeom>
        <a:noFill/>
        <a:ln w="25400" cap="flat" cmpd="sng" algn="ctr">
          <a:solidFill>
            <a:sysClr val="windowText" lastClr="000000"/>
          </a:solidFill>
          <a:prstDash val="solid"/>
        </a:ln>
        <a:effectLst/>
      </dgm:spPr>
      <dgm:t>
        <a:bodyPr/>
        <a:lstStyle/>
        <a:p>
          <a:pPr algn="ctr"/>
          <a:endParaRPr lang="fr-FR"/>
        </a:p>
      </dgm:t>
    </dgm:pt>
    <dgm:pt modelId="{4163BE0B-581A-4EE3-B9D6-1369ADE01DDC}" type="sibTrans" cxnId="{0F97CB62-80A9-4F1E-9DE6-C1A4E11063A3}">
      <dgm:prSet/>
      <dgm:spPr/>
      <dgm:t>
        <a:bodyPr/>
        <a:lstStyle/>
        <a:p>
          <a:pPr algn="ctr"/>
          <a:endParaRPr lang="fr-FR"/>
        </a:p>
      </dgm:t>
    </dgm:pt>
    <dgm:pt modelId="{143A9126-27CA-47F3-A65C-E9BAE3272CD2}">
      <dgm:prSet custT="1"/>
      <dgm:spPr>
        <a:xfrm>
          <a:off x="6501681" y="1322986"/>
          <a:ext cx="340919" cy="253647"/>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HSE</a:t>
          </a:r>
        </a:p>
      </dgm:t>
    </dgm:pt>
    <dgm:pt modelId="{1A684A9E-478E-4881-9341-1BA8ECEA74FD}" type="parTrans" cxnId="{24039D3E-BA08-4BE9-9488-9358EAC39B23}">
      <dgm:prSet/>
      <dgm:spPr>
        <a:xfrm>
          <a:off x="4360305" y="1083245"/>
          <a:ext cx="2311835" cy="239741"/>
        </a:xfrm>
        <a:custGeom>
          <a:avLst/>
          <a:gdLst/>
          <a:ahLst/>
          <a:cxnLst/>
          <a:rect l="0" t="0" r="0" b="0"/>
          <a:pathLst>
            <a:path>
              <a:moveTo>
                <a:pt x="0" y="0"/>
              </a:moveTo>
              <a:lnTo>
                <a:pt x="0" y="203944"/>
              </a:lnTo>
              <a:lnTo>
                <a:pt x="2311835" y="203944"/>
              </a:lnTo>
              <a:lnTo>
                <a:pt x="2311835" y="239741"/>
              </a:lnTo>
            </a:path>
          </a:pathLst>
        </a:custGeom>
        <a:noFill/>
        <a:ln w="25400" cap="flat" cmpd="sng" algn="ctr">
          <a:solidFill>
            <a:sysClr val="windowText" lastClr="000000"/>
          </a:solidFill>
          <a:prstDash val="solid"/>
        </a:ln>
        <a:effectLst/>
      </dgm:spPr>
      <dgm:t>
        <a:bodyPr/>
        <a:lstStyle/>
        <a:p>
          <a:pPr algn="ctr"/>
          <a:endParaRPr lang="fr-FR"/>
        </a:p>
      </dgm:t>
    </dgm:pt>
    <dgm:pt modelId="{724B0574-9EBC-4113-87EB-AD9FDC37D6C5}" type="sibTrans" cxnId="{24039D3E-BA08-4BE9-9488-9358EAC39B23}">
      <dgm:prSet/>
      <dgm:spPr/>
      <dgm:t>
        <a:bodyPr/>
        <a:lstStyle/>
        <a:p>
          <a:pPr algn="ctr"/>
          <a:endParaRPr lang="fr-FR"/>
        </a:p>
      </dgm:t>
    </dgm:pt>
    <dgm:pt modelId="{1FB6A459-4783-4034-8B61-2A154B0B0006}">
      <dgm:prSet custT="1"/>
      <dgm:spPr>
        <a:xfrm>
          <a:off x="4975193" y="1315377"/>
          <a:ext cx="671747" cy="303786"/>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Mat. Prem.</a:t>
          </a:r>
        </a:p>
      </dgm:t>
    </dgm:pt>
    <dgm:pt modelId="{E82790A7-59E8-4625-A323-D5C73EE6AC05}" type="sibTrans" cxnId="{F7784EED-73E3-49CF-A229-AC69FAF2F62F}">
      <dgm:prSet/>
      <dgm:spPr/>
      <dgm:t>
        <a:bodyPr/>
        <a:lstStyle/>
        <a:p>
          <a:pPr algn="ctr"/>
          <a:endParaRPr lang="fr-FR"/>
        </a:p>
      </dgm:t>
    </dgm:pt>
    <dgm:pt modelId="{90D6DFB5-824A-4D9F-8B4A-0C0CA4BDEBA3}" type="parTrans" cxnId="{F7784EED-73E3-49CF-A229-AC69FAF2F62F}">
      <dgm:prSet/>
      <dgm:spPr>
        <a:xfrm>
          <a:off x="4360305" y="1083245"/>
          <a:ext cx="950762" cy="232132"/>
        </a:xfrm>
        <a:custGeom>
          <a:avLst/>
          <a:gdLst/>
          <a:ahLst/>
          <a:cxnLst/>
          <a:rect l="0" t="0" r="0" b="0"/>
          <a:pathLst>
            <a:path>
              <a:moveTo>
                <a:pt x="0" y="0"/>
              </a:moveTo>
              <a:lnTo>
                <a:pt x="0" y="196335"/>
              </a:lnTo>
              <a:lnTo>
                <a:pt x="950762" y="196335"/>
              </a:lnTo>
              <a:lnTo>
                <a:pt x="950762" y="232132"/>
              </a:lnTo>
            </a:path>
          </a:pathLst>
        </a:custGeom>
        <a:noFill/>
        <a:ln w="25400" cap="flat" cmpd="sng" algn="ctr">
          <a:solidFill>
            <a:sysClr val="windowText" lastClr="000000"/>
          </a:solidFill>
          <a:prstDash val="solid"/>
        </a:ln>
        <a:effectLst/>
      </dgm:spPr>
      <dgm:t>
        <a:bodyPr/>
        <a:lstStyle/>
        <a:p>
          <a:pPr algn="ctr"/>
          <a:endParaRPr lang="fr-FR"/>
        </a:p>
      </dgm:t>
    </dgm:pt>
    <dgm:pt modelId="{BE4BD692-713C-4D86-86F4-9B4AED6FB5D1}">
      <dgm:prSet custT="1"/>
      <dgm:spPr>
        <a:xfrm>
          <a:off x="4282322" y="1315377"/>
          <a:ext cx="621278" cy="374215"/>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Dpt CMR/Electr.</a:t>
          </a:r>
        </a:p>
      </dgm:t>
    </dgm:pt>
    <dgm:pt modelId="{0C145357-E1AE-4A41-83B2-9EDAA17633C5}" type="sibTrans" cxnId="{B9D8CA37-7264-4125-A061-08EA31B048D5}">
      <dgm:prSet/>
      <dgm:spPr/>
      <dgm:t>
        <a:bodyPr/>
        <a:lstStyle/>
        <a:p>
          <a:pPr algn="ctr"/>
          <a:endParaRPr lang="fr-FR"/>
        </a:p>
      </dgm:t>
    </dgm:pt>
    <dgm:pt modelId="{2B5EBE36-E6CC-42B4-8434-3709BF2DC783}" type="parTrans" cxnId="{B9D8CA37-7264-4125-A061-08EA31B048D5}">
      <dgm:prSet/>
      <dgm:spPr>
        <a:xfrm>
          <a:off x="4360305" y="1083245"/>
          <a:ext cx="232655" cy="232132"/>
        </a:xfrm>
        <a:custGeom>
          <a:avLst/>
          <a:gdLst/>
          <a:ahLst/>
          <a:cxnLst/>
          <a:rect l="0" t="0" r="0" b="0"/>
          <a:pathLst>
            <a:path>
              <a:moveTo>
                <a:pt x="0" y="0"/>
              </a:moveTo>
              <a:lnTo>
                <a:pt x="0" y="196335"/>
              </a:lnTo>
              <a:lnTo>
                <a:pt x="232655" y="196335"/>
              </a:lnTo>
              <a:lnTo>
                <a:pt x="232655" y="232132"/>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fr-FR"/>
        </a:p>
      </dgm:t>
    </dgm:pt>
    <dgm:pt modelId="{898F7F33-AC0C-4427-8D47-45969FB8C2DC}">
      <dgm:prSet custT="1"/>
      <dgm:spPr>
        <a:xfrm>
          <a:off x="6548864" y="1640618"/>
          <a:ext cx="325690" cy="274051"/>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Env.</a:t>
          </a:r>
        </a:p>
      </dgm:t>
    </dgm:pt>
    <dgm:pt modelId="{DA52C81B-11FA-4FCF-B623-C306D654D468}" type="parTrans" cxnId="{15FDF905-7241-47D5-91AF-92AEE6C97E4F}">
      <dgm:prSet/>
      <dgm:spPr>
        <a:xfrm>
          <a:off x="6490053" y="1576634"/>
          <a:ext cx="91440" cy="201009"/>
        </a:xfrm>
        <a:custGeom>
          <a:avLst/>
          <a:gdLst/>
          <a:ahLst/>
          <a:cxnLst/>
          <a:rect l="0" t="0" r="0" b="0"/>
          <a:pathLst>
            <a:path>
              <a:moveTo>
                <a:pt x="45720" y="0"/>
              </a:moveTo>
              <a:lnTo>
                <a:pt x="45720" y="201009"/>
              </a:lnTo>
              <a:lnTo>
                <a:pt x="58811" y="201009"/>
              </a:lnTo>
            </a:path>
          </a:pathLst>
        </a:custGeom>
        <a:noFill/>
        <a:ln w="25400" cap="flat" cmpd="sng" algn="ctr">
          <a:solidFill>
            <a:sysClr val="windowText" lastClr="000000"/>
          </a:solidFill>
          <a:prstDash val="solid"/>
        </a:ln>
        <a:effectLst/>
      </dgm:spPr>
      <dgm:t>
        <a:bodyPr/>
        <a:lstStyle/>
        <a:p>
          <a:pPr algn="ctr"/>
          <a:endParaRPr lang="fr-FR"/>
        </a:p>
      </dgm:t>
    </dgm:pt>
    <dgm:pt modelId="{BB8C310A-3853-4C6C-B599-7D9C1C27099E}" type="sibTrans" cxnId="{15FDF905-7241-47D5-91AF-92AEE6C97E4F}">
      <dgm:prSet/>
      <dgm:spPr/>
      <dgm:t>
        <a:bodyPr/>
        <a:lstStyle/>
        <a:p>
          <a:pPr algn="ctr"/>
          <a:endParaRPr lang="fr-FR"/>
        </a:p>
      </dgm:t>
    </dgm:pt>
    <dgm:pt modelId="{BCFA7415-13E7-4553-9707-D8A778E81C43}">
      <dgm:prSet custT="1"/>
      <dgm:spPr>
        <a:xfrm>
          <a:off x="6548864" y="1986262"/>
          <a:ext cx="397791" cy="247055"/>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H.S</a:t>
          </a:r>
        </a:p>
      </dgm:t>
    </dgm:pt>
    <dgm:pt modelId="{2AF3E5DB-8E9B-4BA3-860C-30E303043F35}" type="parTrans" cxnId="{163D7804-4A83-4E0C-A821-1732AA089393}">
      <dgm:prSet/>
      <dgm:spPr>
        <a:xfrm>
          <a:off x="6490053" y="1576634"/>
          <a:ext cx="91440" cy="533156"/>
        </a:xfrm>
        <a:custGeom>
          <a:avLst/>
          <a:gdLst/>
          <a:ahLst/>
          <a:cxnLst/>
          <a:rect l="0" t="0" r="0" b="0"/>
          <a:pathLst>
            <a:path>
              <a:moveTo>
                <a:pt x="45720" y="0"/>
              </a:moveTo>
              <a:lnTo>
                <a:pt x="45720" y="533156"/>
              </a:lnTo>
              <a:lnTo>
                <a:pt x="58811" y="533156"/>
              </a:lnTo>
            </a:path>
          </a:pathLst>
        </a:custGeom>
        <a:noFill/>
        <a:ln w="25400" cap="flat" cmpd="sng" algn="ctr">
          <a:solidFill>
            <a:sysClr val="windowText" lastClr="000000"/>
          </a:solidFill>
          <a:prstDash val="solid"/>
        </a:ln>
        <a:effectLst/>
      </dgm:spPr>
      <dgm:t>
        <a:bodyPr/>
        <a:lstStyle/>
        <a:p>
          <a:pPr algn="ctr"/>
          <a:endParaRPr lang="fr-FR"/>
        </a:p>
      </dgm:t>
    </dgm:pt>
    <dgm:pt modelId="{18AD5B86-E338-4AAE-B639-25F87A3BB3A6}" type="sibTrans" cxnId="{163D7804-4A83-4E0C-A821-1732AA089393}">
      <dgm:prSet/>
      <dgm:spPr/>
      <dgm:t>
        <a:bodyPr/>
        <a:lstStyle/>
        <a:p>
          <a:pPr algn="ctr"/>
          <a:endParaRPr lang="fr-FR"/>
        </a:p>
      </dgm:t>
    </dgm:pt>
    <dgm:pt modelId="{B872EB2D-3716-4112-BF93-5F230D1FF224}">
      <dgm:prSet custT="1"/>
      <dgm:spPr>
        <a:xfrm>
          <a:off x="6548864" y="2304911"/>
          <a:ext cx="417664" cy="364823"/>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Sec Indust </a:t>
          </a:r>
        </a:p>
      </dgm:t>
    </dgm:pt>
    <dgm:pt modelId="{DCA9D5F8-91C8-44AC-9EB2-B7F72797E643}" type="parTrans" cxnId="{B143BDC4-3A4C-4307-9CDF-8ED09DDFE96A}">
      <dgm:prSet/>
      <dgm:spPr>
        <a:xfrm>
          <a:off x="6490053" y="1576634"/>
          <a:ext cx="91440" cy="910689"/>
        </a:xfrm>
        <a:custGeom>
          <a:avLst/>
          <a:gdLst/>
          <a:ahLst/>
          <a:cxnLst/>
          <a:rect l="0" t="0" r="0" b="0"/>
          <a:pathLst>
            <a:path>
              <a:moveTo>
                <a:pt x="45720" y="0"/>
              </a:moveTo>
              <a:lnTo>
                <a:pt x="45720" y="910689"/>
              </a:lnTo>
              <a:lnTo>
                <a:pt x="58811" y="910689"/>
              </a:lnTo>
            </a:path>
          </a:pathLst>
        </a:custGeom>
        <a:noFill/>
        <a:ln w="25400" cap="flat" cmpd="sng" algn="ctr">
          <a:solidFill>
            <a:sysClr val="windowText" lastClr="000000"/>
          </a:solidFill>
          <a:prstDash val="solid"/>
        </a:ln>
        <a:effectLst/>
      </dgm:spPr>
      <dgm:t>
        <a:bodyPr/>
        <a:lstStyle/>
        <a:p>
          <a:pPr algn="ctr"/>
          <a:endParaRPr lang="fr-FR"/>
        </a:p>
      </dgm:t>
    </dgm:pt>
    <dgm:pt modelId="{3CF4D544-68DF-438A-AC1F-3FE3EC81377A}" type="sibTrans" cxnId="{B143BDC4-3A4C-4307-9CDF-8ED09DDFE96A}">
      <dgm:prSet/>
      <dgm:spPr/>
      <dgm:t>
        <a:bodyPr/>
        <a:lstStyle/>
        <a:p>
          <a:pPr algn="ctr"/>
          <a:endParaRPr lang="fr-FR"/>
        </a:p>
      </dgm:t>
    </dgm:pt>
    <dgm:pt modelId="{0B0E540C-5EE3-4779-8068-2EAD76CDBA42}">
      <dgm:prSet custT="1"/>
      <dgm:spPr>
        <a:xfrm>
          <a:off x="5965476" y="1678531"/>
          <a:ext cx="427001" cy="59413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Contrôle Qualité</a:t>
          </a:r>
        </a:p>
      </dgm:t>
    </dgm:pt>
    <dgm:pt modelId="{C433E135-F791-47B7-A6C3-27E909B774D9}" type="parTrans" cxnId="{53A3B9CD-BF59-4B74-BA8E-D0C7F36E1B81}">
      <dgm:prSet/>
      <dgm:spPr>
        <a:xfrm>
          <a:off x="5834443" y="1606938"/>
          <a:ext cx="91440" cy="368660"/>
        </a:xfrm>
        <a:custGeom>
          <a:avLst/>
          <a:gdLst/>
          <a:ahLst/>
          <a:cxnLst/>
          <a:rect l="0" t="0" r="0" b="0"/>
          <a:pathLst>
            <a:path>
              <a:moveTo>
                <a:pt x="45720" y="0"/>
              </a:moveTo>
              <a:lnTo>
                <a:pt x="45720" y="368660"/>
              </a:lnTo>
              <a:lnTo>
                <a:pt x="131032" y="368660"/>
              </a:lnTo>
            </a:path>
          </a:pathLst>
        </a:custGeom>
        <a:noFill/>
        <a:ln w="25400" cap="flat" cmpd="sng" algn="ctr">
          <a:solidFill>
            <a:sysClr val="windowText" lastClr="000000"/>
          </a:solidFill>
          <a:prstDash val="solid"/>
        </a:ln>
        <a:effectLst/>
      </dgm:spPr>
      <dgm:t>
        <a:bodyPr/>
        <a:lstStyle/>
        <a:p>
          <a:pPr algn="ctr"/>
          <a:endParaRPr lang="fr-FR"/>
        </a:p>
      </dgm:t>
    </dgm:pt>
    <dgm:pt modelId="{9912954F-4D25-4AC6-8C15-80C01EC107EA}" type="sibTrans" cxnId="{53A3B9CD-BF59-4B74-BA8E-D0C7F36E1B81}">
      <dgm:prSet/>
      <dgm:spPr/>
      <dgm:t>
        <a:bodyPr/>
        <a:lstStyle/>
        <a:p>
          <a:pPr algn="ctr"/>
          <a:endParaRPr lang="fr-FR"/>
        </a:p>
      </dgm:t>
    </dgm:pt>
    <dgm:pt modelId="{ACE54EA4-D994-413A-8D9D-9EBB3F3ED324}">
      <dgm:prSet custT="1"/>
      <dgm:spPr>
        <a:xfrm>
          <a:off x="5143130" y="1690757"/>
          <a:ext cx="709930" cy="370751"/>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Expl. Car.</a:t>
          </a:r>
        </a:p>
      </dgm:t>
    </dgm:pt>
    <dgm:pt modelId="{6B74A58D-71C2-492B-95A7-96AAB6B4037C}" type="parTrans" cxnId="{9BAF5F4F-1FFA-429D-B738-F106160BAE34}">
      <dgm:prSet/>
      <dgm:spPr>
        <a:xfrm>
          <a:off x="5042368" y="1619164"/>
          <a:ext cx="100762" cy="256968"/>
        </a:xfrm>
        <a:custGeom>
          <a:avLst/>
          <a:gdLst/>
          <a:ahLst/>
          <a:cxnLst/>
          <a:rect l="0" t="0" r="0" b="0"/>
          <a:pathLst>
            <a:path>
              <a:moveTo>
                <a:pt x="0" y="0"/>
              </a:moveTo>
              <a:lnTo>
                <a:pt x="0" y="256968"/>
              </a:lnTo>
              <a:lnTo>
                <a:pt x="100762" y="256968"/>
              </a:lnTo>
            </a:path>
          </a:pathLst>
        </a:custGeom>
        <a:noFill/>
        <a:ln w="25400" cap="flat" cmpd="sng" algn="ctr">
          <a:solidFill>
            <a:sysClr val="windowText" lastClr="000000"/>
          </a:solidFill>
          <a:prstDash val="solid"/>
        </a:ln>
        <a:effectLst/>
      </dgm:spPr>
      <dgm:t>
        <a:bodyPr/>
        <a:lstStyle/>
        <a:p>
          <a:pPr algn="ctr"/>
          <a:endParaRPr lang="fr-FR"/>
        </a:p>
      </dgm:t>
    </dgm:pt>
    <dgm:pt modelId="{C65325EA-B644-45FF-B6BB-4792A4F24D2D}" type="sibTrans" cxnId="{9BAF5F4F-1FFA-429D-B738-F106160BAE34}">
      <dgm:prSet/>
      <dgm:spPr/>
      <dgm:t>
        <a:bodyPr/>
        <a:lstStyle/>
        <a:p>
          <a:pPr algn="ctr"/>
          <a:endParaRPr lang="fr-FR"/>
        </a:p>
      </dgm:t>
    </dgm:pt>
    <dgm:pt modelId="{83BF8C45-C75D-43C0-9B3E-471FAD3222A0}">
      <dgm:prSet custT="1"/>
      <dgm:spPr>
        <a:xfrm>
          <a:off x="5143130" y="2133102"/>
          <a:ext cx="750752" cy="359593"/>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EMR</a:t>
          </a:r>
        </a:p>
      </dgm:t>
    </dgm:pt>
    <dgm:pt modelId="{C6B1E089-D923-441C-BB25-E419DA0B3CF5}" type="parTrans" cxnId="{63D4FD90-EFEC-40FA-B54B-DF8D691C26FD}">
      <dgm:prSet/>
      <dgm:spPr>
        <a:xfrm>
          <a:off x="5042368" y="1619164"/>
          <a:ext cx="100762" cy="693734"/>
        </a:xfrm>
        <a:custGeom>
          <a:avLst/>
          <a:gdLst/>
          <a:ahLst/>
          <a:cxnLst/>
          <a:rect l="0" t="0" r="0" b="0"/>
          <a:pathLst>
            <a:path>
              <a:moveTo>
                <a:pt x="0" y="0"/>
              </a:moveTo>
              <a:lnTo>
                <a:pt x="0" y="693734"/>
              </a:lnTo>
              <a:lnTo>
                <a:pt x="100762" y="693734"/>
              </a:lnTo>
            </a:path>
          </a:pathLst>
        </a:custGeom>
        <a:noFill/>
        <a:ln w="25400" cap="flat" cmpd="sng" algn="ctr">
          <a:solidFill>
            <a:sysClr val="windowText" lastClr="000000"/>
          </a:solidFill>
          <a:prstDash val="solid"/>
        </a:ln>
        <a:effectLst/>
      </dgm:spPr>
      <dgm:t>
        <a:bodyPr/>
        <a:lstStyle/>
        <a:p>
          <a:pPr algn="ctr"/>
          <a:endParaRPr lang="fr-FR"/>
        </a:p>
      </dgm:t>
    </dgm:pt>
    <dgm:pt modelId="{64AD1684-A066-4591-BBC8-0AF6B4CB4F17}" type="sibTrans" cxnId="{63D4FD90-EFEC-40FA-B54B-DF8D691C26FD}">
      <dgm:prSet/>
      <dgm:spPr/>
      <dgm:t>
        <a:bodyPr/>
        <a:lstStyle/>
        <a:p>
          <a:pPr algn="ctr"/>
          <a:endParaRPr lang="fr-FR"/>
        </a:p>
      </dgm:t>
    </dgm:pt>
    <dgm:pt modelId="{BA0BEA14-D238-418D-8AC8-46C8AAEA6495}">
      <dgm:prSet custT="1"/>
      <dgm:spPr>
        <a:xfrm>
          <a:off x="5143130" y="2564288"/>
          <a:ext cx="755985" cy="407291"/>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Ajouts</a:t>
          </a:r>
        </a:p>
      </dgm:t>
    </dgm:pt>
    <dgm:pt modelId="{BFF48600-D138-4876-877F-AFA355E1581B}" type="parTrans" cxnId="{F37D874B-EAA6-4037-9749-E7A4231236F2}">
      <dgm:prSet/>
      <dgm:spPr>
        <a:xfrm>
          <a:off x="5042368" y="1619164"/>
          <a:ext cx="100762" cy="1148770"/>
        </a:xfrm>
        <a:custGeom>
          <a:avLst/>
          <a:gdLst/>
          <a:ahLst/>
          <a:cxnLst/>
          <a:rect l="0" t="0" r="0" b="0"/>
          <a:pathLst>
            <a:path>
              <a:moveTo>
                <a:pt x="0" y="0"/>
              </a:moveTo>
              <a:lnTo>
                <a:pt x="0" y="1148770"/>
              </a:lnTo>
              <a:lnTo>
                <a:pt x="100762" y="1148770"/>
              </a:lnTo>
            </a:path>
          </a:pathLst>
        </a:custGeom>
        <a:noFill/>
        <a:ln w="25400" cap="flat" cmpd="sng" algn="ctr">
          <a:solidFill>
            <a:sysClr val="windowText" lastClr="000000"/>
          </a:solidFill>
          <a:prstDash val="solid"/>
        </a:ln>
        <a:effectLst/>
      </dgm:spPr>
      <dgm:t>
        <a:bodyPr/>
        <a:lstStyle/>
        <a:p>
          <a:pPr algn="ctr"/>
          <a:endParaRPr lang="fr-FR"/>
        </a:p>
      </dgm:t>
    </dgm:pt>
    <dgm:pt modelId="{8BC54B76-19FA-4CDB-BE60-4109292A4223}" type="sibTrans" cxnId="{F37D874B-EAA6-4037-9749-E7A4231236F2}">
      <dgm:prSet/>
      <dgm:spPr/>
      <dgm:t>
        <a:bodyPr/>
        <a:lstStyle/>
        <a:p>
          <a:pPr algn="ctr"/>
          <a:endParaRPr lang="fr-FR"/>
        </a:p>
      </dgm:t>
    </dgm:pt>
    <dgm:pt modelId="{51B46897-FCF0-4E13-9A27-75473865638C}">
      <dgm:prSet custT="1"/>
      <dgm:spPr>
        <a:xfrm>
          <a:off x="6946148" y="1315377"/>
          <a:ext cx="320154" cy="437904"/>
        </a:xfrm>
        <a:prstGeom prst="rect">
          <a:avLst/>
        </a:prstGeom>
        <a:noFill/>
        <a:ln w="25400" cap="flat" cmpd="sng" algn="ctr">
          <a:solidFill>
            <a:sysClr val="windowText" lastClr="000000"/>
          </a:solidFill>
          <a:prstDash val="solid"/>
        </a:ln>
        <a:effectLst/>
      </dgm:spPr>
      <dgm:t>
        <a:bodyPr/>
        <a:lstStyle/>
        <a:p>
          <a:pPr algn="ctr"/>
          <a:r>
            <a:rPr lang="fr-FR" sz="1000" b="1">
              <a:solidFill>
                <a:sysClr val="windowText" lastClr="000000"/>
              </a:solidFill>
              <a:latin typeface="Calibri"/>
              <a:ea typeface="+mn-ea"/>
              <a:cs typeface="+mn-cs"/>
            </a:rPr>
            <a:t>DER</a:t>
          </a:r>
        </a:p>
      </dgm:t>
    </dgm:pt>
    <dgm:pt modelId="{1B90DA5C-7678-4F24-8A8E-BEDFE00786F6}" type="parTrans" cxnId="{09652F29-B3F1-4508-9BF0-104FB943335F}">
      <dgm:prSet/>
      <dgm:spPr>
        <a:xfrm>
          <a:off x="4360305" y="1083245"/>
          <a:ext cx="2745919" cy="232132"/>
        </a:xfrm>
        <a:custGeom>
          <a:avLst/>
          <a:gdLst/>
          <a:ahLst/>
          <a:cxnLst/>
          <a:rect l="0" t="0" r="0" b="0"/>
          <a:pathLst>
            <a:path>
              <a:moveTo>
                <a:pt x="0" y="0"/>
              </a:moveTo>
              <a:lnTo>
                <a:pt x="0" y="196335"/>
              </a:lnTo>
              <a:lnTo>
                <a:pt x="2745919" y="196335"/>
              </a:lnTo>
              <a:lnTo>
                <a:pt x="2745919" y="232132"/>
              </a:lnTo>
            </a:path>
          </a:pathLst>
        </a:custGeom>
        <a:noFill/>
        <a:ln w="25400" cap="flat" cmpd="sng" algn="ctr">
          <a:solidFill>
            <a:sysClr val="windowText" lastClr="000000"/>
          </a:solidFill>
          <a:prstDash val="solid"/>
        </a:ln>
        <a:effectLst/>
      </dgm:spPr>
      <dgm:t>
        <a:bodyPr/>
        <a:lstStyle/>
        <a:p>
          <a:pPr algn="ctr"/>
          <a:endParaRPr lang="fr-FR"/>
        </a:p>
      </dgm:t>
    </dgm:pt>
    <dgm:pt modelId="{BC82A382-6686-4F84-865D-525555071438}" type="sibTrans" cxnId="{09652F29-B3F1-4508-9BF0-104FB943335F}">
      <dgm:prSet/>
      <dgm:spPr/>
      <dgm:t>
        <a:bodyPr/>
        <a:lstStyle/>
        <a:p>
          <a:pPr algn="ctr"/>
          <a:endParaRPr lang="fr-FR"/>
        </a:p>
      </dgm:t>
    </dgm:pt>
    <dgm:pt modelId="{7BE7F49C-C97D-415A-AAE4-B32BD1654390}">
      <dgm:prSet custT="1"/>
      <dgm:spPr>
        <a:xfrm>
          <a:off x="4437642" y="1761186"/>
          <a:ext cx="499488" cy="335609"/>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S/Electricité</a:t>
          </a:r>
        </a:p>
      </dgm:t>
    </dgm:pt>
    <dgm:pt modelId="{FB31F30C-C0F4-4B2F-B647-239D93064673}" type="parTrans" cxnId="{75D889E1-0848-4A44-881A-FEC240EF4FA8}">
      <dgm:prSet/>
      <dgm:spPr>
        <a:xfrm>
          <a:off x="4344450" y="1689593"/>
          <a:ext cx="93191" cy="239398"/>
        </a:xfrm>
        <a:custGeom>
          <a:avLst/>
          <a:gdLst/>
          <a:ahLst/>
          <a:cxnLst/>
          <a:rect l="0" t="0" r="0" b="0"/>
          <a:pathLst>
            <a:path>
              <a:moveTo>
                <a:pt x="0" y="0"/>
              </a:moveTo>
              <a:lnTo>
                <a:pt x="0" y="239398"/>
              </a:lnTo>
              <a:lnTo>
                <a:pt x="93191" y="239398"/>
              </a:lnTo>
            </a:path>
          </a:pathLst>
        </a:custGeom>
        <a:noFill/>
        <a:ln w="25400" cap="flat" cmpd="sng" algn="ctr">
          <a:solidFill>
            <a:sysClr val="windowText" lastClr="000000"/>
          </a:solidFill>
          <a:prstDash val="solid"/>
        </a:ln>
        <a:effectLst/>
      </dgm:spPr>
      <dgm:t>
        <a:bodyPr/>
        <a:lstStyle/>
        <a:p>
          <a:pPr algn="ctr"/>
          <a:endParaRPr lang="fr-FR"/>
        </a:p>
      </dgm:t>
    </dgm:pt>
    <dgm:pt modelId="{7864FE75-9D99-4947-B9B1-B6F464B5AB57}" type="sibTrans" cxnId="{75D889E1-0848-4A44-881A-FEC240EF4FA8}">
      <dgm:prSet/>
      <dgm:spPr/>
      <dgm:t>
        <a:bodyPr/>
        <a:lstStyle/>
        <a:p>
          <a:pPr algn="ctr"/>
          <a:endParaRPr lang="fr-FR"/>
        </a:p>
      </dgm:t>
    </dgm:pt>
    <dgm:pt modelId="{EAEFAC95-6399-4D4D-A3F0-F969BD3B6E41}">
      <dgm:prSet custT="1"/>
      <dgm:spPr>
        <a:xfrm>
          <a:off x="4437642" y="2168389"/>
          <a:ext cx="527873" cy="311453"/>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S/Autom.</a:t>
          </a:r>
        </a:p>
      </dgm:t>
    </dgm:pt>
    <dgm:pt modelId="{6E87DA15-E197-4F8A-A9C9-173722F378BC}" type="parTrans" cxnId="{8FC85337-3E8F-45FF-A3A8-A98943215C70}">
      <dgm:prSet/>
      <dgm:spPr>
        <a:xfrm>
          <a:off x="4344450" y="1689593"/>
          <a:ext cx="93191" cy="634522"/>
        </a:xfrm>
        <a:custGeom>
          <a:avLst/>
          <a:gdLst/>
          <a:ahLst/>
          <a:cxnLst/>
          <a:rect l="0" t="0" r="0" b="0"/>
          <a:pathLst>
            <a:path>
              <a:moveTo>
                <a:pt x="0" y="0"/>
              </a:moveTo>
              <a:lnTo>
                <a:pt x="0" y="634522"/>
              </a:lnTo>
              <a:lnTo>
                <a:pt x="93191" y="634522"/>
              </a:lnTo>
            </a:path>
          </a:pathLst>
        </a:custGeom>
        <a:noFill/>
        <a:ln w="25400" cap="flat" cmpd="sng" algn="ctr">
          <a:solidFill>
            <a:sysClr val="windowText" lastClr="000000"/>
          </a:solidFill>
          <a:prstDash val="solid"/>
        </a:ln>
        <a:effectLst/>
      </dgm:spPr>
      <dgm:t>
        <a:bodyPr/>
        <a:lstStyle/>
        <a:p>
          <a:pPr algn="ctr"/>
          <a:endParaRPr lang="fr-FR"/>
        </a:p>
      </dgm:t>
    </dgm:pt>
    <dgm:pt modelId="{ED4FA898-8DD0-4CE8-929E-0DCF346A52A7}" type="sibTrans" cxnId="{8FC85337-3E8F-45FF-A3A8-A98943215C70}">
      <dgm:prSet/>
      <dgm:spPr/>
      <dgm:t>
        <a:bodyPr/>
        <a:lstStyle/>
        <a:p>
          <a:pPr algn="ctr"/>
          <a:endParaRPr lang="fr-FR"/>
        </a:p>
      </dgm:t>
    </dgm:pt>
    <dgm:pt modelId="{7EDA2DCA-8394-43D6-804D-A07D549E577D}">
      <dgm:prSet custT="1"/>
      <dgm:spPr>
        <a:xfrm>
          <a:off x="7026186" y="1824875"/>
          <a:ext cx="386667" cy="39947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S/Suivi Proj.</a:t>
          </a:r>
        </a:p>
      </dgm:t>
    </dgm:pt>
    <dgm:pt modelId="{348103CD-1CD5-4D90-B4A3-C7B48FDDCD4B}" type="parTrans" cxnId="{866FF4C6-A090-4B74-BFD8-61C58D5F1B1D}">
      <dgm:prSet/>
      <dgm:spPr>
        <a:xfrm>
          <a:off x="6932443" y="1753281"/>
          <a:ext cx="91440" cy="271330"/>
        </a:xfrm>
        <a:custGeom>
          <a:avLst/>
          <a:gdLst/>
          <a:ahLst/>
          <a:cxnLst/>
          <a:rect l="0" t="0" r="0" b="0"/>
          <a:pathLst>
            <a:path>
              <a:moveTo>
                <a:pt x="45720" y="0"/>
              </a:moveTo>
              <a:lnTo>
                <a:pt x="45720" y="271330"/>
              </a:lnTo>
              <a:lnTo>
                <a:pt x="93743" y="271330"/>
              </a:lnTo>
            </a:path>
          </a:pathLst>
        </a:custGeom>
        <a:noFill/>
        <a:ln w="25400" cap="flat" cmpd="sng" algn="ctr">
          <a:solidFill>
            <a:sysClr val="windowText" lastClr="000000"/>
          </a:solidFill>
          <a:prstDash val="solid"/>
        </a:ln>
        <a:effectLst/>
      </dgm:spPr>
      <dgm:t>
        <a:bodyPr/>
        <a:lstStyle/>
        <a:p>
          <a:pPr algn="ctr"/>
          <a:endParaRPr lang="fr-FR"/>
        </a:p>
      </dgm:t>
    </dgm:pt>
    <dgm:pt modelId="{A229DA27-E558-43D2-9B9F-26D1D9D7462C}" type="sibTrans" cxnId="{866FF4C6-A090-4B74-BFD8-61C58D5F1B1D}">
      <dgm:prSet/>
      <dgm:spPr/>
      <dgm:t>
        <a:bodyPr/>
        <a:lstStyle/>
        <a:p>
          <a:pPr algn="ctr"/>
          <a:endParaRPr lang="fr-FR"/>
        </a:p>
      </dgm:t>
    </dgm:pt>
    <dgm:pt modelId="{63FD17C9-486E-4F2B-9ADF-5135662568AE}">
      <dgm:prSet custT="1"/>
      <dgm:spPr>
        <a:xfrm>
          <a:off x="7337895" y="1315377"/>
          <a:ext cx="689128" cy="423776"/>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Dpt Méthodes</a:t>
          </a:r>
        </a:p>
        <a:p>
          <a:pPr algn="ctr"/>
          <a:r>
            <a:rPr lang="fr-FR" sz="800" b="1">
              <a:solidFill>
                <a:sysClr val="windowText" lastClr="000000"/>
              </a:solidFill>
              <a:latin typeface="Calibri"/>
              <a:ea typeface="+mn-ea"/>
              <a:cs typeface="+mn-cs"/>
            </a:rPr>
            <a:t>et Planning</a:t>
          </a:r>
        </a:p>
      </dgm:t>
    </dgm:pt>
    <dgm:pt modelId="{976463B1-2674-41C3-A5BA-F608FEBF05C6}" type="parTrans" cxnId="{5C415ABD-B29F-4EA6-A7B1-27F6CED19417}">
      <dgm:prSet/>
      <dgm:spPr>
        <a:xfrm>
          <a:off x="4360305" y="1083245"/>
          <a:ext cx="3322153" cy="232132"/>
        </a:xfrm>
        <a:custGeom>
          <a:avLst/>
          <a:gdLst/>
          <a:ahLst/>
          <a:cxnLst/>
          <a:rect l="0" t="0" r="0" b="0"/>
          <a:pathLst>
            <a:path>
              <a:moveTo>
                <a:pt x="0" y="0"/>
              </a:moveTo>
              <a:lnTo>
                <a:pt x="0" y="196335"/>
              </a:lnTo>
              <a:lnTo>
                <a:pt x="3322153" y="196335"/>
              </a:lnTo>
              <a:lnTo>
                <a:pt x="3322153" y="232132"/>
              </a:lnTo>
            </a:path>
          </a:pathLst>
        </a:custGeom>
        <a:noFill/>
        <a:ln w="25400" cap="flat" cmpd="sng" algn="ctr">
          <a:solidFill>
            <a:sysClr val="windowText" lastClr="000000"/>
          </a:solidFill>
          <a:prstDash val="solid"/>
        </a:ln>
        <a:effectLst/>
      </dgm:spPr>
      <dgm:t>
        <a:bodyPr/>
        <a:lstStyle/>
        <a:p>
          <a:pPr algn="ctr"/>
          <a:endParaRPr lang="fr-FR"/>
        </a:p>
      </dgm:t>
    </dgm:pt>
    <dgm:pt modelId="{623E592E-273C-4B17-A6AD-C7C3841CB25D}" type="sibTrans" cxnId="{5C415ABD-B29F-4EA6-A7B1-27F6CED19417}">
      <dgm:prSet/>
      <dgm:spPr/>
      <dgm:t>
        <a:bodyPr/>
        <a:lstStyle/>
        <a:p>
          <a:pPr algn="ctr"/>
          <a:endParaRPr lang="fr-FR"/>
        </a:p>
      </dgm:t>
    </dgm:pt>
    <dgm:pt modelId="{0FADA6CE-A3FC-4022-8902-B30BEF642726}">
      <dgm:prSet custT="1"/>
      <dgm:spPr>
        <a:xfrm>
          <a:off x="8098616" y="1315377"/>
          <a:ext cx="681208" cy="465522"/>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Dpt Informatique</a:t>
          </a:r>
        </a:p>
        <a:p>
          <a:pPr algn="ctr"/>
          <a:endParaRPr lang="fr-FR" sz="800">
            <a:solidFill>
              <a:sysClr val="window" lastClr="FFFFFF"/>
            </a:solidFill>
            <a:latin typeface="Calibri"/>
            <a:ea typeface="+mn-ea"/>
            <a:cs typeface="+mn-cs"/>
          </a:endParaRPr>
        </a:p>
      </dgm:t>
    </dgm:pt>
    <dgm:pt modelId="{69B5EF6D-EB40-41AD-811E-56CF3AF2AF22}" type="parTrans" cxnId="{9D58EB0D-593A-48E0-92F4-3EE334C4CA36}">
      <dgm:prSet/>
      <dgm:spPr>
        <a:xfrm>
          <a:off x="4360305" y="1083245"/>
          <a:ext cx="4078915" cy="232132"/>
        </a:xfrm>
        <a:custGeom>
          <a:avLst/>
          <a:gdLst/>
          <a:ahLst/>
          <a:cxnLst/>
          <a:rect l="0" t="0" r="0" b="0"/>
          <a:pathLst>
            <a:path>
              <a:moveTo>
                <a:pt x="0" y="0"/>
              </a:moveTo>
              <a:lnTo>
                <a:pt x="0" y="196335"/>
              </a:lnTo>
              <a:lnTo>
                <a:pt x="4078915" y="196335"/>
              </a:lnTo>
              <a:lnTo>
                <a:pt x="4078915" y="232132"/>
              </a:lnTo>
            </a:path>
          </a:pathLst>
        </a:custGeom>
        <a:noFill/>
        <a:ln w="25400" cap="flat" cmpd="sng" algn="ctr">
          <a:solidFill>
            <a:sysClr val="windowText" lastClr="000000"/>
          </a:solidFill>
          <a:prstDash val="solid"/>
        </a:ln>
        <a:effectLst/>
      </dgm:spPr>
      <dgm:t>
        <a:bodyPr/>
        <a:lstStyle/>
        <a:p>
          <a:pPr algn="ctr"/>
          <a:endParaRPr lang="fr-FR"/>
        </a:p>
      </dgm:t>
    </dgm:pt>
    <dgm:pt modelId="{32679CC6-6A23-4809-BEBF-FB151930664D}" type="sibTrans" cxnId="{9D58EB0D-593A-48E0-92F4-3EE334C4CA36}">
      <dgm:prSet/>
      <dgm:spPr/>
      <dgm:t>
        <a:bodyPr/>
        <a:lstStyle/>
        <a:p>
          <a:pPr algn="ctr"/>
          <a:endParaRPr lang="fr-FR"/>
        </a:p>
      </dgm:t>
    </dgm:pt>
    <dgm:pt modelId="{0EE2EA7B-FA52-4C99-87C1-BF559719F025}">
      <dgm:prSet custT="1"/>
      <dgm:spPr>
        <a:xfrm>
          <a:off x="7510177" y="1810747"/>
          <a:ext cx="631314" cy="345358"/>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S/Méthodes</a:t>
          </a:r>
        </a:p>
      </dgm:t>
    </dgm:pt>
    <dgm:pt modelId="{D9C33B38-7AF8-4713-B454-59A45E2FCFE7}" type="parTrans" cxnId="{250EE5B0-1FB3-49E1-A45C-4FF6F72937A6}">
      <dgm:prSet/>
      <dgm:spPr>
        <a:xfrm>
          <a:off x="7406808" y="1739154"/>
          <a:ext cx="103369" cy="244272"/>
        </a:xfrm>
        <a:custGeom>
          <a:avLst/>
          <a:gdLst/>
          <a:ahLst/>
          <a:cxnLst/>
          <a:rect l="0" t="0" r="0" b="0"/>
          <a:pathLst>
            <a:path>
              <a:moveTo>
                <a:pt x="0" y="0"/>
              </a:moveTo>
              <a:lnTo>
                <a:pt x="0" y="244272"/>
              </a:lnTo>
              <a:lnTo>
                <a:pt x="103369" y="244272"/>
              </a:lnTo>
            </a:path>
          </a:pathLst>
        </a:custGeom>
        <a:noFill/>
        <a:ln w="25400" cap="flat" cmpd="sng" algn="ctr">
          <a:solidFill>
            <a:sysClr val="windowText" lastClr="000000"/>
          </a:solidFill>
          <a:prstDash val="solid"/>
        </a:ln>
        <a:effectLst/>
      </dgm:spPr>
      <dgm:t>
        <a:bodyPr/>
        <a:lstStyle/>
        <a:p>
          <a:pPr algn="ctr"/>
          <a:endParaRPr lang="fr-FR"/>
        </a:p>
      </dgm:t>
    </dgm:pt>
    <dgm:pt modelId="{650EA697-845A-4518-AE18-375429D2E561}" type="sibTrans" cxnId="{250EE5B0-1FB3-49E1-A45C-4FF6F72937A6}">
      <dgm:prSet/>
      <dgm:spPr/>
      <dgm:t>
        <a:bodyPr/>
        <a:lstStyle/>
        <a:p>
          <a:pPr algn="ctr"/>
          <a:endParaRPr lang="fr-FR"/>
        </a:p>
      </dgm:t>
    </dgm:pt>
    <dgm:pt modelId="{658B76B5-3927-4392-B854-B3E4236C8708}">
      <dgm:prSet custT="1"/>
      <dgm:spPr>
        <a:xfrm>
          <a:off x="8268918" y="1852492"/>
          <a:ext cx="435337" cy="425803"/>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S/Réseaux et Systèmes</a:t>
          </a:r>
        </a:p>
      </dgm:t>
    </dgm:pt>
    <dgm:pt modelId="{DDFD0972-11A7-4497-9E26-C654E2102371}" type="parTrans" cxnId="{4B5A72EC-1F8B-4F91-A31C-16D278F7B2A2}">
      <dgm:prSet/>
      <dgm:spPr>
        <a:xfrm>
          <a:off x="8166737" y="1780899"/>
          <a:ext cx="102181" cy="284494"/>
        </a:xfrm>
        <a:custGeom>
          <a:avLst/>
          <a:gdLst/>
          <a:ahLst/>
          <a:cxnLst/>
          <a:rect l="0" t="0" r="0" b="0"/>
          <a:pathLst>
            <a:path>
              <a:moveTo>
                <a:pt x="0" y="0"/>
              </a:moveTo>
              <a:lnTo>
                <a:pt x="0" y="284494"/>
              </a:lnTo>
              <a:lnTo>
                <a:pt x="102181" y="284494"/>
              </a:lnTo>
            </a:path>
          </a:pathLst>
        </a:custGeom>
        <a:noFill/>
        <a:ln w="25400" cap="flat" cmpd="sng" algn="ctr">
          <a:solidFill>
            <a:sysClr val="windowText" lastClr="000000"/>
          </a:solidFill>
          <a:prstDash val="solid"/>
        </a:ln>
        <a:effectLst/>
      </dgm:spPr>
      <dgm:t>
        <a:bodyPr/>
        <a:lstStyle/>
        <a:p>
          <a:pPr algn="ctr"/>
          <a:endParaRPr lang="fr-FR"/>
        </a:p>
      </dgm:t>
    </dgm:pt>
    <dgm:pt modelId="{90423277-E70C-49DC-A908-AF0A269D5FC2}" type="sibTrans" cxnId="{4B5A72EC-1F8B-4F91-A31C-16D278F7B2A2}">
      <dgm:prSet/>
      <dgm:spPr/>
      <dgm:t>
        <a:bodyPr/>
        <a:lstStyle/>
        <a:p>
          <a:pPr algn="ctr"/>
          <a:endParaRPr lang="fr-FR"/>
        </a:p>
      </dgm:t>
    </dgm:pt>
    <dgm:pt modelId="{5826AE1B-1DEF-498C-9A04-8F7D0B6D8B21}">
      <dgm:prSet custT="1"/>
      <dgm:spPr>
        <a:xfrm>
          <a:off x="8268918" y="2349889"/>
          <a:ext cx="620371" cy="278565"/>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Suivi Applicatifs</a:t>
          </a:r>
        </a:p>
      </dgm:t>
    </dgm:pt>
    <dgm:pt modelId="{A127C38E-F6FB-4207-9058-86C232D2FAD3}" type="parTrans" cxnId="{017DCD78-C68B-4C6B-BB63-99ABDA9BD73B}">
      <dgm:prSet/>
      <dgm:spPr>
        <a:xfrm>
          <a:off x="8166737" y="1780899"/>
          <a:ext cx="102181" cy="708272"/>
        </a:xfrm>
        <a:custGeom>
          <a:avLst/>
          <a:gdLst/>
          <a:ahLst/>
          <a:cxnLst/>
          <a:rect l="0" t="0" r="0" b="0"/>
          <a:pathLst>
            <a:path>
              <a:moveTo>
                <a:pt x="0" y="0"/>
              </a:moveTo>
              <a:lnTo>
                <a:pt x="0" y="708272"/>
              </a:lnTo>
              <a:lnTo>
                <a:pt x="102181" y="708272"/>
              </a:lnTo>
            </a:path>
          </a:pathLst>
        </a:custGeom>
        <a:noFill/>
        <a:ln w="25400" cap="flat" cmpd="sng" algn="ctr">
          <a:solidFill>
            <a:sysClr val="windowText" lastClr="000000"/>
          </a:solidFill>
          <a:prstDash val="solid"/>
        </a:ln>
        <a:effectLst/>
      </dgm:spPr>
      <dgm:t>
        <a:bodyPr/>
        <a:lstStyle/>
        <a:p>
          <a:pPr algn="ctr"/>
          <a:endParaRPr lang="fr-FR"/>
        </a:p>
      </dgm:t>
    </dgm:pt>
    <dgm:pt modelId="{9AA6B1FE-EDED-4BE8-9820-92ACF2404A1A}" type="sibTrans" cxnId="{017DCD78-C68B-4C6B-BB63-99ABDA9BD73B}">
      <dgm:prSet/>
      <dgm:spPr/>
      <dgm:t>
        <a:bodyPr/>
        <a:lstStyle/>
        <a:p>
          <a:pPr algn="ctr"/>
          <a:endParaRPr lang="fr-FR"/>
        </a:p>
      </dgm:t>
    </dgm:pt>
    <dgm:pt modelId="{0AAC6C29-F343-4540-9FF0-B35234EB3E71}">
      <dgm:prSet custT="1"/>
      <dgm:spPr>
        <a:xfrm>
          <a:off x="88479" y="1573363"/>
          <a:ext cx="321040" cy="371273"/>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C.G</a:t>
          </a:r>
        </a:p>
      </dgm:t>
    </dgm:pt>
    <dgm:pt modelId="{AE441F75-F254-49CC-B4C4-10A15AB60B9F}" type="parTrans" cxnId="{C15287F1-F785-49B6-872F-D72F44C36E19}">
      <dgm:prSet/>
      <dgm:spPr>
        <a:xfrm>
          <a:off x="-8378" y="1501770"/>
          <a:ext cx="91440" cy="257229"/>
        </a:xfrm>
        <a:custGeom>
          <a:avLst/>
          <a:gdLst/>
          <a:ahLst/>
          <a:cxnLst/>
          <a:rect l="0" t="0" r="0" b="0"/>
          <a:pathLst>
            <a:path>
              <a:moveTo>
                <a:pt x="45720" y="0"/>
              </a:moveTo>
              <a:lnTo>
                <a:pt x="45720" y="257229"/>
              </a:lnTo>
              <a:lnTo>
                <a:pt x="96857" y="257229"/>
              </a:lnTo>
            </a:path>
          </a:pathLst>
        </a:custGeom>
        <a:noFill/>
        <a:ln w="25400" cap="flat" cmpd="sng" algn="ctr">
          <a:solidFill>
            <a:sysClr val="windowText" lastClr="000000"/>
          </a:solidFill>
          <a:prstDash val="solid"/>
        </a:ln>
        <a:effectLst/>
      </dgm:spPr>
      <dgm:t>
        <a:bodyPr/>
        <a:lstStyle/>
        <a:p>
          <a:pPr algn="ctr"/>
          <a:endParaRPr lang="fr-FR"/>
        </a:p>
      </dgm:t>
    </dgm:pt>
    <dgm:pt modelId="{B5130A16-5D1E-45B6-AEE5-90AEF018C05B}" type="sibTrans" cxnId="{C15287F1-F785-49B6-872F-D72F44C36E19}">
      <dgm:prSet/>
      <dgm:spPr/>
      <dgm:t>
        <a:bodyPr/>
        <a:lstStyle/>
        <a:p>
          <a:pPr algn="ctr"/>
          <a:endParaRPr lang="fr-FR"/>
        </a:p>
      </dgm:t>
    </dgm:pt>
    <dgm:pt modelId="{A72E3D2F-EC63-4FDB-82D1-B11D3C3C0FC2}">
      <dgm:prSet custT="1"/>
      <dgm:spPr>
        <a:xfrm>
          <a:off x="88479" y="2016229"/>
          <a:ext cx="403386" cy="25546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S/Budget</a:t>
          </a:r>
        </a:p>
      </dgm:t>
    </dgm:pt>
    <dgm:pt modelId="{C9EE3A53-A9AB-464F-8D1B-80A0261A47B8}" type="parTrans" cxnId="{345A4B77-6A73-4C75-B7F1-C1BABE9FEA97}">
      <dgm:prSet/>
      <dgm:spPr>
        <a:xfrm>
          <a:off x="-8378" y="1501770"/>
          <a:ext cx="91440" cy="642191"/>
        </a:xfrm>
        <a:custGeom>
          <a:avLst/>
          <a:gdLst/>
          <a:ahLst/>
          <a:cxnLst/>
          <a:rect l="0" t="0" r="0" b="0"/>
          <a:pathLst>
            <a:path>
              <a:moveTo>
                <a:pt x="45720" y="0"/>
              </a:moveTo>
              <a:lnTo>
                <a:pt x="45720" y="642191"/>
              </a:lnTo>
              <a:lnTo>
                <a:pt x="96857" y="642191"/>
              </a:lnTo>
            </a:path>
          </a:pathLst>
        </a:custGeom>
        <a:noFill/>
        <a:ln w="25400" cap="flat" cmpd="sng" algn="ctr">
          <a:solidFill>
            <a:sysClr val="windowText" lastClr="000000"/>
          </a:solidFill>
          <a:prstDash val="solid"/>
        </a:ln>
        <a:effectLst/>
      </dgm:spPr>
      <dgm:t>
        <a:bodyPr/>
        <a:lstStyle/>
        <a:p>
          <a:pPr algn="ctr"/>
          <a:endParaRPr lang="fr-FR"/>
        </a:p>
      </dgm:t>
    </dgm:pt>
    <dgm:pt modelId="{3D1AD9F3-EBE0-4461-A0DF-0224865309E5}" type="sibTrans" cxnId="{345A4B77-6A73-4C75-B7F1-C1BABE9FEA97}">
      <dgm:prSet/>
      <dgm:spPr/>
      <dgm:t>
        <a:bodyPr/>
        <a:lstStyle/>
        <a:p>
          <a:pPr algn="ctr"/>
          <a:endParaRPr lang="fr-FR"/>
        </a:p>
      </dgm:t>
    </dgm:pt>
    <dgm:pt modelId="{B6F30F0D-F70E-470D-B89B-75CF3938FA2F}">
      <dgm:prSet custT="1"/>
      <dgm:spPr>
        <a:xfrm>
          <a:off x="88479" y="2343287"/>
          <a:ext cx="451575" cy="331442"/>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C.A</a:t>
          </a:r>
        </a:p>
      </dgm:t>
    </dgm:pt>
    <dgm:pt modelId="{C7AE52CA-2D13-4075-B012-CC9E60827119}" type="parTrans" cxnId="{92DE1F1E-D5F3-445E-85CD-E8641872511A}">
      <dgm:prSet/>
      <dgm:spPr>
        <a:xfrm>
          <a:off x="-8378" y="1501770"/>
          <a:ext cx="91440" cy="1007238"/>
        </a:xfrm>
        <a:custGeom>
          <a:avLst/>
          <a:gdLst/>
          <a:ahLst/>
          <a:cxnLst/>
          <a:rect l="0" t="0" r="0" b="0"/>
          <a:pathLst>
            <a:path>
              <a:moveTo>
                <a:pt x="45720" y="0"/>
              </a:moveTo>
              <a:lnTo>
                <a:pt x="45720" y="1007238"/>
              </a:lnTo>
              <a:lnTo>
                <a:pt x="96857" y="1007238"/>
              </a:lnTo>
            </a:path>
          </a:pathLst>
        </a:custGeom>
        <a:noFill/>
        <a:ln w="25400" cap="flat" cmpd="sng" algn="ctr">
          <a:solidFill>
            <a:sysClr val="windowText" lastClr="000000"/>
          </a:solidFill>
          <a:prstDash val="solid"/>
        </a:ln>
        <a:effectLst/>
      </dgm:spPr>
      <dgm:t>
        <a:bodyPr/>
        <a:lstStyle/>
        <a:p>
          <a:pPr algn="ctr"/>
          <a:endParaRPr lang="fr-FR"/>
        </a:p>
      </dgm:t>
    </dgm:pt>
    <dgm:pt modelId="{0B12E2C0-B049-497F-91CA-2742F131A9D5}" type="sibTrans" cxnId="{92DE1F1E-D5F3-445E-85CD-E8641872511A}">
      <dgm:prSet/>
      <dgm:spPr/>
      <dgm:t>
        <a:bodyPr/>
        <a:lstStyle/>
        <a:p>
          <a:pPr algn="ctr"/>
          <a:endParaRPr lang="fr-FR"/>
        </a:p>
      </dgm:t>
    </dgm:pt>
    <dgm:pt modelId="{7C7D7D2B-BFD4-4A87-8470-46EC8DE33CE8}">
      <dgm:prSet custT="1"/>
      <dgm:spPr>
        <a:xfrm>
          <a:off x="611648" y="1557430"/>
          <a:ext cx="340919" cy="282199"/>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S/Pers.</a:t>
          </a:r>
        </a:p>
      </dgm:t>
    </dgm:pt>
    <dgm:pt modelId="{E8257639-7F74-4D79-A9BC-CDECE9CF706D}" type="parTrans" cxnId="{12F5FE60-A260-4066-B6BD-46E770FA000B}">
      <dgm:prSet/>
      <dgm:spPr>
        <a:xfrm>
          <a:off x="514790" y="1485837"/>
          <a:ext cx="91440" cy="212692"/>
        </a:xfrm>
        <a:custGeom>
          <a:avLst/>
          <a:gdLst/>
          <a:ahLst/>
          <a:cxnLst/>
          <a:rect l="0" t="0" r="0" b="0"/>
          <a:pathLst>
            <a:path>
              <a:moveTo>
                <a:pt x="45720" y="0"/>
              </a:moveTo>
              <a:lnTo>
                <a:pt x="45720" y="212692"/>
              </a:lnTo>
              <a:lnTo>
                <a:pt x="96857" y="212692"/>
              </a:lnTo>
            </a:path>
          </a:pathLst>
        </a:custGeom>
        <a:noFill/>
        <a:ln w="25400" cap="flat" cmpd="sng" algn="ctr">
          <a:solidFill>
            <a:sysClr val="windowText" lastClr="000000"/>
          </a:solidFill>
          <a:prstDash val="solid"/>
        </a:ln>
        <a:effectLst/>
      </dgm:spPr>
      <dgm:t>
        <a:bodyPr/>
        <a:lstStyle/>
        <a:p>
          <a:pPr algn="ctr"/>
          <a:endParaRPr lang="fr-FR"/>
        </a:p>
      </dgm:t>
    </dgm:pt>
    <dgm:pt modelId="{64D82D6D-B60E-4B62-B0FA-0255B1EA4937}" type="sibTrans" cxnId="{12F5FE60-A260-4066-B6BD-46E770FA000B}">
      <dgm:prSet/>
      <dgm:spPr/>
      <dgm:t>
        <a:bodyPr/>
        <a:lstStyle/>
        <a:p>
          <a:pPr algn="ctr"/>
          <a:endParaRPr lang="fr-FR"/>
        </a:p>
      </dgm:t>
    </dgm:pt>
    <dgm:pt modelId="{59DBF16C-CEAF-4FCE-9252-981E32F5F3EB}">
      <dgm:prSet custT="1"/>
      <dgm:spPr>
        <a:xfrm>
          <a:off x="611648" y="1911223"/>
          <a:ext cx="497353" cy="393663"/>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S/Formation et Social</a:t>
          </a:r>
        </a:p>
      </dgm:t>
    </dgm:pt>
    <dgm:pt modelId="{7EFE5E92-B133-4C0C-8990-A1D0BDBF9FE8}" type="parTrans" cxnId="{82E46604-C122-4AEE-886F-15F97A74F7FE}">
      <dgm:prSet/>
      <dgm:spPr>
        <a:xfrm>
          <a:off x="514790" y="1485837"/>
          <a:ext cx="91440" cy="622217"/>
        </a:xfrm>
        <a:custGeom>
          <a:avLst/>
          <a:gdLst/>
          <a:ahLst/>
          <a:cxnLst/>
          <a:rect l="0" t="0" r="0" b="0"/>
          <a:pathLst>
            <a:path>
              <a:moveTo>
                <a:pt x="45720" y="0"/>
              </a:moveTo>
              <a:lnTo>
                <a:pt x="45720" y="622217"/>
              </a:lnTo>
              <a:lnTo>
                <a:pt x="96857" y="622217"/>
              </a:lnTo>
            </a:path>
          </a:pathLst>
        </a:custGeom>
        <a:noFill/>
        <a:ln w="25400" cap="flat" cmpd="sng" algn="ctr">
          <a:solidFill>
            <a:sysClr val="windowText" lastClr="000000"/>
          </a:solidFill>
          <a:prstDash val="solid"/>
        </a:ln>
        <a:effectLst/>
      </dgm:spPr>
      <dgm:t>
        <a:bodyPr/>
        <a:lstStyle/>
        <a:p>
          <a:pPr algn="ctr"/>
          <a:endParaRPr lang="fr-FR"/>
        </a:p>
      </dgm:t>
    </dgm:pt>
    <dgm:pt modelId="{41E11ABC-DF88-41C4-92BB-D3BC0E4BC309}" type="sibTrans" cxnId="{82E46604-C122-4AEE-886F-15F97A74F7FE}">
      <dgm:prSet/>
      <dgm:spPr/>
      <dgm:t>
        <a:bodyPr/>
        <a:lstStyle/>
        <a:p>
          <a:pPr algn="ctr"/>
          <a:endParaRPr lang="fr-FR"/>
        </a:p>
      </dgm:t>
    </dgm:pt>
    <dgm:pt modelId="{68D38671-4E3D-46FB-A0AE-32CAF1366F40}">
      <dgm:prSet custT="1"/>
      <dgm:spPr>
        <a:xfrm>
          <a:off x="611648" y="2376479"/>
          <a:ext cx="412222" cy="353455"/>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S/MGX</a:t>
          </a:r>
        </a:p>
      </dgm:t>
    </dgm:pt>
    <dgm:pt modelId="{10191DA5-BE20-46F0-A265-8F886BB09C25}" type="parTrans" cxnId="{74DFCA5E-8388-455E-AA04-E6AFD1BA00B4}">
      <dgm:prSet/>
      <dgm:spPr>
        <a:xfrm>
          <a:off x="514790" y="1485837"/>
          <a:ext cx="91440" cy="1067369"/>
        </a:xfrm>
        <a:custGeom>
          <a:avLst/>
          <a:gdLst/>
          <a:ahLst/>
          <a:cxnLst/>
          <a:rect l="0" t="0" r="0" b="0"/>
          <a:pathLst>
            <a:path>
              <a:moveTo>
                <a:pt x="45720" y="0"/>
              </a:moveTo>
              <a:lnTo>
                <a:pt x="45720" y="1067369"/>
              </a:lnTo>
              <a:lnTo>
                <a:pt x="96857" y="1067369"/>
              </a:lnTo>
            </a:path>
          </a:pathLst>
        </a:custGeom>
        <a:noFill/>
        <a:ln w="25400" cap="flat" cmpd="sng" algn="ctr">
          <a:solidFill>
            <a:sysClr val="windowText" lastClr="000000"/>
          </a:solidFill>
          <a:prstDash val="solid"/>
        </a:ln>
        <a:effectLst/>
      </dgm:spPr>
      <dgm:t>
        <a:bodyPr/>
        <a:lstStyle/>
        <a:p>
          <a:pPr algn="ctr"/>
          <a:endParaRPr lang="fr-FR"/>
        </a:p>
      </dgm:t>
    </dgm:pt>
    <dgm:pt modelId="{3892D20F-3907-419A-901B-C84F3D1956DA}" type="sibTrans" cxnId="{74DFCA5E-8388-455E-AA04-E6AFD1BA00B4}">
      <dgm:prSet/>
      <dgm:spPr/>
      <dgm:t>
        <a:bodyPr/>
        <a:lstStyle/>
        <a:p>
          <a:pPr algn="ctr"/>
          <a:endParaRPr lang="fr-FR"/>
        </a:p>
      </dgm:t>
    </dgm:pt>
    <dgm:pt modelId="{2D7B1959-30E9-474A-B542-D3CC7937FAA9}">
      <dgm:prSet custT="1"/>
      <dgm:spPr>
        <a:xfrm>
          <a:off x="1180595" y="1669407"/>
          <a:ext cx="340919" cy="301819"/>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Achats</a:t>
          </a:r>
        </a:p>
      </dgm:t>
    </dgm:pt>
    <dgm:pt modelId="{DBC5518E-BE0F-4ADF-8260-CCB838509709}" type="parTrans" cxnId="{1965C084-50AB-42EB-A70B-3C0123734ED7}">
      <dgm:prSet/>
      <dgm:spPr>
        <a:xfrm>
          <a:off x="1058561" y="1597814"/>
          <a:ext cx="91440" cy="222502"/>
        </a:xfrm>
        <a:custGeom>
          <a:avLst/>
          <a:gdLst/>
          <a:ahLst/>
          <a:cxnLst/>
          <a:rect l="0" t="0" r="0" b="0"/>
          <a:pathLst>
            <a:path>
              <a:moveTo>
                <a:pt x="45720" y="0"/>
              </a:moveTo>
              <a:lnTo>
                <a:pt x="45720" y="222502"/>
              </a:lnTo>
              <a:lnTo>
                <a:pt x="122034" y="222502"/>
              </a:lnTo>
            </a:path>
          </a:pathLst>
        </a:custGeom>
        <a:noFill/>
        <a:ln w="25400" cap="flat" cmpd="sng" algn="ctr">
          <a:solidFill>
            <a:sysClr val="windowText" lastClr="000000"/>
          </a:solidFill>
          <a:prstDash val="solid"/>
        </a:ln>
        <a:effectLst/>
      </dgm:spPr>
      <dgm:t>
        <a:bodyPr/>
        <a:lstStyle/>
        <a:p>
          <a:pPr algn="ctr"/>
          <a:endParaRPr lang="fr-FR"/>
        </a:p>
      </dgm:t>
    </dgm:pt>
    <dgm:pt modelId="{1F9D7AD7-AE52-474D-B30C-AB2727B94FF6}" type="sibTrans" cxnId="{1965C084-50AB-42EB-A70B-3C0123734ED7}">
      <dgm:prSet/>
      <dgm:spPr/>
      <dgm:t>
        <a:bodyPr/>
        <a:lstStyle/>
        <a:p>
          <a:pPr algn="ctr"/>
          <a:endParaRPr lang="fr-FR"/>
        </a:p>
      </dgm:t>
    </dgm:pt>
    <dgm:pt modelId="{BBFE3582-4BB7-4E2F-8BC5-9AD6E1366FA4}">
      <dgm:prSet custT="1"/>
      <dgm:spPr>
        <a:xfrm>
          <a:off x="1180595" y="2042819"/>
          <a:ext cx="340919" cy="283048"/>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GDS</a:t>
          </a:r>
        </a:p>
      </dgm:t>
    </dgm:pt>
    <dgm:pt modelId="{8AD1597B-BCF4-42A9-B698-388BE39B54AC}" type="parTrans" cxnId="{DA2A92EE-9C46-478D-AE0A-472818DFDDA8}">
      <dgm:prSet/>
      <dgm:spPr>
        <a:xfrm>
          <a:off x="1058561" y="1597814"/>
          <a:ext cx="91440" cy="586530"/>
        </a:xfrm>
        <a:custGeom>
          <a:avLst/>
          <a:gdLst/>
          <a:ahLst/>
          <a:cxnLst/>
          <a:rect l="0" t="0" r="0" b="0"/>
          <a:pathLst>
            <a:path>
              <a:moveTo>
                <a:pt x="45720" y="0"/>
              </a:moveTo>
              <a:lnTo>
                <a:pt x="45720" y="586530"/>
              </a:lnTo>
              <a:lnTo>
                <a:pt x="122034" y="586530"/>
              </a:lnTo>
            </a:path>
          </a:pathLst>
        </a:custGeom>
        <a:noFill/>
        <a:ln w="25400" cap="flat" cmpd="sng" algn="ctr">
          <a:solidFill>
            <a:sysClr val="windowText" lastClr="000000"/>
          </a:solidFill>
          <a:prstDash val="solid"/>
        </a:ln>
        <a:effectLst/>
      </dgm:spPr>
      <dgm:t>
        <a:bodyPr/>
        <a:lstStyle/>
        <a:p>
          <a:pPr algn="ctr"/>
          <a:endParaRPr lang="fr-FR"/>
        </a:p>
      </dgm:t>
    </dgm:pt>
    <dgm:pt modelId="{1CFD9AFC-0879-46E4-A4AE-CE20EECFEF7B}" type="sibTrans" cxnId="{DA2A92EE-9C46-478D-AE0A-472818DFDDA8}">
      <dgm:prSet/>
      <dgm:spPr/>
      <dgm:t>
        <a:bodyPr/>
        <a:lstStyle/>
        <a:p>
          <a:pPr algn="ctr"/>
          <a:endParaRPr lang="fr-FR"/>
        </a:p>
      </dgm:t>
    </dgm:pt>
    <dgm:pt modelId="{06B5FC51-15D3-462F-991D-11265CDFC33D}">
      <dgm:prSet custT="1"/>
      <dgm:spPr>
        <a:xfrm>
          <a:off x="1863009" y="2472494"/>
          <a:ext cx="378969" cy="314961"/>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Fact</a:t>
          </a:r>
        </a:p>
      </dgm:t>
    </dgm:pt>
    <dgm:pt modelId="{F0E6B4CA-EE32-4753-98DF-8163DC415CF7}" type="parTrans" cxnId="{2B990B78-3F9B-478F-802F-4C7CF289E4D4}">
      <dgm:prSet/>
      <dgm:spPr>
        <a:xfrm>
          <a:off x="1716150" y="2051820"/>
          <a:ext cx="146858" cy="578155"/>
        </a:xfrm>
        <a:custGeom>
          <a:avLst/>
          <a:gdLst/>
          <a:ahLst/>
          <a:cxnLst/>
          <a:rect l="0" t="0" r="0" b="0"/>
          <a:pathLst>
            <a:path>
              <a:moveTo>
                <a:pt x="0" y="0"/>
              </a:moveTo>
              <a:lnTo>
                <a:pt x="0" y="578155"/>
              </a:lnTo>
              <a:lnTo>
                <a:pt x="146858" y="578155"/>
              </a:lnTo>
            </a:path>
          </a:pathLst>
        </a:custGeom>
        <a:noFill/>
        <a:ln w="25400" cap="flat" cmpd="sng" algn="ctr">
          <a:solidFill>
            <a:sysClr val="windowText" lastClr="000000"/>
          </a:solidFill>
          <a:prstDash val="solid"/>
        </a:ln>
        <a:effectLst/>
      </dgm:spPr>
      <dgm:t>
        <a:bodyPr/>
        <a:lstStyle/>
        <a:p>
          <a:pPr algn="ctr"/>
          <a:endParaRPr lang="fr-FR"/>
        </a:p>
      </dgm:t>
    </dgm:pt>
    <dgm:pt modelId="{11DB4E25-30A9-4F69-87D3-C69FF636B7BA}" type="sibTrans" cxnId="{2B990B78-3F9B-478F-802F-4C7CF289E4D4}">
      <dgm:prSet/>
      <dgm:spPr/>
      <dgm:t>
        <a:bodyPr/>
        <a:lstStyle/>
        <a:p>
          <a:pPr algn="ctr"/>
          <a:endParaRPr lang="fr-FR"/>
        </a:p>
      </dgm:t>
    </dgm:pt>
    <dgm:pt modelId="{DA4FBE95-9630-4747-A015-4DAAA15F0E2C}">
      <dgm:prSet custT="1"/>
      <dgm:spPr>
        <a:xfrm>
          <a:off x="1824615" y="3084629"/>
          <a:ext cx="985959" cy="542969"/>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 Marketing et Prog</a:t>
          </a:r>
        </a:p>
      </dgm:t>
    </dgm:pt>
    <dgm:pt modelId="{EB9B4E52-E1F2-4F25-9E6F-DF9EC53741A6}" type="parTrans" cxnId="{ADCD04F1-5A24-4963-87F9-30A9C5DC1745}">
      <dgm:prSet/>
      <dgm:spPr>
        <a:xfrm>
          <a:off x="1716150" y="2051820"/>
          <a:ext cx="108464" cy="1304293"/>
        </a:xfrm>
        <a:custGeom>
          <a:avLst/>
          <a:gdLst/>
          <a:ahLst/>
          <a:cxnLst/>
          <a:rect l="0" t="0" r="0" b="0"/>
          <a:pathLst>
            <a:path>
              <a:moveTo>
                <a:pt x="0" y="0"/>
              </a:moveTo>
              <a:lnTo>
                <a:pt x="0" y="1304293"/>
              </a:lnTo>
              <a:lnTo>
                <a:pt x="108464" y="1304293"/>
              </a:lnTo>
            </a:path>
          </a:pathLst>
        </a:custGeom>
        <a:noFill/>
        <a:ln w="25400" cap="flat" cmpd="sng" algn="ctr">
          <a:solidFill>
            <a:sysClr val="windowText" lastClr="000000"/>
          </a:solidFill>
          <a:prstDash val="solid"/>
        </a:ln>
        <a:effectLst/>
      </dgm:spPr>
      <dgm:t>
        <a:bodyPr/>
        <a:lstStyle/>
        <a:p>
          <a:pPr algn="ctr"/>
          <a:endParaRPr lang="fr-FR"/>
        </a:p>
      </dgm:t>
    </dgm:pt>
    <dgm:pt modelId="{7183266D-148F-448A-B4D9-E0C8C5BF886F}" type="sibTrans" cxnId="{ADCD04F1-5A24-4963-87F9-30A9C5DC1745}">
      <dgm:prSet/>
      <dgm:spPr/>
      <dgm:t>
        <a:bodyPr/>
        <a:lstStyle/>
        <a:p>
          <a:pPr algn="ctr"/>
          <a:endParaRPr lang="fr-FR"/>
        </a:p>
      </dgm:t>
    </dgm:pt>
    <dgm:pt modelId="{5AB2E7E8-6CD5-45BA-B0B2-B6B8F8734757}">
      <dgm:prSet custT="1"/>
      <dgm:spPr>
        <a:xfrm>
          <a:off x="2897291" y="1815994"/>
          <a:ext cx="460517" cy="25778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S/Fab.</a:t>
          </a:r>
        </a:p>
      </dgm:t>
    </dgm:pt>
    <dgm:pt modelId="{5D725CEF-A0D6-4338-ABB3-70DD501A1030}" type="parTrans" cxnId="{37BEE9B9-CBDB-4DCC-99EC-B28A5A1C6C9E}">
      <dgm:prSet/>
      <dgm:spPr>
        <a:xfrm>
          <a:off x="2791446" y="1744400"/>
          <a:ext cx="105844" cy="200485"/>
        </a:xfrm>
        <a:custGeom>
          <a:avLst/>
          <a:gdLst/>
          <a:ahLst/>
          <a:cxnLst/>
          <a:rect l="0" t="0" r="0" b="0"/>
          <a:pathLst>
            <a:path>
              <a:moveTo>
                <a:pt x="0" y="0"/>
              </a:moveTo>
              <a:lnTo>
                <a:pt x="0" y="200485"/>
              </a:lnTo>
              <a:lnTo>
                <a:pt x="105844" y="200485"/>
              </a:lnTo>
            </a:path>
          </a:pathLst>
        </a:custGeom>
        <a:noFill/>
        <a:ln w="25400" cap="flat" cmpd="sng" algn="ctr">
          <a:solidFill>
            <a:sysClr val="windowText" lastClr="000000"/>
          </a:solidFill>
          <a:prstDash val="solid"/>
        </a:ln>
        <a:effectLst/>
      </dgm:spPr>
      <dgm:t>
        <a:bodyPr/>
        <a:lstStyle/>
        <a:p>
          <a:pPr algn="ctr"/>
          <a:endParaRPr lang="fr-FR"/>
        </a:p>
      </dgm:t>
    </dgm:pt>
    <dgm:pt modelId="{4F65A178-632F-4C1A-ADDF-0570DAF3ABD9}" type="sibTrans" cxnId="{37BEE9B9-CBDB-4DCC-99EC-B28A5A1C6C9E}">
      <dgm:prSet/>
      <dgm:spPr/>
      <dgm:t>
        <a:bodyPr/>
        <a:lstStyle/>
        <a:p>
          <a:pPr algn="ctr"/>
          <a:endParaRPr lang="fr-FR"/>
        </a:p>
      </dgm:t>
    </dgm:pt>
    <dgm:pt modelId="{899B14F1-5388-4CBE-AD62-D88291FC6B5F}">
      <dgm:prSet custT="1"/>
      <dgm:spPr>
        <a:xfrm>
          <a:off x="2897291" y="2145371"/>
          <a:ext cx="477372" cy="288198"/>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S/Proc.</a:t>
          </a:r>
        </a:p>
      </dgm:t>
    </dgm:pt>
    <dgm:pt modelId="{61BB7602-D536-4541-A648-E5AA7D3BC841}" type="parTrans" cxnId="{458DBD8A-C158-45AD-A98B-131128C2B44A}">
      <dgm:prSet/>
      <dgm:spPr>
        <a:xfrm>
          <a:off x="2791446" y="1744400"/>
          <a:ext cx="105844" cy="545069"/>
        </a:xfrm>
        <a:custGeom>
          <a:avLst/>
          <a:gdLst/>
          <a:ahLst/>
          <a:cxnLst/>
          <a:rect l="0" t="0" r="0" b="0"/>
          <a:pathLst>
            <a:path>
              <a:moveTo>
                <a:pt x="0" y="0"/>
              </a:moveTo>
              <a:lnTo>
                <a:pt x="0" y="545069"/>
              </a:lnTo>
              <a:lnTo>
                <a:pt x="105844" y="545069"/>
              </a:lnTo>
            </a:path>
          </a:pathLst>
        </a:custGeom>
        <a:noFill/>
        <a:ln w="25400" cap="flat" cmpd="sng" algn="ctr">
          <a:solidFill>
            <a:sysClr val="windowText" lastClr="000000"/>
          </a:solidFill>
          <a:prstDash val="solid"/>
        </a:ln>
        <a:effectLst/>
      </dgm:spPr>
      <dgm:t>
        <a:bodyPr/>
        <a:lstStyle/>
        <a:p>
          <a:pPr algn="ctr"/>
          <a:endParaRPr lang="fr-FR"/>
        </a:p>
      </dgm:t>
    </dgm:pt>
    <dgm:pt modelId="{62E339EC-E679-43DA-8859-D6AACCC27A49}" type="sibTrans" cxnId="{458DBD8A-C158-45AD-A98B-131128C2B44A}">
      <dgm:prSet/>
      <dgm:spPr/>
      <dgm:t>
        <a:bodyPr/>
        <a:lstStyle/>
        <a:p>
          <a:pPr algn="ctr"/>
          <a:endParaRPr lang="fr-FR"/>
        </a:p>
      </dgm:t>
    </dgm:pt>
    <dgm:pt modelId="{4112AC6B-74BE-4359-A3B2-6BFEF96D7F94}">
      <dgm:prSet custT="1"/>
      <dgm:spPr>
        <a:xfrm>
          <a:off x="2897291" y="2505163"/>
          <a:ext cx="476697" cy="288908"/>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S/Exp</a:t>
          </a:r>
          <a:r>
            <a:rPr lang="fr-FR" sz="800">
              <a:solidFill>
                <a:sysClr val="window" lastClr="FFFFFF"/>
              </a:solidFill>
              <a:latin typeface="Calibri"/>
              <a:ea typeface="+mn-ea"/>
              <a:cs typeface="+mn-cs"/>
            </a:rPr>
            <a:t>.</a:t>
          </a:r>
        </a:p>
      </dgm:t>
    </dgm:pt>
    <dgm:pt modelId="{09A29835-3F8C-4D96-8723-6F56A9363B3A}" type="parTrans" cxnId="{948B95E0-D131-48ED-873F-2F1129DEED75}">
      <dgm:prSet/>
      <dgm:spPr>
        <a:xfrm>
          <a:off x="2791446" y="1744400"/>
          <a:ext cx="105844" cy="905216"/>
        </a:xfrm>
        <a:custGeom>
          <a:avLst/>
          <a:gdLst/>
          <a:ahLst/>
          <a:cxnLst/>
          <a:rect l="0" t="0" r="0" b="0"/>
          <a:pathLst>
            <a:path>
              <a:moveTo>
                <a:pt x="0" y="0"/>
              </a:moveTo>
              <a:lnTo>
                <a:pt x="0" y="905216"/>
              </a:lnTo>
              <a:lnTo>
                <a:pt x="105844" y="905216"/>
              </a:lnTo>
            </a:path>
          </a:pathLst>
        </a:custGeom>
        <a:noFill/>
        <a:ln w="25400" cap="flat" cmpd="sng" algn="ctr">
          <a:solidFill>
            <a:sysClr val="windowText" lastClr="000000"/>
          </a:solidFill>
          <a:prstDash val="solid"/>
        </a:ln>
        <a:effectLst/>
      </dgm:spPr>
      <dgm:t>
        <a:bodyPr/>
        <a:lstStyle/>
        <a:p>
          <a:pPr algn="ctr"/>
          <a:endParaRPr lang="fr-FR"/>
        </a:p>
      </dgm:t>
    </dgm:pt>
    <dgm:pt modelId="{EDBBB53E-ABD0-412C-8E1E-248916F62176}" type="sibTrans" cxnId="{948B95E0-D131-48ED-873F-2F1129DEED75}">
      <dgm:prSet/>
      <dgm:spPr/>
      <dgm:t>
        <a:bodyPr/>
        <a:lstStyle/>
        <a:p>
          <a:pPr algn="ctr"/>
          <a:endParaRPr lang="fr-FR"/>
        </a:p>
      </dgm:t>
    </dgm:pt>
    <dgm:pt modelId="{E024E318-872D-421F-A223-28F8A531F9C1}">
      <dgm:prSet custT="1"/>
      <dgm:spPr>
        <a:xfrm>
          <a:off x="2897291" y="2865665"/>
          <a:ext cx="514774" cy="489860"/>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S/Entret.</a:t>
          </a:r>
        </a:p>
      </dgm:t>
    </dgm:pt>
    <dgm:pt modelId="{7103D4B8-77E0-4564-B91B-382075186FCE}" type="parTrans" cxnId="{5F70F569-56DE-45CF-A052-2EEA935CBCC2}">
      <dgm:prSet/>
      <dgm:spPr>
        <a:xfrm>
          <a:off x="2791446" y="1744400"/>
          <a:ext cx="105844" cy="1366194"/>
        </a:xfrm>
        <a:custGeom>
          <a:avLst/>
          <a:gdLst/>
          <a:ahLst/>
          <a:cxnLst/>
          <a:rect l="0" t="0" r="0" b="0"/>
          <a:pathLst>
            <a:path>
              <a:moveTo>
                <a:pt x="0" y="0"/>
              </a:moveTo>
              <a:lnTo>
                <a:pt x="0" y="1366194"/>
              </a:lnTo>
              <a:lnTo>
                <a:pt x="105844" y="1366194"/>
              </a:lnTo>
            </a:path>
          </a:pathLst>
        </a:custGeom>
        <a:noFill/>
        <a:ln w="25400" cap="flat" cmpd="sng" algn="ctr">
          <a:solidFill>
            <a:sysClr val="windowText" lastClr="000000"/>
          </a:solidFill>
          <a:prstDash val="solid"/>
        </a:ln>
        <a:effectLst/>
      </dgm:spPr>
      <dgm:t>
        <a:bodyPr/>
        <a:lstStyle/>
        <a:p>
          <a:pPr algn="ctr"/>
          <a:endParaRPr lang="fr-FR"/>
        </a:p>
      </dgm:t>
    </dgm:pt>
    <dgm:pt modelId="{AAC97AF3-1308-46F6-8B50-77FB3DD89265}" type="sibTrans" cxnId="{5F70F569-56DE-45CF-A052-2EEA935CBCC2}">
      <dgm:prSet/>
      <dgm:spPr/>
      <dgm:t>
        <a:bodyPr/>
        <a:lstStyle/>
        <a:p>
          <a:pPr algn="ctr"/>
          <a:endParaRPr lang="fr-FR"/>
        </a:p>
      </dgm:t>
    </dgm:pt>
    <dgm:pt modelId="{926784E8-B7D4-4771-9768-9CC0ABF6151B}">
      <dgm:prSet custT="1"/>
      <dgm:spPr>
        <a:xfrm>
          <a:off x="3676263" y="1773195"/>
          <a:ext cx="589426" cy="383389"/>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S/Dépous.</a:t>
          </a:r>
        </a:p>
      </dgm:t>
    </dgm:pt>
    <dgm:pt modelId="{F062658C-8D06-4A7B-B2FB-2E14094CD8EA}" type="parTrans" cxnId="{123AC4E7-CA67-4D3E-B283-BA6CCA64C667}">
      <dgm:prSet/>
      <dgm:spPr>
        <a:xfrm>
          <a:off x="3569370" y="1701601"/>
          <a:ext cx="106893" cy="263287"/>
        </a:xfrm>
        <a:custGeom>
          <a:avLst/>
          <a:gdLst/>
          <a:ahLst/>
          <a:cxnLst/>
          <a:rect l="0" t="0" r="0" b="0"/>
          <a:pathLst>
            <a:path>
              <a:moveTo>
                <a:pt x="0" y="0"/>
              </a:moveTo>
              <a:lnTo>
                <a:pt x="0" y="263287"/>
              </a:lnTo>
              <a:lnTo>
                <a:pt x="106893" y="263287"/>
              </a:lnTo>
            </a:path>
          </a:pathLst>
        </a:custGeom>
        <a:noFill/>
        <a:ln w="25400" cap="flat" cmpd="sng" algn="ctr">
          <a:solidFill>
            <a:sysClr val="windowText" lastClr="000000"/>
          </a:solidFill>
          <a:prstDash val="solid"/>
        </a:ln>
        <a:effectLst/>
      </dgm:spPr>
      <dgm:t>
        <a:bodyPr/>
        <a:lstStyle/>
        <a:p>
          <a:pPr algn="ctr"/>
          <a:endParaRPr lang="fr-FR"/>
        </a:p>
      </dgm:t>
    </dgm:pt>
    <dgm:pt modelId="{21599740-2982-4AF9-9FAA-4E3BE987954A}" type="sibTrans" cxnId="{123AC4E7-CA67-4D3E-B283-BA6CCA64C667}">
      <dgm:prSet/>
      <dgm:spPr/>
      <dgm:t>
        <a:bodyPr/>
        <a:lstStyle/>
        <a:p>
          <a:pPr algn="ctr"/>
          <a:endParaRPr lang="fr-FR"/>
        </a:p>
      </dgm:t>
    </dgm:pt>
    <dgm:pt modelId="{E6F9FD29-9BFA-403E-9111-2CA0E93366CC}">
      <dgm:prSet custT="1"/>
      <dgm:spPr>
        <a:xfrm>
          <a:off x="3676263" y="2228177"/>
          <a:ext cx="592293" cy="356128"/>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S/Transp</a:t>
          </a:r>
        </a:p>
      </dgm:t>
    </dgm:pt>
    <dgm:pt modelId="{05708339-74CC-4819-A64D-1B95F7301109}" type="parTrans" cxnId="{5066BEBB-BA13-4E02-AA2A-83E4BD0CDA40}">
      <dgm:prSet/>
      <dgm:spPr>
        <a:xfrm>
          <a:off x="3569370" y="1701601"/>
          <a:ext cx="106893" cy="704639"/>
        </a:xfrm>
        <a:custGeom>
          <a:avLst/>
          <a:gdLst/>
          <a:ahLst/>
          <a:cxnLst/>
          <a:rect l="0" t="0" r="0" b="0"/>
          <a:pathLst>
            <a:path>
              <a:moveTo>
                <a:pt x="0" y="0"/>
              </a:moveTo>
              <a:lnTo>
                <a:pt x="0" y="704639"/>
              </a:lnTo>
              <a:lnTo>
                <a:pt x="106893" y="704639"/>
              </a:lnTo>
            </a:path>
          </a:pathLst>
        </a:custGeom>
        <a:noFill/>
        <a:ln w="25400" cap="flat" cmpd="sng" algn="ctr">
          <a:solidFill>
            <a:sysClr val="windowText" lastClr="000000"/>
          </a:solidFill>
          <a:prstDash val="solid"/>
        </a:ln>
        <a:effectLst/>
      </dgm:spPr>
      <dgm:t>
        <a:bodyPr/>
        <a:lstStyle/>
        <a:p>
          <a:pPr algn="ctr"/>
          <a:endParaRPr lang="fr-FR"/>
        </a:p>
      </dgm:t>
    </dgm:pt>
    <dgm:pt modelId="{0A7C0E60-3275-486E-B211-A2DB608BB0BE}" type="sibTrans" cxnId="{5066BEBB-BA13-4E02-AA2A-83E4BD0CDA40}">
      <dgm:prSet/>
      <dgm:spPr/>
      <dgm:t>
        <a:bodyPr/>
        <a:lstStyle/>
        <a:p>
          <a:pPr algn="ctr"/>
          <a:endParaRPr lang="fr-FR"/>
        </a:p>
      </dgm:t>
    </dgm:pt>
    <dgm:pt modelId="{958144C5-2649-4B6B-9B3C-36F1F55CE2C7}">
      <dgm:prSet custT="1"/>
      <dgm:spPr>
        <a:xfrm>
          <a:off x="3676263" y="2655898"/>
          <a:ext cx="725408" cy="331280"/>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 C/Z Conc.</a:t>
          </a:r>
        </a:p>
      </dgm:t>
    </dgm:pt>
    <dgm:pt modelId="{1B9E9CFF-2982-420F-8088-2BD1B3290D85}" type="parTrans" cxnId="{FAAC6FDE-E3D9-4878-BFA3-6BCBD2285B5C}">
      <dgm:prSet/>
      <dgm:spPr>
        <a:xfrm>
          <a:off x="3569370" y="1701601"/>
          <a:ext cx="106893" cy="1119937"/>
        </a:xfrm>
        <a:custGeom>
          <a:avLst/>
          <a:gdLst/>
          <a:ahLst/>
          <a:cxnLst/>
          <a:rect l="0" t="0" r="0" b="0"/>
          <a:pathLst>
            <a:path>
              <a:moveTo>
                <a:pt x="0" y="0"/>
              </a:moveTo>
              <a:lnTo>
                <a:pt x="0" y="1119937"/>
              </a:lnTo>
              <a:lnTo>
                <a:pt x="106893" y="1119937"/>
              </a:lnTo>
            </a:path>
          </a:pathLst>
        </a:custGeom>
        <a:noFill/>
        <a:ln w="25400" cap="flat" cmpd="sng" algn="ctr">
          <a:solidFill>
            <a:sysClr val="windowText" lastClr="000000"/>
          </a:solidFill>
          <a:prstDash val="solid"/>
        </a:ln>
        <a:effectLst/>
      </dgm:spPr>
      <dgm:t>
        <a:bodyPr/>
        <a:lstStyle/>
        <a:p>
          <a:pPr algn="ctr"/>
          <a:endParaRPr lang="fr-FR"/>
        </a:p>
      </dgm:t>
    </dgm:pt>
    <dgm:pt modelId="{513DD7C4-B33A-475C-8538-9D520E74CB9D}" type="sibTrans" cxnId="{FAAC6FDE-E3D9-4878-BFA3-6BCBD2285B5C}">
      <dgm:prSet/>
      <dgm:spPr/>
      <dgm:t>
        <a:bodyPr/>
        <a:lstStyle/>
        <a:p>
          <a:pPr algn="ctr"/>
          <a:endParaRPr lang="fr-FR"/>
        </a:p>
      </dgm:t>
    </dgm:pt>
    <dgm:pt modelId="{E648BD26-D463-4560-92D2-AB05284CEDC9}">
      <dgm:prSet custT="1"/>
      <dgm:spPr>
        <a:xfrm>
          <a:off x="3699091" y="3051162"/>
          <a:ext cx="732227" cy="37433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C/Z Cru</a:t>
          </a:r>
        </a:p>
      </dgm:t>
    </dgm:pt>
    <dgm:pt modelId="{592D668E-851B-47C0-8FFC-E82B7AB8FCE2}" type="parTrans" cxnId="{F47D065C-4BCB-4550-B0B5-BC5893A56500}">
      <dgm:prSet/>
      <dgm:spPr>
        <a:xfrm>
          <a:off x="3569370" y="1701601"/>
          <a:ext cx="129721" cy="1536728"/>
        </a:xfrm>
        <a:custGeom>
          <a:avLst/>
          <a:gdLst/>
          <a:ahLst/>
          <a:cxnLst/>
          <a:rect l="0" t="0" r="0" b="0"/>
          <a:pathLst>
            <a:path>
              <a:moveTo>
                <a:pt x="0" y="0"/>
              </a:moveTo>
              <a:lnTo>
                <a:pt x="0" y="1536728"/>
              </a:lnTo>
              <a:lnTo>
                <a:pt x="129721" y="1536728"/>
              </a:lnTo>
            </a:path>
          </a:pathLst>
        </a:custGeom>
        <a:noFill/>
        <a:ln w="25400" cap="flat" cmpd="sng" algn="ctr">
          <a:solidFill>
            <a:sysClr val="windowText" lastClr="000000"/>
          </a:solidFill>
          <a:prstDash val="solid"/>
        </a:ln>
        <a:effectLst/>
      </dgm:spPr>
      <dgm:t>
        <a:bodyPr/>
        <a:lstStyle/>
        <a:p>
          <a:pPr algn="ctr"/>
          <a:endParaRPr lang="fr-FR"/>
        </a:p>
      </dgm:t>
    </dgm:pt>
    <dgm:pt modelId="{9FD49235-BD7A-4943-9FE2-D30A0D79B2BF}" type="sibTrans" cxnId="{F47D065C-4BCB-4550-B0B5-BC5893A56500}">
      <dgm:prSet/>
      <dgm:spPr/>
      <dgm:t>
        <a:bodyPr/>
        <a:lstStyle/>
        <a:p>
          <a:pPr algn="ctr"/>
          <a:endParaRPr lang="fr-FR"/>
        </a:p>
      </dgm:t>
    </dgm:pt>
    <dgm:pt modelId="{BCFDC88C-3AC8-445D-B7C4-17E5EBD0F84F}">
      <dgm:prSet custT="1"/>
      <dgm:spPr>
        <a:xfrm>
          <a:off x="3676263" y="3504700"/>
          <a:ext cx="735629" cy="272725"/>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C/Z Cuis.</a:t>
          </a:r>
        </a:p>
      </dgm:t>
    </dgm:pt>
    <dgm:pt modelId="{38E42C72-809F-416C-9B52-F08F7ADA14E5}" type="parTrans" cxnId="{69387032-727E-427C-AC26-7DF24A768248}">
      <dgm:prSet/>
      <dgm:spPr>
        <a:xfrm>
          <a:off x="3569370" y="1701601"/>
          <a:ext cx="106893" cy="1939460"/>
        </a:xfrm>
        <a:custGeom>
          <a:avLst/>
          <a:gdLst/>
          <a:ahLst/>
          <a:cxnLst/>
          <a:rect l="0" t="0" r="0" b="0"/>
          <a:pathLst>
            <a:path>
              <a:moveTo>
                <a:pt x="0" y="0"/>
              </a:moveTo>
              <a:lnTo>
                <a:pt x="0" y="1939460"/>
              </a:lnTo>
              <a:lnTo>
                <a:pt x="106893" y="1939460"/>
              </a:lnTo>
            </a:path>
          </a:pathLst>
        </a:custGeom>
        <a:noFill/>
        <a:ln w="25400" cap="flat" cmpd="sng" algn="ctr">
          <a:solidFill>
            <a:sysClr val="windowText" lastClr="000000"/>
          </a:solidFill>
          <a:prstDash val="solid"/>
        </a:ln>
        <a:effectLst/>
      </dgm:spPr>
      <dgm:t>
        <a:bodyPr/>
        <a:lstStyle/>
        <a:p>
          <a:pPr algn="ctr"/>
          <a:endParaRPr lang="fr-FR"/>
        </a:p>
      </dgm:t>
    </dgm:pt>
    <dgm:pt modelId="{1C310DCB-539E-4FB5-A4D0-23E6ED1DF833}" type="sibTrans" cxnId="{69387032-727E-427C-AC26-7DF24A768248}">
      <dgm:prSet/>
      <dgm:spPr/>
      <dgm:t>
        <a:bodyPr/>
        <a:lstStyle/>
        <a:p>
          <a:pPr algn="ctr"/>
          <a:endParaRPr lang="fr-FR"/>
        </a:p>
      </dgm:t>
    </dgm:pt>
    <dgm:pt modelId="{B605E823-A02B-41B3-888E-550FD7582BED}">
      <dgm:prSet custT="1"/>
      <dgm:spPr>
        <a:xfrm>
          <a:off x="3676263" y="3849018"/>
          <a:ext cx="691384" cy="310328"/>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C/Z BK</a:t>
          </a:r>
        </a:p>
      </dgm:t>
    </dgm:pt>
    <dgm:pt modelId="{2A01E0F2-78E8-44E8-BB88-E75FB2A05F4C}" type="parTrans" cxnId="{83E7BC9C-20AE-4C77-B6E2-148DEAD1233C}">
      <dgm:prSet/>
      <dgm:spPr>
        <a:xfrm>
          <a:off x="3569370" y="1701601"/>
          <a:ext cx="106893" cy="2302581"/>
        </a:xfrm>
        <a:custGeom>
          <a:avLst/>
          <a:gdLst/>
          <a:ahLst/>
          <a:cxnLst/>
          <a:rect l="0" t="0" r="0" b="0"/>
          <a:pathLst>
            <a:path>
              <a:moveTo>
                <a:pt x="0" y="0"/>
              </a:moveTo>
              <a:lnTo>
                <a:pt x="0" y="2302581"/>
              </a:lnTo>
              <a:lnTo>
                <a:pt x="106893" y="2302581"/>
              </a:lnTo>
            </a:path>
          </a:pathLst>
        </a:custGeom>
        <a:noFill/>
        <a:ln w="25400" cap="flat" cmpd="sng" algn="ctr">
          <a:solidFill>
            <a:sysClr val="windowText" lastClr="000000"/>
          </a:solidFill>
          <a:prstDash val="solid"/>
        </a:ln>
        <a:effectLst/>
      </dgm:spPr>
      <dgm:t>
        <a:bodyPr/>
        <a:lstStyle/>
        <a:p>
          <a:pPr algn="ctr"/>
          <a:endParaRPr lang="fr-FR"/>
        </a:p>
      </dgm:t>
    </dgm:pt>
    <dgm:pt modelId="{4CABFB24-21AD-41B7-89E9-D9E60EAC5332}" type="sibTrans" cxnId="{83E7BC9C-20AE-4C77-B6E2-148DEAD1233C}">
      <dgm:prSet/>
      <dgm:spPr/>
      <dgm:t>
        <a:bodyPr/>
        <a:lstStyle/>
        <a:p>
          <a:pPr algn="ctr"/>
          <a:endParaRPr lang="fr-FR"/>
        </a:p>
      </dgm:t>
    </dgm:pt>
    <dgm:pt modelId="{114874F8-431E-466E-A4E6-33D076603C7A}">
      <dgm:prSet custT="1"/>
      <dgm:spPr>
        <a:xfrm>
          <a:off x="3676263" y="4230940"/>
          <a:ext cx="655482" cy="39328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C/Z Exped.</a:t>
          </a:r>
        </a:p>
      </dgm:t>
    </dgm:pt>
    <dgm:pt modelId="{6CC1204A-52F5-4A9D-BA4E-BA1715986273}" type="parTrans" cxnId="{C49948DA-073D-46B4-B99A-EFD52A0E1C66}">
      <dgm:prSet/>
      <dgm:spPr>
        <a:xfrm>
          <a:off x="3569370" y="1701601"/>
          <a:ext cx="106893" cy="2725981"/>
        </a:xfrm>
        <a:custGeom>
          <a:avLst/>
          <a:gdLst/>
          <a:ahLst/>
          <a:cxnLst/>
          <a:rect l="0" t="0" r="0" b="0"/>
          <a:pathLst>
            <a:path>
              <a:moveTo>
                <a:pt x="0" y="0"/>
              </a:moveTo>
              <a:lnTo>
                <a:pt x="0" y="2725981"/>
              </a:lnTo>
              <a:lnTo>
                <a:pt x="106893" y="2725981"/>
              </a:lnTo>
            </a:path>
          </a:pathLst>
        </a:custGeom>
        <a:noFill/>
        <a:ln w="25400" cap="flat" cmpd="sng" algn="ctr">
          <a:solidFill>
            <a:sysClr val="windowText" lastClr="000000"/>
          </a:solidFill>
          <a:prstDash val="solid"/>
        </a:ln>
        <a:effectLst/>
      </dgm:spPr>
      <dgm:t>
        <a:bodyPr/>
        <a:lstStyle/>
        <a:p>
          <a:pPr algn="ctr"/>
          <a:endParaRPr lang="fr-FR"/>
        </a:p>
      </dgm:t>
    </dgm:pt>
    <dgm:pt modelId="{187113EC-A5A0-422F-9F50-3C63D633DAB4}" type="sibTrans" cxnId="{C49948DA-073D-46B4-B99A-EFD52A0E1C66}">
      <dgm:prSet/>
      <dgm:spPr/>
      <dgm:t>
        <a:bodyPr/>
        <a:lstStyle/>
        <a:p>
          <a:pPr algn="ctr"/>
          <a:endParaRPr lang="fr-FR"/>
        </a:p>
      </dgm:t>
    </dgm:pt>
    <dgm:pt modelId="{E9C4A51D-3956-4EC9-9C87-29147CFAA25F}">
      <dgm:prSet custT="1"/>
      <dgm:spPr>
        <a:xfrm>
          <a:off x="7510177" y="2227698"/>
          <a:ext cx="574623" cy="239194"/>
        </a:xfrm>
        <a:prstGeom prst="rect">
          <a:avLst/>
        </a:prstGeom>
        <a:noFill/>
        <a:ln w="25400" cap="flat" cmpd="sng" algn="ctr">
          <a:solidFill>
            <a:sysClr val="windowText" lastClr="000000"/>
          </a:solidFill>
          <a:prstDash val="solid"/>
        </a:ln>
        <a:effectLst/>
      </dgm:spPr>
      <dgm:t>
        <a:bodyPr/>
        <a:lstStyle/>
        <a:p>
          <a:pPr algn="ctr"/>
          <a:r>
            <a:rPr lang="fr-FR" sz="800" b="1">
              <a:solidFill>
                <a:sysClr val="windowText" lastClr="000000"/>
              </a:solidFill>
              <a:latin typeface="Calibri"/>
              <a:ea typeface="+mn-ea"/>
              <a:cs typeface="+mn-cs"/>
            </a:rPr>
            <a:t>S/Systèmes</a:t>
          </a:r>
        </a:p>
      </dgm:t>
    </dgm:pt>
    <dgm:pt modelId="{961B35DD-0896-41BB-B147-6BC51B14A081}" type="parTrans" cxnId="{A3E04826-4943-481C-8DDB-8479941EDA3A}">
      <dgm:prSet/>
      <dgm:spPr>
        <a:xfrm>
          <a:off x="7406808" y="1739154"/>
          <a:ext cx="103369" cy="608141"/>
        </a:xfrm>
        <a:custGeom>
          <a:avLst/>
          <a:gdLst/>
          <a:ahLst/>
          <a:cxnLst/>
          <a:rect l="0" t="0" r="0" b="0"/>
          <a:pathLst>
            <a:path>
              <a:moveTo>
                <a:pt x="0" y="0"/>
              </a:moveTo>
              <a:lnTo>
                <a:pt x="0" y="608141"/>
              </a:lnTo>
              <a:lnTo>
                <a:pt x="103369" y="608141"/>
              </a:lnTo>
            </a:path>
          </a:pathLst>
        </a:custGeom>
        <a:noFill/>
        <a:ln w="25400" cap="flat" cmpd="sng" algn="ctr">
          <a:solidFill>
            <a:srgbClr val="4F81BD">
              <a:shade val="80000"/>
              <a:hueOff val="0"/>
              <a:satOff val="0"/>
              <a:lumOff val="0"/>
              <a:alphaOff val="0"/>
            </a:srgbClr>
          </a:solidFill>
          <a:prstDash val="solid"/>
        </a:ln>
        <a:effectLst/>
      </dgm:spPr>
      <dgm:t>
        <a:bodyPr/>
        <a:lstStyle/>
        <a:p>
          <a:pPr algn="ctr"/>
          <a:endParaRPr lang="fr-FR">
            <a:solidFill>
              <a:schemeClr val="tx1"/>
            </a:solidFill>
          </a:endParaRPr>
        </a:p>
      </dgm:t>
    </dgm:pt>
    <dgm:pt modelId="{1FEFB98C-6084-439D-AE08-D9E0165E9EB5}" type="sibTrans" cxnId="{A3E04826-4943-481C-8DDB-8479941EDA3A}">
      <dgm:prSet/>
      <dgm:spPr/>
      <dgm:t>
        <a:bodyPr/>
        <a:lstStyle/>
        <a:p>
          <a:pPr algn="ctr"/>
          <a:endParaRPr lang="fr-FR"/>
        </a:p>
      </dgm:t>
    </dgm:pt>
    <dgm:pt modelId="{1B74A4F6-BC85-4EF6-A76B-A710569A014C}" type="pres">
      <dgm:prSet presAssocID="{28D9F284-9490-4755-82A1-C6629389A0B8}" presName="hierChild1" presStyleCnt="0">
        <dgm:presLayoutVars>
          <dgm:orgChart val="1"/>
          <dgm:chPref val="1"/>
          <dgm:dir/>
          <dgm:animOne val="branch"/>
          <dgm:animLvl val="lvl"/>
          <dgm:resizeHandles/>
        </dgm:presLayoutVars>
      </dgm:prSet>
      <dgm:spPr/>
    </dgm:pt>
    <dgm:pt modelId="{1F2394A2-D358-484C-AEDF-9749B136F17E}" type="pres">
      <dgm:prSet presAssocID="{0A57AB70-7E60-4E66-B2DF-4F41EFFA9B3B}" presName="hierRoot1" presStyleCnt="0">
        <dgm:presLayoutVars>
          <dgm:hierBranch val="init"/>
        </dgm:presLayoutVars>
      </dgm:prSet>
      <dgm:spPr/>
    </dgm:pt>
    <dgm:pt modelId="{B34EE89B-1DFE-482C-B561-40B18826C6F0}" type="pres">
      <dgm:prSet presAssocID="{0A57AB70-7E60-4E66-B2DF-4F41EFFA9B3B}" presName="rootComposite1" presStyleCnt="0"/>
      <dgm:spPr/>
    </dgm:pt>
    <dgm:pt modelId="{CE8BBD88-BF7E-4CBE-936B-1D246C2CFEA1}" type="pres">
      <dgm:prSet presAssocID="{0A57AB70-7E60-4E66-B2DF-4F41EFFA9B3B}" presName="rootText1" presStyleLbl="node0" presStyleIdx="0" presStyleCnt="1" custScaleX="258368" custScaleY="235757" custLinFactNeighborX="-9161" custLinFactNeighborY="-94180">
        <dgm:presLayoutVars>
          <dgm:chPref val="3"/>
        </dgm:presLayoutVars>
      </dgm:prSet>
      <dgm:spPr/>
    </dgm:pt>
    <dgm:pt modelId="{68E1C9AF-1099-4AC8-BC3C-DCF356898F11}" type="pres">
      <dgm:prSet presAssocID="{0A57AB70-7E60-4E66-B2DF-4F41EFFA9B3B}" presName="rootConnector1" presStyleLbl="node1" presStyleIdx="0" presStyleCnt="0"/>
      <dgm:spPr/>
    </dgm:pt>
    <dgm:pt modelId="{9B6AD594-4C99-4252-9045-F3BA0D6B9EC9}" type="pres">
      <dgm:prSet presAssocID="{0A57AB70-7E60-4E66-B2DF-4F41EFFA9B3B}" presName="hierChild2" presStyleCnt="0"/>
      <dgm:spPr/>
    </dgm:pt>
    <dgm:pt modelId="{D68DE565-B78C-4A6B-A05A-658AA787D0C7}" type="pres">
      <dgm:prSet presAssocID="{8300F5F4-30F9-4488-9CD3-D35648827F18}" presName="Name37" presStyleLbl="parChTrans1D2" presStyleIdx="0" presStyleCnt="13"/>
      <dgm:spPr/>
    </dgm:pt>
    <dgm:pt modelId="{DA106A28-2A32-4E26-8735-3281862EAFF5}" type="pres">
      <dgm:prSet presAssocID="{27D5E9EA-B0CF-4739-9D1B-3B35881F92A7}" presName="hierRoot2" presStyleCnt="0">
        <dgm:presLayoutVars>
          <dgm:hierBranch val="init"/>
        </dgm:presLayoutVars>
      </dgm:prSet>
      <dgm:spPr/>
    </dgm:pt>
    <dgm:pt modelId="{43BE0E58-F708-4B6D-8F44-7E6DD1AB7039}" type="pres">
      <dgm:prSet presAssocID="{27D5E9EA-B0CF-4739-9D1B-3B35881F92A7}" presName="rootComposite" presStyleCnt="0"/>
      <dgm:spPr/>
    </dgm:pt>
    <dgm:pt modelId="{EAC9C383-E225-48D4-9CE5-ED19E5733C82}" type="pres">
      <dgm:prSet presAssocID="{27D5E9EA-B0CF-4739-9D1B-3B35881F92A7}" presName="rootText" presStyleLbl="node2" presStyleIdx="0" presStyleCnt="13" custScaleY="109347">
        <dgm:presLayoutVars>
          <dgm:chPref val="3"/>
        </dgm:presLayoutVars>
      </dgm:prSet>
      <dgm:spPr/>
    </dgm:pt>
    <dgm:pt modelId="{A247153B-0E2A-4678-90AE-C36AB162338C}" type="pres">
      <dgm:prSet presAssocID="{27D5E9EA-B0CF-4739-9D1B-3B35881F92A7}" presName="rootConnector" presStyleLbl="node2" presStyleIdx="0" presStyleCnt="13"/>
      <dgm:spPr/>
    </dgm:pt>
    <dgm:pt modelId="{F4F42D38-728F-4A9D-9AD6-A5B3E42C170D}" type="pres">
      <dgm:prSet presAssocID="{27D5E9EA-B0CF-4739-9D1B-3B35881F92A7}" presName="hierChild4" presStyleCnt="0"/>
      <dgm:spPr/>
    </dgm:pt>
    <dgm:pt modelId="{ADEB7019-9502-48FD-8DC7-5D65F53BE9F6}" type="pres">
      <dgm:prSet presAssocID="{AE441F75-F254-49CC-B4C4-10A15AB60B9F}" presName="Name37" presStyleLbl="parChTrans1D3" presStyleIdx="0" presStyleCnt="35"/>
      <dgm:spPr/>
    </dgm:pt>
    <dgm:pt modelId="{391A8573-6147-4D44-A188-D82DE4B4B223}" type="pres">
      <dgm:prSet presAssocID="{0AAC6C29-F343-4540-9FF0-B35234EB3E71}" presName="hierRoot2" presStyleCnt="0">
        <dgm:presLayoutVars>
          <dgm:hierBranch val="init"/>
        </dgm:presLayoutVars>
      </dgm:prSet>
      <dgm:spPr/>
    </dgm:pt>
    <dgm:pt modelId="{A3F57F19-4CED-4D07-8DEF-0B74C33EFE78}" type="pres">
      <dgm:prSet presAssocID="{0AAC6C29-F343-4540-9FF0-B35234EB3E71}" presName="rootComposite" presStyleCnt="0"/>
      <dgm:spPr/>
    </dgm:pt>
    <dgm:pt modelId="{A3AD92F2-40B9-4E1B-85A6-C45697BB92DF}" type="pres">
      <dgm:prSet presAssocID="{0AAC6C29-F343-4540-9FF0-B35234EB3E71}" presName="rootText" presStyleLbl="node3" presStyleIdx="0" presStyleCnt="35" custScaleX="94169" custScaleY="217807">
        <dgm:presLayoutVars>
          <dgm:chPref val="3"/>
        </dgm:presLayoutVars>
      </dgm:prSet>
      <dgm:spPr/>
    </dgm:pt>
    <dgm:pt modelId="{B4672920-D979-4AA1-B9F3-B07853D5FB52}" type="pres">
      <dgm:prSet presAssocID="{0AAC6C29-F343-4540-9FF0-B35234EB3E71}" presName="rootConnector" presStyleLbl="node3" presStyleIdx="0" presStyleCnt="35"/>
      <dgm:spPr/>
    </dgm:pt>
    <dgm:pt modelId="{526FAD6D-A3FC-4374-A6D5-4C54D20E1D28}" type="pres">
      <dgm:prSet presAssocID="{0AAC6C29-F343-4540-9FF0-B35234EB3E71}" presName="hierChild4" presStyleCnt="0"/>
      <dgm:spPr/>
    </dgm:pt>
    <dgm:pt modelId="{1B9F859D-80D3-4FE0-97B3-789D888AC94F}" type="pres">
      <dgm:prSet presAssocID="{0AAC6C29-F343-4540-9FF0-B35234EB3E71}" presName="hierChild5" presStyleCnt="0"/>
      <dgm:spPr/>
    </dgm:pt>
    <dgm:pt modelId="{41E88442-60FA-482A-9073-A4E54F4E29E0}" type="pres">
      <dgm:prSet presAssocID="{C9EE3A53-A9AB-464F-8D1B-80A0261A47B8}" presName="Name37" presStyleLbl="parChTrans1D3" presStyleIdx="1" presStyleCnt="35"/>
      <dgm:spPr/>
    </dgm:pt>
    <dgm:pt modelId="{4561232D-F2FD-4189-BF9B-C16BFBDD6C04}" type="pres">
      <dgm:prSet presAssocID="{A72E3D2F-EC63-4FDB-82D1-B11D3C3C0FC2}" presName="hierRoot2" presStyleCnt="0">
        <dgm:presLayoutVars>
          <dgm:hierBranch val="init"/>
        </dgm:presLayoutVars>
      </dgm:prSet>
      <dgm:spPr/>
    </dgm:pt>
    <dgm:pt modelId="{B0B4F708-7824-462A-BB22-0C35BAA60E58}" type="pres">
      <dgm:prSet presAssocID="{A72E3D2F-EC63-4FDB-82D1-B11D3C3C0FC2}" presName="rootComposite" presStyleCnt="0"/>
      <dgm:spPr/>
    </dgm:pt>
    <dgm:pt modelId="{492CDC20-1DAC-4C5E-9955-5F1E4613EC1F}" type="pres">
      <dgm:prSet presAssocID="{A72E3D2F-EC63-4FDB-82D1-B11D3C3C0FC2}" presName="rootText" presStyleLbl="node3" presStyleIdx="1" presStyleCnt="35" custScaleX="118323" custScaleY="149868">
        <dgm:presLayoutVars>
          <dgm:chPref val="3"/>
        </dgm:presLayoutVars>
      </dgm:prSet>
      <dgm:spPr/>
    </dgm:pt>
    <dgm:pt modelId="{9C3664A7-EBCD-47C5-ACE0-761374763B4B}" type="pres">
      <dgm:prSet presAssocID="{A72E3D2F-EC63-4FDB-82D1-B11D3C3C0FC2}" presName="rootConnector" presStyleLbl="node3" presStyleIdx="1" presStyleCnt="35"/>
      <dgm:spPr/>
    </dgm:pt>
    <dgm:pt modelId="{1D61BA98-7FA2-40E0-9063-91D6245D84A0}" type="pres">
      <dgm:prSet presAssocID="{A72E3D2F-EC63-4FDB-82D1-B11D3C3C0FC2}" presName="hierChild4" presStyleCnt="0"/>
      <dgm:spPr/>
    </dgm:pt>
    <dgm:pt modelId="{382048AD-70DF-454B-AB93-8D1FD3491B4A}" type="pres">
      <dgm:prSet presAssocID="{A72E3D2F-EC63-4FDB-82D1-B11D3C3C0FC2}" presName="hierChild5" presStyleCnt="0"/>
      <dgm:spPr/>
    </dgm:pt>
    <dgm:pt modelId="{456F9696-0050-4C13-8A65-61BC731D2DCC}" type="pres">
      <dgm:prSet presAssocID="{C7AE52CA-2D13-4075-B012-CC9E60827119}" presName="Name37" presStyleLbl="parChTrans1D3" presStyleIdx="2" presStyleCnt="35"/>
      <dgm:spPr/>
    </dgm:pt>
    <dgm:pt modelId="{4E26C3E7-9793-400B-AD51-1018E487A47C}" type="pres">
      <dgm:prSet presAssocID="{B6F30F0D-F70E-470D-B89B-75CF3938FA2F}" presName="hierRoot2" presStyleCnt="0">
        <dgm:presLayoutVars>
          <dgm:hierBranch val="init"/>
        </dgm:presLayoutVars>
      </dgm:prSet>
      <dgm:spPr/>
    </dgm:pt>
    <dgm:pt modelId="{FD5B5B53-4B0E-4F0C-B7F1-9659BF1EB6BF}" type="pres">
      <dgm:prSet presAssocID="{B6F30F0D-F70E-470D-B89B-75CF3938FA2F}" presName="rootComposite" presStyleCnt="0"/>
      <dgm:spPr/>
    </dgm:pt>
    <dgm:pt modelId="{C541AE43-D8D1-4624-B96D-3A025A08B343}" type="pres">
      <dgm:prSet presAssocID="{B6F30F0D-F70E-470D-B89B-75CF3938FA2F}" presName="rootText" presStyleLbl="node3" presStyleIdx="2" presStyleCnt="35" custScaleX="132458" custScaleY="194440">
        <dgm:presLayoutVars>
          <dgm:chPref val="3"/>
        </dgm:presLayoutVars>
      </dgm:prSet>
      <dgm:spPr/>
    </dgm:pt>
    <dgm:pt modelId="{42B96DB0-6CFD-4BAE-9595-D8028B3C7D63}" type="pres">
      <dgm:prSet presAssocID="{B6F30F0D-F70E-470D-B89B-75CF3938FA2F}" presName="rootConnector" presStyleLbl="node3" presStyleIdx="2" presStyleCnt="35"/>
      <dgm:spPr/>
    </dgm:pt>
    <dgm:pt modelId="{C157B1FB-154F-4EAC-BE1A-AAF6CDB46209}" type="pres">
      <dgm:prSet presAssocID="{B6F30F0D-F70E-470D-B89B-75CF3938FA2F}" presName="hierChild4" presStyleCnt="0"/>
      <dgm:spPr/>
    </dgm:pt>
    <dgm:pt modelId="{4A3136DE-174E-468F-9924-57A7C3C684CD}" type="pres">
      <dgm:prSet presAssocID="{B6F30F0D-F70E-470D-B89B-75CF3938FA2F}" presName="hierChild5" presStyleCnt="0"/>
      <dgm:spPr/>
    </dgm:pt>
    <dgm:pt modelId="{6D19B1E7-02ED-49F8-AD20-C86B27D7DB92}" type="pres">
      <dgm:prSet presAssocID="{27D5E9EA-B0CF-4739-9D1B-3B35881F92A7}" presName="hierChild5" presStyleCnt="0"/>
      <dgm:spPr/>
    </dgm:pt>
    <dgm:pt modelId="{BACF56AF-80F7-4D1E-8833-AA8E8276FDE3}" type="pres">
      <dgm:prSet presAssocID="{7D079000-774C-4057-98D3-B2FEA6DBD035}" presName="Name37" presStyleLbl="parChTrans1D2" presStyleIdx="1" presStyleCnt="13"/>
      <dgm:spPr/>
    </dgm:pt>
    <dgm:pt modelId="{B82D79FC-5CA2-4C93-B3A0-035E5DBE1692}" type="pres">
      <dgm:prSet presAssocID="{C5A12A19-EB7E-4432-B174-700B462FB6A6}" presName="hierRoot2" presStyleCnt="0">
        <dgm:presLayoutVars>
          <dgm:hierBranch val="init"/>
        </dgm:presLayoutVars>
      </dgm:prSet>
      <dgm:spPr/>
    </dgm:pt>
    <dgm:pt modelId="{8C4E40AF-0042-49C0-928C-FB18F38C0969}" type="pres">
      <dgm:prSet presAssocID="{C5A12A19-EB7E-4432-B174-700B462FB6A6}" presName="rootComposite" presStyleCnt="0"/>
      <dgm:spPr/>
    </dgm:pt>
    <dgm:pt modelId="{D21453E4-939B-484E-B28C-B7186970EC6F}" type="pres">
      <dgm:prSet presAssocID="{C5A12A19-EB7E-4432-B174-700B462FB6A6}" presName="rootText" presStyleLbl="node2" presStyleIdx="1" presStyleCnt="13">
        <dgm:presLayoutVars>
          <dgm:chPref val="3"/>
        </dgm:presLayoutVars>
      </dgm:prSet>
      <dgm:spPr/>
    </dgm:pt>
    <dgm:pt modelId="{96443389-6070-4944-958D-CDCAC0F07D2A}" type="pres">
      <dgm:prSet presAssocID="{C5A12A19-EB7E-4432-B174-700B462FB6A6}" presName="rootConnector" presStyleLbl="node2" presStyleIdx="1" presStyleCnt="13"/>
      <dgm:spPr/>
    </dgm:pt>
    <dgm:pt modelId="{076E7AEB-8A73-41C1-BDAF-5D5F09E73575}" type="pres">
      <dgm:prSet presAssocID="{C5A12A19-EB7E-4432-B174-700B462FB6A6}" presName="hierChild4" presStyleCnt="0"/>
      <dgm:spPr/>
    </dgm:pt>
    <dgm:pt modelId="{E1697AE8-2F03-46B7-A77F-7567B713E050}" type="pres">
      <dgm:prSet presAssocID="{E8257639-7F74-4D79-A9BC-CDECE9CF706D}" presName="Name37" presStyleLbl="parChTrans1D3" presStyleIdx="3" presStyleCnt="35"/>
      <dgm:spPr/>
    </dgm:pt>
    <dgm:pt modelId="{7F2D5514-C97D-4F99-82DE-C608F3C3E68C}" type="pres">
      <dgm:prSet presAssocID="{7C7D7D2B-BFD4-4A87-8470-46EC8DE33CE8}" presName="hierRoot2" presStyleCnt="0">
        <dgm:presLayoutVars>
          <dgm:hierBranch val="init"/>
        </dgm:presLayoutVars>
      </dgm:prSet>
      <dgm:spPr/>
    </dgm:pt>
    <dgm:pt modelId="{8B41CE57-0033-4BAB-8F0B-8559C97D1223}" type="pres">
      <dgm:prSet presAssocID="{7C7D7D2B-BFD4-4A87-8470-46EC8DE33CE8}" presName="rootComposite" presStyleCnt="0"/>
      <dgm:spPr/>
    </dgm:pt>
    <dgm:pt modelId="{19FD574C-4967-4970-8FD1-29CF1794ED5E}" type="pres">
      <dgm:prSet presAssocID="{7C7D7D2B-BFD4-4A87-8470-46EC8DE33CE8}" presName="rootText" presStyleLbl="node3" presStyleIdx="3" presStyleCnt="35" custScaleY="165552">
        <dgm:presLayoutVars>
          <dgm:chPref val="3"/>
        </dgm:presLayoutVars>
      </dgm:prSet>
      <dgm:spPr/>
    </dgm:pt>
    <dgm:pt modelId="{2F7121A6-7A09-4CF1-A083-670C88627FC7}" type="pres">
      <dgm:prSet presAssocID="{7C7D7D2B-BFD4-4A87-8470-46EC8DE33CE8}" presName="rootConnector" presStyleLbl="node3" presStyleIdx="3" presStyleCnt="35"/>
      <dgm:spPr/>
    </dgm:pt>
    <dgm:pt modelId="{8C396D77-71AE-4594-B806-FA8C4A744DDF}" type="pres">
      <dgm:prSet presAssocID="{7C7D7D2B-BFD4-4A87-8470-46EC8DE33CE8}" presName="hierChild4" presStyleCnt="0"/>
      <dgm:spPr/>
    </dgm:pt>
    <dgm:pt modelId="{3A5B0146-59F3-4B5F-9C53-E0ABB674E705}" type="pres">
      <dgm:prSet presAssocID="{7C7D7D2B-BFD4-4A87-8470-46EC8DE33CE8}" presName="hierChild5" presStyleCnt="0"/>
      <dgm:spPr/>
    </dgm:pt>
    <dgm:pt modelId="{F3495D6C-EB13-4E3F-B04E-A0DACC6D7EC4}" type="pres">
      <dgm:prSet presAssocID="{7EFE5E92-B133-4C0C-8990-A1D0BDBF9FE8}" presName="Name37" presStyleLbl="parChTrans1D3" presStyleIdx="4" presStyleCnt="35"/>
      <dgm:spPr/>
    </dgm:pt>
    <dgm:pt modelId="{E80D179F-F53E-461C-98FB-DD6E234B24F4}" type="pres">
      <dgm:prSet presAssocID="{59DBF16C-CEAF-4FCE-9252-981E32F5F3EB}" presName="hierRoot2" presStyleCnt="0">
        <dgm:presLayoutVars>
          <dgm:hierBranch val="init"/>
        </dgm:presLayoutVars>
      </dgm:prSet>
      <dgm:spPr/>
    </dgm:pt>
    <dgm:pt modelId="{62A7B90D-7EB2-41E3-B7AC-65A880A56E1A}" type="pres">
      <dgm:prSet presAssocID="{59DBF16C-CEAF-4FCE-9252-981E32F5F3EB}" presName="rootComposite" presStyleCnt="0"/>
      <dgm:spPr/>
    </dgm:pt>
    <dgm:pt modelId="{8DB10BD3-029C-491A-8EA5-8E975A31C55F}" type="pres">
      <dgm:prSet presAssocID="{59DBF16C-CEAF-4FCE-9252-981E32F5F3EB}" presName="rootText" presStyleLbl="node3" presStyleIdx="4" presStyleCnt="35" custScaleX="145886" custScaleY="230942">
        <dgm:presLayoutVars>
          <dgm:chPref val="3"/>
        </dgm:presLayoutVars>
      </dgm:prSet>
      <dgm:spPr/>
    </dgm:pt>
    <dgm:pt modelId="{8F12F0FF-036F-455C-8644-7BD254B15210}" type="pres">
      <dgm:prSet presAssocID="{59DBF16C-CEAF-4FCE-9252-981E32F5F3EB}" presName="rootConnector" presStyleLbl="node3" presStyleIdx="4" presStyleCnt="35"/>
      <dgm:spPr/>
    </dgm:pt>
    <dgm:pt modelId="{1FB66B4F-8356-48C4-976D-B33E4A3545DD}" type="pres">
      <dgm:prSet presAssocID="{59DBF16C-CEAF-4FCE-9252-981E32F5F3EB}" presName="hierChild4" presStyleCnt="0"/>
      <dgm:spPr/>
    </dgm:pt>
    <dgm:pt modelId="{8D20E109-C1BA-45AF-BAF4-3137C458491E}" type="pres">
      <dgm:prSet presAssocID="{59DBF16C-CEAF-4FCE-9252-981E32F5F3EB}" presName="hierChild5" presStyleCnt="0"/>
      <dgm:spPr/>
    </dgm:pt>
    <dgm:pt modelId="{4BD976E6-87C6-463B-A5F1-3E237C32F250}" type="pres">
      <dgm:prSet presAssocID="{10191DA5-BE20-46F0-A265-8F886BB09C25}" presName="Name37" presStyleLbl="parChTrans1D3" presStyleIdx="5" presStyleCnt="35"/>
      <dgm:spPr/>
    </dgm:pt>
    <dgm:pt modelId="{859C39F9-907C-48FA-8A1F-19C8F115FB4A}" type="pres">
      <dgm:prSet presAssocID="{68D38671-4E3D-46FB-A0AE-32CAF1366F40}" presName="hierRoot2" presStyleCnt="0">
        <dgm:presLayoutVars>
          <dgm:hierBranch val="init"/>
        </dgm:presLayoutVars>
      </dgm:prSet>
      <dgm:spPr/>
    </dgm:pt>
    <dgm:pt modelId="{54AF0BDB-656A-4ABE-88EE-9C55A5F8D109}" type="pres">
      <dgm:prSet presAssocID="{68D38671-4E3D-46FB-A0AE-32CAF1366F40}" presName="rootComposite" presStyleCnt="0"/>
      <dgm:spPr/>
    </dgm:pt>
    <dgm:pt modelId="{4A7C8FB7-F8AD-4A66-9AF6-03F6DE0EE98E}" type="pres">
      <dgm:prSet presAssocID="{68D38671-4E3D-46FB-A0AE-32CAF1366F40}" presName="rootText" presStyleLbl="node3" presStyleIdx="5" presStyleCnt="35" custScaleX="120915" custScaleY="207354">
        <dgm:presLayoutVars>
          <dgm:chPref val="3"/>
        </dgm:presLayoutVars>
      </dgm:prSet>
      <dgm:spPr/>
    </dgm:pt>
    <dgm:pt modelId="{536024AB-8D32-41AD-8F97-B66C45E07EE0}" type="pres">
      <dgm:prSet presAssocID="{68D38671-4E3D-46FB-A0AE-32CAF1366F40}" presName="rootConnector" presStyleLbl="node3" presStyleIdx="5" presStyleCnt="35"/>
      <dgm:spPr/>
    </dgm:pt>
    <dgm:pt modelId="{ADECA12E-377B-4E75-ADE0-4DF6A6699F60}" type="pres">
      <dgm:prSet presAssocID="{68D38671-4E3D-46FB-A0AE-32CAF1366F40}" presName="hierChild4" presStyleCnt="0"/>
      <dgm:spPr/>
    </dgm:pt>
    <dgm:pt modelId="{17AB8661-A691-4E92-B949-6AC405E204AC}" type="pres">
      <dgm:prSet presAssocID="{68D38671-4E3D-46FB-A0AE-32CAF1366F40}" presName="hierChild5" presStyleCnt="0"/>
      <dgm:spPr/>
    </dgm:pt>
    <dgm:pt modelId="{314B5780-9EF3-4EE4-88D3-82EDBAABFE51}" type="pres">
      <dgm:prSet presAssocID="{C5A12A19-EB7E-4432-B174-700B462FB6A6}" presName="hierChild5" presStyleCnt="0"/>
      <dgm:spPr/>
    </dgm:pt>
    <dgm:pt modelId="{7C8DC261-0299-464C-9E4C-F755DA97AFFD}" type="pres">
      <dgm:prSet presAssocID="{988E215F-AF01-483D-B481-9C7A46BA1C73}" presName="Name37" presStyleLbl="parChTrans1D2" presStyleIdx="2" presStyleCnt="13"/>
      <dgm:spPr/>
    </dgm:pt>
    <dgm:pt modelId="{3A2E5D7A-BAB3-46BF-AD1C-600035C82507}" type="pres">
      <dgm:prSet presAssocID="{C3B78B50-CB71-4EDD-BA49-742BFB486C0C}" presName="hierRoot2" presStyleCnt="0">
        <dgm:presLayoutVars>
          <dgm:hierBranch val="init"/>
        </dgm:presLayoutVars>
      </dgm:prSet>
      <dgm:spPr/>
    </dgm:pt>
    <dgm:pt modelId="{48B557BC-39DE-4FE5-8B77-D50856CB2961}" type="pres">
      <dgm:prSet presAssocID="{C3B78B50-CB71-4EDD-BA49-742BFB486C0C}" presName="rootComposite" presStyleCnt="0"/>
      <dgm:spPr/>
    </dgm:pt>
    <dgm:pt modelId="{10B4C24A-4FEC-4904-908C-FED9BC45E196}" type="pres">
      <dgm:prSet presAssocID="{C3B78B50-CB71-4EDD-BA49-742BFB486C0C}" presName="rootText" presStyleLbl="node2" presStyleIdx="2" presStyleCnt="13" custScaleX="149232" custScaleY="165691">
        <dgm:presLayoutVars>
          <dgm:chPref val="3"/>
        </dgm:presLayoutVars>
      </dgm:prSet>
      <dgm:spPr/>
    </dgm:pt>
    <dgm:pt modelId="{2BF13DA8-819D-46A0-AEF5-5BF0A0F57C78}" type="pres">
      <dgm:prSet presAssocID="{C3B78B50-CB71-4EDD-BA49-742BFB486C0C}" presName="rootConnector" presStyleLbl="node2" presStyleIdx="2" presStyleCnt="13"/>
      <dgm:spPr/>
    </dgm:pt>
    <dgm:pt modelId="{C0A1F47E-4FDC-4DDC-9329-C9D4AFA7E7CB}" type="pres">
      <dgm:prSet presAssocID="{C3B78B50-CB71-4EDD-BA49-742BFB486C0C}" presName="hierChild4" presStyleCnt="0"/>
      <dgm:spPr/>
    </dgm:pt>
    <dgm:pt modelId="{C2B06156-C699-4DBB-ABD3-4A7D0EA3B49D}" type="pres">
      <dgm:prSet presAssocID="{DBC5518E-BE0F-4ADF-8260-CCB838509709}" presName="Name37" presStyleLbl="parChTrans1D3" presStyleIdx="6" presStyleCnt="35"/>
      <dgm:spPr/>
    </dgm:pt>
    <dgm:pt modelId="{0062B3F1-67C2-4355-966A-43F2A506A6BD}" type="pres">
      <dgm:prSet presAssocID="{2D7B1959-30E9-474A-B542-D3CC7937FAA9}" presName="hierRoot2" presStyleCnt="0">
        <dgm:presLayoutVars>
          <dgm:hierBranch val="init"/>
        </dgm:presLayoutVars>
      </dgm:prSet>
      <dgm:spPr/>
    </dgm:pt>
    <dgm:pt modelId="{C2ADAF35-96B1-428A-A533-85359842B8CE}" type="pres">
      <dgm:prSet presAssocID="{2D7B1959-30E9-474A-B542-D3CC7937FAA9}" presName="rootComposite" presStyleCnt="0"/>
      <dgm:spPr/>
    </dgm:pt>
    <dgm:pt modelId="{CA88CE62-F1F7-4366-A9B3-E30E69895C4D}" type="pres">
      <dgm:prSet presAssocID="{2D7B1959-30E9-474A-B542-D3CC7937FAA9}" presName="rootText" presStyleLbl="node3" presStyleIdx="6" presStyleCnt="35" custScaleY="177062">
        <dgm:presLayoutVars>
          <dgm:chPref val="3"/>
        </dgm:presLayoutVars>
      </dgm:prSet>
      <dgm:spPr/>
    </dgm:pt>
    <dgm:pt modelId="{A379874C-1CE4-4AB9-97FC-D91671CDB417}" type="pres">
      <dgm:prSet presAssocID="{2D7B1959-30E9-474A-B542-D3CC7937FAA9}" presName="rootConnector" presStyleLbl="node3" presStyleIdx="6" presStyleCnt="35"/>
      <dgm:spPr/>
    </dgm:pt>
    <dgm:pt modelId="{F859BF11-B724-4F64-8492-9228EC3461A5}" type="pres">
      <dgm:prSet presAssocID="{2D7B1959-30E9-474A-B542-D3CC7937FAA9}" presName="hierChild4" presStyleCnt="0"/>
      <dgm:spPr/>
    </dgm:pt>
    <dgm:pt modelId="{0DD3A097-223B-4B81-A58D-65EA6C3ED65A}" type="pres">
      <dgm:prSet presAssocID="{2D7B1959-30E9-474A-B542-D3CC7937FAA9}" presName="hierChild5" presStyleCnt="0"/>
      <dgm:spPr/>
    </dgm:pt>
    <dgm:pt modelId="{009F621B-34F7-4681-BD90-7DBCCE201DC3}" type="pres">
      <dgm:prSet presAssocID="{8AD1597B-BCF4-42A9-B698-388BE39B54AC}" presName="Name37" presStyleLbl="parChTrans1D3" presStyleIdx="7" presStyleCnt="35"/>
      <dgm:spPr/>
    </dgm:pt>
    <dgm:pt modelId="{997D6C4B-F8D6-4A4D-954E-37ABE23B8D23}" type="pres">
      <dgm:prSet presAssocID="{BBFE3582-4BB7-4E2F-8BC5-9AD6E1366FA4}" presName="hierRoot2" presStyleCnt="0">
        <dgm:presLayoutVars>
          <dgm:hierBranch val="init"/>
        </dgm:presLayoutVars>
      </dgm:prSet>
      <dgm:spPr/>
    </dgm:pt>
    <dgm:pt modelId="{F3D58C35-8C5D-4090-9401-BA6A5955AFE3}" type="pres">
      <dgm:prSet presAssocID="{BBFE3582-4BB7-4E2F-8BC5-9AD6E1366FA4}" presName="rootComposite" presStyleCnt="0"/>
      <dgm:spPr/>
    </dgm:pt>
    <dgm:pt modelId="{C90D9B03-4909-42E3-A338-BF05FE4D0158}" type="pres">
      <dgm:prSet presAssocID="{BBFE3582-4BB7-4E2F-8BC5-9AD6E1366FA4}" presName="rootText" presStyleLbl="node3" presStyleIdx="7" presStyleCnt="35" custScaleY="166050">
        <dgm:presLayoutVars>
          <dgm:chPref val="3"/>
        </dgm:presLayoutVars>
      </dgm:prSet>
      <dgm:spPr/>
    </dgm:pt>
    <dgm:pt modelId="{FC974A43-560D-48F3-B94A-D7163089F086}" type="pres">
      <dgm:prSet presAssocID="{BBFE3582-4BB7-4E2F-8BC5-9AD6E1366FA4}" presName="rootConnector" presStyleLbl="node3" presStyleIdx="7" presStyleCnt="35"/>
      <dgm:spPr/>
    </dgm:pt>
    <dgm:pt modelId="{4320F926-FA58-4165-A5DE-44702D532AD0}" type="pres">
      <dgm:prSet presAssocID="{BBFE3582-4BB7-4E2F-8BC5-9AD6E1366FA4}" presName="hierChild4" presStyleCnt="0"/>
      <dgm:spPr/>
    </dgm:pt>
    <dgm:pt modelId="{AA739DD4-A73B-480B-A04B-9A905893D942}" type="pres">
      <dgm:prSet presAssocID="{BBFE3582-4BB7-4E2F-8BC5-9AD6E1366FA4}" presName="hierChild5" presStyleCnt="0"/>
      <dgm:spPr/>
    </dgm:pt>
    <dgm:pt modelId="{0CD1E4FD-2A0C-4E9B-B89B-0E17798F3172}" type="pres">
      <dgm:prSet presAssocID="{C3B78B50-CB71-4EDD-BA49-742BFB486C0C}" presName="hierChild5" presStyleCnt="0"/>
      <dgm:spPr/>
    </dgm:pt>
    <dgm:pt modelId="{007E3F02-8C5D-4601-9EC9-5B234A86A002}" type="pres">
      <dgm:prSet presAssocID="{574B0C0B-B634-45A2-B43D-D787DB70D178}" presName="Name37" presStyleLbl="parChTrans1D2" presStyleIdx="3" presStyleCnt="13"/>
      <dgm:spPr/>
    </dgm:pt>
    <dgm:pt modelId="{D0A5DA9D-3497-4EE9-8680-9466057F9ACF}" type="pres">
      <dgm:prSet presAssocID="{77E74AD6-103B-4957-832F-CBE0704A1B63}" presName="hierRoot2" presStyleCnt="0">
        <dgm:presLayoutVars>
          <dgm:hierBranch val="init"/>
        </dgm:presLayoutVars>
      </dgm:prSet>
      <dgm:spPr/>
    </dgm:pt>
    <dgm:pt modelId="{5DBCAAFF-EEAF-4BC4-BE86-2EB66FED0BDD}" type="pres">
      <dgm:prSet presAssocID="{77E74AD6-103B-4957-832F-CBE0704A1B63}" presName="rootComposite" presStyleCnt="0"/>
      <dgm:spPr/>
    </dgm:pt>
    <dgm:pt modelId="{ED3F8A15-9BAB-4476-A6A8-CF146BFEDF69}" type="pres">
      <dgm:prSet presAssocID="{77E74AD6-103B-4957-832F-CBE0704A1B63}" presName="rootText" presStyleLbl="node2" presStyleIdx="3" presStyleCnt="13" custScaleX="241675" custScaleY="432033">
        <dgm:presLayoutVars>
          <dgm:chPref val="3"/>
        </dgm:presLayoutVars>
      </dgm:prSet>
      <dgm:spPr/>
    </dgm:pt>
    <dgm:pt modelId="{C38B35BC-49E5-4745-9DBE-6510F5A4E8CD}" type="pres">
      <dgm:prSet presAssocID="{77E74AD6-103B-4957-832F-CBE0704A1B63}" presName="rootConnector" presStyleLbl="node2" presStyleIdx="3" presStyleCnt="13"/>
      <dgm:spPr/>
    </dgm:pt>
    <dgm:pt modelId="{D1389766-853A-41CA-A14D-5EFB516CDAB7}" type="pres">
      <dgm:prSet presAssocID="{77E74AD6-103B-4957-832F-CBE0704A1B63}" presName="hierChild4" presStyleCnt="0"/>
      <dgm:spPr/>
    </dgm:pt>
    <dgm:pt modelId="{CEB1CD0C-3F31-4834-9BF5-00B8C7EED796}" type="pres">
      <dgm:prSet presAssocID="{F0E6B4CA-EE32-4753-98DF-8163DC415CF7}" presName="Name37" presStyleLbl="parChTrans1D3" presStyleIdx="8" presStyleCnt="35"/>
      <dgm:spPr/>
    </dgm:pt>
    <dgm:pt modelId="{6D576284-2832-480D-ADDB-F3BEAF36F2AB}" type="pres">
      <dgm:prSet presAssocID="{06B5FC51-15D3-462F-991D-11265CDFC33D}" presName="hierRoot2" presStyleCnt="0">
        <dgm:presLayoutVars>
          <dgm:hierBranch val="init"/>
        </dgm:presLayoutVars>
      </dgm:prSet>
      <dgm:spPr/>
    </dgm:pt>
    <dgm:pt modelId="{744A8E03-6112-45F5-A1E3-5FC64E8CC599}" type="pres">
      <dgm:prSet presAssocID="{06B5FC51-15D3-462F-991D-11265CDFC33D}" presName="rootComposite" presStyleCnt="0"/>
      <dgm:spPr/>
    </dgm:pt>
    <dgm:pt modelId="{607CEF2E-C573-463D-9295-5D6061BA8D35}" type="pres">
      <dgm:prSet presAssocID="{06B5FC51-15D3-462F-991D-11265CDFC33D}" presName="rootText" presStyleLbl="node3" presStyleIdx="8" presStyleCnt="35" custScaleX="111161" custScaleY="184772" custLinFactY="100000" custLinFactNeighborX="6826" custLinFactNeighborY="104788">
        <dgm:presLayoutVars>
          <dgm:chPref val="3"/>
        </dgm:presLayoutVars>
      </dgm:prSet>
      <dgm:spPr/>
    </dgm:pt>
    <dgm:pt modelId="{D759424E-9C34-405B-B860-F268D13B557E}" type="pres">
      <dgm:prSet presAssocID="{06B5FC51-15D3-462F-991D-11265CDFC33D}" presName="rootConnector" presStyleLbl="node3" presStyleIdx="8" presStyleCnt="35"/>
      <dgm:spPr/>
    </dgm:pt>
    <dgm:pt modelId="{32BF82D2-FE33-4A98-97FD-643BA77ECD60}" type="pres">
      <dgm:prSet presAssocID="{06B5FC51-15D3-462F-991D-11265CDFC33D}" presName="hierChild4" presStyleCnt="0"/>
      <dgm:spPr/>
    </dgm:pt>
    <dgm:pt modelId="{FCF18198-356D-4ECC-B1C2-0C1F7E2E7DA9}" type="pres">
      <dgm:prSet presAssocID="{06B5FC51-15D3-462F-991D-11265CDFC33D}" presName="hierChild5" presStyleCnt="0"/>
      <dgm:spPr/>
    </dgm:pt>
    <dgm:pt modelId="{86A2A6E1-C975-4F15-856D-415CEB672D90}" type="pres">
      <dgm:prSet presAssocID="{EB9B4E52-E1F2-4F25-9E6F-DF9EC53741A6}" presName="Name37" presStyleLbl="parChTrans1D3" presStyleIdx="9" presStyleCnt="35"/>
      <dgm:spPr/>
    </dgm:pt>
    <dgm:pt modelId="{365CD79C-18EC-402B-B9B1-887B02D75E7B}" type="pres">
      <dgm:prSet presAssocID="{DA4FBE95-9630-4747-A015-4DAAA15F0E2C}" presName="hierRoot2" presStyleCnt="0">
        <dgm:presLayoutVars>
          <dgm:hierBranch val="init"/>
        </dgm:presLayoutVars>
      </dgm:prSet>
      <dgm:spPr/>
    </dgm:pt>
    <dgm:pt modelId="{4CF2F5B8-803D-4968-8C7D-39B4FE4E6410}" type="pres">
      <dgm:prSet presAssocID="{DA4FBE95-9630-4747-A015-4DAAA15F0E2C}" presName="rootComposite" presStyleCnt="0"/>
      <dgm:spPr/>
    </dgm:pt>
    <dgm:pt modelId="{BD12FDC5-D293-4C2C-A620-82140B8CCD1A}" type="pres">
      <dgm:prSet presAssocID="{DA4FBE95-9630-4747-A015-4DAAA15F0E2C}" presName="rootText" presStyleLbl="node3" presStyleIdx="9" presStyleCnt="35" custScaleX="289206" custScaleY="318532" custLinFactY="137124" custLinFactNeighborX="-4436" custLinFactNeighborY="200000">
        <dgm:presLayoutVars>
          <dgm:chPref val="3"/>
        </dgm:presLayoutVars>
      </dgm:prSet>
      <dgm:spPr/>
    </dgm:pt>
    <dgm:pt modelId="{BE0EC6C4-7D78-4277-86B7-028B8225B999}" type="pres">
      <dgm:prSet presAssocID="{DA4FBE95-9630-4747-A015-4DAAA15F0E2C}" presName="rootConnector" presStyleLbl="node3" presStyleIdx="9" presStyleCnt="35"/>
      <dgm:spPr/>
    </dgm:pt>
    <dgm:pt modelId="{74C619CC-D601-4D37-935C-52AC9DE4F518}" type="pres">
      <dgm:prSet presAssocID="{DA4FBE95-9630-4747-A015-4DAAA15F0E2C}" presName="hierChild4" presStyleCnt="0"/>
      <dgm:spPr/>
    </dgm:pt>
    <dgm:pt modelId="{C2561F2B-05DB-4DDE-9304-AAC6BF306D0A}" type="pres">
      <dgm:prSet presAssocID="{DA4FBE95-9630-4747-A015-4DAAA15F0E2C}" presName="hierChild5" presStyleCnt="0"/>
      <dgm:spPr/>
    </dgm:pt>
    <dgm:pt modelId="{B0B8B630-141D-4256-9991-B5FFEFBA31CC}" type="pres">
      <dgm:prSet presAssocID="{77E74AD6-103B-4957-832F-CBE0704A1B63}" presName="hierChild5" presStyleCnt="0"/>
      <dgm:spPr/>
    </dgm:pt>
    <dgm:pt modelId="{90FE17B0-9D08-4896-9444-532DE0E6C0E3}" type="pres">
      <dgm:prSet presAssocID="{F82773D8-FEFD-4165-9A43-78196BB02DF9}" presName="Name37" presStyleLbl="parChTrans1D2" presStyleIdx="4" presStyleCnt="13"/>
      <dgm:spPr/>
    </dgm:pt>
    <dgm:pt modelId="{2B0396E0-250C-4195-A7BE-888E3DF07A95}" type="pres">
      <dgm:prSet presAssocID="{888B1B36-E1DD-46C1-B478-334D076CF39E}" presName="hierRoot2" presStyleCnt="0">
        <dgm:presLayoutVars>
          <dgm:hierBranch val="init"/>
        </dgm:presLayoutVars>
      </dgm:prSet>
      <dgm:spPr/>
    </dgm:pt>
    <dgm:pt modelId="{78FEA8A9-03EE-4CE2-92D9-FC35783B3EFA}" type="pres">
      <dgm:prSet presAssocID="{888B1B36-E1DD-46C1-B478-334D076CF39E}" presName="rootComposite" presStyleCnt="0"/>
      <dgm:spPr/>
    </dgm:pt>
    <dgm:pt modelId="{35D1FEDA-C270-4F10-9DAA-944E00885646}" type="pres">
      <dgm:prSet presAssocID="{888B1B36-E1DD-46C1-B478-334D076CF39E}" presName="rootText" presStyleLbl="node2" presStyleIdx="4" presStyleCnt="13" custScaleX="206979" custScaleY="251686">
        <dgm:presLayoutVars>
          <dgm:chPref val="3"/>
        </dgm:presLayoutVars>
      </dgm:prSet>
      <dgm:spPr/>
    </dgm:pt>
    <dgm:pt modelId="{16D23D58-4AC6-4092-9079-CD7323F6F680}" type="pres">
      <dgm:prSet presAssocID="{888B1B36-E1DD-46C1-B478-334D076CF39E}" presName="rootConnector" presStyleLbl="node2" presStyleIdx="4" presStyleCnt="13"/>
      <dgm:spPr/>
    </dgm:pt>
    <dgm:pt modelId="{6F1BA3E0-5C46-45DB-AC47-1D8EE8813FAB}" type="pres">
      <dgm:prSet presAssocID="{888B1B36-E1DD-46C1-B478-334D076CF39E}" presName="hierChild4" presStyleCnt="0"/>
      <dgm:spPr/>
    </dgm:pt>
    <dgm:pt modelId="{25F54320-8A9C-4FA1-890D-D860BB66CD0C}" type="pres">
      <dgm:prSet presAssocID="{5D725CEF-A0D6-4338-ABB3-70DD501A1030}" presName="Name37" presStyleLbl="parChTrans1D3" presStyleIdx="10" presStyleCnt="35"/>
      <dgm:spPr/>
    </dgm:pt>
    <dgm:pt modelId="{C083DCE5-9DBA-4C60-9B8E-5F80CA9F436A}" type="pres">
      <dgm:prSet presAssocID="{5AB2E7E8-6CD5-45BA-B0B2-B6B8F8734757}" presName="hierRoot2" presStyleCnt="0">
        <dgm:presLayoutVars>
          <dgm:hierBranch val="init"/>
        </dgm:presLayoutVars>
      </dgm:prSet>
      <dgm:spPr/>
    </dgm:pt>
    <dgm:pt modelId="{74B70391-2EFC-43F6-92D7-DAE54F4D06B5}" type="pres">
      <dgm:prSet presAssocID="{5AB2E7E8-6CD5-45BA-B0B2-B6B8F8734757}" presName="rootComposite" presStyleCnt="0"/>
      <dgm:spPr/>
    </dgm:pt>
    <dgm:pt modelId="{C14F1350-9618-41CD-857F-112F76CFC248}" type="pres">
      <dgm:prSet presAssocID="{5AB2E7E8-6CD5-45BA-B0B2-B6B8F8734757}" presName="rootText" presStyleLbl="node3" presStyleIdx="10" presStyleCnt="35" custScaleX="135081" custScaleY="151229">
        <dgm:presLayoutVars>
          <dgm:chPref val="3"/>
        </dgm:presLayoutVars>
      </dgm:prSet>
      <dgm:spPr/>
    </dgm:pt>
    <dgm:pt modelId="{074A92F8-A27C-473B-A561-A0552D9FE481}" type="pres">
      <dgm:prSet presAssocID="{5AB2E7E8-6CD5-45BA-B0B2-B6B8F8734757}" presName="rootConnector" presStyleLbl="node3" presStyleIdx="10" presStyleCnt="35"/>
      <dgm:spPr/>
    </dgm:pt>
    <dgm:pt modelId="{8FC24922-78B2-4777-9E36-B424D14F8515}" type="pres">
      <dgm:prSet presAssocID="{5AB2E7E8-6CD5-45BA-B0B2-B6B8F8734757}" presName="hierChild4" presStyleCnt="0"/>
      <dgm:spPr/>
    </dgm:pt>
    <dgm:pt modelId="{0394B664-074D-41DC-B25D-939224B1B9B0}" type="pres">
      <dgm:prSet presAssocID="{5AB2E7E8-6CD5-45BA-B0B2-B6B8F8734757}" presName="hierChild5" presStyleCnt="0"/>
      <dgm:spPr/>
    </dgm:pt>
    <dgm:pt modelId="{C350A219-795F-4B44-9F2C-4059F2DBE2BF}" type="pres">
      <dgm:prSet presAssocID="{61BB7602-D536-4541-A648-E5AA7D3BC841}" presName="Name37" presStyleLbl="parChTrans1D3" presStyleIdx="11" presStyleCnt="35"/>
      <dgm:spPr/>
    </dgm:pt>
    <dgm:pt modelId="{F3DEA853-379C-476B-BBBB-A2362C1030B9}" type="pres">
      <dgm:prSet presAssocID="{899B14F1-5388-4CBE-AD62-D88291FC6B5F}" presName="hierRoot2" presStyleCnt="0">
        <dgm:presLayoutVars>
          <dgm:hierBranch val="init"/>
        </dgm:presLayoutVars>
      </dgm:prSet>
      <dgm:spPr/>
    </dgm:pt>
    <dgm:pt modelId="{F7B50418-0AA0-49CF-A843-A29EFDE93F34}" type="pres">
      <dgm:prSet presAssocID="{899B14F1-5388-4CBE-AD62-D88291FC6B5F}" presName="rootComposite" presStyleCnt="0"/>
      <dgm:spPr/>
    </dgm:pt>
    <dgm:pt modelId="{B281BE40-EEFD-4FA5-9495-7A87E0C4C366}" type="pres">
      <dgm:prSet presAssocID="{899B14F1-5388-4CBE-AD62-D88291FC6B5F}" presName="rootText" presStyleLbl="node3" presStyleIdx="11" presStyleCnt="35" custScaleX="140025" custScaleY="169071">
        <dgm:presLayoutVars>
          <dgm:chPref val="3"/>
        </dgm:presLayoutVars>
      </dgm:prSet>
      <dgm:spPr/>
    </dgm:pt>
    <dgm:pt modelId="{E183E1C8-1672-4044-8315-523466CD3010}" type="pres">
      <dgm:prSet presAssocID="{899B14F1-5388-4CBE-AD62-D88291FC6B5F}" presName="rootConnector" presStyleLbl="node3" presStyleIdx="11" presStyleCnt="35"/>
      <dgm:spPr/>
    </dgm:pt>
    <dgm:pt modelId="{1034B40C-2CC5-4E3E-B822-C15CDF791CB4}" type="pres">
      <dgm:prSet presAssocID="{899B14F1-5388-4CBE-AD62-D88291FC6B5F}" presName="hierChild4" presStyleCnt="0"/>
      <dgm:spPr/>
    </dgm:pt>
    <dgm:pt modelId="{1DABAD79-E310-46DC-ACE2-AB850AE6B492}" type="pres">
      <dgm:prSet presAssocID="{899B14F1-5388-4CBE-AD62-D88291FC6B5F}" presName="hierChild5" presStyleCnt="0"/>
      <dgm:spPr/>
    </dgm:pt>
    <dgm:pt modelId="{F82A0A74-1A0E-43ED-BEDE-914D56767E93}" type="pres">
      <dgm:prSet presAssocID="{09A29835-3F8C-4D96-8723-6F56A9363B3A}" presName="Name37" presStyleLbl="parChTrans1D3" presStyleIdx="12" presStyleCnt="35"/>
      <dgm:spPr/>
    </dgm:pt>
    <dgm:pt modelId="{ACE20DAB-080A-4202-BE03-08757BBB5D65}" type="pres">
      <dgm:prSet presAssocID="{4112AC6B-74BE-4359-A3B2-6BFEF96D7F94}" presName="hierRoot2" presStyleCnt="0">
        <dgm:presLayoutVars>
          <dgm:hierBranch val="init"/>
        </dgm:presLayoutVars>
      </dgm:prSet>
      <dgm:spPr/>
    </dgm:pt>
    <dgm:pt modelId="{12500EDC-325A-49BE-91F8-C69CD093A33A}" type="pres">
      <dgm:prSet presAssocID="{4112AC6B-74BE-4359-A3B2-6BFEF96D7F94}" presName="rootComposite" presStyleCnt="0"/>
      <dgm:spPr/>
    </dgm:pt>
    <dgm:pt modelId="{7E30F57F-D06F-4EDB-B112-D8FCB292B0A4}" type="pres">
      <dgm:prSet presAssocID="{4112AC6B-74BE-4359-A3B2-6BFEF96D7F94}" presName="rootText" presStyleLbl="node3" presStyleIdx="12" presStyleCnt="35" custScaleX="139827" custScaleY="169488">
        <dgm:presLayoutVars>
          <dgm:chPref val="3"/>
        </dgm:presLayoutVars>
      </dgm:prSet>
      <dgm:spPr/>
    </dgm:pt>
    <dgm:pt modelId="{09F42215-9EDF-4201-A9BA-69093FFF291E}" type="pres">
      <dgm:prSet presAssocID="{4112AC6B-74BE-4359-A3B2-6BFEF96D7F94}" presName="rootConnector" presStyleLbl="node3" presStyleIdx="12" presStyleCnt="35"/>
      <dgm:spPr/>
    </dgm:pt>
    <dgm:pt modelId="{888F5B2E-1283-4A66-9179-E8B02FB92CE8}" type="pres">
      <dgm:prSet presAssocID="{4112AC6B-74BE-4359-A3B2-6BFEF96D7F94}" presName="hierChild4" presStyleCnt="0"/>
      <dgm:spPr/>
    </dgm:pt>
    <dgm:pt modelId="{361421E7-7C45-45E3-9491-D1FFADC8B582}" type="pres">
      <dgm:prSet presAssocID="{4112AC6B-74BE-4359-A3B2-6BFEF96D7F94}" presName="hierChild5" presStyleCnt="0"/>
      <dgm:spPr/>
    </dgm:pt>
    <dgm:pt modelId="{975384AB-D124-4F62-8271-7E9CF351A02E}" type="pres">
      <dgm:prSet presAssocID="{7103D4B8-77E0-4564-B91B-382075186FCE}" presName="Name37" presStyleLbl="parChTrans1D3" presStyleIdx="13" presStyleCnt="35"/>
      <dgm:spPr/>
    </dgm:pt>
    <dgm:pt modelId="{AC4E772B-5A30-467F-93E5-84E6A1950194}" type="pres">
      <dgm:prSet presAssocID="{E024E318-872D-421F-A223-28F8A531F9C1}" presName="hierRoot2" presStyleCnt="0">
        <dgm:presLayoutVars>
          <dgm:hierBranch val="init"/>
        </dgm:presLayoutVars>
      </dgm:prSet>
      <dgm:spPr/>
    </dgm:pt>
    <dgm:pt modelId="{7001717A-330A-4388-B57F-4D01C1C7CA01}" type="pres">
      <dgm:prSet presAssocID="{E024E318-872D-421F-A223-28F8A531F9C1}" presName="rootComposite" presStyleCnt="0"/>
      <dgm:spPr/>
    </dgm:pt>
    <dgm:pt modelId="{F30BA301-AC62-43BD-B317-1448DBA572AD}" type="pres">
      <dgm:prSet presAssocID="{E024E318-872D-421F-A223-28F8A531F9C1}" presName="rootText" presStyleLbl="node3" presStyleIdx="13" presStyleCnt="35" custScaleX="150996" custScaleY="287376">
        <dgm:presLayoutVars>
          <dgm:chPref val="3"/>
        </dgm:presLayoutVars>
      </dgm:prSet>
      <dgm:spPr/>
    </dgm:pt>
    <dgm:pt modelId="{EA31ADF2-60A3-4192-A938-F797DB4F8E9A}" type="pres">
      <dgm:prSet presAssocID="{E024E318-872D-421F-A223-28F8A531F9C1}" presName="rootConnector" presStyleLbl="node3" presStyleIdx="13" presStyleCnt="35"/>
      <dgm:spPr/>
    </dgm:pt>
    <dgm:pt modelId="{EE23AB17-B02F-49F9-AAF7-AE6ACE8F67A7}" type="pres">
      <dgm:prSet presAssocID="{E024E318-872D-421F-A223-28F8A531F9C1}" presName="hierChild4" presStyleCnt="0"/>
      <dgm:spPr/>
    </dgm:pt>
    <dgm:pt modelId="{2AAC6DDB-6EA5-461E-A4F9-D87904E5915C}" type="pres">
      <dgm:prSet presAssocID="{E024E318-872D-421F-A223-28F8A531F9C1}" presName="hierChild5" presStyleCnt="0"/>
      <dgm:spPr/>
    </dgm:pt>
    <dgm:pt modelId="{61816347-80A2-4B12-A00E-965BE915CEEE}" type="pres">
      <dgm:prSet presAssocID="{888B1B36-E1DD-46C1-B478-334D076CF39E}" presName="hierChild5" presStyleCnt="0"/>
      <dgm:spPr/>
    </dgm:pt>
    <dgm:pt modelId="{788DC131-C017-435F-B3B3-86AB1D7120E6}" type="pres">
      <dgm:prSet presAssocID="{30A57D94-654E-42B4-BD7F-CDA9392FAC91}" presName="Name37" presStyleLbl="parChTrans1D2" presStyleIdx="5" presStyleCnt="13"/>
      <dgm:spPr/>
    </dgm:pt>
    <dgm:pt modelId="{1BDE7613-6AC9-4E35-8771-0DAAAF8E8D8B}" type="pres">
      <dgm:prSet presAssocID="{007C8078-089A-44D0-B371-02A00C7D2BAB}" presName="hierRoot2" presStyleCnt="0">
        <dgm:presLayoutVars>
          <dgm:hierBranch val="init"/>
        </dgm:presLayoutVars>
      </dgm:prSet>
      <dgm:spPr/>
    </dgm:pt>
    <dgm:pt modelId="{83647321-37AD-4765-815B-5DF2D77C1812}" type="pres">
      <dgm:prSet presAssocID="{007C8078-089A-44D0-B371-02A00C7D2BAB}" presName="rootComposite" presStyleCnt="0"/>
      <dgm:spPr/>
    </dgm:pt>
    <dgm:pt modelId="{85359C4F-E8B7-464A-9ECB-98AC1C089295}" type="pres">
      <dgm:prSet presAssocID="{007C8078-089A-44D0-B371-02A00C7D2BAB}" presName="rootText" presStyleLbl="node2" presStyleIdx="5" presStyleCnt="13" custScaleX="209029" custScaleY="226578">
        <dgm:presLayoutVars>
          <dgm:chPref val="3"/>
        </dgm:presLayoutVars>
      </dgm:prSet>
      <dgm:spPr/>
    </dgm:pt>
    <dgm:pt modelId="{1851DFA5-CB1D-480D-93C7-C63C1A8DB65A}" type="pres">
      <dgm:prSet presAssocID="{007C8078-089A-44D0-B371-02A00C7D2BAB}" presName="rootConnector" presStyleLbl="node2" presStyleIdx="5" presStyleCnt="13"/>
      <dgm:spPr/>
    </dgm:pt>
    <dgm:pt modelId="{4EBF07F8-3166-416A-815B-7D485FDFF79E}" type="pres">
      <dgm:prSet presAssocID="{007C8078-089A-44D0-B371-02A00C7D2BAB}" presName="hierChild4" presStyleCnt="0"/>
      <dgm:spPr/>
    </dgm:pt>
    <dgm:pt modelId="{7FB05F4A-3994-4394-BEBF-A0E5E4DB09F6}" type="pres">
      <dgm:prSet presAssocID="{F062658C-8D06-4A7B-B2FB-2E14094CD8EA}" presName="Name37" presStyleLbl="parChTrans1D3" presStyleIdx="14" presStyleCnt="35"/>
      <dgm:spPr/>
    </dgm:pt>
    <dgm:pt modelId="{1742DDCA-6911-4F13-8220-75351725C264}" type="pres">
      <dgm:prSet presAssocID="{926784E8-B7D4-4771-9768-9CC0ABF6151B}" presName="hierRoot2" presStyleCnt="0">
        <dgm:presLayoutVars>
          <dgm:hierBranch val="init"/>
        </dgm:presLayoutVars>
      </dgm:prSet>
      <dgm:spPr/>
    </dgm:pt>
    <dgm:pt modelId="{1F0AE2DB-EE28-40EB-A1DE-50ACB5B0527E}" type="pres">
      <dgm:prSet presAssocID="{926784E8-B7D4-4771-9768-9CC0ABF6151B}" presName="rootComposite" presStyleCnt="0"/>
      <dgm:spPr/>
    </dgm:pt>
    <dgm:pt modelId="{EF983BCA-2EAE-4246-96DB-67318AA4C0E7}" type="pres">
      <dgm:prSet presAssocID="{926784E8-B7D4-4771-9768-9CC0ABF6151B}" presName="rootText" presStyleLbl="node3" presStyleIdx="14" presStyleCnt="35" custScaleX="172893" custScaleY="224915">
        <dgm:presLayoutVars>
          <dgm:chPref val="3"/>
        </dgm:presLayoutVars>
      </dgm:prSet>
      <dgm:spPr/>
    </dgm:pt>
    <dgm:pt modelId="{A0AF98C4-71F3-4745-9152-E19D39B974FB}" type="pres">
      <dgm:prSet presAssocID="{926784E8-B7D4-4771-9768-9CC0ABF6151B}" presName="rootConnector" presStyleLbl="node3" presStyleIdx="14" presStyleCnt="35"/>
      <dgm:spPr/>
    </dgm:pt>
    <dgm:pt modelId="{2DAF5B0B-051A-4F85-8A4D-3F6A230CE10B}" type="pres">
      <dgm:prSet presAssocID="{926784E8-B7D4-4771-9768-9CC0ABF6151B}" presName="hierChild4" presStyleCnt="0"/>
      <dgm:spPr/>
    </dgm:pt>
    <dgm:pt modelId="{452636B5-AC1C-42C9-B981-F0DA96370BD3}" type="pres">
      <dgm:prSet presAssocID="{926784E8-B7D4-4771-9768-9CC0ABF6151B}" presName="hierChild5" presStyleCnt="0"/>
      <dgm:spPr/>
    </dgm:pt>
    <dgm:pt modelId="{64F08B34-45C7-4001-BF55-E321AF73F365}" type="pres">
      <dgm:prSet presAssocID="{05708339-74CC-4819-A64D-1B95F7301109}" presName="Name37" presStyleLbl="parChTrans1D3" presStyleIdx="15" presStyleCnt="35"/>
      <dgm:spPr/>
    </dgm:pt>
    <dgm:pt modelId="{DCD157A0-EAC5-40C2-8C6F-326BAED5F128}" type="pres">
      <dgm:prSet presAssocID="{E6F9FD29-9BFA-403E-9111-2CA0E93366CC}" presName="hierRoot2" presStyleCnt="0">
        <dgm:presLayoutVars>
          <dgm:hierBranch val="init"/>
        </dgm:presLayoutVars>
      </dgm:prSet>
      <dgm:spPr/>
    </dgm:pt>
    <dgm:pt modelId="{D91D6B9C-4378-46F3-B61B-C247E20E4141}" type="pres">
      <dgm:prSet presAssocID="{E6F9FD29-9BFA-403E-9111-2CA0E93366CC}" presName="rootComposite" presStyleCnt="0"/>
      <dgm:spPr/>
    </dgm:pt>
    <dgm:pt modelId="{3392D758-A951-4F3C-A4D2-17A686B61970}" type="pres">
      <dgm:prSet presAssocID="{E6F9FD29-9BFA-403E-9111-2CA0E93366CC}" presName="rootText" presStyleLbl="node3" presStyleIdx="15" presStyleCnt="35" custScaleX="173734" custScaleY="208922">
        <dgm:presLayoutVars>
          <dgm:chPref val="3"/>
        </dgm:presLayoutVars>
      </dgm:prSet>
      <dgm:spPr/>
    </dgm:pt>
    <dgm:pt modelId="{7D496A4C-51C4-4730-BDAD-F17C287F380E}" type="pres">
      <dgm:prSet presAssocID="{E6F9FD29-9BFA-403E-9111-2CA0E93366CC}" presName="rootConnector" presStyleLbl="node3" presStyleIdx="15" presStyleCnt="35"/>
      <dgm:spPr/>
    </dgm:pt>
    <dgm:pt modelId="{3C1033BD-B6B5-49A9-B1C9-B31CBAA4C570}" type="pres">
      <dgm:prSet presAssocID="{E6F9FD29-9BFA-403E-9111-2CA0E93366CC}" presName="hierChild4" presStyleCnt="0"/>
      <dgm:spPr/>
    </dgm:pt>
    <dgm:pt modelId="{68AA38F6-E3BE-4385-B8A7-1D4068A4A59D}" type="pres">
      <dgm:prSet presAssocID="{E6F9FD29-9BFA-403E-9111-2CA0E93366CC}" presName="hierChild5" presStyleCnt="0"/>
      <dgm:spPr/>
    </dgm:pt>
    <dgm:pt modelId="{F63A65D8-5189-4747-B43B-EDA5219A3137}" type="pres">
      <dgm:prSet presAssocID="{1B9E9CFF-2982-420F-8088-2BD1B3290D85}" presName="Name37" presStyleLbl="parChTrans1D3" presStyleIdx="16" presStyleCnt="35"/>
      <dgm:spPr/>
    </dgm:pt>
    <dgm:pt modelId="{9C0F7411-6FFF-49D8-BCC3-75047AA08F77}" type="pres">
      <dgm:prSet presAssocID="{958144C5-2649-4B6B-9B3C-36F1F55CE2C7}" presName="hierRoot2" presStyleCnt="0">
        <dgm:presLayoutVars>
          <dgm:hierBranch val="init"/>
        </dgm:presLayoutVars>
      </dgm:prSet>
      <dgm:spPr/>
    </dgm:pt>
    <dgm:pt modelId="{E115A5BA-67C7-4BD9-BE5D-03A794CA00FE}" type="pres">
      <dgm:prSet presAssocID="{958144C5-2649-4B6B-9B3C-36F1F55CE2C7}" presName="rootComposite" presStyleCnt="0"/>
      <dgm:spPr/>
    </dgm:pt>
    <dgm:pt modelId="{DB1421E8-3CB7-4215-B0C6-8D58B1056CAB}" type="pres">
      <dgm:prSet presAssocID="{958144C5-2649-4B6B-9B3C-36F1F55CE2C7}" presName="rootText" presStyleLbl="node3" presStyleIdx="16" presStyleCnt="35" custScaleX="212780" custScaleY="194345">
        <dgm:presLayoutVars>
          <dgm:chPref val="3"/>
        </dgm:presLayoutVars>
      </dgm:prSet>
      <dgm:spPr/>
    </dgm:pt>
    <dgm:pt modelId="{0DB47D30-6964-414B-AD56-37A7CE97C4D6}" type="pres">
      <dgm:prSet presAssocID="{958144C5-2649-4B6B-9B3C-36F1F55CE2C7}" presName="rootConnector" presStyleLbl="node3" presStyleIdx="16" presStyleCnt="35"/>
      <dgm:spPr/>
    </dgm:pt>
    <dgm:pt modelId="{149AAA18-3E45-41BF-AC18-E4782E97F44B}" type="pres">
      <dgm:prSet presAssocID="{958144C5-2649-4B6B-9B3C-36F1F55CE2C7}" presName="hierChild4" presStyleCnt="0"/>
      <dgm:spPr/>
    </dgm:pt>
    <dgm:pt modelId="{446B8F3B-C7BD-4EEB-86B4-B47BCCB45E47}" type="pres">
      <dgm:prSet presAssocID="{958144C5-2649-4B6B-9B3C-36F1F55CE2C7}" presName="hierChild5" presStyleCnt="0"/>
      <dgm:spPr/>
    </dgm:pt>
    <dgm:pt modelId="{F32D6B37-06BE-49D3-8ACF-05230ECC401E}" type="pres">
      <dgm:prSet presAssocID="{592D668E-851B-47C0-8FFC-E82B7AB8FCE2}" presName="Name37" presStyleLbl="parChTrans1D3" presStyleIdx="17" presStyleCnt="35"/>
      <dgm:spPr/>
    </dgm:pt>
    <dgm:pt modelId="{525D6466-EF8C-4B21-9632-15468BA4449E}" type="pres">
      <dgm:prSet presAssocID="{E648BD26-D463-4560-92D2-AB05284CEDC9}" presName="hierRoot2" presStyleCnt="0">
        <dgm:presLayoutVars>
          <dgm:hierBranch val="init"/>
        </dgm:presLayoutVars>
      </dgm:prSet>
      <dgm:spPr/>
    </dgm:pt>
    <dgm:pt modelId="{8D3D1C6F-F95A-4E33-AB58-0CB78FA27D90}" type="pres">
      <dgm:prSet presAssocID="{E648BD26-D463-4560-92D2-AB05284CEDC9}" presName="rootComposite" presStyleCnt="0"/>
      <dgm:spPr/>
    </dgm:pt>
    <dgm:pt modelId="{FFA8DDB0-A8AB-489A-92E7-01B0C9AF040D}" type="pres">
      <dgm:prSet presAssocID="{E648BD26-D463-4560-92D2-AB05284CEDC9}" presName="rootText" presStyleLbl="node3" presStyleIdx="17" presStyleCnt="35" custScaleX="214780" custScaleY="219603" custLinFactNeighborX="6696" custLinFactNeighborY="-4464">
        <dgm:presLayoutVars>
          <dgm:chPref val="3"/>
        </dgm:presLayoutVars>
      </dgm:prSet>
      <dgm:spPr/>
    </dgm:pt>
    <dgm:pt modelId="{333BDDFA-BA20-439F-B0A2-0F496D330494}" type="pres">
      <dgm:prSet presAssocID="{E648BD26-D463-4560-92D2-AB05284CEDC9}" presName="rootConnector" presStyleLbl="node3" presStyleIdx="17" presStyleCnt="35"/>
      <dgm:spPr/>
    </dgm:pt>
    <dgm:pt modelId="{43865F96-EC06-4366-9036-58892AD692B5}" type="pres">
      <dgm:prSet presAssocID="{E648BD26-D463-4560-92D2-AB05284CEDC9}" presName="hierChild4" presStyleCnt="0"/>
      <dgm:spPr/>
    </dgm:pt>
    <dgm:pt modelId="{875CFA2A-290C-4B94-8E22-A1F8D611D663}" type="pres">
      <dgm:prSet presAssocID="{E648BD26-D463-4560-92D2-AB05284CEDC9}" presName="hierChild5" presStyleCnt="0"/>
      <dgm:spPr/>
    </dgm:pt>
    <dgm:pt modelId="{C5898A44-38B6-4884-AD22-934EF443AABC}" type="pres">
      <dgm:prSet presAssocID="{38E42C72-809F-416C-9B52-F08F7ADA14E5}" presName="Name37" presStyleLbl="parChTrans1D3" presStyleIdx="18" presStyleCnt="35"/>
      <dgm:spPr/>
    </dgm:pt>
    <dgm:pt modelId="{FB6ED6C7-D43C-445B-BACA-68107B459790}" type="pres">
      <dgm:prSet presAssocID="{BCFDC88C-3AC8-445D-B7C4-17E5EBD0F84F}" presName="hierRoot2" presStyleCnt="0">
        <dgm:presLayoutVars>
          <dgm:hierBranch val="init"/>
        </dgm:presLayoutVars>
      </dgm:prSet>
      <dgm:spPr/>
    </dgm:pt>
    <dgm:pt modelId="{FDFB1D07-BE5E-44ED-9F95-A3B50163A36B}" type="pres">
      <dgm:prSet presAssocID="{BCFDC88C-3AC8-445D-B7C4-17E5EBD0F84F}" presName="rootComposite" presStyleCnt="0"/>
      <dgm:spPr/>
    </dgm:pt>
    <dgm:pt modelId="{331792F2-7839-4964-8707-4FE863F487EA}" type="pres">
      <dgm:prSet presAssocID="{BCFDC88C-3AC8-445D-B7C4-17E5EBD0F84F}" presName="rootText" presStyleLbl="node3" presStyleIdx="18" presStyleCnt="35" custScaleX="215778" custScaleY="159994">
        <dgm:presLayoutVars>
          <dgm:chPref val="3"/>
        </dgm:presLayoutVars>
      </dgm:prSet>
      <dgm:spPr/>
    </dgm:pt>
    <dgm:pt modelId="{FBD3D6F4-55BE-4FA5-9416-35254134E6E1}" type="pres">
      <dgm:prSet presAssocID="{BCFDC88C-3AC8-445D-B7C4-17E5EBD0F84F}" presName="rootConnector" presStyleLbl="node3" presStyleIdx="18" presStyleCnt="35"/>
      <dgm:spPr/>
    </dgm:pt>
    <dgm:pt modelId="{E3A03C33-DE58-4B71-A853-E9D026F2DDD6}" type="pres">
      <dgm:prSet presAssocID="{BCFDC88C-3AC8-445D-B7C4-17E5EBD0F84F}" presName="hierChild4" presStyleCnt="0"/>
      <dgm:spPr/>
    </dgm:pt>
    <dgm:pt modelId="{725A43A4-0E17-472E-A670-5CBB1BEBDCF1}" type="pres">
      <dgm:prSet presAssocID="{BCFDC88C-3AC8-445D-B7C4-17E5EBD0F84F}" presName="hierChild5" presStyleCnt="0"/>
      <dgm:spPr/>
    </dgm:pt>
    <dgm:pt modelId="{2E376AE7-0E9D-45EC-A8C8-BD7253972BDB}" type="pres">
      <dgm:prSet presAssocID="{2A01E0F2-78E8-44E8-BB88-E75FB2A05F4C}" presName="Name37" presStyleLbl="parChTrans1D3" presStyleIdx="19" presStyleCnt="35"/>
      <dgm:spPr/>
    </dgm:pt>
    <dgm:pt modelId="{1AE8CF31-5DCB-415A-B820-2F240F660C14}" type="pres">
      <dgm:prSet presAssocID="{B605E823-A02B-41B3-888E-550FD7582BED}" presName="hierRoot2" presStyleCnt="0">
        <dgm:presLayoutVars>
          <dgm:hierBranch val="init"/>
        </dgm:presLayoutVars>
      </dgm:prSet>
      <dgm:spPr/>
    </dgm:pt>
    <dgm:pt modelId="{7D72B80A-E832-4205-8E04-F8C0E44DE6F5}" type="pres">
      <dgm:prSet presAssocID="{B605E823-A02B-41B3-888E-550FD7582BED}" presName="rootComposite" presStyleCnt="0"/>
      <dgm:spPr/>
    </dgm:pt>
    <dgm:pt modelId="{55A4C566-6482-4A51-884A-C2F906107BFC}" type="pres">
      <dgm:prSet presAssocID="{B605E823-A02B-41B3-888E-550FD7582BED}" presName="rootText" presStyleLbl="node3" presStyleIdx="19" presStyleCnt="35" custScaleX="202800" custScaleY="182054">
        <dgm:presLayoutVars>
          <dgm:chPref val="3"/>
        </dgm:presLayoutVars>
      </dgm:prSet>
      <dgm:spPr/>
    </dgm:pt>
    <dgm:pt modelId="{1BFE841F-B596-485A-B5B3-C7E44FA5A3FB}" type="pres">
      <dgm:prSet presAssocID="{B605E823-A02B-41B3-888E-550FD7582BED}" presName="rootConnector" presStyleLbl="node3" presStyleIdx="19" presStyleCnt="35"/>
      <dgm:spPr/>
    </dgm:pt>
    <dgm:pt modelId="{FB4174B1-F13F-458E-B493-8733935AC983}" type="pres">
      <dgm:prSet presAssocID="{B605E823-A02B-41B3-888E-550FD7582BED}" presName="hierChild4" presStyleCnt="0"/>
      <dgm:spPr/>
    </dgm:pt>
    <dgm:pt modelId="{D2811ECB-F5B7-4291-9447-6574CE3748E7}" type="pres">
      <dgm:prSet presAssocID="{B605E823-A02B-41B3-888E-550FD7582BED}" presName="hierChild5" presStyleCnt="0"/>
      <dgm:spPr/>
    </dgm:pt>
    <dgm:pt modelId="{8F17BBDF-2D7B-4703-9FE3-FFCF7FC5CB5B}" type="pres">
      <dgm:prSet presAssocID="{6CC1204A-52F5-4A9D-BA4E-BA1715986273}" presName="Name37" presStyleLbl="parChTrans1D3" presStyleIdx="20" presStyleCnt="35"/>
      <dgm:spPr/>
    </dgm:pt>
    <dgm:pt modelId="{7A98C381-6DF4-4F41-8945-026F1035E56B}" type="pres">
      <dgm:prSet presAssocID="{114874F8-431E-466E-A4E6-33D076603C7A}" presName="hierRoot2" presStyleCnt="0">
        <dgm:presLayoutVars>
          <dgm:hierBranch val="init"/>
        </dgm:presLayoutVars>
      </dgm:prSet>
      <dgm:spPr/>
    </dgm:pt>
    <dgm:pt modelId="{0D79B6A0-0E23-46B2-AC5A-E489F08B91D5}" type="pres">
      <dgm:prSet presAssocID="{114874F8-431E-466E-A4E6-33D076603C7A}" presName="rootComposite" presStyleCnt="0"/>
      <dgm:spPr/>
    </dgm:pt>
    <dgm:pt modelId="{14AFACCB-FC9A-4462-B368-88D3A89BFF94}" type="pres">
      <dgm:prSet presAssocID="{114874F8-431E-466E-A4E6-33D076603C7A}" presName="rootText" presStyleLbl="node3" presStyleIdx="20" presStyleCnt="35" custScaleX="192269" custScaleY="230720">
        <dgm:presLayoutVars>
          <dgm:chPref val="3"/>
        </dgm:presLayoutVars>
      </dgm:prSet>
      <dgm:spPr/>
    </dgm:pt>
    <dgm:pt modelId="{5F5D44C0-CD9A-46AC-8874-1D706A383D06}" type="pres">
      <dgm:prSet presAssocID="{114874F8-431E-466E-A4E6-33D076603C7A}" presName="rootConnector" presStyleLbl="node3" presStyleIdx="20" presStyleCnt="35"/>
      <dgm:spPr/>
    </dgm:pt>
    <dgm:pt modelId="{347A2A71-A614-4A3D-BF5E-84D44E2ACBBF}" type="pres">
      <dgm:prSet presAssocID="{114874F8-431E-466E-A4E6-33D076603C7A}" presName="hierChild4" presStyleCnt="0"/>
      <dgm:spPr/>
    </dgm:pt>
    <dgm:pt modelId="{33C44D2F-A364-4CE2-8B54-0D8833C83CB2}" type="pres">
      <dgm:prSet presAssocID="{114874F8-431E-466E-A4E6-33D076603C7A}" presName="hierChild5" presStyleCnt="0"/>
      <dgm:spPr/>
    </dgm:pt>
    <dgm:pt modelId="{2CF8BCD9-4046-4CF0-8B38-0FB48120BDBD}" type="pres">
      <dgm:prSet presAssocID="{007C8078-089A-44D0-B371-02A00C7D2BAB}" presName="hierChild5" presStyleCnt="0"/>
      <dgm:spPr/>
    </dgm:pt>
    <dgm:pt modelId="{CE2C06DC-C8EB-4EB4-A047-BC704F32D229}" type="pres">
      <dgm:prSet presAssocID="{2B5EBE36-E6CC-42B4-8434-3709BF2DC783}" presName="Name37" presStyleLbl="parChTrans1D2" presStyleIdx="6" presStyleCnt="13"/>
      <dgm:spPr/>
    </dgm:pt>
    <dgm:pt modelId="{050AEC2C-3D27-45D1-BC30-5C9C69007B9F}" type="pres">
      <dgm:prSet presAssocID="{BE4BD692-713C-4D86-86F4-9B4AED6FB5D1}" presName="hierRoot2" presStyleCnt="0">
        <dgm:presLayoutVars>
          <dgm:hierBranch val="init"/>
        </dgm:presLayoutVars>
      </dgm:prSet>
      <dgm:spPr/>
    </dgm:pt>
    <dgm:pt modelId="{E1DE8F08-C56E-430B-AFC0-41DE7DD4722A}" type="pres">
      <dgm:prSet presAssocID="{BE4BD692-713C-4D86-86F4-9B4AED6FB5D1}" presName="rootComposite" presStyleCnt="0"/>
      <dgm:spPr/>
    </dgm:pt>
    <dgm:pt modelId="{2BCA9B6B-F1DE-42A5-8301-8C1B6E46CFE6}" type="pres">
      <dgm:prSet presAssocID="{BE4BD692-713C-4D86-86F4-9B4AED6FB5D1}" presName="rootText" presStyleLbl="node2" presStyleIdx="6" presStyleCnt="13" custScaleX="182236" custScaleY="219533">
        <dgm:presLayoutVars>
          <dgm:chPref val="3"/>
        </dgm:presLayoutVars>
      </dgm:prSet>
      <dgm:spPr/>
    </dgm:pt>
    <dgm:pt modelId="{D2613A7D-8596-47F3-9A1F-EB81C096E862}" type="pres">
      <dgm:prSet presAssocID="{BE4BD692-713C-4D86-86F4-9B4AED6FB5D1}" presName="rootConnector" presStyleLbl="node2" presStyleIdx="6" presStyleCnt="13"/>
      <dgm:spPr/>
    </dgm:pt>
    <dgm:pt modelId="{1F9589B4-E6EF-4780-BDAA-A6522F5FE328}" type="pres">
      <dgm:prSet presAssocID="{BE4BD692-713C-4D86-86F4-9B4AED6FB5D1}" presName="hierChild4" presStyleCnt="0"/>
      <dgm:spPr/>
    </dgm:pt>
    <dgm:pt modelId="{F93FF14E-25BD-490D-88BE-4FAA46E62EAC}" type="pres">
      <dgm:prSet presAssocID="{FB31F30C-C0F4-4B2F-B647-239D93064673}" presName="Name37" presStyleLbl="parChTrans1D3" presStyleIdx="21" presStyleCnt="35"/>
      <dgm:spPr/>
    </dgm:pt>
    <dgm:pt modelId="{7E9A77ED-1300-4E85-96D3-923F020176E3}" type="pres">
      <dgm:prSet presAssocID="{7BE7F49C-C97D-415A-AAE4-B32BD1654390}" presName="hierRoot2" presStyleCnt="0">
        <dgm:presLayoutVars>
          <dgm:hierBranch val="init"/>
        </dgm:presLayoutVars>
      </dgm:prSet>
      <dgm:spPr/>
    </dgm:pt>
    <dgm:pt modelId="{B5F2FDA9-3CF8-4C8B-B7A4-D3DED89E7910}" type="pres">
      <dgm:prSet presAssocID="{7BE7F49C-C97D-415A-AAE4-B32BD1654390}" presName="rootComposite" presStyleCnt="0"/>
      <dgm:spPr/>
    </dgm:pt>
    <dgm:pt modelId="{4DE1D7EA-0372-4DC0-8968-E99D5EC38045}" type="pres">
      <dgm:prSet presAssocID="{7BE7F49C-C97D-415A-AAE4-B32BD1654390}" presName="rootText" presStyleLbl="node3" presStyleIdx="21" presStyleCnt="35" custScaleX="146512" custScaleY="196885">
        <dgm:presLayoutVars>
          <dgm:chPref val="3"/>
        </dgm:presLayoutVars>
      </dgm:prSet>
      <dgm:spPr/>
    </dgm:pt>
    <dgm:pt modelId="{FF3B64D9-32EC-4879-B5F5-8B488BBC2F29}" type="pres">
      <dgm:prSet presAssocID="{7BE7F49C-C97D-415A-AAE4-B32BD1654390}" presName="rootConnector" presStyleLbl="node3" presStyleIdx="21" presStyleCnt="35"/>
      <dgm:spPr/>
    </dgm:pt>
    <dgm:pt modelId="{313D85CC-E8E8-4E65-B4DB-5C9161A4C535}" type="pres">
      <dgm:prSet presAssocID="{7BE7F49C-C97D-415A-AAE4-B32BD1654390}" presName="hierChild4" presStyleCnt="0"/>
      <dgm:spPr/>
    </dgm:pt>
    <dgm:pt modelId="{951F24CA-E672-467F-A7FF-93B67083B637}" type="pres">
      <dgm:prSet presAssocID="{7BE7F49C-C97D-415A-AAE4-B32BD1654390}" presName="hierChild5" presStyleCnt="0"/>
      <dgm:spPr/>
    </dgm:pt>
    <dgm:pt modelId="{444EAF71-C47B-47C9-8EB6-42D04FC67895}" type="pres">
      <dgm:prSet presAssocID="{6E87DA15-E197-4F8A-A9C9-173722F378BC}" presName="Name37" presStyleLbl="parChTrans1D3" presStyleIdx="22" presStyleCnt="35"/>
      <dgm:spPr/>
    </dgm:pt>
    <dgm:pt modelId="{5AD7221A-5439-4387-A617-90B7C7FDB69B}" type="pres">
      <dgm:prSet presAssocID="{EAEFAC95-6399-4D4D-A3F0-F969BD3B6E41}" presName="hierRoot2" presStyleCnt="0">
        <dgm:presLayoutVars>
          <dgm:hierBranch val="init"/>
        </dgm:presLayoutVars>
      </dgm:prSet>
      <dgm:spPr/>
    </dgm:pt>
    <dgm:pt modelId="{1A660200-786C-468E-BB87-F8F506D42A93}" type="pres">
      <dgm:prSet presAssocID="{EAEFAC95-6399-4D4D-A3F0-F969BD3B6E41}" presName="rootComposite" presStyleCnt="0"/>
      <dgm:spPr/>
    </dgm:pt>
    <dgm:pt modelId="{B75C517C-3F68-45CA-B13C-94FB2B301AB2}" type="pres">
      <dgm:prSet presAssocID="{EAEFAC95-6399-4D4D-A3F0-F969BD3B6E41}" presName="rootText" presStyleLbl="node3" presStyleIdx="22" presStyleCnt="35" custScaleX="154838" custScaleY="182714">
        <dgm:presLayoutVars>
          <dgm:chPref val="3"/>
        </dgm:presLayoutVars>
      </dgm:prSet>
      <dgm:spPr/>
    </dgm:pt>
    <dgm:pt modelId="{33C0E2A4-6ECA-4AB3-8D59-D051D28622C0}" type="pres">
      <dgm:prSet presAssocID="{EAEFAC95-6399-4D4D-A3F0-F969BD3B6E41}" presName="rootConnector" presStyleLbl="node3" presStyleIdx="22" presStyleCnt="35"/>
      <dgm:spPr/>
    </dgm:pt>
    <dgm:pt modelId="{12CFC1D1-8DB2-4DC7-94C3-D5D103BF170C}" type="pres">
      <dgm:prSet presAssocID="{EAEFAC95-6399-4D4D-A3F0-F969BD3B6E41}" presName="hierChild4" presStyleCnt="0"/>
      <dgm:spPr/>
    </dgm:pt>
    <dgm:pt modelId="{A3E9771F-E56D-43CB-A755-059C4D50D403}" type="pres">
      <dgm:prSet presAssocID="{EAEFAC95-6399-4D4D-A3F0-F969BD3B6E41}" presName="hierChild5" presStyleCnt="0"/>
      <dgm:spPr/>
    </dgm:pt>
    <dgm:pt modelId="{74747C88-FC83-4253-ACA2-D3E2DFC96AB5}" type="pres">
      <dgm:prSet presAssocID="{BE4BD692-713C-4D86-86F4-9B4AED6FB5D1}" presName="hierChild5" presStyleCnt="0"/>
      <dgm:spPr/>
    </dgm:pt>
    <dgm:pt modelId="{C466725E-70B8-4F56-8524-A9E705F08925}" type="pres">
      <dgm:prSet presAssocID="{90D6DFB5-824A-4D9F-8B4A-0C0CA4BDEBA3}" presName="Name37" presStyleLbl="parChTrans1D2" presStyleIdx="7" presStyleCnt="13"/>
      <dgm:spPr/>
    </dgm:pt>
    <dgm:pt modelId="{3C0FD90C-1B0E-4B84-810B-60D62F688A27}" type="pres">
      <dgm:prSet presAssocID="{1FB6A459-4783-4034-8B61-2A154B0B0006}" presName="hierRoot2" presStyleCnt="0">
        <dgm:presLayoutVars>
          <dgm:hierBranch val="init"/>
        </dgm:presLayoutVars>
      </dgm:prSet>
      <dgm:spPr/>
    </dgm:pt>
    <dgm:pt modelId="{C4EC6132-F059-44A0-8F74-39BAB2FDFED2}" type="pres">
      <dgm:prSet presAssocID="{1FB6A459-4783-4034-8B61-2A154B0B0006}" presName="rootComposite" presStyleCnt="0"/>
      <dgm:spPr/>
    </dgm:pt>
    <dgm:pt modelId="{A9B19B02-2CC9-461F-9535-25D92E6433B8}" type="pres">
      <dgm:prSet presAssocID="{1FB6A459-4783-4034-8B61-2A154B0B0006}" presName="rootText" presStyleLbl="node2" presStyleIdx="7" presStyleCnt="13" custScaleX="197040" custScaleY="178216">
        <dgm:presLayoutVars>
          <dgm:chPref val="3"/>
        </dgm:presLayoutVars>
      </dgm:prSet>
      <dgm:spPr/>
    </dgm:pt>
    <dgm:pt modelId="{5D30B8EF-8AB3-407F-9E80-DD80C9D7642F}" type="pres">
      <dgm:prSet presAssocID="{1FB6A459-4783-4034-8B61-2A154B0B0006}" presName="rootConnector" presStyleLbl="node2" presStyleIdx="7" presStyleCnt="13"/>
      <dgm:spPr/>
    </dgm:pt>
    <dgm:pt modelId="{EE87430E-601B-4181-AB01-262A9CE82B9D}" type="pres">
      <dgm:prSet presAssocID="{1FB6A459-4783-4034-8B61-2A154B0B0006}" presName="hierChild4" presStyleCnt="0"/>
      <dgm:spPr/>
    </dgm:pt>
    <dgm:pt modelId="{A9014C39-A9CA-4C72-A113-B2C0FE25A7C4}" type="pres">
      <dgm:prSet presAssocID="{6B74A58D-71C2-492B-95A7-96AAB6B4037C}" presName="Name37" presStyleLbl="parChTrans1D3" presStyleIdx="23" presStyleCnt="35"/>
      <dgm:spPr/>
    </dgm:pt>
    <dgm:pt modelId="{5A18E519-06A3-4E9C-9933-4EFC200FE158}" type="pres">
      <dgm:prSet presAssocID="{ACE54EA4-D994-413A-8D9D-9EBB3F3ED324}" presName="hierRoot2" presStyleCnt="0">
        <dgm:presLayoutVars>
          <dgm:hierBranch val="init"/>
        </dgm:presLayoutVars>
      </dgm:prSet>
      <dgm:spPr/>
    </dgm:pt>
    <dgm:pt modelId="{880ACD15-8C75-49AD-968F-663ABDE05A9B}" type="pres">
      <dgm:prSet presAssocID="{ACE54EA4-D994-413A-8D9D-9EBB3F3ED324}" presName="rootComposite" presStyleCnt="0"/>
      <dgm:spPr/>
    </dgm:pt>
    <dgm:pt modelId="{49A629FC-D389-4BE9-989F-231A8AAA905F}" type="pres">
      <dgm:prSet presAssocID="{ACE54EA4-D994-413A-8D9D-9EBB3F3ED324}" presName="rootText" presStyleLbl="node3" presStyleIdx="23" presStyleCnt="35" custScaleX="208240" custScaleY="217501">
        <dgm:presLayoutVars>
          <dgm:chPref val="3"/>
        </dgm:presLayoutVars>
      </dgm:prSet>
      <dgm:spPr/>
    </dgm:pt>
    <dgm:pt modelId="{C27B6258-3E7A-4EFE-928C-6BCE21BC11EA}" type="pres">
      <dgm:prSet presAssocID="{ACE54EA4-D994-413A-8D9D-9EBB3F3ED324}" presName="rootConnector" presStyleLbl="node3" presStyleIdx="23" presStyleCnt="35"/>
      <dgm:spPr/>
    </dgm:pt>
    <dgm:pt modelId="{1433545D-1F6C-4004-A537-CA1119F6443D}" type="pres">
      <dgm:prSet presAssocID="{ACE54EA4-D994-413A-8D9D-9EBB3F3ED324}" presName="hierChild4" presStyleCnt="0"/>
      <dgm:spPr/>
    </dgm:pt>
    <dgm:pt modelId="{E3AB3722-6845-4211-A8C5-50F573274C32}" type="pres">
      <dgm:prSet presAssocID="{ACE54EA4-D994-413A-8D9D-9EBB3F3ED324}" presName="hierChild5" presStyleCnt="0"/>
      <dgm:spPr/>
    </dgm:pt>
    <dgm:pt modelId="{AD255312-F19B-4884-833A-E7F1570030A7}" type="pres">
      <dgm:prSet presAssocID="{C6B1E089-D923-441C-BB25-E419DA0B3CF5}" presName="Name37" presStyleLbl="parChTrans1D3" presStyleIdx="24" presStyleCnt="35"/>
      <dgm:spPr/>
    </dgm:pt>
    <dgm:pt modelId="{08D6A3B1-A1A7-4F3E-BF13-8C9A831C9863}" type="pres">
      <dgm:prSet presAssocID="{83BF8C45-C75D-43C0-9B3E-471FAD3222A0}" presName="hierRoot2" presStyleCnt="0">
        <dgm:presLayoutVars>
          <dgm:hierBranch val="init"/>
        </dgm:presLayoutVars>
      </dgm:prSet>
      <dgm:spPr/>
    </dgm:pt>
    <dgm:pt modelId="{6B1AAA05-64B4-4CDD-AF1F-9998C7B60386}" type="pres">
      <dgm:prSet presAssocID="{83BF8C45-C75D-43C0-9B3E-471FAD3222A0}" presName="rootComposite" presStyleCnt="0"/>
      <dgm:spPr/>
    </dgm:pt>
    <dgm:pt modelId="{422CACE0-425F-4A44-AC51-D3E59FC914E4}" type="pres">
      <dgm:prSet presAssocID="{83BF8C45-C75D-43C0-9B3E-471FAD3222A0}" presName="rootText" presStyleLbl="node3" presStyleIdx="24" presStyleCnt="35" custScaleX="220214" custScaleY="210955">
        <dgm:presLayoutVars>
          <dgm:chPref val="3"/>
        </dgm:presLayoutVars>
      </dgm:prSet>
      <dgm:spPr/>
    </dgm:pt>
    <dgm:pt modelId="{3CEF37E4-23BC-46D0-8657-81A45DF85F9F}" type="pres">
      <dgm:prSet presAssocID="{83BF8C45-C75D-43C0-9B3E-471FAD3222A0}" presName="rootConnector" presStyleLbl="node3" presStyleIdx="24" presStyleCnt="35"/>
      <dgm:spPr/>
    </dgm:pt>
    <dgm:pt modelId="{032E0AE9-809B-4744-A4C2-76EF569D7DDB}" type="pres">
      <dgm:prSet presAssocID="{83BF8C45-C75D-43C0-9B3E-471FAD3222A0}" presName="hierChild4" presStyleCnt="0"/>
      <dgm:spPr/>
    </dgm:pt>
    <dgm:pt modelId="{8007ACA6-73D8-4CA4-9024-F9DBF6AC4A14}" type="pres">
      <dgm:prSet presAssocID="{83BF8C45-C75D-43C0-9B3E-471FAD3222A0}" presName="hierChild5" presStyleCnt="0"/>
      <dgm:spPr/>
    </dgm:pt>
    <dgm:pt modelId="{71A98ECE-9F94-4ACA-8E33-272E32FE8150}" type="pres">
      <dgm:prSet presAssocID="{BFF48600-D138-4876-877F-AFA355E1581B}" presName="Name37" presStyleLbl="parChTrans1D3" presStyleIdx="25" presStyleCnt="35"/>
      <dgm:spPr/>
    </dgm:pt>
    <dgm:pt modelId="{BD9C403C-6849-4805-B850-8B3C220C065E}" type="pres">
      <dgm:prSet presAssocID="{BA0BEA14-D238-418D-8AC8-46C8AAEA6495}" presName="hierRoot2" presStyleCnt="0">
        <dgm:presLayoutVars>
          <dgm:hierBranch val="init"/>
        </dgm:presLayoutVars>
      </dgm:prSet>
      <dgm:spPr/>
    </dgm:pt>
    <dgm:pt modelId="{C6F2E587-2A13-41BF-8F44-0344319C9963}" type="pres">
      <dgm:prSet presAssocID="{BA0BEA14-D238-418D-8AC8-46C8AAEA6495}" presName="rootComposite" presStyleCnt="0"/>
      <dgm:spPr/>
    </dgm:pt>
    <dgm:pt modelId="{80924799-3078-4ECA-B2E9-C59C8EF8EC69}" type="pres">
      <dgm:prSet presAssocID="{BA0BEA14-D238-418D-8AC8-46C8AAEA6495}" presName="rootText" presStyleLbl="node3" presStyleIdx="25" presStyleCnt="35" custScaleX="221749" custScaleY="238937">
        <dgm:presLayoutVars>
          <dgm:chPref val="3"/>
        </dgm:presLayoutVars>
      </dgm:prSet>
      <dgm:spPr/>
    </dgm:pt>
    <dgm:pt modelId="{988D3EBD-4254-4AD7-ADD9-C904292D61BB}" type="pres">
      <dgm:prSet presAssocID="{BA0BEA14-D238-418D-8AC8-46C8AAEA6495}" presName="rootConnector" presStyleLbl="node3" presStyleIdx="25" presStyleCnt="35"/>
      <dgm:spPr/>
    </dgm:pt>
    <dgm:pt modelId="{92979DC2-672C-4485-AE2B-8649F8B59592}" type="pres">
      <dgm:prSet presAssocID="{BA0BEA14-D238-418D-8AC8-46C8AAEA6495}" presName="hierChild4" presStyleCnt="0"/>
      <dgm:spPr/>
    </dgm:pt>
    <dgm:pt modelId="{57116B5F-8D03-4C66-9CFF-82A918805875}" type="pres">
      <dgm:prSet presAssocID="{BA0BEA14-D238-418D-8AC8-46C8AAEA6495}" presName="hierChild5" presStyleCnt="0"/>
      <dgm:spPr/>
    </dgm:pt>
    <dgm:pt modelId="{148BAEFE-663A-4078-9A2C-C950F1E5B218}" type="pres">
      <dgm:prSet presAssocID="{1FB6A459-4783-4034-8B61-2A154B0B0006}" presName="hierChild5" presStyleCnt="0"/>
      <dgm:spPr/>
    </dgm:pt>
    <dgm:pt modelId="{1B1FB411-620F-4B90-A763-9E1EACDC06FD}" type="pres">
      <dgm:prSet presAssocID="{A8AA99EF-8CA2-479C-BE5C-7BB99A8026D6}" presName="Name37" presStyleLbl="parChTrans1D2" presStyleIdx="8" presStyleCnt="13"/>
      <dgm:spPr/>
    </dgm:pt>
    <dgm:pt modelId="{D2448133-872C-4ACA-9E18-E8E88C4D8371}" type="pres">
      <dgm:prSet presAssocID="{1D40E771-1A92-43AF-A112-D0C5F13D1F59}" presName="hierRoot2" presStyleCnt="0">
        <dgm:presLayoutVars>
          <dgm:hierBranch val="init"/>
        </dgm:presLayoutVars>
      </dgm:prSet>
      <dgm:spPr/>
    </dgm:pt>
    <dgm:pt modelId="{8B3006F7-E6EB-4266-A1A2-4A71997EC100}" type="pres">
      <dgm:prSet presAssocID="{1D40E771-1A92-43AF-A112-D0C5F13D1F59}" presName="rootComposite" presStyleCnt="0"/>
      <dgm:spPr/>
    </dgm:pt>
    <dgm:pt modelId="{B1089591-6996-4E84-8569-433487959C2B}" type="pres">
      <dgm:prSet presAssocID="{1D40E771-1A92-43AF-A112-D0C5F13D1F59}" presName="rootText" presStyleLbl="node2" presStyleIdx="8" presStyleCnt="13" custScaleX="166829" custScaleY="171044">
        <dgm:presLayoutVars>
          <dgm:chPref val="3"/>
        </dgm:presLayoutVars>
      </dgm:prSet>
      <dgm:spPr/>
    </dgm:pt>
    <dgm:pt modelId="{FDA9FF81-82FE-47AA-BBFB-1259501EFC53}" type="pres">
      <dgm:prSet presAssocID="{1D40E771-1A92-43AF-A112-D0C5F13D1F59}" presName="rootConnector" presStyleLbl="node2" presStyleIdx="8" presStyleCnt="13"/>
      <dgm:spPr/>
    </dgm:pt>
    <dgm:pt modelId="{2CA34309-2F90-4D6C-BC62-5244B2A42306}" type="pres">
      <dgm:prSet presAssocID="{1D40E771-1A92-43AF-A112-D0C5F13D1F59}" presName="hierChild4" presStyleCnt="0"/>
      <dgm:spPr/>
    </dgm:pt>
    <dgm:pt modelId="{C5302217-839B-481D-8AFD-4E21DE2ACF48}" type="pres">
      <dgm:prSet presAssocID="{C433E135-F791-47B7-A6C3-27E909B774D9}" presName="Name37" presStyleLbl="parChTrans1D3" presStyleIdx="26" presStyleCnt="35"/>
      <dgm:spPr/>
    </dgm:pt>
    <dgm:pt modelId="{59315506-3A29-4F34-9FB1-CEFD4C0780DE}" type="pres">
      <dgm:prSet presAssocID="{0B0E540C-5EE3-4779-8068-2EAD76CDBA42}" presName="hierRoot2" presStyleCnt="0">
        <dgm:presLayoutVars>
          <dgm:hierBranch val="init"/>
        </dgm:presLayoutVars>
      </dgm:prSet>
      <dgm:spPr/>
    </dgm:pt>
    <dgm:pt modelId="{BA5B1181-4595-4C98-BCAF-C269FA4648D2}" type="pres">
      <dgm:prSet presAssocID="{0B0E540C-5EE3-4779-8068-2EAD76CDBA42}" presName="rootComposite" presStyleCnt="0"/>
      <dgm:spPr/>
    </dgm:pt>
    <dgm:pt modelId="{F2024299-3489-43B7-850E-A51AA184696C}" type="pres">
      <dgm:prSet presAssocID="{0B0E540C-5EE3-4779-8068-2EAD76CDBA42}" presName="rootText" presStyleLbl="node3" presStyleIdx="26" presStyleCnt="35" custScaleX="125250" custScaleY="348548">
        <dgm:presLayoutVars>
          <dgm:chPref val="3"/>
        </dgm:presLayoutVars>
      </dgm:prSet>
      <dgm:spPr/>
    </dgm:pt>
    <dgm:pt modelId="{AF7E56A1-5553-4E6C-88F0-3527D9764774}" type="pres">
      <dgm:prSet presAssocID="{0B0E540C-5EE3-4779-8068-2EAD76CDBA42}" presName="rootConnector" presStyleLbl="node3" presStyleIdx="26" presStyleCnt="35"/>
      <dgm:spPr/>
    </dgm:pt>
    <dgm:pt modelId="{2BBA3B76-9A36-488F-8F51-0B54C76C7F37}" type="pres">
      <dgm:prSet presAssocID="{0B0E540C-5EE3-4779-8068-2EAD76CDBA42}" presName="hierChild4" presStyleCnt="0"/>
      <dgm:spPr/>
    </dgm:pt>
    <dgm:pt modelId="{D295654F-ABAA-4223-B06F-ED91A96FD41B}" type="pres">
      <dgm:prSet presAssocID="{0B0E540C-5EE3-4779-8068-2EAD76CDBA42}" presName="hierChild5" presStyleCnt="0"/>
      <dgm:spPr/>
    </dgm:pt>
    <dgm:pt modelId="{D8E5584B-5886-4F86-B3E5-31FFC409E382}" type="pres">
      <dgm:prSet presAssocID="{1D40E771-1A92-43AF-A112-D0C5F13D1F59}" presName="hierChild5" presStyleCnt="0"/>
      <dgm:spPr/>
    </dgm:pt>
    <dgm:pt modelId="{F621D24C-D297-4921-AF47-18BDC152BBB7}" type="pres">
      <dgm:prSet presAssocID="{1A684A9E-478E-4881-9341-1BA8ECEA74FD}" presName="Name37" presStyleLbl="parChTrans1D2" presStyleIdx="9" presStyleCnt="13"/>
      <dgm:spPr/>
    </dgm:pt>
    <dgm:pt modelId="{BE9A2D6A-9501-4D0F-924B-93D7E267357C}" type="pres">
      <dgm:prSet presAssocID="{143A9126-27CA-47F3-A65C-E9BAE3272CD2}" presName="hierRoot2" presStyleCnt="0">
        <dgm:presLayoutVars>
          <dgm:hierBranch val="init"/>
        </dgm:presLayoutVars>
      </dgm:prSet>
      <dgm:spPr/>
    </dgm:pt>
    <dgm:pt modelId="{FAC437AF-1E73-4A87-8F39-D55264F37B81}" type="pres">
      <dgm:prSet presAssocID="{143A9126-27CA-47F3-A65C-E9BAE3272CD2}" presName="rootComposite" presStyleCnt="0"/>
      <dgm:spPr/>
    </dgm:pt>
    <dgm:pt modelId="{131F852A-79C3-46B4-AD41-15C2E26C30F6}" type="pres">
      <dgm:prSet presAssocID="{143A9126-27CA-47F3-A65C-E9BAE3272CD2}" presName="rootText" presStyleLbl="node2" presStyleIdx="9" presStyleCnt="13" custScaleY="148802" custLinFactNeighborX="11160" custLinFactNeighborY="4464">
        <dgm:presLayoutVars>
          <dgm:chPref val="3"/>
        </dgm:presLayoutVars>
      </dgm:prSet>
      <dgm:spPr/>
    </dgm:pt>
    <dgm:pt modelId="{E97816E2-32E1-4D11-BBCB-2F052CBAF941}" type="pres">
      <dgm:prSet presAssocID="{143A9126-27CA-47F3-A65C-E9BAE3272CD2}" presName="rootConnector" presStyleLbl="node2" presStyleIdx="9" presStyleCnt="13"/>
      <dgm:spPr/>
    </dgm:pt>
    <dgm:pt modelId="{B0E4C983-2E89-456B-A716-0138FA984FDB}" type="pres">
      <dgm:prSet presAssocID="{143A9126-27CA-47F3-A65C-E9BAE3272CD2}" presName="hierChild4" presStyleCnt="0"/>
      <dgm:spPr/>
    </dgm:pt>
    <dgm:pt modelId="{B70D3E8C-9816-4E0A-B13E-60EA044F03F5}" type="pres">
      <dgm:prSet presAssocID="{DA52C81B-11FA-4FCF-B623-C306D654D468}" presName="Name37" presStyleLbl="parChTrans1D3" presStyleIdx="27" presStyleCnt="35"/>
      <dgm:spPr/>
    </dgm:pt>
    <dgm:pt modelId="{C99C96D4-2DCF-4905-B6A7-91356FAC63CE}" type="pres">
      <dgm:prSet presAssocID="{898F7F33-AC0C-4427-8D47-45969FB8C2DC}" presName="hierRoot2" presStyleCnt="0">
        <dgm:presLayoutVars>
          <dgm:hierBranch val="init"/>
        </dgm:presLayoutVars>
      </dgm:prSet>
      <dgm:spPr/>
    </dgm:pt>
    <dgm:pt modelId="{CC625C40-115F-4A1F-92F1-C5A416C312C1}" type="pres">
      <dgm:prSet presAssocID="{898F7F33-AC0C-4427-8D47-45969FB8C2DC}" presName="rootComposite" presStyleCnt="0"/>
      <dgm:spPr/>
    </dgm:pt>
    <dgm:pt modelId="{C467CE64-17E6-4869-BA5D-1B6745EF6B13}" type="pres">
      <dgm:prSet presAssocID="{898F7F33-AC0C-4427-8D47-45969FB8C2DC}" presName="rootText" presStyleLbl="node3" presStyleIdx="27" presStyleCnt="35" custScaleX="95533" custScaleY="160772">
        <dgm:presLayoutVars>
          <dgm:chPref val="3"/>
        </dgm:presLayoutVars>
      </dgm:prSet>
      <dgm:spPr/>
    </dgm:pt>
    <dgm:pt modelId="{E024EA8A-63FB-45B8-ACD4-81C078F98B27}" type="pres">
      <dgm:prSet presAssocID="{898F7F33-AC0C-4427-8D47-45969FB8C2DC}" presName="rootConnector" presStyleLbl="node3" presStyleIdx="27" presStyleCnt="35"/>
      <dgm:spPr/>
    </dgm:pt>
    <dgm:pt modelId="{188E6118-5A7C-4AA6-ADB0-E4CFB392AE22}" type="pres">
      <dgm:prSet presAssocID="{898F7F33-AC0C-4427-8D47-45969FB8C2DC}" presName="hierChild4" presStyleCnt="0"/>
      <dgm:spPr/>
    </dgm:pt>
    <dgm:pt modelId="{3CAC85E8-567D-4173-9885-D28F54B76376}" type="pres">
      <dgm:prSet presAssocID="{898F7F33-AC0C-4427-8D47-45969FB8C2DC}" presName="hierChild5" presStyleCnt="0"/>
      <dgm:spPr/>
    </dgm:pt>
    <dgm:pt modelId="{9F5399ED-04E6-4ECB-B741-DE81A6F1F534}" type="pres">
      <dgm:prSet presAssocID="{2AF3E5DB-8E9B-4BA3-860C-30E303043F35}" presName="Name37" presStyleLbl="parChTrans1D3" presStyleIdx="28" presStyleCnt="35"/>
      <dgm:spPr/>
    </dgm:pt>
    <dgm:pt modelId="{996A3A7C-A319-4D87-B273-AD8A177A146A}" type="pres">
      <dgm:prSet presAssocID="{BCFA7415-13E7-4553-9707-D8A778E81C43}" presName="hierRoot2" presStyleCnt="0">
        <dgm:presLayoutVars>
          <dgm:hierBranch val="init"/>
        </dgm:presLayoutVars>
      </dgm:prSet>
      <dgm:spPr/>
    </dgm:pt>
    <dgm:pt modelId="{11684256-EC76-4474-8BDD-1090BC5819FD}" type="pres">
      <dgm:prSet presAssocID="{BCFA7415-13E7-4553-9707-D8A778E81C43}" presName="rootComposite" presStyleCnt="0"/>
      <dgm:spPr/>
    </dgm:pt>
    <dgm:pt modelId="{1ABEC1F7-0F37-45F8-9122-4D1D82F26F2F}" type="pres">
      <dgm:prSet presAssocID="{BCFA7415-13E7-4553-9707-D8A778E81C43}" presName="rootText" presStyleLbl="node3" presStyleIdx="28" presStyleCnt="35" custScaleX="116682" custScaleY="144935">
        <dgm:presLayoutVars>
          <dgm:chPref val="3"/>
        </dgm:presLayoutVars>
      </dgm:prSet>
      <dgm:spPr/>
    </dgm:pt>
    <dgm:pt modelId="{4481FBCE-C39E-4F43-800F-EF7D5315713A}" type="pres">
      <dgm:prSet presAssocID="{BCFA7415-13E7-4553-9707-D8A778E81C43}" presName="rootConnector" presStyleLbl="node3" presStyleIdx="28" presStyleCnt="35"/>
      <dgm:spPr/>
    </dgm:pt>
    <dgm:pt modelId="{80213604-6ECF-4247-B069-AEB1863E7B31}" type="pres">
      <dgm:prSet presAssocID="{BCFA7415-13E7-4553-9707-D8A778E81C43}" presName="hierChild4" presStyleCnt="0"/>
      <dgm:spPr/>
    </dgm:pt>
    <dgm:pt modelId="{82CFAC13-F5EA-4784-A3A1-2FD48C0AEBA1}" type="pres">
      <dgm:prSet presAssocID="{BCFA7415-13E7-4553-9707-D8A778E81C43}" presName="hierChild5" presStyleCnt="0"/>
      <dgm:spPr/>
    </dgm:pt>
    <dgm:pt modelId="{B60E6B1C-38EB-4BF7-AD3A-8834CFDF7F8D}" type="pres">
      <dgm:prSet presAssocID="{DCA9D5F8-91C8-44AC-9EB2-B7F72797E643}" presName="Name37" presStyleLbl="parChTrans1D3" presStyleIdx="29" presStyleCnt="35"/>
      <dgm:spPr/>
    </dgm:pt>
    <dgm:pt modelId="{CCB47374-275F-4949-9681-9CF15B429003}" type="pres">
      <dgm:prSet presAssocID="{B872EB2D-3716-4112-BF93-5F230D1FF224}" presName="hierRoot2" presStyleCnt="0">
        <dgm:presLayoutVars>
          <dgm:hierBranch val="init"/>
        </dgm:presLayoutVars>
      </dgm:prSet>
      <dgm:spPr/>
    </dgm:pt>
    <dgm:pt modelId="{679BC4A8-7D0C-4602-9C3D-6C0EBD3F4A9D}" type="pres">
      <dgm:prSet presAssocID="{B872EB2D-3716-4112-BF93-5F230D1FF224}" presName="rootComposite" presStyleCnt="0"/>
      <dgm:spPr/>
    </dgm:pt>
    <dgm:pt modelId="{C2785190-D5DC-4E86-AD0D-F01E66F4B172}" type="pres">
      <dgm:prSet presAssocID="{B872EB2D-3716-4112-BF93-5F230D1FF224}" presName="rootText" presStyleLbl="node3" presStyleIdx="29" presStyleCnt="35" custScaleX="122511" custScaleY="214023">
        <dgm:presLayoutVars>
          <dgm:chPref val="3"/>
        </dgm:presLayoutVars>
      </dgm:prSet>
      <dgm:spPr/>
    </dgm:pt>
    <dgm:pt modelId="{3230156C-ED9F-444F-827F-2F13BAF6ABA0}" type="pres">
      <dgm:prSet presAssocID="{B872EB2D-3716-4112-BF93-5F230D1FF224}" presName="rootConnector" presStyleLbl="node3" presStyleIdx="29" presStyleCnt="35"/>
      <dgm:spPr/>
    </dgm:pt>
    <dgm:pt modelId="{FD64D925-E810-400B-AF10-C4D9A7EA3137}" type="pres">
      <dgm:prSet presAssocID="{B872EB2D-3716-4112-BF93-5F230D1FF224}" presName="hierChild4" presStyleCnt="0"/>
      <dgm:spPr/>
    </dgm:pt>
    <dgm:pt modelId="{46669861-6F86-4120-8782-EB10623B64C4}" type="pres">
      <dgm:prSet presAssocID="{B872EB2D-3716-4112-BF93-5F230D1FF224}" presName="hierChild5" presStyleCnt="0"/>
      <dgm:spPr/>
    </dgm:pt>
    <dgm:pt modelId="{3B81C3E9-A939-42FC-9790-92E7A51F046C}" type="pres">
      <dgm:prSet presAssocID="{143A9126-27CA-47F3-A65C-E9BAE3272CD2}" presName="hierChild5" presStyleCnt="0"/>
      <dgm:spPr/>
    </dgm:pt>
    <dgm:pt modelId="{B59BF0BC-B13F-46F8-B3A1-A81E837A7889}" type="pres">
      <dgm:prSet presAssocID="{1B90DA5C-7678-4F24-8A8E-BEDFE00786F6}" presName="Name37" presStyleLbl="parChTrans1D2" presStyleIdx="10" presStyleCnt="13"/>
      <dgm:spPr/>
    </dgm:pt>
    <dgm:pt modelId="{5325AD5B-8128-41B9-B792-E53A8F28BEF0}" type="pres">
      <dgm:prSet presAssocID="{51B46897-FCF0-4E13-9A27-75473865638C}" presName="hierRoot2" presStyleCnt="0">
        <dgm:presLayoutVars>
          <dgm:hierBranch val="init"/>
        </dgm:presLayoutVars>
      </dgm:prSet>
      <dgm:spPr/>
    </dgm:pt>
    <dgm:pt modelId="{D19881A3-6935-4AA2-940F-D669ABA6FC54}" type="pres">
      <dgm:prSet presAssocID="{51B46897-FCF0-4E13-9A27-75473865638C}" presName="rootComposite" presStyleCnt="0"/>
      <dgm:spPr/>
    </dgm:pt>
    <dgm:pt modelId="{21CA6E6C-DDA2-4531-9015-AF496300DB2D}" type="pres">
      <dgm:prSet presAssocID="{51B46897-FCF0-4E13-9A27-75473865638C}" presName="rootText" presStyleLbl="node2" presStyleIdx="10" presStyleCnt="13" custScaleX="93909" custScaleY="256896">
        <dgm:presLayoutVars>
          <dgm:chPref val="3"/>
        </dgm:presLayoutVars>
      </dgm:prSet>
      <dgm:spPr/>
    </dgm:pt>
    <dgm:pt modelId="{8D00A992-3113-4063-9B66-9A87543EEF82}" type="pres">
      <dgm:prSet presAssocID="{51B46897-FCF0-4E13-9A27-75473865638C}" presName="rootConnector" presStyleLbl="node2" presStyleIdx="10" presStyleCnt="13"/>
      <dgm:spPr/>
    </dgm:pt>
    <dgm:pt modelId="{F84D293E-6A01-4660-ADCB-6B09971EF2D5}" type="pres">
      <dgm:prSet presAssocID="{51B46897-FCF0-4E13-9A27-75473865638C}" presName="hierChild4" presStyleCnt="0"/>
      <dgm:spPr/>
    </dgm:pt>
    <dgm:pt modelId="{91824D34-E771-4436-8E11-63EF5BC33830}" type="pres">
      <dgm:prSet presAssocID="{348103CD-1CD5-4D90-B4A3-C7B48FDDCD4B}" presName="Name37" presStyleLbl="parChTrans1D3" presStyleIdx="30" presStyleCnt="35"/>
      <dgm:spPr/>
    </dgm:pt>
    <dgm:pt modelId="{F9C985E4-BE86-49E3-84D7-98F93B9E2DB6}" type="pres">
      <dgm:prSet presAssocID="{7EDA2DCA-8394-43D6-804D-A07D549E577D}" presName="hierRoot2" presStyleCnt="0">
        <dgm:presLayoutVars>
          <dgm:hierBranch val="init"/>
        </dgm:presLayoutVars>
      </dgm:prSet>
      <dgm:spPr/>
    </dgm:pt>
    <dgm:pt modelId="{C478F88B-D603-4D4A-A356-C7F2848AC6E9}" type="pres">
      <dgm:prSet presAssocID="{7EDA2DCA-8394-43D6-804D-A07D549E577D}" presName="rootComposite" presStyleCnt="0"/>
      <dgm:spPr/>
    </dgm:pt>
    <dgm:pt modelId="{F0A32968-93CE-41E7-AB84-865084DBD119}" type="pres">
      <dgm:prSet presAssocID="{7EDA2DCA-8394-43D6-804D-A07D549E577D}" presName="rootText" presStyleLbl="node3" presStyleIdx="30" presStyleCnt="35" custScaleX="113419" custScaleY="234351">
        <dgm:presLayoutVars>
          <dgm:chPref val="3"/>
        </dgm:presLayoutVars>
      </dgm:prSet>
      <dgm:spPr/>
    </dgm:pt>
    <dgm:pt modelId="{314C260B-E0AB-45E9-AE40-87461443FA92}" type="pres">
      <dgm:prSet presAssocID="{7EDA2DCA-8394-43D6-804D-A07D549E577D}" presName="rootConnector" presStyleLbl="node3" presStyleIdx="30" presStyleCnt="35"/>
      <dgm:spPr/>
    </dgm:pt>
    <dgm:pt modelId="{A63C7D1A-7E92-4F5D-893F-9331EF558AAF}" type="pres">
      <dgm:prSet presAssocID="{7EDA2DCA-8394-43D6-804D-A07D549E577D}" presName="hierChild4" presStyleCnt="0"/>
      <dgm:spPr/>
    </dgm:pt>
    <dgm:pt modelId="{507030D2-4EB4-4D4D-BB03-B459A80C9C50}" type="pres">
      <dgm:prSet presAssocID="{7EDA2DCA-8394-43D6-804D-A07D549E577D}" presName="hierChild5" presStyleCnt="0"/>
      <dgm:spPr/>
    </dgm:pt>
    <dgm:pt modelId="{CD8F30A4-AB22-4E43-A7D5-1FBDDBF766A4}" type="pres">
      <dgm:prSet presAssocID="{51B46897-FCF0-4E13-9A27-75473865638C}" presName="hierChild5" presStyleCnt="0"/>
      <dgm:spPr/>
    </dgm:pt>
    <dgm:pt modelId="{DCCB2701-1E3C-4774-BBD9-18303513AAEF}" type="pres">
      <dgm:prSet presAssocID="{976463B1-2674-41C3-A5BA-F608FEBF05C6}" presName="Name37" presStyleLbl="parChTrans1D2" presStyleIdx="11" presStyleCnt="13"/>
      <dgm:spPr/>
    </dgm:pt>
    <dgm:pt modelId="{CD08C686-7BD0-4A7D-A5F6-CB0C3BCAC5CE}" type="pres">
      <dgm:prSet presAssocID="{63FD17C9-486E-4F2B-9ADF-5135662568AE}" presName="hierRoot2" presStyleCnt="0">
        <dgm:presLayoutVars>
          <dgm:hierBranch val="init"/>
        </dgm:presLayoutVars>
      </dgm:prSet>
      <dgm:spPr/>
    </dgm:pt>
    <dgm:pt modelId="{175D78F6-A86B-4BA5-B812-5FDAED30C77B}" type="pres">
      <dgm:prSet presAssocID="{63FD17C9-486E-4F2B-9ADF-5135662568AE}" presName="rootComposite" presStyleCnt="0"/>
      <dgm:spPr/>
    </dgm:pt>
    <dgm:pt modelId="{5C43C172-1353-4AC5-A629-4CE2968794C6}" type="pres">
      <dgm:prSet presAssocID="{63FD17C9-486E-4F2B-9ADF-5135662568AE}" presName="rootText" presStyleLbl="node2" presStyleIdx="11" presStyleCnt="13" custScaleX="202138" custScaleY="248608">
        <dgm:presLayoutVars>
          <dgm:chPref val="3"/>
        </dgm:presLayoutVars>
      </dgm:prSet>
      <dgm:spPr/>
    </dgm:pt>
    <dgm:pt modelId="{D1521D85-3606-4E33-A9A1-8F3FB96888CA}" type="pres">
      <dgm:prSet presAssocID="{63FD17C9-486E-4F2B-9ADF-5135662568AE}" presName="rootConnector" presStyleLbl="node2" presStyleIdx="11" presStyleCnt="13"/>
      <dgm:spPr/>
    </dgm:pt>
    <dgm:pt modelId="{CFC73CBE-F2BA-4B23-91F1-D69B50A6BEB4}" type="pres">
      <dgm:prSet presAssocID="{63FD17C9-486E-4F2B-9ADF-5135662568AE}" presName="hierChild4" presStyleCnt="0"/>
      <dgm:spPr/>
    </dgm:pt>
    <dgm:pt modelId="{449B0A50-81F9-4F98-800F-6DC93949F6A4}" type="pres">
      <dgm:prSet presAssocID="{D9C33B38-7AF8-4713-B454-59A45E2FCFE7}" presName="Name37" presStyleLbl="parChTrans1D3" presStyleIdx="31" presStyleCnt="35"/>
      <dgm:spPr/>
    </dgm:pt>
    <dgm:pt modelId="{9393F3C0-B758-49FD-8CA7-911C6A2ECC08}" type="pres">
      <dgm:prSet presAssocID="{0EE2EA7B-FA52-4C99-87C1-BF559719F025}" presName="hierRoot2" presStyleCnt="0">
        <dgm:presLayoutVars>
          <dgm:hierBranch val="init"/>
        </dgm:presLayoutVars>
      </dgm:prSet>
      <dgm:spPr/>
    </dgm:pt>
    <dgm:pt modelId="{767C4FA3-B4A5-4E77-ABD1-FBFBDBC16B26}" type="pres">
      <dgm:prSet presAssocID="{0EE2EA7B-FA52-4C99-87C1-BF559719F025}" presName="rootComposite" presStyleCnt="0"/>
      <dgm:spPr/>
    </dgm:pt>
    <dgm:pt modelId="{CA677FBE-1390-4EC4-8467-022DFD47D962}" type="pres">
      <dgm:prSet presAssocID="{0EE2EA7B-FA52-4C99-87C1-BF559719F025}" presName="rootText" presStyleLbl="node3" presStyleIdx="31" presStyleCnt="35" custScaleX="185180" custScaleY="202604">
        <dgm:presLayoutVars>
          <dgm:chPref val="3"/>
        </dgm:presLayoutVars>
      </dgm:prSet>
      <dgm:spPr/>
    </dgm:pt>
    <dgm:pt modelId="{8B753E0B-69E4-4725-AAED-6C08F3442CFA}" type="pres">
      <dgm:prSet presAssocID="{0EE2EA7B-FA52-4C99-87C1-BF559719F025}" presName="rootConnector" presStyleLbl="node3" presStyleIdx="31" presStyleCnt="35"/>
      <dgm:spPr/>
    </dgm:pt>
    <dgm:pt modelId="{04BB5650-895D-4C2E-B39F-D0746DD58330}" type="pres">
      <dgm:prSet presAssocID="{0EE2EA7B-FA52-4C99-87C1-BF559719F025}" presName="hierChild4" presStyleCnt="0"/>
      <dgm:spPr/>
    </dgm:pt>
    <dgm:pt modelId="{0C54971B-5D95-479F-8942-1F1C00A5C4B5}" type="pres">
      <dgm:prSet presAssocID="{0EE2EA7B-FA52-4C99-87C1-BF559719F025}" presName="hierChild5" presStyleCnt="0"/>
      <dgm:spPr/>
    </dgm:pt>
    <dgm:pt modelId="{3616F778-8B53-4A7C-BAF1-C7FC5798A29D}" type="pres">
      <dgm:prSet presAssocID="{961B35DD-0896-41BB-B147-6BC51B14A081}" presName="Name37" presStyleLbl="parChTrans1D3" presStyleIdx="32" presStyleCnt="35"/>
      <dgm:spPr/>
    </dgm:pt>
    <dgm:pt modelId="{0440C946-2B34-4A6A-85C9-2972F31EA4C7}" type="pres">
      <dgm:prSet presAssocID="{E9C4A51D-3956-4EC9-9C87-29147CFAA25F}" presName="hierRoot2" presStyleCnt="0">
        <dgm:presLayoutVars>
          <dgm:hierBranch val="init"/>
        </dgm:presLayoutVars>
      </dgm:prSet>
      <dgm:spPr/>
    </dgm:pt>
    <dgm:pt modelId="{CD59F12B-33ED-41FC-AFAB-D5E239A18AFD}" type="pres">
      <dgm:prSet presAssocID="{E9C4A51D-3956-4EC9-9C87-29147CFAA25F}" presName="rootComposite" presStyleCnt="0"/>
      <dgm:spPr/>
    </dgm:pt>
    <dgm:pt modelId="{0AB6630E-0C3E-4074-8EC5-F9EC335009B8}" type="pres">
      <dgm:prSet presAssocID="{E9C4A51D-3956-4EC9-9C87-29147CFAA25F}" presName="rootText" presStyleLbl="node3" presStyleIdx="32" presStyleCnt="35" custScaleX="168551" custScaleY="140323">
        <dgm:presLayoutVars>
          <dgm:chPref val="3"/>
        </dgm:presLayoutVars>
      </dgm:prSet>
      <dgm:spPr/>
    </dgm:pt>
    <dgm:pt modelId="{7DB977C2-5134-41C5-9C87-6E161EC0428B}" type="pres">
      <dgm:prSet presAssocID="{E9C4A51D-3956-4EC9-9C87-29147CFAA25F}" presName="rootConnector" presStyleLbl="node3" presStyleIdx="32" presStyleCnt="35"/>
      <dgm:spPr/>
    </dgm:pt>
    <dgm:pt modelId="{A78A8DD7-C830-4F81-9444-53D8328DB205}" type="pres">
      <dgm:prSet presAssocID="{E9C4A51D-3956-4EC9-9C87-29147CFAA25F}" presName="hierChild4" presStyleCnt="0"/>
      <dgm:spPr/>
    </dgm:pt>
    <dgm:pt modelId="{5741022F-B671-4B9C-82C5-7A20D0129434}" type="pres">
      <dgm:prSet presAssocID="{E9C4A51D-3956-4EC9-9C87-29147CFAA25F}" presName="hierChild5" presStyleCnt="0"/>
      <dgm:spPr/>
    </dgm:pt>
    <dgm:pt modelId="{A37BE013-3DD7-46B8-8B00-FDDCD9CFF71F}" type="pres">
      <dgm:prSet presAssocID="{63FD17C9-486E-4F2B-9ADF-5135662568AE}" presName="hierChild5" presStyleCnt="0"/>
      <dgm:spPr/>
    </dgm:pt>
    <dgm:pt modelId="{C9B59072-EFA9-4750-8A66-3CC7FD43E375}" type="pres">
      <dgm:prSet presAssocID="{69B5EF6D-EB40-41AD-811E-56CF3AF2AF22}" presName="Name37" presStyleLbl="parChTrans1D2" presStyleIdx="12" presStyleCnt="13"/>
      <dgm:spPr/>
    </dgm:pt>
    <dgm:pt modelId="{AE4BD5B9-A8AD-477E-A599-94125A5D2021}" type="pres">
      <dgm:prSet presAssocID="{0FADA6CE-A3FC-4022-8902-B30BEF642726}" presName="hierRoot2" presStyleCnt="0">
        <dgm:presLayoutVars>
          <dgm:hierBranch val="init"/>
        </dgm:presLayoutVars>
      </dgm:prSet>
      <dgm:spPr/>
    </dgm:pt>
    <dgm:pt modelId="{6F5FAAC3-E9D0-4B42-8A3B-CAB46356D0FF}" type="pres">
      <dgm:prSet presAssocID="{0FADA6CE-A3FC-4022-8902-B30BEF642726}" presName="rootComposite" presStyleCnt="0"/>
      <dgm:spPr/>
    </dgm:pt>
    <dgm:pt modelId="{F8F0E48C-7170-4907-AF04-A34D84F966F2}" type="pres">
      <dgm:prSet presAssocID="{0FADA6CE-A3FC-4022-8902-B30BEF642726}" presName="rootText" presStyleLbl="node2" presStyleIdx="12" presStyleCnt="13" custScaleX="199815" custScaleY="273098">
        <dgm:presLayoutVars>
          <dgm:chPref val="3"/>
        </dgm:presLayoutVars>
      </dgm:prSet>
      <dgm:spPr/>
    </dgm:pt>
    <dgm:pt modelId="{F1C5F45B-0E0D-4B3F-A095-D2DC3EF5AEC0}" type="pres">
      <dgm:prSet presAssocID="{0FADA6CE-A3FC-4022-8902-B30BEF642726}" presName="rootConnector" presStyleLbl="node2" presStyleIdx="12" presStyleCnt="13"/>
      <dgm:spPr/>
    </dgm:pt>
    <dgm:pt modelId="{DD75E8F1-F234-4833-9008-9CDB02EF125A}" type="pres">
      <dgm:prSet presAssocID="{0FADA6CE-A3FC-4022-8902-B30BEF642726}" presName="hierChild4" presStyleCnt="0"/>
      <dgm:spPr/>
    </dgm:pt>
    <dgm:pt modelId="{D4064E19-D9B5-4A3A-8C20-277B5B071998}" type="pres">
      <dgm:prSet presAssocID="{DDFD0972-11A7-4497-9E26-C654E2102371}" presName="Name37" presStyleLbl="parChTrans1D3" presStyleIdx="33" presStyleCnt="35"/>
      <dgm:spPr/>
    </dgm:pt>
    <dgm:pt modelId="{57F02FC0-6977-4457-83E2-FF9E27EEF6EB}" type="pres">
      <dgm:prSet presAssocID="{658B76B5-3927-4392-B854-B3E4236C8708}" presName="hierRoot2" presStyleCnt="0">
        <dgm:presLayoutVars>
          <dgm:hierBranch val="init"/>
        </dgm:presLayoutVars>
      </dgm:prSet>
      <dgm:spPr/>
    </dgm:pt>
    <dgm:pt modelId="{F723077E-1B64-465A-8F9C-4083CC34C832}" type="pres">
      <dgm:prSet presAssocID="{658B76B5-3927-4392-B854-B3E4236C8708}" presName="rootComposite" presStyleCnt="0"/>
      <dgm:spPr/>
    </dgm:pt>
    <dgm:pt modelId="{173EF31B-0037-4490-8827-036E9036F548}" type="pres">
      <dgm:prSet presAssocID="{658B76B5-3927-4392-B854-B3E4236C8708}" presName="rootText" presStyleLbl="node3" presStyleIdx="33" presStyleCnt="35" custScaleX="127695" custScaleY="249797">
        <dgm:presLayoutVars>
          <dgm:chPref val="3"/>
        </dgm:presLayoutVars>
      </dgm:prSet>
      <dgm:spPr/>
    </dgm:pt>
    <dgm:pt modelId="{42DD6EA3-4E9A-4A3E-8A0F-DFD274435298}" type="pres">
      <dgm:prSet presAssocID="{658B76B5-3927-4392-B854-B3E4236C8708}" presName="rootConnector" presStyleLbl="node3" presStyleIdx="33" presStyleCnt="35"/>
      <dgm:spPr/>
    </dgm:pt>
    <dgm:pt modelId="{6E703343-D21D-44A4-BDA6-A574FDE82A7C}" type="pres">
      <dgm:prSet presAssocID="{658B76B5-3927-4392-B854-B3E4236C8708}" presName="hierChild4" presStyleCnt="0"/>
      <dgm:spPr/>
    </dgm:pt>
    <dgm:pt modelId="{2C4606C6-4D85-4BC7-9700-B3BBBD4C4E99}" type="pres">
      <dgm:prSet presAssocID="{658B76B5-3927-4392-B854-B3E4236C8708}" presName="hierChild5" presStyleCnt="0"/>
      <dgm:spPr/>
    </dgm:pt>
    <dgm:pt modelId="{9BC43FE2-5D1A-4F9D-AFBA-C1959E14CD4A}" type="pres">
      <dgm:prSet presAssocID="{A127C38E-F6FB-4207-9058-86C232D2FAD3}" presName="Name37" presStyleLbl="parChTrans1D3" presStyleIdx="34" presStyleCnt="35"/>
      <dgm:spPr/>
    </dgm:pt>
    <dgm:pt modelId="{C45FB3A4-935D-491A-A40F-8ECE2768E293}" type="pres">
      <dgm:prSet presAssocID="{5826AE1B-1DEF-498C-9A04-8F7D0B6D8B21}" presName="hierRoot2" presStyleCnt="0">
        <dgm:presLayoutVars>
          <dgm:hierBranch val="init"/>
        </dgm:presLayoutVars>
      </dgm:prSet>
      <dgm:spPr/>
    </dgm:pt>
    <dgm:pt modelId="{15C73BF4-A823-4751-8D47-5DDDE853D3B0}" type="pres">
      <dgm:prSet presAssocID="{5826AE1B-1DEF-498C-9A04-8F7D0B6D8B21}" presName="rootComposite" presStyleCnt="0"/>
      <dgm:spPr/>
    </dgm:pt>
    <dgm:pt modelId="{8CCD5B6E-2E2E-4ED8-9275-5C02239046D4}" type="pres">
      <dgm:prSet presAssocID="{5826AE1B-1DEF-498C-9A04-8F7D0B6D8B21}" presName="rootText" presStyleLbl="node3" presStyleIdx="34" presStyleCnt="35" custScaleX="181970" custScaleY="163420">
        <dgm:presLayoutVars>
          <dgm:chPref val="3"/>
        </dgm:presLayoutVars>
      </dgm:prSet>
      <dgm:spPr/>
    </dgm:pt>
    <dgm:pt modelId="{9B9CF2EF-22F5-44DF-94A7-D1A93C2F97E1}" type="pres">
      <dgm:prSet presAssocID="{5826AE1B-1DEF-498C-9A04-8F7D0B6D8B21}" presName="rootConnector" presStyleLbl="node3" presStyleIdx="34" presStyleCnt="35"/>
      <dgm:spPr/>
    </dgm:pt>
    <dgm:pt modelId="{F72F293F-A5DE-450D-AF3A-794ED4E3A838}" type="pres">
      <dgm:prSet presAssocID="{5826AE1B-1DEF-498C-9A04-8F7D0B6D8B21}" presName="hierChild4" presStyleCnt="0"/>
      <dgm:spPr/>
    </dgm:pt>
    <dgm:pt modelId="{51597446-8F40-4DE9-BE88-167C44DED2EE}" type="pres">
      <dgm:prSet presAssocID="{5826AE1B-1DEF-498C-9A04-8F7D0B6D8B21}" presName="hierChild5" presStyleCnt="0"/>
      <dgm:spPr/>
    </dgm:pt>
    <dgm:pt modelId="{D7E09A6E-002C-4105-A164-FC1184E1577A}" type="pres">
      <dgm:prSet presAssocID="{0FADA6CE-A3FC-4022-8902-B30BEF642726}" presName="hierChild5" presStyleCnt="0"/>
      <dgm:spPr/>
    </dgm:pt>
    <dgm:pt modelId="{364CE768-C4E8-45E9-BECD-D3EA55A55C0E}" type="pres">
      <dgm:prSet presAssocID="{0A57AB70-7E60-4E66-B2DF-4F41EFFA9B3B}" presName="hierChild3" presStyleCnt="0"/>
      <dgm:spPr/>
    </dgm:pt>
  </dgm:ptLst>
  <dgm:cxnLst>
    <dgm:cxn modelId="{DA5E5701-30F7-47B5-ACCA-B817D3AA6249}" type="presOf" srcId="{1B9E9CFF-2982-420F-8088-2BD1B3290D85}" destId="{F63A65D8-5189-4747-B43B-EDA5219A3137}" srcOrd="0" destOrd="0" presId="urn:microsoft.com/office/officeart/2005/8/layout/orgChart1"/>
    <dgm:cxn modelId="{F0C85702-7B57-427D-AC16-9DAF718C1669}" type="presOf" srcId="{0FADA6CE-A3FC-4022-8902-B30BEF642726}" destId="{F1C5F45B-0E0D-4B3F-A095-D2DC3EF5AEC0}" srcOrd="1" destOrd="0" presId="urn:microsoft.com/office/officeart/2005/8/layout/orgChart1"/>
    <dgm:cxn modelId="{3540FB02-615A-4CAC-88C4-DE057FA31155}" type="presOf" srcId="{5AB2E7E8-6CD5-45BA-B0B2-B6B8F8734757}" destId="{074A92F8-A27C-473B-A561-A0552D9FE481}" srcOrd="1" destOrd="0" presId="urn:microsoft.com/office/officeart/2005/8/layout/orgChart1"/>
    <dgm:cxn modelId="{FCF9FB02-6927-4A18-8924-22B6D5D449E8}" type="presOf" srcId="{77E74AD6-103B-4957-832F-CBE0704A1B63}" destId="{C38B35BC-49E5-4745-9DBE-6510F5A4E8CD}" srcOrd="1" destOrd="0" presId="urn:microsoft.com/office/officeart/2005/8/layout/orgChart1"/>
    <dgm:cxn modelId="{82E46604-C122-4AEE-886F-15F97A74F7FE}" srcId="{C5A12A19-EB7E-4432-B174-700B462FB6A6}" destId="{59DBF16C-CEAF-4FCE-9252-981E32F5F3EB}" srcOrd="1" destOrd="0" parTransId="{7EFE5E92-B133-4C0C-8990-A1D0BDBF9FE8}" sibTransId="{41E11ABC-DF88-41C4-92BB-D3BC0E4BC309}"/>
    <dgm:cxn modelId="{163D7804-4A83-4E0C-A821-1732AA089393}" srcId="{143A9126-27CA-47F3-A65C-E9BAE3272CD2}" destId="{BCFA7415-13E7-4553-9707-D8A778E81C43}" srcOrd="1" destOrd="0" parTransId="{2AF3E5DB-8E9B-4BA3-860C-30E303043F35}" sibTransId="{18AD5B86-E338-4AAE-B639-25F87A3BB3A6}"/>
    <dgm:cxn modelId="{E9ECAD04-6826-40FA-BFE9-2F315249229E}" type="presOf" srcId="{30A57D94-654E-42B4-BD7F-CDA9392FAC91}" destId="{788DC131-C017-435F-B3B3-86AB1D7120E6}" srcOrd="0" destOrd="0" presId="urn:microsoft.com/office/officeart/2005/8/layout/orgChart1"/>
    <dgm:cxn modelId="{6AB2F704-FE29-40B7-830F-EC18FF74A34B}" type="presOf" srcId="{0EE2EA7B-FA52-4C99-87C1-BF559719F025}" destId="{CA677FBE-1390-4EC4-8467-022DFD47D962}" srcOrd="0" destOrd="0" presId="urn:microsoft.com/office/officeart/2005/8/layout/orgChart1"/>
    <dgm:cxn modelId="{15FDF905-7241-47D5-91AF-92AEE6C97E4F}" srcId="{143A9126-27CA-47F3-A65C-E9BAE3272CD2}" destId="{898F7F33-AC0C-4427-8D47-45969FB8C2DC}" srcOrd="0" destOrd="0" parTransId="{DA52C81B-11FA-4FCF-B623-C306D654D468}" sibTransId="{BB8C310A-3853-4C6C-B599-7D9C1C27099E}"/>
    <dgm:cxn modelId="{D8B2A107-5089-4CC7-8ABE-06E493EE6F12}" type="presOf" srcId="{4112AC6B-74BE-4359-A3B2-6BFEF96D7F94}" destId="{7E30F57F-D06F-4EDB-B112-D8FCB292B0A4}" srcOrd="0" destOrd="0" presId="urn:microsoft.com/office/officeart/2005/8/layout/orgChart1"/>
    <dgm:cxn modelId="{3CAFCD08-F717-4A8B-909D-F0EDA2CCB535}" type="presOf" srcId="{8300F5F4-30F9-4488-9CD3-D35648827F18}" destId="{D68DE565-B78C-4A6B-A05A-658AA787D0C7}" srcOrd="0" destOrd="0" presId="urn:microsoft.com/office/officeart/2005/8/layout/orgChart1"/>
    <dgm:cxn modelId="{451E970A-8679-4FB7-A55B-B8BDEE1F670F}" type="presOf" srcId="{61BB7602-D536-4541-A648-E5AA7D3BC841}" destId="{C350A219-795F-4B44-9F2C-4059F2DBE2BF}" srcOrd="0" destOrd="0" presId="urn:microsoft.com/office/officeart/2005/8/layout/orgChart1"/>
    <dgm:cxn modelId="{ACCFDE0B-C29D-4093-9B75-830FA1AE4637}" type="presOf" srcId="{7103D4B8-77E0-4564-B91B-382075186FCE}" destId="{975384AB-D124-4F62-8271-7E9CF351A02E}" srcOrd="0" destOrd="0" presId="urn:microsoft.com/office/officeart/2005/8/layout/orgChart1"/>
    <dgm:cxn modelId="{2189730C-8018-451B-9FC9-991686ADB948}" type="presOf" srcId="{10191DA5-BE20-46F0-A265-8F886BB09C25}" destId="{4BD976E6-87C6-463B-A5F1-3E237C32F250}" srcOrd="0" destOrd="0" presId="urn:microsoft.com/office/officeart/2005/8/layout/orgChart1"/>
    <dgm:cxn modelId="{A4572A0D-C277-44B1-9D56-060B863B2303}" type="presOf" srcId="{05708339-74CC-4819-A64D-1B95F7301109}" destId="{64F08B34-45C7-4001-BF55-E321AF73F365}" srcOrd="0" destOrd="0" presId="urn:microsoft.com/office/officeart/2005/8/layout/orgChart1"/>
    <dgm:cxn modelId="{9D58EB0D-593A-48E0-92F4-3EE334C4CA36}" srcId="{0A57AB70-7E60-4E66-B2DF-4F41EFFA9B3B}" destId="{0FADA6CE-A3FC-4022-8902-B30BEF642726}" srcOrd="12" destOrd="0" parTransId="{69B5EF6D-EB40-41AD-811E-56CF3AF2AF22}" sibTransId="{32679CC6-6A23-4809-BEBF-FB151930664D}"/>
    <dgm:cxn modelId="{C0677B0F-3A17-4676-B527-07D811874119}" type="presOf" srcId="{7EFE5E92-B133-4C0C-8990-A1D0BDBF9FE8}" destId="{F3495D6C-EB13-4E3F-B04E-A0DACC6D7EC4}" srcOrd="0" destOrd="0" presId="urn:microsoft.com/office/officeart/2005/8/layout/orgChart1"/>
    <dgm:cxn modelId="{8AC8C40F-00A1-4BCB-94A8-517F5EE4BBCB}" type="presOf" srcId="{E8257639-7F74-4D79-A9BC-CDECE9CF706D}" destId="{E1697AE8-2F03-46B7-A77F-7567B713E050}" srcOrd="0" destOrd="0" presId="urn:microsoft.com/office/officeart/2005/8/layout/orgChart1"/>
    <dgm:cxn modelId="{A7714210-C1B7-478E-B690-74DD6F7DBE02}" type="presOf" srcId="{1B90DA5C-7678-4F24-8A8E-BEDFE00786F6}" destId="{B59BF0BC-B13F-46F8-B3A1-A81E837A7889}" srcOrd="0" destOrd="0" presId="urn:microsoft.com/office/officeart/2005/8/layout/orgChart1"/>
    <dgm:cxn modelId="{6A069610-286A-4298-975E-ED478A97A566}" type="presOf" srcId="{8AD1597B-BCF4-42A9-B698-388BE39B54AC}" destId="{009F621B-34F7-4681-BD90-7DBCCE201DC3}" srcOrd="0" destOrd="0" presId="urn:microsoft.com/office/officeart/2005/8/layout/orgChart1"/>
    <dgm:cxn modelId="{D8ABA910-C839-48BD-8428-C73BA351D728}" type="presOf" srcId="{0A57AB70-7E60-4E66-B2DF-4F41EFFA9B3B}" destId="{CE8BBD88-BF7E-4CBE-936B-1D246C2CFEA1}" srcOrd="0" destOrd="0" presId="urn:microsoft.com/office/officeart/2005/8/layout/orgChart1"/>
    <dgm:cxn modelId="{88C7A612-C3C7-42EC-B3A4-97744FEE6388}" type="presOf" srcId="{658B76B5-3927-4392-B854-B3E4236C8708}" destId="{42DD6EA3-4E9A-4A3E-8A0F-DFD274435298}" srcOrd="1" destOrd="0" presId="urn:microsoft.com/office/officeart/2005/8/layout/orgChart1"/>
    <dgm:cxn modelId="{C285FF12-2AF4-49B9-869D-4B672310C839}" type="presOf" srcId="{888B1B36-E1DD-46C1-B478-334D076CF39E}" destId="{35D1FEDA-C270-4F10-9DAA-944E00885646}" srcOrd="0" destOrd="0" presId="urn:microsoft.com/office/officeart/2005/8/layout/orgChart1"/>
    <dgm:cxn modelId="{86688216-6452-4DA1-9444-BADB7AC22D4E}" type="presOf" srcId="{BE4BD692-713C-4D86-86F4-9B4AED6FB5D1}" destId="{D2613A7D-8596-47F3-9A1F-EB81C096E862}" srcOrd="1" destOrd="0" presId="urn:microsoft.com/office/officeart/2005/8/layout/orgChart1"/>
    <dgm:cxn modelId="{4004A216-C59A-4944-ABAC-DF754563A486}" type="presOf" srcId="{90D6DFB5-824A-4D9F-8B4A-0C0CA4BDEBA3}" destId="{C466725E-70B8-4F56-8524-A9E705F08925}" srcOrd="0" destOrd="0" presId="urn:microsoft.com/office/officeart/2005/8/layout/orgChart1"/>
    <dgm:cxn modelId="{9E288717-C209-486E-9C8D-1DAAB11F7CC0}" type="presOf" srcId="{0FADA6CE-A3FC-4022-8902-B30BEF642726}" destId="{F8F0E48C-7170-4907-AF04-A34D84F966F2}" srcOrd="0" destOrd="0" presId="urn:microsoft.com/office/officeart/2005/8/layout/orgChart1"/>
    <dgm:cxn modelId="{8FA26E1A-622B-4CB0-8CB6-28C487182D14}" type="presOf" srcId="{B6F30F0D-F70E-470D-B89B-75CF3938FA2F}" destId="{C541AE43-D8D1-4624-B96D-3A025A08B343}" srcOrd="0" destOrd="0" presId="urn:microsoft.com/office/officeart/2005/8/layout/orgChart1"/>
    <dgm:cxn modelId="{EF25581A-F5D8-4256-A88C-8040285C1BB7}" type="presOf" srcId="{83BF8C45-C75D-43C0-9B3E-471FAD3222A0}" destId="{3CEF37E4-23BC-46D0-8657-81A45DF85F9F}" srcOrd="1" destOrd="0" presId="urn:microsoft.com/office/officeart/2005/8/layout/orgChart1"/>
    <dgm:cxn modelId="{80755B1D-7CE2-4ABC-8425-34B9BA05E9C0}" type="presOf" srcId="{ACE54EA4-D994-413A-8D9D-9EBB3F3ED324}" destId="{49A629FC-D389-4BE9-989F-231A8AAA905F}" srcOrd="0" destOrd="0" presId="urn:microsoft.com/office/officeart/2005/8/layout/orgChart1"/>
    <dgm:cxn modelId="{70925A1D-22F9-4EEF-AE2F-F42129C3031C}" type="presOf" srcId="{926784E8-B7D4-4771-9768-9CC0ABF6151B}" destId="{EF983BCA-2EAE-4246-96DB-67318AA4C0E7}" srcOrd="0" destOrd="0" presId="urn:microsoft.com/office/officeart/2005/8/layout/orgChart1"/>
    <dgm:cxn modelId="{92DE1F1E-D5F3-445E-85CD-E8641872511A}" srcId="{27D5E9EA-B0CF-4739-9D1B-3B35881F92A7}" destId="{B6F30F0D-F70E-470D-B89B-75CF3938FA2F}" srcOrd="2" destOrd="0" parTransId="{C7AE52CA-2D13-4075-B012-CC9E60827119}" sibTransId="{0B12E2C0-B049-497F-91CA-2742F131A9D5}"/>
    <dgm:cxn modelId="{9A65CF1E-B5A4-4920-BB16-6250C154B299}" type="presOf" srcId="{898F7F33-AC0C-4427-8D47-45969FB8C2DC}" destId="{C467CE64-17E6-4869-BA5D-1B6745EF6B13}" srcOrd="0" destOrd="0" presId="urn:microsoft.com/office/officeart/2005/8/layout/orgChart1"/>
    <dgm:cxn modelId="{D3DC631F-6863-4F52-8091-5F5B780A1CE7}" type="presOf" srcId="{AE441F75-F254-49CC-B4C4-10A15AB60B9F}" destId="{ADEB7019-9502-48FD-8DC7-5D65F53BE9F6}" srcOrd="0" destOrd="0" presId="urn:microsoft.com/office/officeart/2005/8/layout/orgChart1"/>
    <dgm:cxn modelId="{318F741F-6BA1-40D6-99DA-BEF9FDAAF67E}" type="presOf" srcId="{C5A12A19-EB7E-4432-B174-700B462FB6A6}" destId="{96443389-6070-4944-958D-CDCAC0F07D2A}" srcOrd="1" destOrd="0" presId="urn:microsoft.com/office/officeart/2005/8/layout/orgChart1"/>
    <dgm:cxn modelId="{AC56E820-AB6E-4B94-9B77-B19F23E3F1FC}" type="presOf" srcId="{114874F8-431E-466E-A4E6-33D076603C7A}" destId="{5F5D44C0-CD9A-46AC-8874-1D706A383D06}" srcOrd="1" destOrd="0" presId="urn:microsoft.com/office/officeart/2005/8/layout/orgChart1"/>
    <dgm:cxn modelId="{8DB14921-09AD-4BD3-9581-63919AAC8007}" type="presOf" srcId="{C433E135-F791-47B7-A6C3-27E909B774D9}" destId="{C5302217-839B-481D-8AFD-4E21DE2ACF48}" srcOrd="0" destOrd="0" presId="urn:microsoft.com/office/officeart/2005/8/layout/orgChart1"/>
    <dgm:cxn modelId="{0D1AC422-861B-4043-935E-D93CB29F47C7}" type="presOf" srcId="{1D40E771-1A92-43AF-A112-D0C5F13D1F59}" destId="{FDA9FF81-82FE-47AA-BBFB-1259501EFC53}" srcOrd="1" destOrd="0" presId="urn:microsoft.com/office/officeart/2005/8/layout/orgChart1"/>
    <dgm:cxn modelId="{EE884D25-4A72-46DE-A703-794C73355D35}" type="presOf" srcId="{5AB2E7E8-6CD5-45BA-B0B2-B6B8F8734757}" destId="{C14F1350-9618-41CD-857F-112F76CFC248}" srcOrd="0" destOrd="0" presId="urn:microsoft.com/office/officeart/2005/8/layout/orgChart1"/>
    <dgm:cxn modelId="{A3E04826-4943-481C-8DDB-8479941EDA3A}" srcId="{63FD17C9-486E-4F2B-9ADF-5135662568AE}" destId="{E9C4A51D-3956-4EC9-9C87-29147CFAA25F}" srcOrd="1" destOrd="0" parTransId="{961B35DD-0896-41BB-B147-6BC51B14A081}" sibTransId="{1FEFB98C-6084-439D-AE08-D9E0165E9EB5}"/>
    <dgm:cxn modelId="{C88D2229-FE2F-4D51-AE08-F8868BF667B8}" type="presOf" srcId="{B6F30F0D-F70E-470D-B89B-75CF3938FA2F}" destId="{42B96DB0-6CFD-4BAE-9595-D8028B3C7D63}" srcOrd="1" destOrd="0" presId="urn:microsoft.com/office/officeart/2005/8/layout/orgChart1"/>
    <dgm:cxn modelId="{09652F29-B3F1-4508-9BF0-104FB943335F}" srcId="{0A57AB70-7E60-4E66-B2DF-4F41EFFA9B3B}" destId="{51B46897-FCF0-4E13-9A27-75473865638C}" srcOrd="10" destOrd="0" parTransId="{1B90DA5C-7678-4F24-8A8E-BEDFE00786F6}" sibTransId="{BC82A382-6686-4F84-865D-525555071438}"/>
    <dgm:cxn modelId="{CE48E62A-A263-4850-B14A-6E68D7483DDB}" type="presOf" srcId="{EAEFAC95-6399-4D4D-A3F0-F969BD3B6E41}" destId="{B75C517C-3F68-45CA-B13C-94FB2B301AB2}" srcOrd="0" destOrd="0" presId="urn:microsoft.com/office/officeart/2005/8/layout/orgChart1"/>
    <dgm:cxn modelId="{37D9692B-204D-486E-AE02-695B224215A7}" type="presOf" srcId="{BE4BD692-713C-4D86-86F4-9B4AED6FB5D1}" destId="{2BCA9B6B-F1DE-42A5-8301-8C1B6E46CFE6}" srcOrd="0" destOrd="0" presId="urn:microsoft.com/office/officeart/2005/8/layout/orgChart1"/>
    <dgm:cxn modelId="{2827A52B-2A55-4437-B9C5-FFCEC837675B}" type="presOf" srcId="{1D40E771-1A92-43AF-A112-D0C5F13D1F59}" destId="{B1089591-6996-4E84-8569-433487959C2B}" srcOrd="0" destOrd="0" presId="urn:microsoft.com/office/officeart/2005/8/layout/orgChart1"/>
    <dgm:cxn modelId="{0FF8452D-38E6-43A2-B94E-F12A8B7D7B98}" type="presOf" srcId="{E024E318-872D-421F-A223-28F8A531F9C1}" destId="{EA31ADF2-60A3-4192-A938-F797DB4F8E9A}" srcOrd="1" destOrd="0" presId="urn:microsoft.com/office/officeart/2005/8/layout/orgChart1"/>
    <dgm:cxn modelId="{2759372E-4168-45C7-BB58-EE31BAB5AD5B}" type="presOf" srcId="{7C7D7D2B-BFD4-4A87-8470-46EC8DE33CE8}" destId="{2F7121A6-7A09-4CF1-A083-670C88627FC7}" srcOrd="1" destOrd="0" presId="urn:microsoft.com/office/officeart/2005/8/layout/orgChart1"/>
    <dgm:cxn modelId="{FE298D2F-4C23-4798-BA2E-8F72935DFB38}" type="presOf" srcId="{926784E8-B7D4-4771-9768-9CC0ABF6151B}" destId="{A0AF98C4-71F3-4745-9152-E19D39B974FB}" srcOrd="1" destOrd="0" presId="urn:microsoft.com/office/officeart/2005/8/layout/orgChart1"/>
    <dgm:cxn modelId="{69387032-727E-427C-AC26-7DF24A768248}" srcId="{007C8078-089A-44D0-B371-02A00C7D2BAB}" destId="{BCFDC88C-3AC8-445D-B7C4-17E5EBD0F84F}" srcOrd="4" destOrd="0" parTransId="{38E42C72-809F-416C-9B52-F08F7ADA14E5}" sibTransId="{1C310DCB-539E-4FB5-A4D0-23E6ED1DF833}"/>
    <dgm:cxn modelId="{DBD08432-98FC-4A3C-9346-4E05EEA974BF}" type="presOf" srcId="{988E215F-AF01-483D-B481-9C7A46BA1C73}" destId="{7C8DC261-0299-464C-9E4C-F755DA97AFFD}" srcOrd="0" destOrd="0" presId="urn:microsoft.com/office/officeart/2005/8/layout/orgChart1"/>
    <dgm:cxn modelId="{8FC85337-3E8F-45FF-A3A8-A98943215C70}" srcId="{BE4BD692-713C-4D86-86F4-9B4AED6FB5D1}" destId="{EAEFAC95-6399-4D4D-A3F0-F969BD3B6E41}" srcOrd="1" destOrd="0" parTransId="{6E87DA15-E197-4F8A-A9C9-173722F378BC}" sibTransId="{ED4FA898-8DD0-4CE8-929E-0DCF346A52A7}"/>
    <dgm:cxn modelId="{B9D8CA37-7264-4125-A061-08EA31B048D5}" srcId="{0A57AB70-7E60-4E66-B2DF-4F41EFFA9B3B}" destId="{BE4BD692-713C-4D86-86F4-9B4AED6FB5D1}" srcOrd="6" destOrd="0" parTransId="{2B5EBE36-E6CC-42B4-8434-3709BF2DC783}" sibTransId="{0C145357-E1AE-4A41-83B2-9EDAA17633C5}"/>
    <dgm:cxn modelId="{0A27B73B-A4FB-47AA-AFF9-AEBA93023778}" srcId="{0A57AB70-7E60-4E66-B2DF-4F41EFFA9B3B}" destId="{C5A12A19-EB7E-4432-B174-700B462FB6A6}" srcOrd="1" destOrd="0" parTransId="{7D079000-774C-4057-98D3-B2FEA6DBD035}" sibTransId="{0139C73F-1319-4B72-91E4-8B70E41B4DFD}"/>
    <dgm:cxn modelId="{24039D3E-BA08-4BE9-9488-9358EAC39B23}" srcId="{0A57AB70-7E60-4E66-B2DF-4F41EFFA9B3B}" destId="{143A9126-27CA-47F3-A65C-E9BAE3272CD2}" srcOrd="9" destOrd="0" parTransId="{1A684A9E-478E-4881-9341-1BA8ECEA74FD}" sibTransId="{724B0574-9EBC-4113-87EB-AD9FDC37D6C5}"/>
    <dgm:cxn modelId="{AD3C5E5B-E07A-4D29-9836-743BF0ED5AB4}" type="presOf" srcId="{DA4FBE95-9630-4747-A015-4DAAA15F0E2C}" destId="{BD12FDC5-D293-4C2C-A620-82140B8CCD1A}" srcOrd="0" destOrd="0" presId="urn:microsoft.com/office/officeart/2005/8/layout/orgChart1"/>
    <dgm:cxn modelId="{3C817C5B-C7E4-426C-BE66-85BE0DEE27CE}" srcId="{28D9F284-9490-4755-82A1-C6629389A0B8}" destId="{0A57AB70-7E60-4E66-B2DF-4F41EFFA9B3B}" srcOrd="0" destOrd="0" parTransId="{65959B54-DE3B-4309-86E4-4AE0CF61A70A}" sibTransId="{B050A7D2-5A0F-4D1D-96E6-FAB80AB9DC53}"/>
    <dgm:cxn modelId="{EC96935B-306B-4623-AEA7-3987864C9819}" type="presOf" srcId="{83BF8C45-C75D-43C0-9B3E-471FAD3222A0}" destId="{422CACE0-425F-4A44-AC51-D3E59FC914E4}" srcOrd="0" destOrd="0" presId="urn:microsoft.com/office/officeart/2005/8/layout/orgChart1"/>
    <dgm:cxn modelId="{F47D065C-4BCB-4550-B0B5-BC5893A56500}" srcId="{007C8078-089A-44D0-B371-02A00C7D2BAB}" destId="{E648BD26-D463-4560-92D2-AB05284CEDC9}" srcOrd="3" destOrd="0" parTransId="{592D668E-851B-47C0-8FFC-E82B7AB8FCE2}" sibTransId="{9FD49235-BD7A-4943-9FE2-D30A0D79B2BF}"/>
    <dgm:cxn modelId="{D08E9E5E-594D-4A3D-8BE7-BF57EBE97983}" type="presOf" srcId="{143A9126-27CA-47F3-A65C-E9BAE3272CD2}" destId="{E97816E2-32E1-4D11-BBCB-2F052CBAF941}" srcOrd="1" destOrd="0" presId="urn:microsoft.com/office/officeart/2005/8/layout/orgChart1"/>
    <dgm:cxn modelId="{AAADBD5E-4702-4A0C-80F5-D713A1D1B29E}" type="presOf" srcId="{E6F9FD29-9BFA-403E-9111-2CA0E93366CC}" destId="{7D496A4C-51C4-4730-BDAD-F17C287F380E}" srcOrd="1" destOrd="0" presId="urn:microsoft.com/office/officeart/2005/8/layout/orgChart1"/>
    <dgm:cxn modelId="{74DFCA5E-8388-455E-AA04-E6AFD1BA00B4}" srcId="{C5A12A19-EB7E-4432-B174-700B462FB6A6}" destId="{68D38671-4E3D-46FB-A0AE-32CAF1366F40}" srcOrd="2" destOrd="0" parTransId="{10191DA5-BE20-46F0-A265-8F886BB09C25}" sibTransId="{3892D20F-3907-419A-901B-C84F3D1956DA}"/>
    <dgm:cxn modelId="{70DBA960-0586-4948-A367-27BEDE17963A}" type="presOf" srcId="{DA4FBE95-9630-4747-A015-4DAAA15F0E2C}" destId="{BE0EC6C4-7D78-4277-86B7-028B8225B999}" srcOrd="1" destOrd="0" presId="urn:microsoft.com/office/officeart/2005/8/layout/orgChart1"/>
    <dgm:cxn modelId="{12F5FE60-A260-4066-B6BD-46E770FA000B}" srcId="{C5A12A19-EB7E-4432-B174-700B462FB6A6}" destId="{7C7D7D2B-BFD4-4A87-8470-46EC8DE33CE8}" srcOrd="0" destOrd="0" parTransId="{E8257639-7F74-4D79-A9BC-CDECE9CF706D}" sibTransId="{64D82D6D-B60E-4B62-B0FA-0255B1EA4937}"/>
    <dgm:cxn modelId="{EE81AF61-F7E3-4AF2-9445-00A960E8890D}" type="presOf" srcId="{BCFA7415-13E7-4553-9707-D8A778E81C43}" destId="{1ABEC1F7-0F37-45F8-9122-4D1D82F26F2F}" srcOrd="0" destOrd="0" presId="urn:microsoft.com/office/officeart/2005/8/layout/orgChart1"/>
    <dgm:cxn modelId="{19E85162-4A8F-4B4F-BE6A-4FF97820A1F3}" type="presOf" srcId="{2D7B1959-30E9-474A-B542-D3CC7937FAA9}" destId="{CA88CE62-F1F7-4366-A9B3-E30E69895C4D}" srcOrd="0" destOrd="0" presId="urn:microsoft.com/office/officeart/2005/8/layout/orgChart1"/>
    <dgm:cxn modelId="{21208B62-C53D-4690-8BD4-FCC87962EA50}" type="presOf" srcId="{958144C5-2649-4B6B-9B3C-36F1F55CE2C7}" destId="{DB1421E8-3CB7-4215-B0C6-8D58B1056CAB}" srcOrd="0" destOrd="0" presId="urn:microsoft.com/office/officeart/2005/8/layout/orgChart1"/>
    <dgm:cxn modelId="{0F97CB62-80A9-4F1E-9DE6-C1A4E11063A3}" srcId="{0A57AB70-7E60-4E66-B2DF-4F41EFFA9B3B}" destId="{1D40E771-1A92-43AF-A112-D0C5F13D1F59}" srcOrd="8" destOrd="0" parTransId="{A8AA99EF-8CA2-479C-BE5C-7BB99A8026D6}" sibTransId="{4163BE0B-581A-4EE3-B9D6-1369ADE01DDC}"/>
    <dgm:cxn modelId="{55958463-A905-47EE-81A3-2ACFD42492AA}" type="presOf" srcId="{E024E318-872D-421F-A223-28F8A531F9C1}" destId="{F30BA301-AC62-43BD-B317-1448DBA572AD}" srcOrd="0" destOrd="0" presId="urn:microsoft.com/office/officeart/2005/8/layout/orgChart1"/>
    <dgm:cxn modelId="{CC9E8463-537C-4DD1-844D-0406EF09FF05}" type="presOf" srcId="{976463B1-2674-41C3-A5BA-F608FEBF05C6}" destId="{DCCB2701-1E3C-4774-BBD9-18303513AAEF}" srcOrd="0" destOrd="0" presId="urn:microsoft.com/office/officeart/2005/8/layout/orgChart1"/>
    <dgm:cxn modelId="{F9779343-63B7-4E58-AB93-4A58C634A349}" type="presOf" srcId="{63FD17C9-486E-4F2B-9ADF-5135662568AE}" destId="{5C43C172-1353-4AC5-A629-4CE2968794C6}" srcOrd="0" destOrd="0" presId="urn:microsoft.com/office/officeart/2005/8/layout/orgChart1"/>
    <dgm:cxn modelId="{AB06CA43-F23D-42D6-8591-45F1FEEE841A}" type="presOf" srcId="{5D725CEF-A0D6-4338-ABB3-70DD501A1030}" destId="{25F54320-8A9C-4FA1-890D-D860BB66CD0C}" srcOrd="0" destOrd="0" presId="urn:microsoft.com/office/officeart/2005/8/layout/orgChart1"/>
    <dgm:cxn modelId="{CB9DD743-993E-4269-B04C-9105F0658A05}" type="presOf" srcId="{7EDA2DCA-8394-43D6-804D-A07D549E577D}" destId="{314C260B-E0AB-45E9-AE40-87461443FA92}" srcOrd="1" destOrd="0" presId="urn:microsoft.com/office/officeart/2005/8/layout/orgChart1"/>
    <dgm:cxn modelId="{1FBDAE44-FA54-47A2-871C-746603EED207}" type="presOf" srcId="{2AF3E5DB-8E9B-4BA3-860C-30E303043F35}" destId="{9F5399ED-04E6-4ECB-B741-DE81A6F1F534}" srcOrd="0" destOrd="0" presId="urn:microsoft.com/office/officeart/2005/8/layout/orgChart1"/>
    <dgm:cxn modelId="{8F57D344-EBDA-4AA0-B30D-F523FB8BD7B4}" type="presOf" srcId="{2A01E0F2-78E8-44E8-BB88-E75FB2A05F4C}" destId="{2E376AE7-0E9D-45EC-A8C8-BD7253972BDB}" srcOrd="0" destOrd="0" presId="urn:microsoft.com/office/officeart/2005/8/layout/orgChart1"/>
    <dgm:cxn modelId="{9217E864-7BB8-4A88-B32D-A8BD32B94B7E}" type="presOf" srcId="{A127C38E-F6FB-4207-9058-86C232D2FAD3}" destId="{9BC43FE2-5D1A-4F9D-AFBA-C1959E14CD4A}" srcOrd="0" destOrd="0" presId="urn:microsoft.com/office/officeart/2005/8/layout/orgChart1"/>
    <dgm:cxn modelId="{575E5846-34C8-454B-B0C5-D500A0B97B49}" type="presOf" srcId="{77E74AD6-103B-4957-832F-CBE0704A1B63}" destId="{ED3F8A15-9BAB-4476-A6A8-CF146BFEDF69}" srcOrd="0" destOrd="0" presId="urn:microsoft.com/office/officeart/2005/8/layout/orgChart1"/>
    <dgm:cxn modelId="{CD8B7C47-1B80-4619-B290-34EC19FC2BFA}" type="presOf" srcId="{F82773D8-FEFD-4165-9A43-78196BB02DF9}" destId="{90FE17B0-9D08-4896-9444-532DE0E6C0E3}" srcOrd="0" destOrd="0" presId="urn:microsoft.com/office/officeart/2005/8/layout/orgChart1"/>
    <dgm:cxn modelId="{F4D84469-E561-4E2A-B2D9-F83BE4FEF970}" type="presOf" srcId="{BCFDC88C-3AC8-445D-B7C4-17E5EBD0F84F}" destId="{331792F2-7839-4964-8707-4FE863F487EA}" srcOrd="0" destOrd="0" presId="urn:microsoft.com/office/officeart/2005/8/layout/orgChart1"/>
    <dgm:cxn modelId="{39176849-D2AB-4DD9-A8D0-BDCC7A676802}" type="presOf" srcId="{F0E6B4CA-EE32-4753-98DF-8163DC415CF7}" destId="{CEB1CD0C-3F31-4834-9BF5-00B8C7EED796}" srcOrd="0" destOrd="0" presId="urn:microsoft.com/office/officeart/2005/8/layout/orgChart1"/>
    <dgm:cxn modelId="{A4EF9E69-77CA-4273-80B5-12F74EF103DF}" type="presOf" srcId="{B605E823-A02B-41B3-888E-550FD7582BED}" destId="{55A4C566-6482-4A51-884A-C2F906107BFC}" srcOrd="0" destOrd="0" presId="urn:microsoft.com/office/officeart/2005/8/layout/orgChart1"/>
    <dgm:cxn modelId="{5F70F569-56DE-45CF-A052-2EEA935CBCC2}" srcId="{888B1B36-E1DD-46C1-B478-334D076CF39E}" destId="{E024E318-872D-421F-A223-28F8A531F9C1}" srcOrd="3" destOrd="0" parTransId="{7103D4B8-77E0-4564-B91B-382075186FCE}" sibTransId="{AAC97AF3-1308-46F6-8B50-77FB3DD89265}"/>
    <dgm:cxn modelId="{4B4DA76A-A5B5-4276-B488-4A5EB7C07885}" type="presOf" srcId="{7C7D7D2B-BFD4-4A87-8470-46EC8DE33CE8}" destId="{19FD574C-4967-4970-8FD1-29CF1794ED5E}" srcOrd="0" destOrd="0" presId="urn:microsoft.com/office/officeart/2005/8/layout/orgChart1"/>
    <dgm:cxn modelId="{DEF3BF6A-CBBF-457E-BEBA-554A3995BAB0}" type="presOf" srcId="{DCA9D5F8-91C8-44AC-9EB2-B7F72797E643}" destId="{B60E6B1C-38EB-4BF7-AD3A-8834CFDF7F8D}" srcOrd="0" destOrd="0" presId="urn:microsoft.com/office/officeart/2005/8/layout/orgChart1"/>
    <dgm:cxn modelId="{F37D874B-EAA6-4037-9749-E7A4231236F2}" srcId="{1FB6A459-4783-4034-8B61-2A154B0B0006}" destId="{BA0BEA14-D238-418D-8AC8-46C8AAEA6495}" srcOrd="2" destOrd="0" parTransId="{BFF48600-D138-4876-877F-AFA355E1581B}" sibTransId="{8BC54B76-19FA-4CDB-BE60-4109292A4223}"/>
    <dgm:cxn modelId="{DB4AB66B-C7C5-4BF6-8031-2595F05E9D43}" type="presOf" srcId="{7BE7F49C-C97D-415A-AAE4-B32BD1654390}" destId="{FF3B64D9-32EC-4879-B5F5-8B488BBC2F29}" srcOrd="1" destOrd="0" presId="urn:microsoft.com/office/officeart/2005/8/layout/orgChart1"/>
    <dgm:cxn modelId="{69C62A4C-3FE9-4EBE-877A-148388A8EC07}" type="presOf" srcId="{C3B78B50-CB71-4EDD-BA49-742BFB486C0C}" destId="{2BF13DA8-819D-46A0-AEF5-5BF0A0F57C78}" srcOrd="1" destOrd="0" presId="urn:microsoft.com/office/officeart/2005/8/layout/orgChart1"/>
    <dgm:cxn modelId="{509C2F6C-B1A0-4312-8F8C-608CF8C5BBA0}" type="presOf" srcId="{EAEFAC95-6399-4D4D-A3F0-F969BD3B6E41}" destId="{33C0E2A4-6ECA-4AB3-8D59-D051D28622C0}" srcOrd="1" destOrd="0" presId="urn:microsoft.com/office/officeart/2005/8/layout/orgChart1"/>
    <dgm:cxn modelId="{C018614D-6E9F-4C69-BFF6-534549D3854E}" type="presOf" srcId="{C6B1E089-D923-441C-BB25-E419DA0B3CF5}" destId="{AD255312-F19B-4884-833A-E7F1570030A7}" srcOrd="0" destOrd="0" presId="urn:microsoft.com/office/officeart/2005/8/layout/orgChart1"/>
    <dgm:cxn modelId="{84418E4D-1261-4877-91DA-DBADEC9526FB}" type="presOf" srcId="{51B46897-FCF0-4E13-9A27-75473865638C}" destId="{8D00A992-3113-4063-9B66-9A87543EEF82}" srcOrd="1" destOrd="0" presId="urn:microsoft.com/office/officeart/2005/8/layout/orgChart1"/>
    <dgm:cxn modelId="{D09CD86E-20D6-48B8-A3A3-424549AD5747}" type="presOf" srcId="{BA0BEA14-D238-418D-8AC8-46C8AAEA6495}" destId="{80924799-3078-4ECA-B2E9-C59C8EF8EC69}" srcOrd="0" destOrd="0" presId="urn:microsoft.com/office/officeart/2005/8/layout/orgChart1"/>
    <dgm:cxn modelId="{9BAF5F4F-1FFA-429D-B738-F106160BAE34}" srcId="{1FB6A459-4783-4034-8B61-2A154B0B0006}" destId="{ACE54EA4-D994-413A-8D9D-9EBB3F3ED324}" srcOrd="0" destOrd="0" parTransId="{6B74A58D-71C2-492B-95A7-96AAB6B4037C}" sibTransId="{C65325EA-B644-45FF-B6BB-4792A4F24D2D}"/>
    <dgm:cxn modelId="{6F5CCF6F-0357-4D34-989B-984705DA76EB}" type="presOf" srcId="{143A9126-27CA-47F3-A65C-E9BAE3272CD2}" destId="{131F852A-79C3-46B4-AD41-15C2E26C30F6}" srcOrd="0" destOrd="0" presId="urn:microsoft.com/office/officeart/2005/8/layout/orgChart1"/>
    <dgm:cxn modelId="{AD807271-BA34-4865-8687-6FF0952311E4}" type="presOf" srcId="{A72E3D2F-EC63-4FDB-82D1-B11D3C3C0FC2}" destId="{492CDC20-1DAC-4C5E-9955-5F1E4613EC1F}" srcOrd="0" destOrd="0" presId="urn:microsoft.com/office/officeart/2005/8/layout/orgChart1"/>
    <dgm:cxn modelId="{7C8EB671-F687-4BEF-8D2B-F8B2564748AC}" type="presOf" srcId="{6CC1204A-52F5-4A9D-BA4E-BA1715986273}" destId="{8F17BBDF-2D7B-4703-9FE3-FFCF7FC5CB5B}" srcOrd="0" destOrd="0" presId="urn:microsoft.com/office/officeart/2005/8/layout/orgChart1"/>
    <dgm:cxn modelId="{F2F75874-55C3-4000-93CF-8D421CAC8E4D}" type="presOf" srcId="{0B0E540C-5EE3-4779-8068-2EAD76CDBA42}" destId="{F2024299-3489-43B7-850E-A51AA184696C}" srcOrd="0" destOrd="0" presId="urn:microsoft.com/office/officeart/2005/8/layout/orgChart1"/>
    <dgm:cxn modelId="{DBB36755-7C6B-473C-AFD9-FA4B63A7A68F}" type="presOf" srcId="{DA52C81B-11FA-4FCF-B623-C306D654D468}" destId="{B70D3E8C-9816-4E0A-B13E-60EA044F03F5}" srcOrd="0" destOrd="0" presId="urn:microsoft.com/office/officeart/2005/8/layout/orgChart1"/>
    <dgm:cxn modelId="{345A4B77-6A73-4C75-B7F1-C1BABE9FEA97}" srcId="{27D5E9EA-B0CF-4739-9D1B-3B35881F92A7}" destId="{A72E3D2F-EC63-4FDB-82D1-B11D3C3C0FC2}" srcOrd="1" destOrd="0" parTransId="{C9EE3A53-A9AB-464F-8D1B-80A0261A47B8}" sibTransId="{3D1AD9F3-EBE0-4461-A0DF-0224865309E5}"/>
    <dgm:cxn modelId="{2B990B78-3F9B-478F-802F-4C7CF289E4D4}" srcId="{77E74AD6-103B-4957-832F-CBE0704A1B63}" destId="{06B5FC51-15D3-462F-991D-11265CDFC33D}" srcOrd="0" destOrd="0" parTransId="{F0E6B4CA-EE32-4753-98DF-8163DC415CF7}" sibTransId="{11DB4E25-30A9-4F69-87D3-C69FF636B7BA}"/>
    <dgm:cxn modelId="{A5529158-5132-4752-A003-32914FF93C4E}" type="presOf" srcId="{898F7F33-AC0C-4427-8D47-45969FB8C2DC}" destId="{E024EA8A-63FB-45B8-ACD4-81C078F98B27}" srcOrd="1" destOrd="0" presId="urn:microsoft.com/office/officeart/2005/8/layout/orgChart1"/>
    <dgm:cxn modelId="{8B7EB858-6C31-4D75-AD13-C4B6BA1AE6B5}" type="presOf" srcId="{C3B78B50-CB71-4EDD-BA49-742BFB486C0C}" destId="{10B4C24A-4FEC-4904-908C-FED9BC45E196}" srcOrd="0" destOrd="0" presId="urn:microsoft.com/office/officeart/2005/8/layout/orgChart1"/>
    <dgm:cxn modelId="{017DCD78-C68B-4C6B-BB63-99ABDA9BD73B}" srcId="{0FADA6CE-A3FC-4022-8902-B30BEF642726}" destId="{5826AE1B-1DEF-498C-9A04-8F7D0B6D8B21}" srcOrd="1" destOrd="0" parTransId="{A127C38E-F6FB-4207-9058-86C232D2FAD3}" sibTransId="{9AA6B1FE-EDED-4BE8-9820-92ACF2404A1A}"/>
    <dgm:cxn modelId="{C1BD1079-2EF1-4301-B017-DF5BE8FCE654}" type="presOf" srcId="{B872EB2D-3716-4112-BF93-5F230D1FF224}" destId="{C2785190-D5DC-4E86-AD0D-F01E66F4B172}" srcOrd="0" destOrd="0" presId="urn:microsoft.com/office/officeart/2005/8/layout/orgChart1"/>
    <dgm:cxn modelId="{8BF5D959-561C-49D0-B4C7-FC2965D245FD}" type="presOf" srcId="{007C8078-089A-44D0-B371-02A00C7D2BAB}" destId="{85359C4F-E8B7-464A-9ECB-98AC1C089295}" srcOrd="0" destOrd="0" presId="urn:microsoft.com/office/officeart/2005/8/layout/orgChart1"/>
    <dgm:cxn modelId="{5925E77A-C610-4A3A-A1CA-EC6BDA74520A}" type="presOf" srcId="{0EE2EA7B-FA52-4C99-87C1-BF559719F025}" destId="{8B753E0B-69E4-4725-AAED-6C08F3442CFA}" srcOrd="1" destOrd="0" presId="urn:microsoft.com/office/officeart/2005/8/layout/orgChart1"/>
    <dgm:cxn modelId="{D7BE277B-6561-407B-AFDE-B7094768E8A7}" type="presOf" srcId="{59DBF16C-CEAF-4FCE-9252-981E32F5F3EB}" destId="{8DB10BD3-029C-491A-8EA5-8E975A31C55F}" srcOrd="0" destOrd="0" presId="urn:microsoft.com/office/officeart/2005/8/layout/orgChart1"/>
    <dgm:cxn modelId="{8A32807D-7653-4FDD-BED1-2B2D278DCBCA}" type="presOf" srcId="{27D5E9EA-B0CF-4739-9D1B-3B35881F92A7}" destId="{EAC9C383-E225-48D4-9CE5-ED19E5733C82}" srcOrd="0" destOrd="0" presId="urn:microsoft.com/office/officeart/2005/8/layout/orgChart1"/>
    <dgm:cxn modelId="{4B98347F-6AA1-43D6-8E61-0C6509A53188}" type="presOf" srcId="{ACE54EA4-D994-413A-8D9D-9EBB3F3ED324}" destId="{C27B6258-3E7A-4EFE-928C-6BCE21BC11EA}" srcOrd="1" destOrd="0" presId="urn:microsoft.com/office/officeart/2005/8/layout/orgChart1"/>
    <dgm:cxn modelId="{56838F7F-0C8F-487D-A7D7-118793129F34}" type="presOf" srcId="{1A684A9E-478E-4881-9341-1BA8ECEA74FD}" destId="{F621D24C-D297-4921-AF47-18BDC152BBB7}" srcOrd="0" destOrd="0" presId="urn:microsoft.com/office/officeart/2005/8/layout/orgChart1"/>
    <dgm:cxn modelId="{DA11DD81-108E-4AF1-9505-053D5C36CE06}" type="presOf" srcId="{06B5FC51-15D3-462F-991D-11265CDFC33D}" destId="{607CEF2E-C573-463D-9295-5D6061BA8D35}" srcOrd="0" destOrd="0" presId="urn:microsoft.com/office/officeart/2005/8/layout/orgChart1"/>
    <dgm:cxn modelId="{97966A83-7968-40E2-8E01-07707383BFDC}" type="presOf" srcId="{FB31F30C-C0F4-4B2F-B647-239D93064673}" destId="{F93FF14E-25BD-490D-88BE-4FAA46E62EAC}" srcOrd="0" destOrd="0" presId="urn:microsoft.com/office/officeart/2005/8/layout/orgChart1"/>
    <dgm:cxn modelId="{2CEA5184-EF5F-4A8A-A4F3-B9805F04B38C}" type="presOf" srcId="{E648BD26-D463-4560-92D2-AB05284CEDC9}" destId="{333BDDFA-BA20-439F-B0A2-0F496D330494}" srcOrd="1" destOrd="0" presId="urn:microsoft.com/office/officeart/2005/8/layout/orgChart1"/>
    <dgm:cxn modelId="{1965C084-50AB-42EB-A70B-3C0123734ED7}" srcId="{C3B78B50-CB71-4EDD-BA49-742BFB486C0C}" destId="{2D7B1959-30E9-474A-B542-D3CC7937FAA9}" srcOrd="0" destOrd="0" parTransId="{DBC5518E-BE0F-4ADF-8260-CCB838509709}" sibTransId="{1F9D7AD7-AE52-474D-B30C-AB2727B94FF6}"/>
    <dgm:cxn modelId="{E1779585-54C1-4805-B5D5-5C3A1F86769C}" type="presOf" srcId="{BCFA7415-13E7-4553-9707-D8A778E81C43}" destId="{4481FBCE-C39E-4F43-800F-EF7D5315713A}" srcOrd="1" destOrd="0" presId="urn:microsoft.com/office/officeart/2005/8/layout/orgChart1"/>
    <dgm:cxn modelId="{77BBBC89-78CB-4F4A-BFBD-8CC7900B4794}" type="presOf" srcId="{51B46897-FCF0-4E13-9A27-75473865638C}" destId="{21CA6E6C-DDA2-4531-9015-AF496300DB2D}" srcOrd="0" destOrd="0" presId="urn:microsoft.com/office/officeart/2005/8/layout/orgChart1"/>
    <dgm:cxn modelId="{458DBD8A-C158-45AD-A98B-131128C2B44A}" srcId="{888B1B36-E1DD-46C1-B478-334D076CF39E}" destId="{899B14F1-5388-4CBE-AD62-D88291FC6B5F}" srcOrd="1" destOrd="0" parTransId="{61BB7602-D536-4541-A648-E5AA7D3BC841}" sibTransId="{62E339EC-E679-43DA-8859-D6AACCC27A49}"/>
    <dgm:cxn modelId="{5F241F8D-32E9-47D8-BEB1-EF53A19159D2}" type="presOf" srcId="{348103CD-1CD5-4D90-B4A3-C7B48FDDCD4B}" destId="{91824D34-E771-4436-8E11-63EF5BC33830}" srcOrd="0" destOrd="0" presId="urn:microsoft.com/office/officeart/2005/8/layout/orgChart1"/>
    <dgm:cxn modelId="{B0236C8D-3169-4277-98E7-7B93A9C6D4ED}" type="presOf" srcId="{59DBF16C-CEAF-4FCE-9252-981E32F5F3EB}" destId="{8F12F0FF-036F-455C-8644-7BD254B15210}" srcOrd="1" destOrd="0" presId="urn:microsoft.com/office/officeart/2005/8/layout/orgChart1"/>
    <dgm:cxn modelId="{F44F2790-A3CF-4E07-B060-DADC893EC414}" srcId="{0A57AB70-7E60-4E66-B2DF-4F41EFFA9B3B}" destId="{77E74AD6-103B-4957-832F-CBE0704A1B63}" srcOrd="3" destOrd="0" parTransId="{574B0C0B-B634-45A2-B43D-D787DB70D178}" sibTransId="{9E2E34D9-2D58-406E-8E3B-411A2CD92448}"/>
    <dgm:cxn modelId="{63D4FD90-EFEC-40FA-B54B-DF8D691C26FD}" srcId="{1FB6A459-4783-4034-8B61-2A154B0B0006}" destId="{83BF8C45-C75D-43C0-9B3E-471FAD3222A0}" srcOrd="1" destOrd="0" parTransId="{C6B1E089-D923-441C-BB25-E419DA0B3CF5}" sibTransId="{64AD1684-A066-4591-BBC8-0AF6B4CB4F17}"/>
    <dgm:cxn modelId="{87DC7892-B9CE-4D92-9605-D633BBB3021D}" type="presOf" srcId="{888B1B36-E1DD-46C1-B478-334D076CF39E}" destId="{16D23D58-4AC6-4092-9079-CD7323F6F680}" srcOrd="1" destOrd="0" presId="urn:microsoft.com/office/officeart/2005/8/layout/orgChart1"/>
    <dgm:cxn modelId="{96319595-CD30-403B-BC5D-25676C3D65B4}" type="presOf" srcId="{4112AC6B-74BE-4359-A3B2-6BFEF96D7F94}" destId="{09F42215-9EDF-4201-A9BA-69093FFF291E}" srcOrd="1" destOrd="0" presId="urn:microsoft.com/office/officeart/2005/8/layout/orgChart1"/>
    <dgm:cxn modelId="{CF74FE96-6C42-4AE3-BFE2-3EA74599DC3C}" type="presOf" srcId="{0A57AB70-7E60-4E66-B2DF-4F41EFFA9B3B}" destId="{68E1C9AF-1099-4AC8-BC3C-DCF356898F11}" srcOrd="1" destOrd="0" presId="urn:microsoft.com/office/officeart/2005/8/layout/orgChart1"/>
    <dgm:cxn modelId="{BD6F029A-376B-41C5-967C-6642C5835DA2}" type="presOf" srcId="{28D9F284-9490-4755-82A1-C6629389A0B8}" destId="{1B74A4F6-BC85-4EF6-A76B-A710569A014C}" srcOrd="0" destOrd="0" presId="urn:microsoft.com/office/officeart/2005/8/layout/orgChart1"/>
    <dgm:cxn modelId="{9C81B79B-D1A3-41E3-B03B-A8BB98723E73}" type="presOf" srcId="{899B14F1-5388-4CBE-AD62-D88291FC6B5F}" destId="{E183E1C8-1672-4044-8315-523466CD3010}" srcOrd="1" destOrd="0" presId="urn:microsoft.com/office/officeart/2005/8/layout/orgChart1"/>
    <dgm:cxn modelId="{83E7BC9C-20AE-4C77-B6E2-148DEAD1233C}" srcId="{007C8078-089A-44D0-B371-02A00C7D2BAB}" destId="{B605E823-A02B-41B3-888E-550FD7582BED}" srcOrd="5" destOrd="0" parTransId="{2A01E0F2-78E8-44E8-BB88-E75FB2A05F4C}" sibTransId="{4CABFB24-21AD-41B7-89E9-D9E60EAC5332}"/>
    <dgm:cxn modelId="{A426D4A0-9C2A-4972-B411-FD66A97A089A}" type="presOf" srcId="{E9C4A51D-3956-4EC9-9C87-29147CFAA25F}" destId="{7DB977C2-5134-41C5-9C87-6E161EC0428B}" srcOrd="1" destOrd="0" presId="urn:microsoft.com/office/officeart/2005/8/layout/orgChart1"/>
    <dgm:cxn modelId="{8110A5A2-53FE-4C62-B476-789F33862A67}" type="presOf" srcId="{6B74A58D-71C2-492B-95A7-96AAB6B4037C}" destId="{A9014C39-A9CA-4C72-A113-B2C0FE25A7C4}" srcOrd="0" destOrd="0" presId="urn:microsoft.com/office/officeart/2005/8/layout/orgChart1"/>
    <dgm:cxn modelId="{38D399A3-EA95-4C54-BD59-5BDFE0D8BD6E}" type="presOf" srcId="{68D38671-4E3D-46FB-A0AE-32CAF1366F40}" destId="{4A7C8FB7-F8AD-4A66-9AF6-03F6DE0EE98E}" srcOrd="0" destOrd="0" presId="urn:microsoft.com/office/officeart/2005/8/layout/orgChart1"/>
    <dgm:cxn modelId="{CC1FE4A4-02FF-4F1A-B41D-98F43EA4072D}" type="presOf" srcId="{A8AA99EF-8CA2-479C-BE5C-7BB99A8026D6}" destId="{1B1FB411-620F-4B90-A763-9E1EACDC06FD}" srcOrd="0" destOrd="0" presId="urn:microsoft.com/office/officeart/2005/8/layout/orgChart1"/>
    <dgm:cxn modelId="{F325DDAD-3D8A-4743-AAC6-96F4EE85628A}" type="presOf" srcId="{114874F8-431E-466E-A4E6-33D076603C7A}" destId="{14AFACCB-FC9A-4462-B368-88D3A89BFF94}" srcOrd="0" destOrd="0" presId="urn:microsoft.com/office/officeart/2005/8/layout/orgChart1"/>
    <dgm:cxn modelId="{F3E4CCAE-5CEB-4F82-B2F8-B72C900B923C}" type="presOf" srcId="{BFF48600-D138-4876-877F-AFA355E1581B}" destId="{71A98ECE-9F94-4ACA-8E33-272E32FE8150}" srcOrd="0" destOrd="0" presId="urn:microsoft.com/office/officeart/2005/8/layout/orgChart1"/>
    <dgm:cxn modelId="{7DE81CB0-69E0-4D50-9112-34AD549A3FF7}" type="presOf" srcId="{BA0BEA14-D238-418D-8AC8-46C8AAEA6495}" destId="{988D3EBD-4254-4AD7-ADD9-C904292D61BB}" srcOrd="1" destOrd="0" presId="urn:microsoft.com/office/officeart/2005/8/layout/orgChart1"/>
    <dgm:cxn modelId="{250EE5B0-1FB3-49E1-A45C-4FF6F72937A6}" srcId="{63FD17C9-486E-4F2B-9ADF-5135662568AE}" destId="{0EE2EA7B-FA52-4C99-87C1-BF559719F025}" srcOrd="0" destOrd="0" parTransId="{D9C33B38-7AF8-4713-B454-59A45E2FCFE7}" sibTransId="{650EA697-845A-4518-AE18-375429D2E561}"/>
    <dgm:cxn modelId="{D3E1AAB2-E409-46AD-A108-EFDF16D43F9E}" type="presOf" srcId="{D9C33B38-7AF8-4713-B454-59A45E2FCFE7}" destId="{449B0A50-81F9-4F98-800F-6DC93949F6A4}" srcOrd="0" destOrd="0" presId="urn:microsoft.com/office/officeart/2005/8/layout/orgChart1"/>
    <dgm:cxn modelId="{D5BE98B8-F819-4761-AD22-C094DAF1F53D}" type="presOf" srcId="{DBC5518E-BE0F-4ADF-8260-CCB838509709}" destId="{C2B06156-C699-4DBB-ABD3-4A7D0EA3B49D}" srcOrd="0" destOrd="0" presId="urn:microsoft.com/office/officeart/2005/8/layout/orgChart1"/>
    <dgm:cxn modelId="{175581B9-6C5E-4031-BD53-8ED66CB11781}" type="presOf" srcId="{1FB6A459-4783-4034-8B61-2A154B0B0006}" destId="{5D30B8EF-8AB3-407F-9E80-DD80C9D7642F}" srcOrd="1" destOrd="0" presId="urn:microsoft.com/office/officeart/2005/8/layout/orgChart1"/>
    <dgm:cxn modelId="{37BEE9B9-CBDB-4DCC-99EC-B28A5A1C6C9E}" srcId="{888B1B36-E1DD-46C1-B478-334D076CF39E}" destId="{5AB2E7E8-6CD5-45BA-B0B2-B6B8F8734757}" srcOrd="0" destOrd="0" parTransId="{5D725CEF-A0D6-4338-ABB3-70DD501A1030}" sibTransId="{4F65A178-632F-4C1A-ADDF-0570DAF3ABD9}"/>
    <dgm:cxn modelId="{8340EFB9-524C-439C-BC8E-D06A830EE402}" type="presOf" srcId="{0AAC6C29-F343-4540-9FF0-B35234EB3E71}" destId="{A3AD92F2-40B9-4E1B-85A6-C45697BB92DF}" srcOrd="0" destOrd="0" presId="urn:microsoft.com/office/officeart/2005/8/layout/orgChart1"/>
    <dgm:cxn modelId="{98A3F4B9-1008-469F-ACFC-6F0A1EDCE9D4}" type="presOf" srcId="{2B5EBE36-E6CC-42B4-8434-3709BF2DC783}" destId="{CE2C06DC-C8EB-4EB4-A047-BC704F32D229}" srcOrd="0" destOrd="0" presId="urn:microsoft.com/office/officeart/2005/8/layout/orgChart1"/>
    <dgm:cxn modelId="{5066BEBB-BA13-4E02-AA2A-83E4BD0CDA40}" srcId="{007C8078-089A-44D0-B371-02A00C7D2BAB}" destId="{E6F9FD29-9BFA-403E-9111-2CA0E93366CC}" srcOrd="1" destOrd="0" parTransId="{05708339-74CC-4819-A64D-1B95F7301109}" sibTransId="{0A7C0E60-3275-486E-B211-A2DB608BB0BE}"/>
    <dgm:cxn modelId="{2EC26FBC-3477-4E31-B171-976780AE180A}" type="presOf" srcId="{0B0E540C-5EE3-4779-8068-2EAD76CDBA42}" destId="{AF7E56A1-5553-4E6C-88F0-3527D9764774}" srcOrd="1" destOrd="0" presId="urn:microsoft.com/office/officeart/2005/8/layout/orgChart1"/>
    <dgm:cxn modelId="{5C415ABD-B29F-4EA6-A7B1-27F6CED19417}" srcId="{0A57AB70-7E60-4E66-B2DF-4F41EFFA9B3B}" destId="{63FD17C9-486E-4F2B-9ADF-5135662568AE}" srcOrd="11" destOrd="0" parTransId="{976463B1-2674-41C3-A5BA-F608FEBF05C6}" sibTransId="{623E592E-273C-4B17-A6AD-C7C3841CB25D}"/>
    <dgm:cxn modelId="{7BDC8FBD-6991-4884-A7F5-103D63611298}" srcId="{0A57AB70-7E60-4E66-B2DF-4F41EFFA9B3B}" destId="{27D5E9EA-B0CF-4739-9D1B-3B35881F92A7}" srcOrd="0" destOrd="0" parTransId="{8300F5F4-30F9-4488-9CD3-D35648827F18}" sibTransId="{7B5F5D3E-6F27-4AD7-B63B-37B47783D3AC}"/>
    <dgm:cxn modelId="{9FA084BF-287F-479C-92A5-4519055B4FFB}" srcId="{0A57AB70-7E60-4E66-B2DF-4F41EFFA9B3B}" destId="{C3B78B50-CB71-4EDD-BA49-742BFB486C0C}" srcOrd="2" destOrd="0" parTransId="{988E215F-AF01-483D-B481-9C7A46BA1C73}" sibTransId="{E4B17C86-BE86-4BB2-8AA6-6892EBB3F14A}"/>
    <dgm:cxn modelId="{02489FBF-78F4-45FF-9B22-0A52FDBC139A}" type="presOf" srcId="{658B76B5-3927-4392-B854-B3E4236C8708}" destId="{173EF31B-0037-4490-8827-036E9036F548}" srcOrd="0" destOrd="0" presId="urn:microsoft.com/office/officeart/2005/8/layout/orgChart1"/>
    <dgm:cxn modelId="{95F2A8BF-FC1F-4A9A-906C-AEEFB578E523}" type="presOf" srcId="{C7AE52CA-2D13-4075-B012-CC9E60827119}" destId="{456F9696-0050-4C13-8A65-61BC731D2DCC}" srcOrd="0" destOrd="0" presId="urn:microsoft.com/office/officeart/2005/8/layout/orgChart1"/>
    <dgm:cxn modelId="{901D0DC1-FBD4-49AD-B881-86BE6438157A}" type="presOf" srcId="{69B5EF6D-EB40-41AD-811E-56CF3AF2AF22}" destId="{C9B59072-EFA9-4750-8A66-3CC7FD43E375}" srcOrd="0" destOrd="0" presId="urn:microsoft.com/office/officeart/2005/8/layout/orgChart1"/>
    <dgm:cxn modelId="{B941E7C1-EC4C-4813-8729-5AD45D82FBAD}" srcId="{0A57AB70-7E60-4E66-B2DF-4F41EFFA9B3B}" destId="{888B1B36-E1DD-46C1-B478-334D076CF39E}" srcOrd="4" destOrd="0" parTransId="{F82773D8-FEFD-4165-9A43-78196BB02DF9}" sibTransId="{0674DB2E-019D-4006-B1BF-0B923B4A8070}"/>
    <dgm:cxn modelId="{B143BDC4-3A4C-4307-9CDF-8ED09DDFE96A}" srcId="{143A9126-27CA-47F3-A65C-E9BAE3272CD2}" destId="{B872EB2D-3716-4112-BF93-5F230D1FF224}" srcOrd="2" destOrd="0" parTransId="{DCA9D5F8-91C8-44AC-9EB2-B7F72797E643}" sibTransId="{3CF4D544-68DF-438A-AC1F-3FE3EC81377A}"/>
    <dgm:cxn modelId="{BF04DBC5-95BF-4F4E-9797-5ABE9E48710A}" type="presOf" srcId="{27D5E9EA-B0CF-4739-9D1B-3B35881F92A7}" destId="{A247153B-0E2A-4678-90AE-C36AB162338C}" srcOrd="1" destOrd="0" presId="urn:microsoft.com/office/officeart/2005/8/layout/orgChart1"/>
    <dgm:cxn modelId="{860735C6-A5B8-477E-BE35-16F1513B1E4C}" type="presOf" srcId="{BCFDC88C-3AC8-445D-B7C4-17E5EBD0F84F}" destId="{FBD3D6F4-55BE-4FA5-9416-35254134E6E1}" srcOrd="1" destOrd="0" presId="urn:microsoft.com/office/officeart/2005/8/layout/orgChart1"/>
    <dgm:cxn modelId="{866FF4C6-A090-4B74-BFD8-61C58D5F1B1D}" srcId="{51B46897-FCF0-4E13-9A27-75473865638C}" destId="{7EDA2DCA-8394-43D6-804D-A07D549E577D}" srcOrd="0" destOrd="0" parTransId="{348103CD-1CD5-4D90-B4A3-C7B48FDDCD4B}" sibTransId="{A229DA27-E558-43D2-9B9F-26D1D9D7462C}"/>
    <dgm:cxn modelId="{896550C8-D249-4790-9C4F-948AE3508083}" type="presOf" srcId="{1FB6A459-4783-4034-8B61-2A154B0B0006}" destId="{A9B19B02-2CC9-461F-9535-25D92E6433B8}" srcOrd="0" destOrd="0" presId="urn:microsoft.com/office/officeart/2005/8/layout/orgChart1"/>
    <dgm:cxn modelId="{626DD7C8-C824-4B35-8885-FDA1A568E78E}" type="presOf" srcId="{5826AE1B-1DEF-498C-9A04-8F7D0B6D8B21}" destId="{9B9CF2EF-22F5-44DF-94A7-D1A93C2F97E1}" srcOrd="1" destOrd="0" presId="urn:microsoft.com/office/officeart/2005/8/layout/orgChart1"/>
    <dgm:cxn modelId="{655DF2C8-3ADD-4939-B2B7-BAADA532937A}" type="presOf" srcId="{B605E823-A02B-41B3-888E-550FD7582BED}" destId="{1BFE841F-B596-485A-B5B3-C7E44FA5A3FB}" srcOrd="1" destOrd="0" presId="urn:microsoft.com/office/officeart/2005/8/layout/orgChart1"/>
    <dgm:cxn modelId="{1A23F0CA-A246-4032-BE58-7186B4F6D546}" type="presOf" srcId="{C5A12A19-EB7E-4432-B174-700B462FB6A6}" destId="{D21453E4-939B-484E-B28C-B7186970EC6F}" srcOrd="0" destOrd="0" presId="urn:microsoft.com/office/officeart/2005/8/layout/orgChart1"/>
    <dgm:cxn modelId="{E5E6FBCA-F02F-4913-BD98-B1E7766226C1}" type="presOf" srcId="{63FD17C9-486E-4F2B-9ADF-5135662568AE}" destId="{D1521D85-3606-4E33-A9A1-8F3FB96888CA}" srcOrd="1" destOrd="0" presId="urn:microsoft.com/office/officeart/2005/8/layout/orgChart1"/>
    <dgm:cxn modelId="{53A3B9CD-BF59-4B74-BA8E-D0C7F36E1B81}" srcId="{1D40E771-1A92-43AF-A112-D0C5F13D1F59}" destId="{0B0E540C-5EE3-4779-8068-2EAD76CDBA42}" srcOrd="0" destOrd="0" parTransId="{C433E135-F791-47B7-A6C3-27E909B774D9}" sibTransId="{9912954F-4D25-4AC6-8C15-80C01EC107EA}"/>
    <dgm:cxn modelId="{09F2DFCE-F3D2-4DF9-AC63-2249D3998158}" type="presOf" srcId="{06B5FC51-15D3-462F-991D-11265CDFC33D}" destId="{D759424E-9C34-405B-B860-F268D13B557E}" srcOrd="1" destOrd="0" presId="urn:microsoft.com/office/officeart/2005/8/layout/orgChart1"/>
    <dgm:cxn modelId="{1C8226D0-940D-4BF9-9F05-FA458BF7093A}" type="presOf" srcId="{BBFE3582-4BB7-4E2F-8BC5-9AD6E1366FA4}" destId="{FC974A43-560D-48F3-B94A-D7163089F086}" srcOrd="1" destOrd="0" presId="urn:microsoft.com/office/officeart/2005/8/layout/orgChart1"/>
    <dgm:cxn modelId="{58C1B5D0-14AC-4701-8D6B-AEDFCA436843}" type="presOf" srcId="{BBFE3582-4BB7-4E2F-8BC5-9AD6E1366FA4}" destId="{C90D9B03-4909-42E3-A338-BF05FE4D0158}" srcOrd="0" destOrd="0" presId="urn:microsoft.com/office/officeart/2005/8/layout/orgChart1"/>
    <dgm:cxn modelId="{C1A930D1-1F25-42ED-B6EC-03C55D69E814}" type="presOf" srcId="{E6F9FD29-9BFA-403E-9111-2CA0E93366CC}" destId="{3392D758-A951-4F3C-A4D2-17A686B61970}" srcOrd="0" destOrd="0" presId="urn:microsoft.com/office/officeart/2005/8/layout/orgChart1"/>
    <dgm:cxn modelId="{398609D5-9B8B-4492-BDB8-2D62D91F65F3}" type="presOf" srcId="{A72E3D2F-EC63-4FDB-82D1-B11D3C3C0FC2}" destId="{9C3664A7-EBCD-47C5-ACE0-761374763B4B}" srcOrd="1" destOrd="0" presId="urn:microsoft.com/office/officeart/2005/8/layout/orgChart1"/>
    <dgm:cxn modelId="{05A4C4D5-D8E5-41A8-B3BF-14FF97EA8BD6}" type="presOf" srcId="{961B35DD-0896-41BB-B147-6BC51B14A081}" destId="{3616F778-8B53-4A7C-BAF1-C7FC5798A29D}" srcOrd="0" destOrd="0" presId="urn:microsoft.com/office/officeart/2005/8/layout/orgChart1"/>
    <dgm:cxn modelId="{B5D436D9-5103-4EAA-85C2-0D8912CB2483}" type="presOf" srcId="{6E87DA15-E197-4F8A-A9C9-173722F378BC}" destId="{444EAF71-C47B-47C9-8EB6-42D04FC67895}" srcOrd="0" destOrd="0" presId="urn:microsoft.com/office/officeart/2005/8/layout/orgChart1"/>
    <dgm:cxn modelId="{C49948DA-073D-46B4-B99A-EFD52A0E1C66}" srcId="{007C8078-089A-44D0-B371-02A00C7D2BAB}" destId="{114874F8-431E-466E-A4E6-33D076603C7A}" srcOrd="6" destOrd="0" parTransId="{6CC1204A-52F5-4A9D-BA4E-BA1715986273}" sibTransId="{187113EC-A5A0-422F-9F50-3C63D633DAB4}"/>
    <dgm:cxn modelId="{DB1ACFDA-3565-4422-A62E-03EB217D1C41}" type="presOf" srcId="{5826AE1B-1DEF-498C-9A04-8F7D0B6D8B21}" destId="{8CCD5B6E-2E2E-4ED8-9275-5C02239046D4}" srcOrd="0" destOrd="0" presId="urn:microsoft.com/office/officeart/2005/8/layout/orgChart1"/>
    <dgm:cxn modelId="{1BE764DB-224B-44DB-8A3C-81482C050578}" type="presOf" srcId="{2D7B1959-30E9-474A-B542-D3CC7937FAA9}" destId="{A379874C-1CE4-4AB9-97FC-D91671CDB417}" srcOrd="1" destOrd="0" presId="urn:microsoft.com/office/officeart/2005/8/layout/orgChart1"/>
    <dgm:cxn modelId="{8656A5DD-4138-493E-ACD9-0AB6F2AB4DFD}" type="presOf" srcId="{007C8078-089A-44D0-B371-02A00C7D2BAB}" destId="{1851DFA5-CB1D-480D-93C7-C63C1A8DB65A}" srcOrd="1" destOrd="0" presId="urn:microsoft.com/office/officeart/2005/8/layout/orgChart1"/>
    <dgm:cxn modelId="{412119DE-C51C-40DD-BA07-E38BFDDA40EA}" type="presOf" srcId="{38E42C72-809F-416C-9B52-F08F7ADA14E5}" destId="{C5898A44-38B6-4884-AD22-934EF443AABC}" srcOrd="0" destOrd="0" presId="urn:microsoft.com/office/officeart/2005/8/layout/orgChart1"/>
    <dgm:cxn modelId="{FAAC6FDE-E3D9-4878-BFA3-6BCBD2285B5C}" srcId="{007C8078-089A-44D0-B371-02A00C7D2BAB}" destId="{958144C5-2649-4B6B-9B3C-36F1F55CE2C7}" srcOrd="2" destOrd="0" parTransId="{1B9E9CFF-2982-420F-8088-2BD1B3290D85}" sibTransId="{513DD7C4-B33A-475C-8538-9D520E74CB9D}"/>
    <dgm:cxn modelId="{091CA5DE-956F-4091-9EF1-06FF0BFCFC72}" type="presOf" srcId="{7BE7F49C-C97D-415A-AAE4-B32BD1654390}" destId="{4DE1D7EA-0372-4DC0-8968-E99D5EC38045}" srcOrd="0" destOrd="0" presId="urn:microsoft.com/office/officeart/2005/8/layout/orgChart1"/>
    <dgm:cxn modelId="{948B95E0-D131-48ED-873F-2F1129DEED75}" srcId="{888B1B36-E1DD-46C1-B478-334D076CF39E}" destId="{4112AC6B-74BE-4359-A3B2-6BFEF96D7F94}" srcOrd="2" destOrd="0" parTransId="{09A29835-3F8C-4D96-8723-6F56A9363B3A}" sibTransId="{EDBBB53E-ABD0-412C-8E1E-248916F62176}"/>
    <dgm:cxn modelId="{75D889E1-0848-4A44-881A-FEC240EF4FA8}" srcId="{BE4BD692-713C-4D86-86F4-9B4AED6FB5D1}" destId="{7BE7F49C-C97D-415A-AAE4-B32BD1654390}" srcOrd="0" destOrd="0" parTransId="{FB31F30C-C0F4-4B2F-B647-239D93064673}" sibTransId="{7864FE75-9D99-4947-B9B1-B6F464B5AB57}"/>
    <dgm:cxn modelId="{508544E4-C838-4089-921C-86B5C3D641A5}" type="presOf" srcId="{EB9B4E52-E1F2-4F25-9E6F-DF9EC53741A6}" destId="{86A2A6E1-C975-4F15-856D-415CEB672D90}" srcOrd="0" destOrd="0" presId="urn:microsoft.com/office/officeart/2005/8/layout/orgChart1"/>
    <dgm:cxn modelId="{4A5CE1E5-205E-4D64-BA7B-80130BCA8056}" type="presOf" srcId="{E9C4A51D-3956-4EC9-9C87-29147CFAA25F}" destId="{0AB6630E-0C3E-4074-8EC5-F9EC335009B8}" srcOrd="0" destOrd="0" presId="urn:microsoft.com/office/officeart/2005/8/layout/orgChart1"/>
    <dgm:cxn modelId="{C1F438E7-A44C-452A-A9DD-14E5DAFAEB6A}" type="presOf" srcId="{0AAC6C29-F343-4540-9FF0-B35234EB3E71}" destId="{B4672920-D979-4AA1-B9F3-B07853D5FB52}" srcOrd="1" destOrd="0" presId="urn:microsoft.com/office/officeart/2005/8/layout/orgChart1"/>
    <dgm:cxn modelId="{123AC4E7-CA67-4D3E-B283-BA6CCA64C667}" srcId="{007C8078-089A-44D0-B371-02A00C7D2BAB}" destId="{926784E8-B7D4-4771-9768-9CC0ABF6151B}" srcOrd="0" destOrd="0" parTransId="{F062658C-8D06-4A7B-B2FB-2E14094CD8EA}" sibTransId="{21599740-2982-4AF9-9FAA-4E3BE987954A}"/>
    <dgm:cxn modelId="{F6D55CEA-FE9F-401B-BFFF-CE824C160BB6}" srcId="{0A57AB70-7E60-4E66-B2DF-4F41EFFA9B3B}" destId="{007C8078-089A-44D0-B371-02A00C7D2BAB}" srcOrd="5" destOrd="0" parTransId="{30A57D94-654E-42B4-BD7F-CDA9392FAC91}" sibTransId="{BED7441E-EADC-4ACE-B8B6-2641B20E1C83}"/>
    <dgm:cxn modelId="{33CF87EA-5892-440D-9C90-F83FF7B484B7}" type="presOf" srcId="{F062658C-8D06-4A7B-B2FB-2E14094CD8EA}" destId="{7FB05F4A-3994-4394-BEBF-A0E5E4DB09F6}" srcOrd="0" destOrd="0" presId="urn:microsoft.com/office/officeart/2005/8/layout/orgChart1"/>
    <dgm:cxn modelId="{3CE1BBEA-8ECD-4871-9BC9-76B869D2239D}" type="presOf" srcId="{574B0C0B-B634-45A2-B43D-D787DB70D178}" destId="{007E3F02-8C5D-4601-9EC9-5B234A86A002}" srcOrd="0" destOrd="0" presId="urn:microsoft.com/office/officeart/2005/8/layout/orgChart1"/>
    <dgm:cxn modelId="{4B5A72EC-1F8B-4F91-A31C-16D278F7B2A2}" srcId="{0FADA6CE-A3FC-4022-8902-B30BEF642726}" destId="{658B76B5-3927-4392-B854-B3E4236C8708}" srcOrd="0" destOrd="0" parTransId="{DDFD0972-11A7-4497-9E26-C654E2102371}" sibTransId="{90423277-E70C-49DC-A908-AF0A269D5FC2}"/>
    <dgm:cxn modelId="{F7784EED-73E3-49CF-A229-AC69FAF2F62F}" srcId="{0A57AB70-7E60-4E66-B2DF-4F41EFFA9B3B}" destId="{1FB6A459-4783-4034-8B61-2A154B0B0006}" srcOrd="7" destOrd="0" parTransId="{90D6DFB5-824A-4D9F-8B4A-0C0CA4BDEBA3}" sibTransId="{E82790A7-59E8-4625-A323-D5C73EE6AC05}"/>
    <dgm:cxn modelId="{DA2A92EE-9C46-478D-AE0A-472818DFDDA8}" srcId="{C3B78B50-CB71-4EDD-BA49-742BFB486C0C}" destId="{BBFE3582-4BB7-4E2F-8BC5-9AD6E1366FA4}" srcOrd="1" destOrd="0" parTransId="{8AD1597B-BCF4-42A9-B698-388BE39B54AC}" sibTransId="{1CFD9AFC-0879-46E4-A4AE-CE20EECFEF7B}"/>
    <dgm:cxn modelId="{B27A0BEF-B274-4C64-8159-9C682968347F}" type="presOf" srcId="{899B14F1-5388-4CBE-AD62-D88291FC6B5F}" destId="{B281BE40-EEFD-4FA5-9495-7A87E0C4C366}" srcOrd="0" destOrd="0" presId="urn:microsoft.com/office/officeart/2005/8/layout/orgChart1"/>
    <dgm:cxn modelId="{353FEAF0-1826-4314-9B6B-4BA110D5F37E}" type="presOf" srcId="{DDFD0972-11A7-4497-9E26-C654E2102371}" destId="{D4064E19-D9B5-4A3A-8C20-277B5B071998}" srcOrd="0" destOrd="0" presId="urn:microsoft.com/office/officeart/2005/8/layout/orgChart1"/>
    <dgm:cxn modelId="{ADCD04F1-5A24-4963-87F9-30A9C5DC1745}" srcId="{77E74AD6-103B-4957-832F-CBE0704A1B63}" destId="{DA4FBE95-9630-4747-A015-4DAAA15F0E2C}" srcOrd="1" destOrd="0" parTransId="{EB9B4E52-E1F2-4F25-9E6F-DF9EC53741A6}" sibTransId="{7183266D-148F-448A-B4D9-E0C8C5BF886F}"/>
    <dgm:cxn modelId="{C15287F1-F785-49B6-872F-D72F44C36E19}" srcId="{27D5E9EA-B0CF-4739-9D1B-3B35881F92A7}" destId="{0AAC6C29-F343-4540-9FF0-B35234EB3E71}" srcOrd="0" destOrd="0" parTransId="{AE441F75-F254-49CC-B4C4-10A15AB60B9F}" sibTransId="{B5130A16-5D1E-45B6-AEE5-90AEF018C05B}"/>
    <dgm:cxn modelId="{B9B9BDF3-F729-41FA-B237-825D4A6290FE}" type="presOf" srcId="{7EDA2DCA-8394-43D6-804D-A07D549E577D}" destId="{F0A32968-93CE-41E7-AB84-865084DBD119}" srcOrd="0" destOrd="0" presId="urn:microsoft.com/office/officeart/2005/8/layout/orgChart1"/>
    <dgm:cxn modelId="{47D7C5F7-7806-4D0A-BC22-6234DAEB6CF3}" type="presOf" srcId="{7D079000-774C-4057-98D3-B2FEA6DBD035}" destId="{BACF56AF-80F7-4D1E-8833-AA8E8276FDE3}" srcOrd="0" destOrd="0" presId="urn:microsoft.com/office/officeart/2005/8/layout/orgChart1"/>
    <dgm:cxn modelId="{EE9C29F9-0702-4B3B-9F74-EBF493B783F9}" type="presOf" srcId="{B872EB2D-3716-4112-BF93-5F230D1FF224}" destId="{3230156C-ED9F-444F-827F-2F13BAF6ABA0}" srcOrd="1" destOrd="0" presId="urn:microsoft.com/office/officeart/2005/8/layout/orgChart1"/>
    <dgm:cxn modelId="{1931BDF9-1BCE-4C49-931F-3F5B0FE0FB13}" type="presOf" srcId="{C9EE3A53-A9AB-464F-8D1B-80A0261A47B8}" destId="{41E88442-60FA-482A-9073-A4E54F4E29E0}" srcOrd="0" destOrd="0" presId="urn:microsoft.com/office/officeart/2005/8/layout/orgChart1"/>
    <dgm:cxn modelId="{4F93D0F9-B3A2-4B56-9B6A-CF2B1F6DEE1C}" type="presOf" srcId="{09A29835-3F8C-4D96-8723-6F56A9363B3A}" destId="{F82A0A74-1A0E-43ED-BEDE-914D56767E93}" srcOrd="0" destOrd="0" presId="urn:microsoft.com/office/officeart/2005/8/layout/orgChart1"/>
    <dgm:cxn modelId="{C4B96DFA-04CE-4F6A-9FA9-D062A365A007}" type="presOf" srcId="{E648BD26-D463-4560-92D2-AB05284CEDC9}" destId="{FFA8DDB0-A8AB-489A-92E7-01B0C9AF040D}" srcOrd="0" destOrd="0" presId="urn:microsoft.com/office/officeart/2005/8/layout/orgChart1"/>
    <dgm:cxn modelId="{B4B05FFC-EE57-4275-9920-C0DC34B5D809}" type="presOf" srcId="{68D38671-4E3D-46FB-A0AE-32CAF1366F40}" destId="{536024AB-8D32-41AD-8F97-B66C45E07EE0}" srcOrd="1" destOrd="0" presId="urn:microsoft.com/office/officeart/2005/8/layout/orgChart1"/>
    <dgm:cxn modelId="{7E63BAFD-5377-4AC3-AF41-1B5A0EEF65EA}" type="presOf" srcId="{958144C5-2649-4B6B-9B3C-36F1F55CE2C7}" destId="{0DB47D30-6964-414B-AD56-37A7CE97C4D6}" srcOrd="1" destOrd="0" presId="urn:microsoft.com/office/officeart/2005/8/layout/orgChart1"/>
    <dgm:cxn modelId="{FE923EFE-F65D-4D4C-8437-89C586ED0552}" type="presOf" srcId="{592D668E-851B-47C0-8FFC-E82B7AB8FCE2}" destId="{F32D6B37-06BE-49D3-8ACF-05230ECC401E}" srcOrd="0" destOrd="0" presId="urn:microsoft.com/office/officeart/2005/8/layout/orgChart1"/>
    <dgm:cxn modelId="{C61D6C9F-2745-4538-BE0D-730270F3C77A}" type="presParOf" srcId="{1B74A4F6-BC85-4EF6-A76B-A710569A014C}" destId="{1F2394A2-D358-484C-AEDF-9749B136F17E}" srcOrd="0" destOrd="0" presId="urn:microsoft.com/office/officeart/2005/8/layout/orgChart1"/>
    <dgm:cxn modelId="{D4565A9C-9CFB-4012-B18C-352D6B338A33}" type="presParOf" srcId="{1F2394A2-D358-484C-AEDF-9749B136F17E}" destId="{B34EE89B-1DFE-482C-B561-40B18826C6F0}" srcOrd="0" destOrd="0" presId="urn:microsoft.com/office/officeart/2005/8/layout/orgChart1"/>
    <dgm:cxn modelId="{250C2A0A-AC1E-49BF-A592-A74AE628B36A}" type="presParOf" srcId="{B34EE89B-1DFE-482C-B561-40B18826C6F0}" destId="{CE8BBD88-BF7E-4CBE-936B-1D246C2CFEA1}" srcOrd="0" destOrd="0" presId="urn:microsoft.com/office/officeart/2005/8/layout/orgChart1"/>
    <dgm:cxn modelId="{424073E3-92A5-47CF-9CA9-B41D93DAFA8A}" type="presParOf" srcId="{B34EE89B-1DFE-482C-B561-40B18826C6F0}" destId="{68E1C9AF-1099-4AC8-BC3C-DCF356898F11}" srcOrd="1" destOrd="0" presId="urn:microsoft.com/office/officeart/2005/8/layout/orgChart1"/>
    <dgm:cxn modelId="{24CAA3A5-48A4-49E0-9395-DB24F7D63DE1}" type="presParOf" srcId="{1F2394A2-D358-484C-AEDF-9749B136F17E}" destId="{9B6AD594-4C99-4252-9045-F3BA0D6B9EC9}" srcOrd="1" destOrd="0" presId="urn:microsoft.com/office/officeart/2005/8/layout/orgChart1"/>
    <dgm:cxn modelId="{1FC114F7-0737-48FC-BFA1-2F2CA2CC074A}" type="presParOf" srcId="{9B6AD594-4C99-4252-9045-F3BA0D6B9EC9}" destId="{D68DE565-B78C-4A6B-A05A-658AA787D0C7}" srcOrd="0" destOrd="0" presId="urn:microsoft.com/office/officeart/2005/8/layout/orgChart1"/>
    <dgm:cxn modelId="{9F1108A7-9895-4324-89B5-61545640062E}" type="presParOf" srcId="{9B6AD594-4C99-4252-9045-F3BA0D6B9EC9}" destId="{DA106A28-2A32-4E26-8735-3281862EAFF5}" srcOrd="1" destOrd="0" presId="urn:microsoft.com/office/officeart/2005/8/layout/orgChart1"/>
    <dgm:cxn modelId="{5234E3BC-76DF-4B2A-B990-FF4C1C2B54D6}" type="presParOf" srcId="{DA106A28-2A32-4E26-8735-3281862EAFF5}" destId="{43BE0E58-F708-4B6D-8F44-7E6DD1AB7039}" srcOrd="0" destOrd="0" presId="urn:microsoft.com/office/officeart/2005/8/layout/orgChart1"/>
    <dgm:cxn modelId="{E9B5AFCE-53BF-418D-B66D-19DF30C7CC8F}" type="presParOf" srcId="{43BE0E58-F708-4B6D-8F44-7E6DD1AB7039}" destId="{EAC9C383-E225-48D4-9CE5-ED19E5733C82}" srcOrd="0" destOrd="0" presId="urn:microsoft.com/office/officeart/2005/8/layout/orgChart1"/>
    <dgm:cxn modelId="{9F124BD6-1082-463F-8639-DDF44542794C}" type="presParOf" srcId="{43BE0E58-F708-4B6D-8F44-7E6DD1AB7039}" destId="{A247153B-0E2A-4678-90AE-C36AB162338C}" srcOrd="1" destOrd="0" presId="urn:microsoft.com/office/officeart/2005/8/layout/orgChart1"/>
    <dgm:cxn modelId="{C0F30AEB-CCA9-415F-AD11-76BF3F831DD7}" type="presParOf" srcId="{DA106A28-2A32-4E26-8735-3281862EAFF5}" destId="{F4F42D38-728F-4A9D-9AD6-A5B3E42C170D}" srcOrd="1" destOrd="0" presId="urn:microsoft.com/office/officeart/2005/8/layout/orgChart1"/>
    <dgm:cxn modelId="{3BD3F594-6763-405E-87F1-75DFCE394A59}" type="presParOf" srcId="{F4F42D38-728F-4A9D-9AD6-A5B3E42C170D}" destId="{ADEB7019-9502-48FD-8DC7-5D65F53BE9F6}" srcOrd="0" destOrd="0" presId="urn:microsoft.com/office/officeart/2005/8/layout/orgChart1"/>
    <dgm:cxn modelId="{A6DB5A37-884E-435B-ACC0-EF3D05B28AA1}" type="presParOf" srcId="{F4F42D38-728F-4A9D-9AD6-A5B3E42C170D}" destId="{391A8573-6147-4D44-A188-D82DE4B4B223}" srcOrd="1" destOrd="0" presId="urn:microsoft.com/office/officeart/2005/8/layout/orgChart1"/>
    <dgm:cxn modelId="{69902A8F-8E12-47D2-BACF-8BECB1DA95FE}" type="presParOf" srcId="{391A8573-6147-4D44-A188-D82DE4B4B223}" destId="{A3F57F19-4CED-4D07-8DEF-0B74C33EFE78}" srcOrd="0" destOrd="0" presId="urn:microsoft.com/office/officeart/2005/8/layout/orgChart1"/>
    <dgm:cxn modelId="{C12C58D2-0F12-4087-8103-4C51678CD21F}" type="presParOf" srcId="{A3F57F19-4CED-4D07-8DEF-0B74C33EFE78}" destId="{A3AD92F2-40B9-4E1B-85A6-C45697BB92DF}" srcOrd="0" destOrd="0" presId="urn:microsoft.com/office/officeart/2005/8/layout/orgChart1"/>
    <dgm:cxn modelId="{D89BC44B-D6D6-48D6-A4F5-EA5EC89A718D}" type="presParOf" srcId="{A3F57F19-4CED-4D07-8DEF-0B74C33EFE78}" destId="{B4672920-D979-4AA1-B9F3-B07853D5FB52}" srcOrd="1" destOrd="0" presId="urn:microsoft.com/office/officeart/2005/8/layout/orgChart1"/>
    <dgm:cxn modelId="{16C7C7DD-1741-4E0F-90E6-8833E50FADA9}" type="presParOf" srcId="{391A8573-6147-4D44-A188-D82DE4B4B223}" destId="{526FAD6D-A3FC-4374-A6D5-4C54D20E1D28}" srcOrd="1" destOrd="0" presId="urn:microsoft.com/office/officeart/2005/8/layout/orgChart1"/>
    <dgm:cxn modelId="{77D30273-3BCF-4153-8413-35FADCBC74C8}" type="presParOf" srcId="{391A8573-6147-4D44-A188-D82DE4B4B223}" destId="{1B9F859D-80D3-4FE0-97B3-789D888AC94F}" srcOrd="2" destOrd="0" presId="urn:microsoft.com/office/officeart/2005/8/layout/orgChart1"/>
    <dgm:cxn modelId="{EE58ABA6-6101-4C61-9BC2-BA7507E88649}" type="presParOf" srcId="{F4F42D38-728F-4A9D-9AD6-A5B3E42C170D}" destId="{41E88442-60FA-482A-9073-A4E54F4E29E0}" srcOrd="2" destOrd="0" presId="urn:microsoft.com/office/officeart/2005/8/layout/orgChart1"/>
    <dgm:cxn modelId="{0429152F-EDF3-4FF3-99BE-A2D5E05DB562}" type="presParOf" srcId="{F4F42D38-728F-4A9D-9AD6-A5B3E42C170D}" destId="{4561232D-F2FD-4189-BF9B-C16BFBDD6C04}" srcOrd="3" destOrd="0" presId="urn:microsoft.com/office/officeart/2005/8/layout/orgChart1"/>
    <dgm:cxn modelId="{11660AE5-7ECD-4895-96F4-6A9205BD6253}" type="presParOf" srcId="{4561232D-F2FD-4189-BF9B-C16BFBDD6C04}" destId="{B0B4F708-7824-462A-BB22-0C35BAA60E58}" srcOrd="0" destOrd="0" presId="urn:microsoft.com/office/officeart/2005/8/layout/orgChart1"/>
    <dgm:cxn modelId="{3C877CAF-B4B4-409C-A8C9-D69527F49440}" type="presParOf" srcId="{B0B4F708-7824-462A-BB22-0C35BAA60E58}" destId="{492CDC20-1DAC-4C5E-9955-5F1E4613EC1F}" srcOrd="0" destOrd="0" presId="urn:microsoft.com/office/officeart/2005/8/layout/orgChart1"/>
    <dgm:cxn modelId="{4B8F24C3-3BBF-4D8E-AF9F-30DE64DA69EC}" type="presParOf" srcId="{B0B4F708-7824-462A-BB22-0C35BAA60E58}" destId="{9C3664A7-EBCD-47C5-ACE0-761374763B4B}" srcOrd="1" destOrd="0" presId="urn:microsoft.com/office/officeart/2005/8/layout/orgChart1"/>
    <dgm:cxn modelId="{9FC17875-A878-4999-A76E-4CF67CBB5B48}" type="presParOf" srcId="{4561232D-F2FD-4189-BF9B-C16BFBDD6C04}" destId="{1D61BA98-7FA2-40E0-9063-91D6245D84A0}" srcOrd="1" destOrd="0" presId="urn:microsoft.com/office/officeart/2005/8/layout/orgChart1"/>
    <dgm:cxn modelId="{E7F4C1CD-DEEF-4CD5-937F-BF788CB955B7}" type="presParOf" srcId="{4561232D-F2FD-4189-BF9B-C16BFBDD6C04}" destId="{382048AD-70DF-454B-AB93-8D1FD3491B4A}" srcOrd="2" destOrd="0" presId="urn:microsoft.com/office/officeart/2005/8/layout/orgChart1"/>
    <dgm:cxn modelId="{96297D40-1A59-4634-98F3-638C7CD3BA18}" type="presParOf" srcId="{F4F42D38-728F-4A9D-9AD6-A5B3E42C170D}" destId="{456F9696-0050-4C13-8A65-61BC731D2DCC}" srcOrd="4" destOrd="0" presId="urn:microsoft.com/office/officeart/2005/8/layout/orgChart1"/>
    <dgm:cxn modelId="{4435848C-D300-494A-BDD9-E62E4A8425C6}" type="presParOf" srcId="{F4F42D38-728F-4A9D-9AD6-A5B3E42C170D}" destId="{4E26C3E7-9793-400B-AD51-1018E487A47C}" srcOrd="5" destOrd="0" presId="urn:microsoft.com/office/officeart/2005/8/layout/orgChart1"/>
    <dgm:cxn modelId="{C24A1305-ABD4-4F63-956B-87BE3AF0484C}" type="presParOf" srcId="{4E26C3E7-9793-400B-AD51-1018E487A47C}" destId="{FD5B5B53-4B0E-4F0C-B7F1-9659BF1EB6BF}" srcOrd="0" destOrd="0" presId="urn:microsoft.com/office/officeart/2005/8/layout/orgChart1"/>
    <dgm:cxn modelId="{ED00B9D5-16D6-45D3-802F-B9E3BBE590CC}" type="presParOf" srcId="{FD5B5B53-4B0E-4F0C-B7F1-9659BF1EB6BF}" destId="{C541AE43-D8D1-4624-B96D-3A025A08B343}" srcOrd="0" destOrd="0" presId="urn:microsoft.com/office/officeart/2005/8/layout/orgChart1"/>
    <dgm:cxn modelId="{DCB72168-F839-4986-B451-E3C4A831F157}" type="presParOf" srcId="{FD5B5B53-4B0E-4F0C-B7F1-9659BF1EB6BF}" destId="{42B96DB0-6CFD-4BAE-9595-D8028B3C7D63}" srcOrd="1" destOrd="0" presId="urn:microsoft.com/office/officeart/2005/8/layout/orgChart1"/>
    <dgm:cxn modelId="{20E6D252-E12D-433C-9BAD-BD9994F3C395}" type="presParOf" srcId="{4E26C3E7-9793-400B-AD51-1018E487A47C}" destId="{C157B1FB-154F-4EAC-BE1A-AAF6CDB46209}" srcOrd="1" destOrd="0" presId="urn:microsoft.com/office/officeart/2005/8/layout/orgChart1"/>
    <dgm:cxn modelId="{999E9911-8847-43F0-9EC4-C0A56D849F06}" type="presParOf" srcId="{4E26C3E7-9793-400B-AD51-1018E487A47C}" destId="{4A3136DE-174E-468F-9924-57A7C3C684CD}" srcOrd="2" destOrd="0" presId="urn:microsoft.com/office/officeart/2005/8/layout/orgChart1"/>
    <dgm:cxn modelId="{A695A50D-B3FE-441E-9AC7-70E5A5554F19}" type="presParOf" srcId="{DA106A28-2A32-4E26-8735-3281862EAFF5}" destId="{6D19B1E7-02ED-49F8-AD20-C86B27D7DB92}" srcOrd="2" destOrd="0" presId="urn:microsoft.com/office/officeart/2005/8/layout/orgChart1"/>
    <dgm:cxn modelId="{7E881313-1AD7-423D-8AFB-53D893E7C88C}" type="presParOf" srcId="{9B6AD594-4C99-4252-9045-F3BA0D6B9EC9}" destId="{BACF56AF-80F7-4D1E-8833-AA8E8276FDE3}" srcOrd="2" destOrd="0" presId="urn:microsoft.com/office/officeart/2005/8/layout/orgChart1"/>
    <dgm:cxn modelId="{035F90A9-A655-41C5-8274-BDC9428E712A}" type="presParOf" srcId="{9B6AD594-4C99-4252-9045-F3BA0D6B9EC9}" destId="{B82D79FC-5CA2-4C93-B3A0-035E5DBE1692}" srcOrd="3" destOrd="0" presId="urn:microsoft.com/office/officeart/2005/8/layout/orgChart1"/>
    <dgm:cxn modelId="{1D088A70-E76E-46D2-9675-E8DC0AE97459}" type="presParOf" srcId="{B82D79FC-5CA2-4C93-B3A0-035E5DBE1692}" destId="{8C4E40AF-0042-49C0-928C-FB18F38C0969}" srcOrd="0" destOrd="0" presId="urn:microsoft.com/office/officeart/2005/8/layout/orgChart1"/>
    <dgm:cxn modelId="{AB6E668F-48FC-48EE-932E-5F4D5BBD94C1}" type="presParOf" srcId="{8C4E40AF-0042-49C0-928C-FB18F38C0969}" destId="{D21453E4-939B-484E-B28C-B7186970EC6F}" srcOrd="0" destOrd="0" presId="urn:microsoft.com/office/officeart/2005/8/layout/orgChart1"/>
    <dgm:cxn modelId="{E363F533-14B0-4E6A-B5BD-460206D91571}" type="presParOf" srcId="{8C4E40AF-0042-49C0-928C-FB18F38C0969}" destId="{96443389-6070-4944-958D-CDCAC0F07D2A}" srcOrd="1" destOrd="0" presId="urn:microsoft.com/office/officeart/2005/8/layout/orgChart1"/>
    <dgm:cxn modelId="{8E829054-5EA1-49CA-A31F-681384582F20}" type="presParOf" srcId="{B82D79FC-5CA2-4C93-B3A0-035E5DBE1692}" destId="{076E7AEB-8A73-41C1-BDAF-5D5F09E73575}" srcOrd="1" destOrd="0" presId="urn:microsoft.com/office/officeart/2005/8/layout/orgChart1"/>
    <dgm:cxn modelId="{8ABBEDBB-4D59-4BF0-8698-10A0C1066137}" type="presParOf" srcId="{076E7AEB-8A73-41C1-BDAF-5D5F09E73575}" destId="{E1697AE8-2F03-46B7-A77F-7567B713E050}" srcOrd="0" destOrd="0" presId="urn:microsoft.com/office/officeart/2005/8/layout/orgChart1"/>
    <dgm:cxn modelId="{96463C95-A74B-4BBE-87F8-0C312CA34A39}" type="presParOf" srcId="{076E7AEB-8A73-41C1-BDAF-5D5F09E73575}" destId="{7F2D5514-C97D-4F99-82DE-C608F3C3E68C}" srcOrd="1" destOrd="0" presId="urn:microsoft.com/office/officeart/2005/8/layout/orgChart1"/>
    <dgm:cxn modelId="{181BCA1C-D2FE-4477-A034-12985A4A03B7}" type="presParOf" srcId="{7F2D5514-C97D-4F99-82DE-C608F3C3E68C}" destId="{8B41CE57-0033-4BAB-8F0B-8559C97D1223}" srcOrd="0" destOrd="0" presId="urn:microsoft.com/office/officeart/2005/8/layout/orgChart1"/>
    <dgm:cxn modelId="{F88C50E7-6579-4B64-8DE5-F062772ED4DA}" type="presParOf" srcId="{8B41CE57-0033-4BAB-8F0B-8559C97D1223}" destId="{19FD574C-4967-4970-8FD1-29CF1794ED5E}" srcOrd="0" destOrd="0" presId="urn:microsoft.com/office/officeart/2005/8/layout/orgChart1"/>
    <dgm:cxn modelId="{E6198713-2949-463E-9183-147B3E1766C5}" type="presParOf" srcId="{8B41CE57-0033-4BAB-8F0B-8559C97D1223}" destId="{2F7121A6-7A09-4CF1-A083-670C88627FC7}" srcOrd="1" destOrd="0" presId="urn:microsoft.com/office/officeart/2005/8/layout/orgChart1"/>
    <dgm:cxn modelId="{2B60D1ED-92F1-4619-BD2A-EA41B84E3419}" type="presParOf" srcId="{7F2D5514-C97D-4F99-82DE-C608F3C3E68C}" destId="{8C396D77-71AE-4594-B806-FA8C4A744DDF}" srcOrd="1" destOrd="0" presId="urn:microsoft.com/office/officeart/2005/8/layout/orgChart1"/>
    <dgm:cxn modelId="{DE838256-713F-4E31-A3AD-62AA303673A6}" type="presParOf" srcId="{7F2D5514-C97D-4F99-82DE-C608F3C3E68C}" destId="{3A5B0146-59F3-4B5F-9C53-E0ABB674E705}" srcOrd="2" destOrd="0" presId="urn:microsoft.com/office/officeart/2005/8/layout/orgChart1"/>
    <dgm:cxn modelId="{697090DE-3C85-4763-B87E-CC6AA5414FB9}" type="presParOf" srcId="{076E7AEB-8A73-41C1-BDAF-5D5F09E73575}" destId="{F3495D6C-EB13-4E3F-B04E-A0DACC6D7EC4}" srcOrd="2" destOrd="0" presId="urn:microsoft.com/office/officeart/2005/8/layout/orgChart1"/>
    <dgm:cxn modelId="{F8C3F9DA-1A00-4E4A-8D9A-54EBE8596B1C}" type="presParOf" srcId="{076E7AEB-8A73-41C1-BDAF-5D5F09E73575}" destId="{E80D179F-F53E-461C-98FB-DD6E234B24F4}" srcOrd="3" destOrd="0" presId="urn:microsoft.com/office/officeart/2005/8/layout/orgChart1"/>
    <dgm:cxn modelId="{4AE29E86-95A5-4BD8-BE2D-2776DBF7142D}" type="presParOf" srcId="{E80D179F-F53E-461C-98FB-DD6E234B24F4}" destId="{62A7B90D-7EB2-41E3-B7AC-65A880A56E1A}" srcOrd="0" destOrd="0" presId="urn:microsoft.com/office/officeart/2005/8/layout/orgChart1"/>
    <dgm:cxn modelId="{2355ED32-A5F3-4A37-B4DE-86ED20CD3C92}" type="presParOf" srcId="{62A7B90D-7EB2-41E3-B7AC-65A880A56E1A}" destId="{8DB10BD3-029C-491A-8EA5-8E975A31C55F}" srcOrd="0" destOrd="0" presId="urn:microsoft.com/office/officeart/2005/8/layout/orgChart1"/>
    <dgm:cxn modelId="{3A472F30-7507-43FD-AA55-069CB50721C5}" type="presParOf" srcId="{62A7B90D-7EB2-41E3-B7AC-65A880A56E1A}" destId="{8F12F0FF-036F-455C-8644-7BD254B15210}" srcOrd="1" destOrd="0" presId="urn:microsoft.com/office/officeart/2005/8/layout/orgChart1"/>
    <dgm:cxn modelId="{E838F0F8-24A5-433F-A625-C43BBAF1F83C}" type="presParOf" srcId="{E80D179F-F53E-461C-98FB-DD6E234B24F4}" destId="{1FB66B4F-8356-48C4-976D-B33E4A3545DD}" srcOrd="1" destOrd="0" presId="urn:microsoft.com/office/officeart/2005/8/layout/orgChart1"/>
    <dgm:cxn modelId="{56F8ECEF-D1C3-462C-8A0D-53A2FDE886C2}" type="presParOf" srcId="{E80D179F-F53E-461C-98FB-DD6E234B24F4}" destId="{8D20E109-C1BA-45AF-BAF4-3137C458491E}" srcOrd="2" destOrd="0" presId="urn:microsoft.com/office/officeart/2005/8/layout/orgChart1"/>
    <dgm:cxn modelId="{E267B846-502A-477F-853A-A04CCAF1108E}" type="presParOf" srcId="{076E7AEB-8A73-41C1-BDAF-5D5F09E73575}" destId="{4BD976E6-87C6-463B-A5F1-3E237C32F250}" srcOrd="4" destOrd="0" presId="urn:microsoft.com/office/officeart/2005/8/layout/orgChart1"/>
    <dgm:cxn modelId="{E8B8B978-E680-43ED-AFF9-B3B13CB7C159}" type="presParOf" srcId="{076E7AEB-8A73-41C1-BDAF-5D5F09E73575}" destId="{859C39F9-907C-48FA-8A1F-19C8F115FB4A}" srcOrd="5" destOrd="0" presId="urn:microsoft.com/office/officeart/2005/8/layout/orgChart1"/>
    <dgm:cxn modelId="{2C8971C2-CCAD-453C-A772-D42BD51EB13E}" type="presParOf" srcId="{859C39F9-907C-48FA-8A1F-19C8F115FB4A}" destId="{54AF0BDB-656A-4ABE-88EE-9C55A5F8D109}" srcOrd="0" destOrd="0" presId="urn:microsoft.com/office/officeart/2005/8/layout/orgChart1"/>
    <dgm:cxn modelId="{BFAFACB9-352A-4BC2-BC29-C3A2A5A130E0}" type="presParOf" srcId="{54AF0BDB-656A-4ABE-88EE-9C55A5F8D109}" destId="{4A7C8FB7-F8AD-4A66-9AF6-03F6DE0EE98E}" srcOrd="0" destOrd="0" presId="urn:microsoft.com/office/officeart/2005/8/layout/orgChart1"/>
    <dgm:cxn modelId="{7112ABE6-ADD8-4584-B10A-E37313BBE7AE}" type="presParOf" srcId="{54AF0BDB-656A-4ABE-88EE-9C55A5F8D109}" destId="{536024AB-8D32-41AD-8F97-B66C45E07EE0}" srcOrd="1" destOrd="0" presId="urn:microsoft.com/office/officeart/2005/8/layout/orgChart1"/>
    <dgm:cxn modelId="{33A098FD-DE24-4EBF-B548-FCE4BBED1710}" type="presParOf" srcId="{859C39F9-907C-48FA-8A1F-19C8F115FB4A}" destId="{ADECA12E-377B-4E75-ADE0-4DF6A6699F60}" srcOrd="1" destOrd="0" presId="urn:microsoft.com/office/officeart/2005/8/layout/orgChart1"/>
    <dgm:cxn modelId="{A2801E12-0E8C-4C7E-865F-ED35CE8C275C}" type="presParOf" srcId="{859C39F9-907C-48FA-8A1F-19C8F115FB4A}" destId="{17AB8661-A691-4E92-B949-6AC405E204AC}" srcOrd="2" destOrd="0" presId="urn:microsoft.com/office/officeart/2005/8/layout/orgChart1"/>
    <dgm:cxn modelId="{FDB97715-C421-436A-9839-800A43320675}" type="presParOf" srcId="{B82D79FC-5CA2-4C93-B3A0-035E5DBE1692}" destId="{314B5780-9EF3-4EE4-88D3-82EDBAABFE51}" srcOrd="2" destOrd="0" presId="urn:microsoft.com/office/officeart/2005/8/layout/orgChart1"/>
    <dgm:cxn modelId="{C8D326C6-70B4-44F0-8EE8-D5060D4A7C72}" type="presParOf" srcId="{9B6AD594-4C99-4252-9045-F3BA0D6B9EC9}" destId="{7C8DC261-0299-464C-9E4C-F755DA97AFFD}" srcOrd="4" destOrd="0" presId="urn:microsoft.com/office/officeart/2005/8/layout/orgChart1"/>
    <dgm:cxn modelId="{B7123792-791C-4888-A4B2-AEF98E9E1EDE}" type="presParOf" srcId="{9B6AD594-4C99-4252-9045-F3BA0D6B9EC9}" destId="{3A2E5D7A-BAB3-46BF-AD1C-600035C82507}" srcOrd="5" destOrd="0" presId="urn:microsoft.com/office/officeart/2005/8/layout/orgChart1"/>
    <dgm:cxn modelId="{517D5616-F299-4491-A123-84189FB22E20}" type="presParOf" srcId="{3A2E5D7A-BAB3-46BF-AD1C-600035C82507}" destId="{48B557BC-39DE-4FE5-8B77-D50856CB2961}" srcOrd="0" destOrd="0" presId="urn:microsoft.com/office/officeart/2005/8/layout/orgChart1"/>
    <dgm:cxn modelId="{AF802992-A23A-4B01-A465-9735540080F6}" type="presParOf" srcId="{48B557BC-39DE-4FE5-8B77-D50856CB2961}" destId="{10B4C24A-4FEC-4904-908C-FED9BC45E196}" srcOrd="0" destOrd="0" presId="urn:microsoft.com/office/officeart/2005/8/layout/orgChart1"/>
    <dgm:cxn modelId="{C8CAAC26-880E-425C-BFA1-6D5D4111CBBB}" type="presParOf" srcId="{48B557BC-39DE-4FE5-8B77-D50856CB2961}" destId="{2BF13DA8-819D-46A0-AEF5-5BF0A0F57C78}" srcOrd="1" destOrd="0" presId="urn:microsoft.com/office/officeart/2005/8/layout/orgChart1"/>
    <dgm:cxn modelId="{363F9164-5A64-4AD3-AF90-6011B097EBCA}" type="presParOf" srcId="{3A2E5D7A-BAB3-46BF-AD1C-600035C82507}" destId="{C0A1F47E-4FDC-4DDC-9329-C9D4AFA7E7CB}" srcOrd="1" destOrd="0" presId="urn:microsoft.com/office/officeart/2005/8/layout/orgChart1"/>
    <dgm:cxn modelId="{C53A41B0-7B1F-4E3C-8C0C-B10823906868}" type="presParOf" srcId="{C0A1F47E-4FDC-4DDC-9329-C9D4AFA7E7CB}" destId="{C2B06156-C699-4DBB-ABD3-4A7D0EA3B49D}" srcOrd="0" destOrd="0" presId="urn:microsoft.com/office/officeart/2005/8/layout/orgChart1"/>
    <dgm:cxn modelId="{8E207741-B26E-4009-A29E-01AFB38203EB}" type="presParOf" srcId="{C0A1F47E-4FDC-4DDC-9329-C9D4AFA7E7CB}" destId="{0062B3F1-67C2-4355-966A-43F2A506A6BD}" srcOrd="1" destOrd="0" presId="urn:microsoft.com/office/officeart/2005/8/layout/orgChart1"/>
    <dgm:cxn modelId="{3DB7ADC5-F618-4C8D-9DB9-29464D6D1E07}" type="presParOf" srcId="{0062B3F1-67C2-4355-966A-43F2A506A6BD}" destId="{C2ADAF35-96B1-428A-A533-85359842B8CE}" srcOrd="0" destOrd="0" presId="urn:microsoft.com/office/officeart/2005/8/layout/orgChart1"/>
    <dgm:cxn modelId="{DD08472D-F881-471F-B11A-6F564B26BFD4}" type="presParOf" srcId="{C2ADAF35-96B1-428A-A533-85359842B8CE}" destId="{CA88CE62-F1F7-4366-A9B3-E30E69895C4D}" srcOrd="0" destOrd="0" presId="urn:microsoft.com/office/officeart/2005/8/layout/orgChart1"/>
    <dgm:cxn modelId="{E08C26E3-B5CA-4EB0-A9AC-15ACB40410E6}" type="presParOf" srcId="{C2ADAF35-96B1-428A-A533-85359842B8CE}" destId="{A379874C-1CE4-4AB9-97FC-D91671CDB417}" srcOrd="1" destOrd="0" presId="urn:microsoft.com/office/officeart/2005/8/layout/orgChart1"/>
    <dgm:cxn modelId="{218676D2-320A-4DBD-B40C-7DBC65DC2636}" type="presParOf" srcId="{0062B3F1-67C2-4355-966A-43F2A506A6BD}" destId="{F859BF11-B724-4F64-8492-9228EC3461A5}" srcOrd="1" destOrd="0" presId="urn:microsoft.com/office/officeart/2005/8/layout/orgChart1"/>
    <dgm:cxn modelId="{8878813E-290C-4E69-BD6F-D64FB223663D}" type="presParOf" srcId="{0062B3F1-67C2-4355-966A-43F2A506A6BD}" destId="{0DD3A097-223B-4B81-A58D-65EA6C3ED65A}" srcOrd="2" destOrd="0" presId="urn:microsoft.com/office/officeart/2005/8/layout/orgChart1"/>
    <dgm:cxn modelId="{869DB8A1-1F9A-46EE-B753-5442F707619F}" type="presParOf" srcId="{C0A1F47E-4FDC-4DDC-9329-C9D4AFA7E7CB}" destId="{009F621B-34F7-4681-BD90-7DBCCE201DC3}" srcOrd="2" destOrd="0" presId="urn:microsoft.com/office/officeart/2005/8/layout/orgChart1"/>
    <dgm:cxn modelId="{E9232B4F-7B58-4D45-92C0-1FB772E84218}" type="presParOf" srcId="{C0A1F47E-4FDC-4DDC-9329-C9D4AFA7E7CB}" destId="{997D6C4B-F8D6-4A4D-954E-37ABE23B8D23}" srcOrd="3" destOrd="0" presId="urn:microsoft.com/office/officeart/2005/8/layout/orgChart1"/>
    <dgm:cxn modelId="{5127E0A3-87FD-48FD-8FD1-3F1ED8EDAA2F}" type="presParOf" srcId="{997D6C4B-F8D6-4A4D-954E-37ABE23B8D23}" destId="{F3D58C35-8C5D-4090-9401-BA6A5955AFE3}" srcOrd="0" destOrd="0" presId="urn:microsoft.com/office/officeart/2005/8/layout/orgChart1"/>
    <dgm:cxn modelId="{FB164427-38E6-46FC-85C2-0AB44D714296}" type="presParOf" srcId="{F3D58C35-8C5D-4090-9401-BA6A5955AFE3}" destId="{C90D9B03-4909-42E3-A338-BF05FE4D0158}" srcOrd="0" destOrd="0" presId="urn:microsoft.com/office/officeart/2005/8/layout/orgChart1"/>
    <dgm:cxn modelId="{3F926440-D939-44C1-A4BE-F79A64CD09A9}" type="presParOf" srcId="{F3D58C35-8C5D-4090-9401-BA6A5955AFE3}" destId="{FC974A43-560D-48F3-B94A-D7163089F086}" srcOrd="1" destOrd="0" presId="urn:microsoft.com/office/officeart/2005/8/layout/orgChart1"/>
    <dgm:cxn modelId="{960830A4-0DFE-4E97-8D35-5A0A9DF94E1E}" type="presParOf" srcId="{997D6C4B-F8D6-4A4D-954E-37ABE23B8D23}" destId="{4320F926-FA58-4165-A5DE-44702D532AD0}" srcOrd="1" destOrd="0" presId="urn:microsoft.com/office/officeart/2005/8/layout/orgChart1"/>
    <dgm:cxn modelId="{6ACB5F9A-ABEB-4E41-A6E9-7115612834B8}" type="presParOf" srcId="{997D6C4B-F8D6-4A4D-954E-37ABE23B8D23}" destId="{AA739DD4-A73B-480B-A04B-9A905893D942}" srcOrd="2" destOrd="0" presId="urn:microsoft.com/office/officeart/2005/8/layout/orgChart1"/>
    <dgm:cxn modelId="{092EC7E3-C94A-4919-99F5-9A5D4EC4B968}" type="presParOf" srcId="{3A2E5D7A-BAB3-46BF-AD1C-600035C82507}" destId="{0CD1E4FD-2A0C-4E9B-B89B-0E17798F3172}" srcOrd="2" destOrd="0" presId="urn:microsoft.com/office/officeart/2005/8/layout/orgChart1"/>
    <dgm:cxn modelId="{4D7A1920-CDE5-4CFB-92BF-B44E3776C0E6}" type="presParOf" srcId="{9B6AD594-4C99-4252-9045-F3BA0D6B9EC9}" destId="{007E3F02-8C5D-4601-9EC9-5B234A86A002}" srcOrd="6" destOrd="0" presId="urn:microsoft.com/office/officeart/2005/8/layout/orgChart1"/>
    <dgm:cxn modelId="{F21485A3-A6C7-4B84-8FAF-E8E66879CB32}" type="presParOf" srcId="{9B6AD594-4C99-4252-9045-F3BA0D6B9EC9}" destId="{D0A5DA9D-3497-4EE9-8680-9466057F9ACF}" srcOrd="7" destOrd="0" presId="urn:microsoft.com/office/officeart/2005/8/layout/orgChart1"/>
    <dgm:cxn modelId="{F33B84BC-BDCA-4E87-BFDA-B33D7E959325}" type="presParOf" srcId="{D0A5DA9D-3497-4EE9-8680-9466057F9ACF}" destId="{5DBCAAFF-EEAF-4BC4-BE86-2EB66FED0BDD}" srcOrd="0" destOrd="0" presId="urn:microsoft.com/office/officeart/2005/8/layout/orgChart1"/>
    <dgm:cxn modelId="{5C72E346-3EC0-4420-A9A7-FF148D6713FF}" type="presParOf" srcId="{5DBCAAFF-EEAF-4BC4-BE86-2EB66FED0BDD}" destId="{ED3F8A15-9BAB-4476-A6A8-CF146BFEDF69}" srcOrd="0" destOrd="0" presId="urn:microsoft.com/office/officeart/2005/8/layout/orgChart1"/>
    <dgm:cxn modelId="{5065B172-CED8-4DBF-B36E-B7A74CD9F48C}" type="presParOf" srcId="{5DBCAAFF-EEAF-4BC4-BE86-2EB66FED0BDD}" destId="{C38B35BC-49E5-4745-9DBE-6510F5A4E8CD}" srcOrd="1" destOrd="0" presId="urn:microsoft.com/office/officeart/2005/8/layout/orgChart1"/>
    <dgm:cxn modelId="{5EE36773-E6D3-4E3F-B527-F23D43982372}" type="presParOf" srcId="{D0A5DA9D-3497-4EE9-8680-9466057F9ACF}" destId="{D1389766-853A-41CA-A14D-5EFB516CDAB7}" srcOrd="1" destOrd="0" presId="urn:microsoft.com/office/officeart/2005/8/layout/orgChart1"/>
    <dgm:cxn modelId="{3C3B448F-49CF-4542-AAFA-D14F0800CAEE}" type="presParOf" srcId="{D1389766-853A-41CA-A14D-5EFB516CDAB7}" destId="{CEB1CD0C-3F31-4834-9BF5-00B8C7EED796}" srcOrd="0" destOrd="0" presId="urn:microsoft.com/office/officeart/2005/8/layout/orgChart1"/>
    <dgm:cxn modelId="{CE46D319-78C4-45FB-97D3-DC6446559384}" type="presParOf" srcId="{D1389766-853A-41CA-A14D-5EFB516CDAB7}" destId="{6D576284-2832-480D-ADDB-F3BEAF36F2AB}" srcOrd="1" destOrd="0" presId="urn:microsoft.com/office/officeart/2005/8/layout/orgChart1"/>
    <dgm:cxn modelId="{621349B5-4400-4AF6-8EDE-213091C72825}" type="presParOf" srcId="{6D576284-2832-480D-ADDB-F3BEAF36F2AB}" destId="{744A8E03-6112-45F5-A1E3-5FC64E8CC599}" srcOrd="0" destOrd="0" presId="urn:microsoft.com/office/officeart/2005/8/layout/orgChart1"/>
    <dgm:cxn modelId="{731C7BD1-B68C-438E-932B-284EA034866C}" type="presParOf" srcId="{744A8E03-6112-45F5-A1E3-5FC64E8CC599}" destId="{607CEF2E-C573-463D-9295-5D6061BA8D35}" srcOrd="0" destOrd="0" presId="urn:microsoft.com/office/officeart/2005/8/layout/orgChart1"/>
    <dgm:cxn modelId="{82436311-5344-4E76-AC2B-8718930A86D7}" type="presParOf" srcId="{744A8E03-6112-45F5-A1E3-5FC64E8CC599}" destId="{D759424E-9C34-405B-B860-F268D13B557E}" srcOrd="1" destOrd="0" presId="urn:microsoft.com/office/officeart/2005/8/layout/orgChart1"/>
    <dgm:cxn modelId="{257957A3-1FAD-45D5-A56A-CEEF935A8834}" type="presParOf" srcId="{6D576284-2832-480D-ADDB-F3BEAF36F2AB}" destId="{32BF82D2-FE33-4A98-97FD-643BA77ECD60}" srcOrd="1" destOrd="0" presId="urn:microsoft.com/office/officeart/2005/8/layout/orgChart1"/>
    <dgm:cxn modelId="{678DFF42-F6CB-4520-87AD-3DC9A93C8A6B}" type="presParOf" srcId="{6D576284-2832-480D-ADDB-F3BEAF36F2AB}" destId="{FCF18198-356D-4ECC-B1C2-0C1F7E2E7DA9}" srcOrd="2" destOrd="0" presId="urn:microsoft.com/office/officeart/2005/8/layout/orgChart1"/>
    <dgm:cxn modelId="{CA2FCDA8-D75C-40BF-AB4C-ACE755E132D5}" type="presParOf" srcId="{D1389766-853A-41CA-A14D-5EFB516CDAB7}" destId="{86A2A6E1-C975-4F15-856D-415CEB672D90}" srcOrd="2" destOrd="0" presId="urn:microsoft.com/office/officeart/2005/8/layout/orgChart1"/>
    <dgm:cxn modelId="{1D357E5F-FC72-4B8E-82A6-A7381610AA6B}" type="presParOf" srcId="{D1389766-853A-41CA-A14D-5EFB516CDAB7}" destId="{365CD79C-18EC-402B-B9B1-887B02D75E7B}" srcOrd="3" destOrd="0" presId="urn:microsoft.com/office/officeart/2005/8/layout/orgChart1"/>
    <dgm:cxn modelId="{073E16E4-5C27-4DE5-BCD1-B38D00F3D0B9}" type="presParOf" srcId="{365CD79C-18EC-402B-B9B1-887B02D75E7B}" destId="{4CF2F5B8-803D-4968-8C7D-39B4FE4E6410}" srcOrd="0" destOrd="0" presId="urn:microsoft.com/office/officeart/2005/8/layout/orgChart1"/>
    <dgm:cxn modelId="{973E26EC-3349-40CB-BF26-4DE209DD674B}" type="presParOf" srcId="{4CF2F5B8-803D-4968-8C7D-39B4FE4E6410}" destId="{BD12FDC5-D293-4C2C-A620-82140B8CCD1A}" srcOrd="0" destOrd="0" presId="urn:microsoft.com/office/officeart/2005/8/layout/orgChart1"/>
    <dgm:cxn modelId="{C7A7EA7D-C96D-4BDE-974B-B6DB2C6AB42A}" type="presParOf" srcId="{4CF2F5B8-803D-4968-8C7D-39B4FE4E6410}" destId="{BE0EC6C4-7D78-4277-86B7-028B8225B999}" srcOrd="1" destOrd="0" presId="urn:microsoft.com/office/officeart/2005/8/layout/orgChart1"/>
    <dgm:cxn modelId="{7E4A1A12-5D5F-4B8A-ABBC-B4DC014F7172}" type="presParOf" srcId="{365CD79C-18EC-402B-B9B1-887B02D75E7B}" destId="{74C619CC-D601-4D37-935C-52AC9DE4F518}" srcOrd="1" destOrd="0" presId="urn:microsoft.com/office/officeart/2005/8/layout/orgChart1"/>
    <dgm:cxn modelId="{A488A045-BFC1-4697-8216-A92E7F317E1C}" type="presParOf" srcId="{365CD79C-18EC-402B-B9B1-887B02D75E7B}" destId="{C2561F2B-05DB-4DDE-9304-AAC6BF306D0A}" srcOrd="2" destOrd="0" presId="urn:microsoft.com/office/officeart/2005/8/layout/orgChart1"/>
    <dgm:cxn modelId="{579E405B-E759-4560-93E1-4CED9DC91A85}" type="presParOf" srcId="{D0A5DA9D-3497-4EE9-8680-9466057F9ACF}" destId="{B0B8B630-141D-4256-9991-B5FFEFBA31CC}" srcOrd="2" destOrd="0" presId="urn:microsoft.com/office/officeart/2005/8/layout/orgChart1"/>
    <dgm:cxn modelId="{95BE50BE-8AA7-4CE9-8F4D-A0A4724F8926}" type="presParOf" srcId="{9B6AD594-4C99-4252-9045-F3BA0D6B9EC9}" destId="{90FE17B0-9D08-4896-9444-532DE0E6C0E3}" srcOrd="8" destOrd="0" presId="urn:microsoft.com/office/officeart/2005/8/layout/orgChart1"/>
    <dgm:cxn modelId="{E66C4648-4F5D-4887-9714-BEDDB2058969}" type="presParOf" srcId="{9B6AD594-4C99-4252-9045-F3BA0D6B9EC9}" destId="{2B0396E0-250C-4195-A7BE-888E3DF07A95}" srcOrd="9" destOrd="0" presId="urn:microsoft.com/office/officeart/2005/8/layout/orgChart1"/>
    <dgm:cxn modelId="{34EEFFBE-981C-4924-92ED-BB0835030516}" type="presParOf" srcId="{2B0396E0-250C-4195-A7BE-888E3DF07A95}" destId="{78FEA8A9-03EE-4CE2-92D9-FC35783B3EFA}" srcOrd="0" destOrd="0" presId="urn:microsoft.com/office/officeart/2005/8/layout/orgChart1"/>
    <dgm:cxn modelId="{1B4BE277-FF25-4B7C-9197-EC3BFB820E33}" type="presParOf" srcId="{78FEA8A9-03EE-4CE2-92D9-FC35783B3EFA}" destId="{35D1FEDA-C270-4F10-9DAA-944E00885646}" srcOrd="0" destOrd="0" presId="urn:microsoft.com/office/officeart/2005/8/layout/orgChart1"/>
    <dgm:cxn modelId="{4ECA77C0-7C20-4182-8F10-6B041D09D143}" type="presParOf" srcId="{78FEA8A9-03EE-4CE2-92D9-FC35783B3EFA}" destId="{16D23D58-4AC6-4092-9079-CD7323F6F680}" srcOrd="1" destOrd="0" presId="urn:microsoft.com/office/officeart/2005/8/layout/orgChart1"/>
    <dgm:cxn modelId="{6E98A3C6-D99F-4498-ADB2-C671BF43A9DF}" type="presParOf" srcId="{2B0396E0-250C-4195-A7BE-888E3DF07A95}" destId="{6F1BA3E0-5C46-45DB-AC47-1D8EE8813FAB}" srcOrd="1" destOrd="0" presId="urn:microsoft.com/office/officeart/2005/8/layout/orgChart1"/>
    <dgm:cxn modelId="{12261EA0-D62D-48A6-9B2C-669DE42D4A3D}" type="presParOf" srcId="{6F1BA3E0-5C46-45DB-AC47-1D8EE8813FAB}" destId="{25F54320-8A9C-4FA1-890D-D860BB66CD0C}" srcOrd="0" destOrd="0" presId="urn:microsoft.com/office/officeart/2005/8/layout/orgChart1"/>
    <dgm:cxn modelId="{EF0E91BC-B233-460C-B88A-C18D29B4881B}" type="presParOf" srcId="{6F1BA3E0-5C46-45DB-AC47-1D8EE8813FAB}" destId="{C083DCE5-9DBA-4C60-9B8E-5F80CA9F436A}" srcOrd="1" destOrd="0" presId="urn:microsoft.com/office/officeart/2005/8/layout/orgChart1"/>
    <dgm:cxn modelId="{802DC73A-B1FB-4FE5-B25A-346BD27A0437}" type="presParOf" srcId="{C083DCE5-9DBA-4C60-9B8E-5F80CA9F436A}" destId="{74B70391-2EFC-43F6-92D7-DAE54F4D06B5}" srcOrd="0" destOrd="0" presId="urn:microsoft.com/office/officeart/2005/8/layout/orgChart1"/>
    <dgm:cxn modelId="{02A54E50-E0EE-4B0A-9620-22532417489D}" type="presParOf" srcId="{74B70391-2EFC-43F6-92D7-DAE54F4D06B5}" destId="{C14F1350-9618-41CD-857F-112F76CFC248}" srcOrd="0" destOrd="0" presId="urn:microsoft.com/office/officeart/2005/8/layout/orgChart1"/>
    <dgm:cxn modelId="{B9AE6F8E-3462-4AC5-9CEB-464F56D81E43}" type="presParOf" srcId="{74B70391-2EFC-43F6-92D7-DAE54F4D06B5}" destId="{074A92F8-A27C-473B-A561-A0552D9FE481}" srcOrd="1" destOrd="0" presId="urn:microsoft.com/office/officeart/2005/8/layout/orgChart1"/>
    <dgm:cxn modelId="{2595B3D6-02AC-413B-B918-093846A803FB}" type="presParOf" srcId="{C083DCE5-9DBA-4C60-9B8E-5F80CA9F436A}" destId="{8FC24922-78B2-4777-9E36-B424D14F8515}" srcOrd="1" destOrd="0" presId="urn:microsoft.com/office/officeart/2005/8/layout/orgChart1"/>
    <dgm:cxn modelId="{C3DBCFEE-60D8-4004-B0E5-D33C19CF61BE}" type="presParOf" srcId="{C083DCE5-9DBA-4C60-9B8E-5F80CA9F436A}" destId="{0394B664-074D-41DC-B25D-939224B1B9B0}" srcOrd="2" destOrd="0" presId="urn:microsoft.com/office/officeart/2005/8/layout/orgChart1"/>
    <dgm:cxn modelId="{8FAC3BE0-EF1D-469E-9CD4-303AA53A4141}" type="presParOf" srcId="{6F1BA3E0-5C46-45DB-AC47-1D8EE8813FAB}" destId="{C350A219-795F-4B44-9F2C-4059F2DBE2BF}" srcOrd="2" destOrd="0" presId="urn:microsoft.com/office/officeart/2005/8/layout/orgChart1"/>
    <dgm:cxn modelId="{76601ED4-3E44-4BDC-A1BD-0CCC47BE294A}" type="presParOf" srcId="{6F1BA3E0-5C46-45DB-AC47-1D8EE8813FAB}" destId="{F3DEA853-379C-476B-BBBB-A2362C1030B9}" srcOrd="3" destOrd="0" presId="urn:microsoft.com/office/officeart/2005/8/layout/orgChart1"/>
    <dgm:cxn modelId="{0D3B4DCF-99DB-4C25-9555-2BF691A7F1C9}" type="presParOf" srcId="{F3DEA853-379C-476B-BBBB-A2362C1030B9}" destId="{F7B50418-0AA0-49CF-A843-A29EFDE93F34}" srcOrd="0" destOrd="0" presId="urn:microsoft.com/office/officeart/2005/8/layout/orgChart1"/>
    <dgm:cxn modelId="{5D2BFDD6-3EEE-4608-89CE-B7AD9342C57C}" type="presParOf" srcId="{F7B50418-0AA0-49CF-A843-A29EFDE93F34}" destId="{B281BE40-EEFD-4FA5-9495-7A87E0C4C366}" srcOrd="0" destOrd="0" presId="urn:microsoft.com/office/officeart/2005/8/layout/orgChart1"/>
    <dgm:cxn modelId="{2FD09E71-13AA-4BD6-8DCB-9FF51C380D1F}" type="presParOf" srcId="{F7B50418-0AA0-49CF-A843-A29EFDE93F34}" destId="{E183E1C8-1672-4044-8315-523466CD3010}" srcOrd="1" destOrd="0" presId="urn:microsoft.com/office/officeart/2005/8/layout/orgChart1"/>
    <dgm:cxn modelId="{E636BE09-4C23-41F0-B3A8-55E8FA31DB60}" type="presParOf" srcId="{F3DEA853-379C-476B-BBBB-A2362C1030B9}" destId="{1034B40C-2CC5-4E3E-B822-C15CDF791CB4}" srcOrd="1" destOrd="0" presId="urn:microsoft.com/office/officeart/2005/8/layout/orgChart1"/>
    <dgm:cxn modelId="{274C911E-C44D-496B-B64F-950180BAD249}" type="presParOf" srcId="{F3DEA853-379C-476B-BBBB-A2362C1030B9}" destId="{1DABAD79-E310-46DC-ACE2-AB850AE6B492}" srcOrd="2" destOrd="0" presId="urn:microsoft.com/office/officeart/2005/8/layout/orgChart1"/>
    <dgm:cxn modelId="{602702B0-217E-45F6-952B-D680845114B9}" type="presParOf" srcId="{6F1BA3E0-5C46-45DB-AC47-1D8EE8813FAB}" destId="{F82A0A74-1A0E-43ED-BEDE-914D56767E93}" srcOrd="4" destOrd="0" presId="urn:microsoft.com/office/officeart/2005/8/layout/orgChart1"/>
    <dgm:cxn modelId="{E0DCAFEF-91BA-441F-B694-42762592B4C8}" type="presParOf" srcId="{6F1BA3E0-5C46-45DB-AC47-1D8EE8813FAB}" destId="{ACE20DAB-080A-4202-BE03-08757BBB5D65}" srcOrd="5" destOrd="0" presId="urn:microsoft.com/office/officeart/2005/8/layout/orgChart1"/>
    <dgm:cxn modelId="{AF5490E3-45DF-4BC5-9286-BFABCA401D39}" type="presParOf" srcId="{ACE20DAB-080A-4202-BE03-08757BBB5D65}" destId="{12500EDC-325A-49BE-91F8-C69CD093A33A}" srcOrd="0" destOrd="0" presId="urn:microsoft.com/office/officeart/2005/8/layout/orgChart1"/>
    <dgm:cxn modelId="{EF1F4B6F-F3A6-4DA8-AF0C-6BC5A0B06A8E}" type="presParOf" srcId="{12500EDC-325A-49BE-91F8-C69CD093A33A}" destId="{7E30F57F-D06F-4EDB-B112-D8FCB292B0A4}" srcOrd="0" destOrd="0" presId="urn:microsoft.com/office/officeart/2005/8/layout/orgChart1"/>
    <dgm:cxn modelId="{FD888DC6-D9D5-4E18-A3BD-FA68342CC78E}" type="presParOf" srcId="{12500EDC-325A-49BE-91F8-C69CD093A33A}" destId="{09F42215-9EDF-4201-A9BA-69093FFF291E}" srcOrd="1" destOrd="0" presId="urn:microsoft.com/office/officeart/2005/8/layout/orgChart1"/>
    <dgm:cxn modelId="{39E4DE41-7B91-49B3-AEED-49C51FAA0612}" type="presParOf" srcId="{ACE20DAB-080A-4202-BE03-08757BBB5D65}" destId="{888F5B2E-1283-4A66-9179-E8B02FB92CE8}" srcOrd="1" destOrd="0" presId="urn:microsoft.com/office/officeart/2005/8/layout/orgChart1"/>
    <dgm:cxn modelId="{0C3B1816-4907-4765-A450-6683DEE6210C}" type="presParOf" srcId="{ACE20DAB-080A-4202-BE03-08757BBB5D65}" destId="{361421E7-7C45-45E3-9491-D1FFADC8B582}" srcOrd="2" destOrd="0" presId="urn:microsoft.com/office/officeart/2005/8/layout/orgChart1"/>
    <dgm:cxn modelId="{E560EEE3-CD3D-4A2D-9A72-79B7B538A333}" type="presParOf" srcId="{6F1BA3E0-5C46-45DB-AC47-1D8EE8813FAB}" destId="{975384AB-D124-4F62-8271-7E9CF351A02E}" srcOrd="6" destOrd="0" presId="urn:microsoft.com/office/officeart/2005/8/layout/orgChart1"/>
    <dgm:cxn modelId="{675BBFA4-923E-4590-9050-7D7AE86387F3}" type="presParOf" srcId="{6F1BA3E0-5C46-45DB-AC47-1D8EE8813FAB}" destId="{AC4E772B-5A30-467F-93E5-84E6A1950194}" srcOrd="7" destOrd="0" presId="urn:microsoft.com/office/officeart/2005/8/layout/orgChart1"/>
    <dgm:cxn modelId="{F40C449E-36A3-4D61-8AA6-FD2A0B6C5471}" type="presParOf" srcId="{AC4E772B-5A30-467F-93E5-84E6A1950194}" destId="{7001717A-330A-4388-B57F-4D01C1C7CA01}" srcOrd="0" destOrd="0" presId="urn:microsoft.com/office/officeart/2005/8/layout/orgChart1"/>
    <dgm:cxn modelId="{015289C7-4804-46D5-80A1-18AF6EA07E38}" type="presParOf" srcId="{7001717A-330A-4388-B57F-4D01C1C7CA01}" destId="{F30BA301-AC62-43BD-B317-1448DBA572AD}" srcOrd="0" destOrd="0" presId="urn:microsoft.com/office/officeart/2005/8/layout/orgChart1"/>
    <dgm:cxn modelId="{9E2FC9D9-8DDD-45F8-8225-05C9E6BB3D99}" type="presParOf" srcId="{7001717A-330A-4388-B57F-4D01C1C7CA01}" destId="{EA31ADF2-60A3-4192-A938-F797DB4F8E9A}" srcOrd="1" destOrd="0" presId="urn:microsoft.com/office/officeart/2005/8/layout/orgChart1"/>
    <dgm:cxn modelId="{1831A5FA-CEAE-451D-85BE-6ECC0B833908}" type="presParOf" srcId="{AC4E772B-5A30-467F-93E5-84E6A1950194}" destId="{EE23AB17-B02F-49F9-AAF7-AE6ACE8F67A7}" srcOrd="1" destOrd="0" presId="urn:microsoft.com/office/officeart/2005/8/layout/orgChart1"/>
    <dgm:cxn modelId="{34F7FD2B-0744-4DA3-8A4E-42291AC50A0D}" type="presParOf" srcId="{AC4E772B-5A30-467F-93E5-84E6A1950194}" destId="{2AAC6DDB-6EA5-461E-A4F9-D87904E5915C}" srcOrd="2" destOrd="0" presId="urn:microsoft.com/office/officeart/2005/8/layout/orgChart1"/>
    <dgm:cxn modelId="{2C2FC81C-70BA-4605-8903-4244DB8B5A93}" type="presParOf" srcId="{2B0396E0-250C-4195-A7BE-888E3DF07A95}" destId="{61816347-80A2-4B12-A00E-965BE915CEEE}" srcOrd="2" destOrd="0" presId="urn:microsoft.com/office/officeart/2005/8/layout/orgChart1"/>
    <dgm:cxn modelId="{DD58F13B-83E4-49D8-ABD5-411240FFCF10}" type="presParOf" srcId="{9B6AD594-4C99-4252-9045-F3BA0D6B9EC9}" destId="{788DC131-C017-435F-B3B3-86AB1D7120E6}" srcOrd="10" destOrd="0" presId="urn:microsoft.com/office/officeart/2005/8/layout/orgChart1"/>
    <dgm:cxn modelId="{5169CEAB-A6FD-438E-A169-AF4734A54799}" type="presParOf" srcId="{9B6AD594-4C99-4252-9045-F3BA0D6B9EC9}" destId="{1BDE7613-6AC9-4E35-8771-0DAAAF8E8D8B}" srcOrd="11" destOrd="0" presId="urn:microsoft.com/office/officeart/2005/8/layout/orgChart1"/>
    <dgm:cxn modelId="{88051F38-025E-46CA-8455-45D8F75B3E7E}" type="presParOf" srcId="{1BDE7613-6AC9-4E35-8771-0DAAAF8E8D8B}" destId="{83647321-37AD-4765-815B-5DF2D77C1812}" srcOrd="0" destOrd="0" presId="urn:microsoft.com/office/officeart/2005/8/layout/orgChart1"/>
    <dgm:cxn modelId="{D55B528D-5AD7-43C2-8BDA-7474743B7497}" type="presParOf" srcId="{83647321-37AD-4765-815B-5DF2D77C1812}" destId="{85359C4F-E8B7-464A-9ECB-98AC1C089295}" srcOrd="0" destOrd="0" presId="urn:microsoft.com/office/officeart/2005/8/layout/orgChart1"/>
    <dgm:cxn modelId="{32FA381C-AC78-4FC3-B419-5C95CD3A584C}" type="presParOf" srcId="{83647321-37AD-4765-815B-5DF2D77C1812}" destId="{1851DFA5-CB1D-480D-93C7-C63C1A8DB65A}" srcOrd="1" destOrd="0" presId="urn:microsoft.com/office/officeart/2005/8/layout/orgChart1"/>
    <dgm:cxn modelId="{E9895863-817B-4F82-AEAD-322CB1AD5A57}" type="presParOf" srcId="{1BDE7613-6AC9-4E35-8771-0DAAAF8E8D8B}" destId="{4EBF07F8-3166-416A-815B-7D485FDFF79E}" srcOrd="1" destOrd="0" presId="urn:microsoft.com/office/officeart/2005/8/layout/orgChart1"/>
    <dgm:cxn modelId="{99720C50-7194-4485-9EEC-E6A3FBEC61B6}" type="presParOf" srcId="{4EBF07F8-3166-416A-815B-7D485FDFF79E}" destId="{7FB05F4A-3994-4394-BEBF-A0E5E4DB09F6}" srcOrd="0" destOrd="0" presId="urn:microsoft.com/office/officeart/2005/8/layout/orgChart1"/>
    <dgm:cxn modelId="{EC5209D7-FC73-4DD2-B473-60643DC82BE0}" type="presParOf" srcId="{4EBF07F8-3166-416A-815B-7D485FDFF79E}" destId="{1742DDCA-6911-4F13-8220-75351725C264}" srcOrd="1" destOrd="0" presId="urn:microsoft.com/office/officeart/2005/8/layout/orgChart1"/>
    <dgm:cxn modelId="{490E3172-BF40-4441-B722-E5DCBA0722CA}" type="presParOf" srcId="{1742DDCA-6911-4F13-8220-75351725C264}" destId="{1F0AE2DB-EE28-40EB-A1DE-50ACB5B0527E}" srcOrd="0" destOrd="0" presId="urn:microsoft.com/office/officeart/2005/8/layout/orgChart1"/>
    <dgm:cxn modelId="{72EA31C4-890D-46F4-80A0-FFFDD8858128}" type="presParOf" srcId="{1F0AE2DB-EE28-40EB-A1DE-50ACB5B0527E}" destId="{EF983BCA-2EAE-4246-96DB-67318AA4C0E7}" srcOrd="0" destOrd="0" presId="urn:microsoft.com/office/officeart/2005/8/layout/orgChart1"/>
    <dgm:cxn modelId="{E0323DF5-58AF-43FF-B7D4-2682631E41E1}" type="presParOf" srcId="{1F0AE2DB-EE28-40EB-A1DE-50ACB5B0527E}" destId="{A0AF98C4-71F3-4745-9152-E19D39B974FB}" srcOrd="1" destOrd="0" presId="urn:microsoft.com/office/officeart/2005/8/layout/orgChart1"/>
    <dgm:cxn modelId="{EEDEDCCF-1F38-4356-8B83-DE10C239FC45}" type="presParOf" srcId="{1742DDCA-6911-4F13-8220-75351725C264}" destId="{2DAF5B0B-051A-4F85-8A4D-3F6A230CE10B}" srcOrd="1" destOrd="0" presId="urn:microsoft.com/office/officeart/2005/8/layout/orgChart1"/>
    <dgm:cxn modelId="{F9BE5BB2-3448-4BB5-8180-F777C8E19E02}" type="presParOf" srcId="{1742DDCA-6911-4F13-8220-75351725C264}" destId="{452636B5-AC1C-42C9-B981-F0DA96370BD3}" srcOrd="2" destOrd="0" presId="urn:microsoft.com/office/officeart/2005/8/layout/orgChart1"/>
    <dgm:cxn modelId="{F40F4EF8-6A4D-4B47-AC7D-957E7251D5A5}" type="presParOf" srcId="{4EBF07F8-3166-416A-815B-7D485FDFF79E}" destId="{64F08B34-45C7-4001-BF55-E321AF73F365}" srcOrd="2" destOrd="0" presId="urn:microsoft.com/office/officeart/2005/8/layout/orgChart1"/>
    <dgm:cxn modelId="{D5395154-D8BE-49DB-9F8C-325910A9119D}" type="presParOf" srcId="{4EBF07F8-3166-416A-815B-7D485FDFF79E}" destId="{DCD157A0-EAC5-40C2-8C6F-326BAED5F128}" srcOrd="3" destOrd="0" presId="urn:microsoft.com/office/officeart/2005/8/layout/orgChart1"/>
    <dgm:cxn modelId="{D452E515-E13F-44E9-B335-4C3C622989C5}" type="presParOf" srcId="{DCD157A0-EAC5-40C2-8C6F-326BAED5F128}" destId="{D91D6B9C-4378-46F3-B61B-C247E20E4141}" srcOrd="0" destOrd="0" presId="urn:microsoft.com/office/officeart/2005/8/layout/orgChart1"/>
    <dgm:cxn modelId="{78AB7E09-79DD-485D-820A-C20927F4612C}" type="presParOf" srcId="{D91D6B9C-4378-46F3-B61B-C247E20E4141}" destId="{3392D758-A951-4F3C-A4D2-17A686B61970}" srcOrd="0" destOrd="0" presId="urn:microsoft.com/office/officeart/2005/8/layout/orgChart1"/>
    <dgm:cxn modelId="{E7D6C59D-0970-404D-87C6-7DACBA38D08D}" type="presParOf" srcId="{D91D6B9C-4378-46F3-B61B-C247E20E4141}" destId="{7D496A4C-51C4-4730-BDAD-F17C287F380E}" srcOrd="1" destOrd="0" presId="urn:microsoft.com/office/officeart/2005/8/layout/orgChart1"/>
    <dgm:cxn modelId="{71C6E44A-9DE8-46A6-BFF4-F7AE67C38DDB}" type="presParOf" srcId="{DCD157A0-EAC5-40C2-8C6F-326BAED5F128}" destId="{3C1033BD-B6B5-49A9-B1C9-B31CBAA4C570}" srcOrd="1" destOrd="0" presId="urn:microsoft.com/office/officeart/2005/8/layout/orgChart1"/>
    <dgm:cxn modelId="{252685C2-14DC-47C3-97BB-97665368560A}" type="presParOf" srcId="{DCD157A0-EAC5-40C2-8C6F-326BAED5F128}" destId="{68AA38F6-E3BE-4385-B8A7-1D4068A4A59D}" srcOrd="2" destOrd="0" presId="urn:microsoft.com/office/officeart/2005/8/layout/orgChart1"/>
    <dgm:cxn modelId="{B0EAA07B-04F8-4BD5-A72C-BDE1A5AC013F}" type="presParOf" srcId="{4EBF07F8-3166-416A-815B-7D485FDFF79E}" destId="{F63A65D8-5189-4747-B43B-EDA5219A3137}" srcOrd="4" destOrd="0" presId="urn:microsoft.com/office/officeart/2005/8/layout/orgChart1"/>
    <dgm:cxn modelId="{BDEBC1A3-E2DE-480F-B865-8EEE2A0B3543}" type="presParOf" srcId="{4EBF07F8-3166-416A-815B-7D485FDFF79E}" destId="{9C0F7411-6FFF-49D8-BCC3-75047AA08F77}" srcOrd="5" destOrd="0" presId="urn:microsoft.com/office/officeart/2005/8/layout/orgChart1"/>
    <dgm:cxn modelId="{B12C5A5E-7F1F-4DDD-A7B3-E2717D1A59FB}" type="presParOf" srcId="{9C0F7411-6FFF-49D8-BCC3-75047AA08F77}" destId="{E115A5BA-67C7-4BD9-BE5D-03A794CA00FE}" srcOrd="0" destOrd="0" presId="urn:microsoft.com/office/officeart/2005/8/layout/orgChart1"/>
    <dgm:cxn modelId="{159EC06E-40D8-4412-B200-469A5B81189C}" type="presParOf" srcId="{E115A5BA-67C7-4BD9-BE5D-03A794CA00FE}" destId="{DB1421E8-3CB7-4215-B0C6-8D58B1056CAB}" srcOrd="0" destOrd="0" presId="urn:microsoft.com/office/officeart/2005/8/layout/orgChart1"/>
    <dgm:cxn modelId="{4524A7FB-8B81-449B-9BFD-D498906E4345}" type="presParOf" srcId="{E115A5BA-67C7-4BD9-BE5D-03A794CA00FE}" destId="{0DB47D30-6964-414B-AD56-37A7CE97C4D6}" srcOrd="1" destOrd="0" presId="urn:microsoft.com/office/officeart/2005/8/layout/orgChart1"/>
    <dgm:cxn modelId="{349FA7BE-2DBB-4C8A-BC19-5C56C63E6BAE}" type="presParOf" srcId="{9C0F7411-6FFF-49D8-BCC3-75047AA08F77}" destId="{149AAA18-3E45-41BF-AC18-E4782E97F44B}" srcOrd="1" destOrd="0" presId="urn:microsoft.com/office/officeart/2005/8/layout/orgChart1"/>
    <dgm:cxn modelId="{E9CD75EE-9CF1-4A24-937C-B28080DF234C}" type="presParOf" srcId="{9C0F7411-6FFF-49D8-BCC3-75047AA08F77}" destId="{446B8F3B-C7BD-4EEB-86B4-B47BCCB45E47}" srcOrd="2" destOrd="0" presId="urn:microsoft.com/office/officeart/2005/8/layout/orgChart1"/>
    <dgm:cxn modelId="{4F372AE3-FE53-4F38-AC84-7BF04886E0FE}" type="presParOf" srcId="{4EBF07F8-3166-416A-815B-7D485FDFF79E}" destId="{F32D6B37-06BE-49D3-8ACF-05230ECC401E}" srcOrd="6" destOrd="0" presId="urn:microsoft.com/office/officeart/2005/8/layout/orgChart1"/>
    <dgm:cxn modelId="{0F2BA06D-1D0A-4CD4-A643-02D151AEE2BB}" type="presParOf" srcId="{4EBF07F8-3166-416A-815B-7D485FDFF79E}" destId="{525D6466-EF8C-4B21-9632-15468BA4449E}" srcOrd="7" destOrd="0" presId="urn:microsoft.com/office/officeart/2005/8/layout/orgChart1"/>
    <dgm:cxn modelId="{5ED5D6DC-8098-40BA-B334-C03E5DC1AB05}" type="presParOf" srcId="{525D6466-EF8C-4B21-9632-15468BA4449E}" destId="{8D3D1C6F-F95A-4E33-AB58-0CB78FA27D90}" srcOrd="0" destOrd="0" presId="urn:microsoft.com/office/officeart/2005/8/layout/orgChart1"/>
    <dgm:cxn modelId="{228D9AD7-875C-430F-9DB1-475EB769D7C6}" type="presParOf" srcId="{8D3D1C6F-F95A-4E33-AB58-0CB78FA27D90}" destId="{FFA8DDB0-A8AB-489A-92E7-01B0C9AF040D}" srcOrd="0" destOrd="0" presId="urn:microsoft.com/office/officeart/2005/8/layout/orgChart1"/>
    <dgm:cxn modelId="{616D4BB5-1103-4C0D-8C37-EBD87B15C49E}" type="presParOf" srcId="{8D3D1C6F-F95A-4E33-AB58-0CB78FA27D90}" destId="{333BDDFA-BA20-439F-B0A2-0F496D330494}" srcOrd="1" destOrd="0" presId="urn:microsoft.com/office/officeart/2005/8/layout/orgChart1"/>
    <dgm:cxn modelId="{AA97B699-81F4-41A0-8F50-4886874F77DF}" type="presParOf" srcId="{525D6466-EF8C-4B21-9632-15468BA4449E}" destId="{43865F96-EC06-4366-9036-58892AD692B5}" srcOrd="1" destOrd="0" presId="urn:microsoft.com/office/officeart/2005/8/layout/orgChart1"/>
    <dgm:cxn modelId="{61039090-E5EF-4D16-B129-6247F2D37DDE}" type="presParOf" srcId="{525D6466-EF8C-4B21-9632-15468BA4449E}" destId="{875CFA2A-290C-4B94-8E22-A1F8D611D663}" srcOrd="2" destOrd="0" presId="urn:microsoft.com/office/officeart/2005/8/layout/orgChart1"/>
    <dgm:cxn modelId="{B9ECF9D0-F823-4AF9-90F1-F930F5A669E6}" type="presParOf" srcId="{4EBF07F8-3166-416A-815B-7D485FDFF79E}" destId="{C5898A44-38B6-4884-AD22-934EF443AABC}" srcOrd="8" destOrd="0" presId="urn:microsoft.com/office/officeart/2005/8/layout/orgChart1"/>
    <dgm:cxn modelId="{4566D296-622F-4F55-A5A2-6857DE0DE302}" type="presParOf" srcId="{4EBF07F8-3166-416A-815B-7D485FDFF79E}" destId="{FB6ED6C7-D43C-445B-BACA-68107B459790}" srcOrd="9" destOrd="0" presId="urn:microsoft.com/office/officeart/2005/8/layout/orgChart1"/>
    <dgm:cxn modelId="{3C3D3647-262F-45F7-80B1-5F29735046E5}" type="presParOf" srcId="{FB6ED6C7-D43C-445B-BACA-68107B459790}" destId="{FDFB1D07-BE5E-44ED-9F95-A3B50163A36B}" srcOrd="0" destOrd="0" presId="urn:microsoft.com/office/officeart/2005/8/layout/orgChart1"/>
    <dgm:cxn modelId="{899D4CE2-CD21-46CD-9EF5-39B3F2785A4E}" type="presParOf" srcId="{FDFB1D07-BE5E-44ED-9F95-A3B50163A36B}" destId="{331792F2-7839-4964-8707-4FE863F487EA}" srcOrd="0" destOrd="0" presId="urn:microsoft.com/office/officeart/2005/8/layout/orgChart1"/>
    <dgm:cxn modelId="{F421C575-461A-42B9-8E3F-A9B1508B2461}" type="presParOf" srcId="{FDFB1D07-BE5E-44ED-9F95-A3B50163A36B}" destId="{FBD3D6F4-55BE-4FA5-9416-35254134E6E1}" srcOrd="1" destOrd="0" presId="urn:microsoft.com/office/officeart/2005/8/layout/orgChart1"/>
    <dgm:cxn modelId="{9682FE76-E800-4F89-98E4-0FE9E0748204}" type="presParOf" srcId="{FB6ED6C7-D43C-445B-BACA-68107B459790}" destId="{E3A03C33-DE58-4B71-A853-E9D026F2DDD6}" srcOrd="1" destOrd="0" presId="urn:microsoft.com/office/officeart/2005/8/layout/orgChart1"/>
    <dgm:cxn modelId="{E8320CD4-CD16-4C9D-95F0-517CA478C8AB}" type="presParOf" srcId="{FB6ED6C7-D43C-445B-BACA-68107B459790}" destId="{725A43A4-0E17-472E-A670-5CBB1BEBDCF1}" srcOrd="2" destOrd="0" presId="urn:microsoft.com/office/officeart/2005/8/layout/orgChart1"/>
    <dgm:cxn modelId="{479E6C69-0AFB-4AF4-B29F-D1DC30A39CE5}" type="presParOf" srcId="{4EBF07F8-3166-416A-815B-7D485FDFF79E}" destId="{2E376AE7-0E9D-45EC-A8C8-BD7253972BDB}" srcOrd="10" destOrd="0" presId="urn:microsoft.com/office/officeart/2005/8/layout/orgChart1"/>
    <dgm:cxn modelId="{7F2319C5-030E-4226-9965-EE6C6734B057}" type="presParOf" srcId="{4EBF07F8-3166-416A-815B-7D485FDFF79E}" destId="{1AE8CF31-5DCB-415A-B820-2F240F660C14}" srcOrd="11" destOrd="0" presId="urn:microsoft.com/office/officeart/2005/8/layout/orgChart1"/>
    <dgm:cxn modelId="{075EF7C8-B356-46F2-BEC2-5655606F0D6D}" type="presParOf" srcId="{1AE8CF31-5DCB-415A-B820-2F240F660C14}" destId="{7D72B80A-E832-4205-8E04-F8C0E44DE6F5}" srcOrd="0" destOrd="0" presId="urn:microsoft.com/office/officeart/2005/8/layout/orgChart1"/>
    <dgm:cxn modelId="{EF15A5C1-1A62-4302-B21E-DEEB7D813A2E}" type="presParOf" srcId="{7D72B80A-E832-4205-8E04-F8C0E44DE6F5}" destId="{55A4C566-6482-4A51-884A-C2F906107BFC}" srcOrd="0" destOrd="0" presId="urn:microsoft.com/office/officeart/2005/8/layout/orgChart1"/>
    <dgm:cxn modelId="{3171CEFB-47A3-4FD9-8B12-4A6F0F3ACF1C}" type="presParOf" srcId="{7D72B80A-E832-4205-8E04-F8C0E44DE6F5}" destId="{1BFE841F-B596-485A-B5B3-C7E44FA5A3FB}" srcOrd="1" destOrd="0" presId="urn:microsoft.com/office/officeart/2005/8/layout/orgChart1"/>
    <dgm:cxn modelId="{1E7794F3-79BE-4F5D-9525-207EDE6E223F}" type="presParOf" srcId="{1AE8CF31-5DCB-415A-B820-2F240F660C14}" destId="{FB4174B1-F13F-458E-B493-8733935AC983}" srcOrd="1" destOrd="0" presId="urn:microsoft.com/office/officeart/2005/8/layout/orgChart1"/>
    <dgm:cxn modelId="{58D26F94-DCF8-4B24-A719-E010EE8376D1}" type="presParOf" srcId="{1AE8CF31-5DCB-415A-B820-2F240F660C14}" destId="{D2811ECB-F5B7-4291-9447-6574CE3748E7}" srcOrd="2" destOrd="0" presId="urn:microsoft.com/office/officeart/2005/8/layout/orgChart1"/>
    <dgm:cxn modelId="{39685F7C-4CC0-4A9C-AC35-495391F33B6C}" type="presParOf" srcId="{4EBF07F8-3166-416A-815B-7D485FDFF79E}" destId="{8F17BBDF-2D7B-4703-9FE3-FFCF7FC5CB5B}" srcOrd="12" destOrd="0" presId="urn:microsoft.com/office/officeart/2005/8/layout/orgChart1"/>
    <dgm:cxn modelId="{29DC7805-6124-4536-BE96-A45C6FAE53F3}" type="presParOf" srcId="{4EBF07F8-3166-416A-815B-7D485FDFF79E}" destId="{7A98C381-6DF4-4F41-8945-026F1035E56B}" srcOrd="13" destOrd="0" presId="urn:microsoft.com/office/officeart/2005/8/layout/orgChart1"/>
    <dgm:cxn modelId="{C6048534-3C27-45C6-BD2C-89B5E0E33B3A}" type="presParOf" srcId="{7A98C381-6DF4-4F41-8945-026F1035E56B}" destId="{0D79B6A0-0E23-46B2-AC5A-E489F08B91D5}" srcOrd="0" destOrd="0" presId="urn:microsoft.com/office/officeart/2005/8/layout/orgChart1"/>
    <dgm:cxn modelId="{7CB1ECDD-54CB-44DC-BD25-E9D6CDA25A3B}" type="presParOf" srcId="{0D79B6A0-0E23-46B2-AC5A-E489F08B91D5}" destId="{14AFACCB-FC9A-4462-B368-88D3A89BFF94}" srcOrd="0" destOrd="0" presId="urn:microsoft.com/office/officeart/2005/8/layout/orgChart1"/>
    <dgm:cxn modelId="{F242CFE8-ED7B-453D-9879-CF17C529AAC6}" type="presParOf" srcId="{0D79B6A0-0E23-46B2-AC5A-E489F08B91D5}" destId="{5F5D44C0-CD9A-46AC-8874-1D706A383D06}" srcOrd="1" destOrd="0" presId="urn:microsoft.com/office/officeart/2005/8/layout/orgChart1"/>
    <dgm:cxn modelId="{F6B83186-F9B1-4C2E-89B1-D07C3D9908E0}" type="presParOf" srcId="{7A98C381-6DF4-4F41-8945-026F1035E56B}" destId="{347A2A71-A614-4A3D-BF5E-84D44E2ACBBF}" srcOrd="1" destOrd="0" presId="urn:microsoft.com/office/officeart/2005/8/layout/orgChart1"/>
    <dgm:cxn modelId="{6B5FB894-48C0-44AC-B303-59748A41E93E}" type="presParOf" srcId="{7A98C381-6DF4-4F41-8945-026F1035E56B}" destId="{33C44D2F-A364-4CE2-8B54-0D8833C83CB2}" srcOrd="2" destOrd="0" presId="urn:microsoft.com/office/officeart/2005/8/layout/orgChart1"/>
    <dgm:cxn modelId="{77C2BC94-A618-4658-8309-BE90D019A09C}" type="presParOf" srcId="{1BDE7613-6AC9-4E35-8771-0DAAAF8E8D8B}" destId="{2CF8BCD9-4046-4CF0-8B38-0FB48120BDBD}" srcOrd="2" destOrd="0" presId="urn:microsoft.com/office/officeart/2005/8/layout/orgChart1"/>
    <dgm:cxn modelId="{BBB51E14-0323-4CE9-BE2F-5A06D97BD3C1}" type="presParOf" srcId="{9B6AD594-4C99-4252-9045-F3BA0D6B9EC9}" destId="{CE2C06DC-C8EB-4EB4-A047-BC704F32D229}" srcOrd="12" destOrd="0" presId="urn:microsoft.com/office/officeart/2005/8/layout/orgChart1"/>
    <dgm:cxn modelId="{C5F34703-C252-44A4-8F84-C2E7942AE8F2}" type="presParOf" srcId="{9B6AD594-4C99-4252-9045-F3BA0D6B9EC9}" destId="{050AEC2C-3D27-45D1-BC30-5C9C69007B9F}" srcOrd="13" destOrd="0" presId="urn:microsoft.com/office/officeart/2005/8/layout/orgChart1"/>
    <dgm:cxn modelId="{216EFC4D-AF6C-44B2-A8D0-3CF3B112171B}" type="presParOf" srcId="{050AEC2C-3D27-45D1-BC30-5C9C69007B9F}" destId="{E1DE8F08-C56E-430B-AFC0-41DE7DD4722A}" srcOrd="0" destOrd="0" presId="urn:microsoft.com/office/officeart/2005/8/layout/orgChart1"/>
    <dgm:cxn modelId="{6706649B-54A4-4202-B088-9F98D16F01D8}" type="presParOf" srcId="{E1DE8F08-C56E-430B-AFC0-41DE7DD4722A}" destId="{2BCA9B6B-F1DE-42A5-8301-8C1B6E46CFE6}" srcOrd="0" destOrd="0" presId="urn:microsoft.com/office/officeart/2005/8/layout/orgChart1"/>
    <dgm:cxn modelId="{C6C284CC-6CF6-4FB2-9435-6CD8EF45C880}" type="presParOf" srcId="{E1DE8F08-C56E-430B-AFC0-41DE7DD4722A}" destId="{D2613A7D-8596-47F3-9A1F-EB81C096E862}" srcOrd="1" destOrd="0" presId="urn:microsoft.com/office/officeart/2005/8/layout/orgChart1"/>
    <dgm:cxn modelId="{493A16F7-1758-4BD8-BC51-0DBDB7D23F53}" type="presParOf" srcId="{050AEC2C-3D27-45D1-BC30-5C9C69007B9F}" destId="{1F9589B4-E6EF-4780-BDAA-A6522F5FE328}" srcOrd="1" destOrd="0" presId="urn:microsoft.com/office/officeart/2005/8/layout/orgChart1"/>
    <dgm:cxn modelId="{41E7EC1A-0B79-4BC0-B168-2B1E7F092EE5}" type="presParOf" srcId="{1F9589B4-E6EF-4780-BDAA-A6522F5FE328}" destId="{F93FF14E-25BD-490D-88BE-4FAA46E62EAC}" srcOrd="0" destOrd="0" presId="urn:microsoft.com/office/officeart/2005/8/layout/orgChart1"/>
    <dgm:cxn modelId="{3D7AA189-CE85-42B1-A9C3-168D149B5733}" type="presParOf" srcId="{1F9589B4-E6EF-4780-BDAA-A6522F5FE328}" destId="{7E9A77ED-1300-4E85-96D3-923F020176E3}" srcOrd="1" destOrd="0" presId="urn:microsoft.com/office/officeart/2005/8/layout/orgChart1"/>
    <dgm:cxn modelId="{7FD96E6E-6F71-47B1-887B-F2E4367A774C}" type="presParOf" srcId="{7E9A77ED-1300-4E85-96D3-923F020176E3}" destId="{B5F2FDA9-3CF8-4C8B-B7A4-D3DED89E7910}" srcOrd="0" destOrd="0" presId="urn:microsoft.com/office/officeart/2005/8/layout/orgChart1"/>
    <dgm:cxn modelId="{BFD9CA89-4193-4A04-9FA4-35DCA2E8EA42}" type="presParOf" srcId="{B5F2FDA9-3CF8-4C8B-B7A4-D3DED89E7910}" destId="{4DE1D7EA-0372-4DC0-8968-E99D5EC38045}" srcOrd="0" destOrd="0" presId="urn:microsoft.com/office/officeart/2005/8/layout/orgChart1"/>
    <dgm:cxn modelId="{01BEA43C-2C66-4F00-9047-5B9882AFDF69}" type="presParOf" srcId="{B5F2FDA9-3CF8-4C8B-B7A4-D3DED89E7910}" destId="{FF3B64D9-32EC-4879-B5F5-8B488BBC2F29}" srcOrd="1" destOrd="0" presId="urn:microsoft.com/office/officeart/2005/8/layout/orgChart1"/>
    <dgm:cxn modelId="{B550C3F9-146D-40AD-BF3C-11386AF6DFC9}" type="presParOf" srcId="{7E9A77ED-1300-4E85-96D3-923F020176E3}" destId="{313D85CC-E8E8-4E65-B4DB-5C9161A4C535}" srcOrd="1" destOrd="0" presId="urn:microsoft.com/office/officeart/2005/8/layout/orgChart1"/>
    <dgm:cxn modelId="{574A3310-CED9-42CA-AC24-D70048B0477A}" type="presParOf" srcId="{7E9A77ED-1300-4E85-96D3-923F020176E3}" destId="{951F24CA-E672-467F-A7FF-93B67083B637}" srcOrd="2" destOrd="0" presId="urn:microsoft.com/office/officeart/2005/8/layout/orgChart1"/>
    <dgm:cxn modelId="{884D31E8-637F-4744-B2AF-658093CDECB7}" type="presParOf" srcId="{1F9589B4-E6EF-4780-BDAA-A6522F5FE328}" destId="{444EAF71-C47B-47C9-8EB6-42D04FC67895}" srcOrd="2" destOrd="0" presId="urn:microsoft.com/office/officeart/2005/8/layout/orgChart1"/>
    <dgm:cxn modelId="{58F6C5DE-D834-4EA6-89AE-43EFF69AAB5C}" type="presParOf" srcId="{1F9589B4-E6EF-4780-BDAA-A6522F5FE328}" destId="{5AD7221A-5439-4387-A617-90B7C7FDB69B}" srcOrd="3" destOrd="0" presId="urn:microsoft.com/office/officeart/2005/8/layout/orgChart1"/>
    <dgm:cxn modelId="{29E4B58A-6CBA-4DCE-8A30-CE65020B9DF6}" type="presParOf" srcId="{5AD7221A-5439-4387-A617-90B7C7FDB69B}" destId="{1A660200-786C-468E-BB87-F8F506D42A93}" srcOrd="0" destOrd="0" presId="urn:microsoft.com/office/officeart/2005/8/layout/orgChart1"/>
    <dgm:cxn modelId="{F05EEBDF-3F8A-4FAD-B0A3-0ACEECFCCA20}" type="presParOf" srcId="{1A660200-786C-468E-BB87-F8F506D42A93}" destId="{B75C517C-3F68-45CA-B13C-94FB2B301AB2}" srcOrd="0" destOrd="0" presId="urn:microsoft.com/office/officeart/2005/8/layout/orgChart1"/>
    <dgm:cxn modelId="{493A0259-D5EE-4344-B340-B954A8E0CA63}" type="presParOf" srcId="{1A660200-786C-468E-BB87-F8F506D42A93}" destId="{33C0E2A4-6ECA-4AB3-8D59-D051D28622C0}" srcOrd="1" destOrd="0" presId="urn:microsoft.com/office/officeart/2005/8/layout/orgChart1"/>
    <dgm:cxn modelId="{F5E83AC0-54BE-4A8D-9627-6F77097BBB30}" type="presParOf" srcId="{5AD7221A-5439-4387-A617-90B7C7FDB69B}" destId="{12CFC1D1-8DB2-4DC7-94C3-D5D103BF170C}" srcOrd="1" destOrd="0" presId="urn:microsoft.com/office/officeart/2005/8/layout/orgChart1"/>
    <dgm:cxn modelId="{FE031185-91D8-4BF9-B7AB-A7287C4E81B1}" type="presParOf" srcId="{5AD7221A-5439-4387-A617-90B7C7FDB69B}" destId="{A3E9771F-E56D-43CB-A755-059C4D50D403}" srcOrd="2" destOrd="0" presId="urn:microsoft.com/office/officeart/2005/8/layout/orgChart1"/>
    <dgm:cxn modelId="{B9F9FC71-A283-4D95-B4A9-E9E75DA97574}" type="presParOf" srcId="{050AEC2C-3D27-45D1-BC30-5C9C69007B9F}" destId="{74747C88-FC83-4253-ACA2-D3E2DFC96AB5}" srcOrd="2" destOrd="0" presId="urn:microsoft.com/office/officeart/2005/8/layout/orgChart1"/>
    <dgm:cxn modelId="{71A89197-2310-4122-8400-6022D0944A76}" type="presParOf" srcId="{9B6AD594-4C99-4252-9045-F3BA0D6B9EC9}" destId="{C466725E-70B8-4F56-8524-A9E705F08925}" srcOrd="14" destOrd="0" presId="urn:microsoft.com/office/officeart/2005/8/layout/orgChart1"/>
    <dgm:cxn modelId="{17990A13-EC1F-48F5-B2B4-BDCB316944C6}" type="presParOf" srcId="{9B6AD594-4C99-4252-9045-F3BA0D6B9EC9}" destId="{3C0FD90C-1B0E-4B84-810B-60D62F688A27}" srcOrd="15" destOrd="0" presId="urn:microsoft.com/office/officeart/2005/8/layout/orgChart1"/>
    <dgm:cxn modelId="{4FAE41D9-A7AB-4FE9-A53E-47FC35994470}" type="presParOf" srcId="{3C0FD90C-1B0E-4B84-810B-60D62F688A27}" destId="{C4EC6132-F059-44A0-8F74-39BAB2FDFED2}" srcOrd="0" destOrd="0" presId="urn:microsoft.com/office/officeart/2005/8/layout/orgChart1"/>
    <dgm:cxn modelId="{63689D89-5689-4A00-AE49-F630A7A09F51}" type="presParOf" srcId="{C4EC6132-F059-44A0-8F74-39BAB2FDFED2}" destId="{A9B19B02-2CC9-461F-9535-25D92E6433B8}" srcOrd="0" destOrd="0" presId="urn:microsoft.com/office/officeart/2005/8/layout/orgChart1"/>
    <dgm:cxn modelId="{43CA27A8-5B2D-46CB-905C-D71015740E37}" type="presParOf" srcId="{C4EC6132-F059-44A0-8F74-39BAB2FDFED2}" destId="{5D30B8EF-8AB3-407F-9E80-DD80C9D7642F}" srcOrd="1" destOrd="0" presId="urn:microsoft.com/office/officeart/2005/8/layout/orgChart1"/>
    <dgm:cxn modelId="{1F1184F2-69DA-4F43-9731-265FD0369E7C}" type="presParOf" srcId="{3C0FD90C-1B0E-4B84-810B-60D62F688A27}" destId="{EE87430E-601B-4181-AB01-262A9CE82B9D}" srcOrd="1" destOrd="0" presId="urn:microsoft.com/office/officeart/2005/8/layout/orgChart1"/>
    <dgm:cxn modelId="{AF0EF463-9BE9-4A71-938A-627641CF6774}" type="presParOf" srcId="{EE87430E-601B-4181-AB01-262A9CE82B9D}" destId="{A9014C39-A9CA-4C72-A113-B2C0FE25A7C4}" srcOrd="0" destOrd="0" presId="urn:microsoft.com/office/officeart/2005/8/layout/orgChart1"/>
    <dgm:cxn modelId="{F36C4DC7-A902-4495-A4D6-23D1389D06C7}" type="presParOf" srcId="{EE87430E-601B-4181-AB01-262A9CE82B9D}" destId="{5A18E519-06A3-4E9C-9933-4EFC200FE158}" srcOrd="1" destOrd="0" presId="urn:microsoft.com/office/officeart/2005/8/layout/orgChart1"/>
    <dgm:cxn modelId="{C72A5004-1683-455D-80FE-D28D30138597}" type="presParOf" srcId="{5A18E519-06A3-4E9C-9933-4EFC200FE158}" destId="{880ACD15-8C75-49AD-968F-663ABDE05A9B}" srcOrd="0" destOrd="0" presId="urn:microsoft.com/office/officeart/2005/8/layout/orgChart1"/>
    <dgm:cxn modelId="{3AFB1538-5B93-4D56-B431-04B722AABBE9}" type="presParOf" srcId="{880ACD15-8C75-49AD-968F-663ABDE05A9B}" destId="{49A629FC-D389-4BE9-989F-231A8AAA905F}" srcOrd="0" destOrd="0" presId="urn:microsoft.com/office/officeart/2005/8/layout/orgChart1"/>
    <dgm:cxn modelId="{4D0B398B-547E-45D3-9377-F12BC80E73F7}" type="presParOf" srcId="{880ACD15-8C75-49AD-968F-663ABDE05A9B}" destId="{C27B6258-3E7A-4EFE-928C-6BCE21BC11EA}" srcOrd="1" destOrd="0" presId="urn:microsoft.com/office/officeart/2005/8/layout/orgChart1"/>
    <dgm:cxn modelId="{65891250-702E-443B-A42B-5F8D2453C433}" type="presParOf" srcId="{5A18E519-06A3-4E9C-9933-4EFC200FE158}" destId="{1433545D-1F6C-4004-A537-CA1119F6443D}" srcOrd="1" destOrd="0" presId="urn:microsoft.com/office/officeart/2005/8/layout/orgChart1"/>
    <dgm:cxn modelId="{357AE97F-B30C-40C4-9DBD-0A7A60144BED}" type="presParOf" srcId="{5A18E519-06A3-4E9C-9933-4EFC200FE158}" destId="{E3AB3722-6845-4211-A8C5-50F573274C32}" srcOrd="2" destOrd="0" presId="urn:microsoft.com/office/officeart/2005/8/layout/orgChart1"/>
    <dgm:cxn modelId="{009F7673-2B41-4F5B-88BE-AA747A7E7873}" type="presParOf" srcId="{EE87430E-601B-4181-AB01-262A9CE82B9D}" destId="{AD255312-F19B-4884-833A-E7F1570030A7}" srcOrd="2" destOrd="0" presId="urn:microsoft.com/office/officeart/2005/8/layout/orgChart1"/>
    <dgm:cxn modelId="{DBB55124-EBEF-4D85-84F6-5CDA428D69BB}" type="presParOf" srcId="{EE87430E-601B-4181-AB01-262A9CE82B9D}" destId="{08D6A3B1-A1A7-4F3E-BF13-8C9A831C9863}" srcOrd="3" destOrd="0" presId="urn:microsoft.com/office/officeart/2005/8/layout/orgChart1"/>
    <dgm:cxn modelId="{5848A2BE-7A15-4B32-8870-6FF07E078A42}" type="presParOf" srcId="{08D6A3B1-A1A7-4F3E-BF13-8C9A831C9863}" destId="{6B1AAA05-64B4-4CDD-AF1F-9998C7B60386}" srcOrd="0" destOrd="0" presId="urn:microsoft.com/office/officeart/2005/8/layout/orgChart1"/>
    <dgm:cxn modelId="{A4F97449-0CBF-4B06-ACAE-29968DA4B608}" type="presParOf" srcId="{6B1AAA05-64B4-4CDD-AF1F-9998C7B60386}" destId="{422CACE0-425F-4A44-AC51-D3E59FC914E4}" srcOrd="0" destOrd="0" presId="urn:microsoft.com/office/officeart/2005/8/layout/orgChart1"/>
    <dgm:cxn modelId="{E1EA920B-FB2A-4709-8E00-24C41BF593F9}" type="presParOf" srcId="{6B1AAA05-64B4-4CDD-AF1F-9998C7B60386}" destId="{3CEF37E4-23BC-46D0-8657-81A45DF85F9F}" srcOrd="1" destOrd="0" presId="urn:microsoft.com/office/officeart/2005/8/layout/orgChart1"/>
    <dgm:cxn modelId="{DF7F696D-267D-4D49-92B5-5D06C5A1631A}" type="presParOf" srcId="{08D6A3B1-A1A7-4F3E-BF13-8C9A831C9863}" destId="{032E0AE9-809B-4744-A4C2-76EF569D7DDB}" srcOrd="1" destOrd="0" presId="urn:microsoft.com/office/officeart/2005/8/layout/orgChart1"/>
    <dgm:cxn modelId="{F252A756-A7E1-40BD-9049-86331D459B93}" type="presParOf" srcId="{08D6A3B1-A1A7-4F3E-BF13-8C9A831C9863}" destId="{8007ACA6-73D8-4CA4-9024-F9DBF6AC4A14}" srcOrd="2" destOrd="0" presId="urn:microsoft.com/office/officeart/2005/8/layout/orgChart1"/>
    <dgm:cxn modelId="{AA3F8621-D1C0-4ABF-A8CC-C41D55A80739}" type="presParOf" srcId="{EE87430E-601B-4181-AB01-262A9CE82B9D}" destId="{71A98ECE-9F94-4ACA-8E33-272E32FE8150}" srcOrd="4" destOrd="0" presId="urn:microsoft.com/office/officeart/2005/8/layout/orgChart1"/>
    <dgm:cxn modelId="{849F5BA3-1C00-4794-9809-85DF5CECECF7}" type="presParOf" srcId="{EE87430E-601B-4181-AB01-262A9CE82B9D}" destId="{BD9C403C-6849-4805-B850-8B3C220C065E}" srcOrd="5" destOrd="0" presId="urn:microsoft.com/office/officeart/2005/8/layout/orgChart1"/>
    <dgm:cxn modelId="{E2238E53-B5B2-47B3-9E07-7B27E3503E04}" type="presParOf" srcId="{BD9C403C-6849-4805-B850-8B3C220C065E}" destId="{C6F2E587-2A13-41BF-8F44-0344319C9963}" srcOrd="0" destOrd="0" presId="urn:microsoft.com/office/officeart/2005/8/layout/orgChart1"/>
    <dgm:cxn modelId="{5AFBA5AD-5267-4FD9-952E-D9439C8BB7DD}" type="presParOf" srcId="{C6F2E587-2A13-41BF-8F44-0344319C9963}" destId="{80924799-3078-4ECA-B2E9-C59C8EF8EC69}" srcOrd="0" destOrd="0" presId="urn:microsoft.com/office/officeart/2005/8/layout/orgChart1"/>
    <dgm:cxn modelId="{34487068-9E7B-41E5-A679-9B320743524E}" type="presParOf" srcId="{C6F2E587-2A13-41BF-8F44-0344319C9963}" destId="{988D3EBD-4254-4AD7-ADD9-C904292D61BB}" srcOrd="1" destOrd="0" presId="urn:microsoft.com/office/officeart/2005/8/layout/orgChart1"/>
    <dgm:cxn modelId="{40857D94-2B12-43EE-9DBA-9F389DEB1EB6}" type="presParOf" srcId="{BD9C403C-6849-4805-B850-8B3C220C065E}" destId="{92979DC2-672C-4485-AE2B-8649F8B59592}" srcOrd="1" destOrd="0" presId="urn:microsoft.com/office/officeart/2005/8/layout/orgChart1"/>
    <dgm:cxn modelId="{07EC21CE-8F83-4828-BE60-389E4E121993}" type="presParOf" srcId="{BD9C403C-6849-4805-B850-8B3C220C065E}" destId="{57116B5F-8D03-4C66-9CFF-82A918805875}" srcOrd="2" destOrd="0" presId="urn:microsoft.com/office/officeart/2005/8/layout/orgChart1"/>
    <dgm:cxn modelId="{DBF71068-D0E9-493D-A0D6-1B8B67B13BC1}" type="presParOf" srcId="{3C0FD90C-1B0E-4B84-810B-60D62F688A27}" destId="{148BAEFE-663A-4078-9A2C-C950F1E5B218}" srcOrd="2" destOrd="0" presId="urn:microsoft.com/office/officeart/2005/8/layout/orgChart1"/>
    <dgm:cxn modelId="{CA605A6B-0DF1-4A15-8629-F3BCE043546C}" type="presParOf" srcId="{9B6AD594-4C99-4252-9045-F3BA0D6B9EC9}" destId="{1B1FB411-620F-4B90-A763-9E1EACDC06FD}" srcOrd="16" destOrd="0" presId="urn:microsoft.com/office/officeart/2005/8/layout/orgChart1"/>
    <dgm:cxn modelId="{913248C8-5CF9-40F6-AF45-7A5E9BB7F674}" type="presParOf" srcId="{9B6AD594-4C99-4252-9045-F3BA0D6B9EC9}" destId="{D2448133-872C-4ACA-9E18-E8E88C4D8371}" srcOrd="17" destOrd="0" presId="urn:microsoft.com/office/officeart/2005/8/layout/orgChart1"/>
    <dgm:cxn modelId="{A1BF63EB-582A-4A0F-BA89-9C2D8179B6A0}" type="presParOf" srcId="{D2448133-872C-4ACA-9E18-E8E88C4D8371}" destId="{8B3006F7-E6EB-4266-A1A2-4A71997EC100}" srcOrd="0" destOrd="0" presId="urn:microsoft.com/office/officeart/2005/8/layout/orgChart1"/>
    <dgm:cxn modelId="{1581485E-7305-48C6-8A18-53340E50C408}" type="presParOf" srcId="{8B3006F7-E6EB-4266-A1A2-4A71997EC100}" destId="{B1089591-6996-4E84-8569-433487959C2B}" srcOrd="0" destOrd="0" presId="urn:microsoft.com/office/officeart/2005/8/layout/orgChart1"/>
    <dgm:cxn modelId="{4C435CF5-6A8F-4EDA-A1FB-9C415B1FA38B}" type="presParOf" srcId="{8B3006F7-E6EB-4266-A1A2-4A71997EC100}" destId="{FDA9FF81-82FE-47AA-BBFB-1259501EFC53}" srcOrd="1" destOrd="0" presId="urn:microsoft.com/office/officeart/2005/8/layout/orgChart1"/>
    <dgm:cxn modelId="{8EB5B7E8-07E0-415A-9000-FCB03F007F88}" type="presParOf" srcId="{D2448133-872C-4ACA-9E18-E8E88C4D8371}" destId="{2CA34309-2F90-4D6C-BC62-5244B2A42306}" srcOrd="1" destOrd="0" presId="urn:microsoft.com/office/officeart/2005/8/layout/orgChart1"/>
    <dgm:cxn modelId="{42CC23EF-62F6-45D5-A582-739975BCD0A5}" type="presParOf" srcId="{2CA34309-2F90-4D6C-BC62-5244B2A42306}" destId="{C5302217-839B-481D-8AFD-4E21DE2ACF48}" srcOrd="0" destOrd="0" presId="urn:microsoft.com/office/officeart/2005/8/layout/orgChart1"/>
    <dgm:cxn modelId="{D5E14AF3-B6C2-4DC8-8634-955229B247ED}" type="presParOf" srcId="{2CA34309-2F90-4D6C-BC62-5244B2A42306}" destId="{59315506-3A29-4F34-9FB1-CEFD4C0780DE}" srcOrd="1" destOrd="0" presId="urn:microsoft.com/office/officeart/2005/8/layout/orgChart1"/>
    <dgm:cxn modelId="{59AB32B3-8945-4C73-8C9F-3B31391561C3}" type="presParOf" srcId="{59315506-3A29-4F34-9FB1-CEFD4C0780DE}" destId="{BA5B1181-4595-4C98-BCAF-C269FA4648D2}" srcOrd="0" destOrd="0" presId="urn:microsoft.com/office/officeart/2005/8/layout/orgChart1"/>
    <dgm:cxn modelId="{99EA5DF5-5200-4B6B-B072-E4D1747359C7}" type="presParOf" srcId="{BA5B1181-4595-4C98-BCAF-C269FA4648D2}" destId="{F2024299-3489-43B7-850E-A51AA184696C}" srcOrd="0" destOrd="0" presId="urn:microsoft.com/office/officeart/2005/8/layout/orgChart1"/>
    <dgm:cxn modelId="{5C1DCB7A-5272-4CD8-B87D-E9DF7DF65C8D}" type="presParOf" srcId="{BA5B1181-4595-4C98-BCAF-C269FA4648D2}" destId="{AF7E56A1-5553-4E6C-88F0-3527D9764774}" srcOrd="1" destOrd="0" presId="urn:microsoft.com/office/officeart/2005/8/layout/orgChart1"/>
    <dgm:cxn modelId="{3429E97F-3681-4F3A-B2CB-0A13C12D5FD8}" type="presParOf" srcId="{59315506-3A29-4F34-9FB1-CEFD4C0780DE}" destId="{2BBA3B76-9A36-488F-8F51-0B54C76C7F37}" srcOrd="1" destOrd="0" presId="urn:microsoft.com/office/officeart/2005/8/layout/orgChart1"/>
    <dgm:cxn modelId="{0FBF7A75-2759-413E-80F2-02F363093701}" type="presParOf" srcId="{59315506-3A29-4F34-9FB1-CEFD4C0780DE}" destId="{D295654F-ABAA-4223-B06F-ED91A96FD41B}" srcOrd="2" destOrd="0" presId="urn:microsoft.com/office/officeart/2005/8/layout/orgChart1"/>
    <dgm:cxn modelId="{0319CCFB-E4CE-471F-ACDB-5552AFDCEBC2}" type="presParOf" srcId="{D2448133-872C-4ACA-9E18-E8E88C4D8371}" destId="{D8E5584B-5886-4F86-B3E5-31FFC409E382}" srcOrd="2" destOrd="0" presId="urn:microsoft.com/office/officeart/2005/8/layout/orgChart1"/>
    <dgm:cxn modelId="{E8334004-84D5-4B39-9022-7AE428C0C429}" type="presParOf" srcId="{9B6AD594-4C99-4252-9045-F3BA0D6B9EC9}" destId="{F621D24C-D297-4921-AF47-18BDC152BBB7}" srcOrd="18" destOrd="0" presId="urn:microsoft.com/office/officeart/2005/8/layout/orgChart1"/>
    <dgm:cxn modelId="{05161157-66E3-442E-BEBC-37E4E3714CBE}" type="presParOf" srcId="{9B6AD594-4C99-4252-9045-F3BA0D6B9EC9}" destId="{BE9A2D6A-9501-4D0F-924B-93D7E267357C}" srcOrd="19" destOrd="0" presId="urn:microsoft.com/office/officeart/2005/8/layout/orgChart1"/>
    <dgm:cxn modelId="{D37A814D-5BC6-4FBD-BB65-1F4D7089CBFB}" type="presParOf" srcId="{BE9A2D6A-9501-4D0F-924B-93D7E267357C}" destId="{FAC437AF-1E73-4A87-8F39-D55264F37B81}" srcOrd="0" destOrd="0" presId="urn:microsoft.com/office/officeart/2005/8/layout/orgChart1"/>
    <dgm:cxn modelId="{1E8A3BAF-CA77-4B1A-B10B-C9130BB91C15}" type="presParOf" srcId="{FAC437AF-1E73-4A87-8F39-D55264F37B81}" destId="{131F852A-79C3-46B4-AD41-15C2E26C30F6}" srcOrd="0" destOrd="0" presId="urn:microsoft.com/office/officeart/2005/8/layout/orgChart1"/>
    <dgm:cxn modelId="{426064FA-3DA2-4666-815E-301CC33F111D}" type="presParOf" srcId="{FAC437AF-1E73-4A87-8F39-D55264F37B81}" destId="{E97816E2-32E1-4D11-BBCB-2F052CBAF941}" srcOrd="1" destOrd="0" presId="urn:microsoft.com/office/officeart/2005/8/layout/orgChart1"/>
    <dgm:cxn modelId="{95FAE811-A0FB-49F4-8DE7-066736115DD2}" type="presParOf" srcId="{BE9A2D6A-9501-4D0F-924B-93D7E267357C}" destId="{B0E4C983-2E89-456B-A716-0138FA984FDB}" srcOrd="1" destOrd="0" presId="urn:microsoft.com/office/officeart/2005/8/layout/orgChart1"/>
    <dgm:cxn modelId="{5AED0E9F-3AB3-488B-8204-60541A44FEC5}" type="presParOf" srcId="{B0E4C983-2E89-456B-A716-0138FA984FDB}" destId="{B70D3E8C-9816-4E0A-B13E-60EA044F03F5}" srcOrd="0" destOrd="0" presId="urn:microsoft.com/office/officeart/2005/8/layout/orgChart1"/>
    <dgm:cxn modelId="{3A259605-1C11-43B2-8FE3-458F3F818E8B}" type="presParOf" srcId="{B0E4C983-2E89-456B-A716-0138FA984FDB}" destId="{C99C96D4-2DCF-4905-B6A7-91356FAC63CE}" srcOrd="1" destOrd="0" presId="urn:microsoft.com/office/officeart/2005/8/layout/orgChart1"/>
    <dgm:cxn modelId="{E6425050-EF62-4B46-9B66-CF64701C9C28}" type="presParOf" srcId="{C99C96D4-2DCF-4905-B6A7-91356FAC63CE}" destId="{CC625C40-115F-4A1F-92F1-C5A416C312C1}" srcOrd="0" destOrd="0" presId="urn:microsoft.com/office/officeart/2005/8/layout/orgChart1"/>
    <dgm:cxn modelId="{9AA88451-FB1C-472A-8A58-6D197E081E0D}" type="presParOf" srcId="{CC625C40-115F-4A1F-92F1-C5A416C312C1}" destId="{C467CE64-17E6-4869-BA5D-1B6745EF6B13}" srcOrd="0" destOrd="0" presId="urn:microsoft.com/office/officeart/2005/8/layout/orgChart1"/>
    <dgm:cxn modelId="{1ABE794B-47BF-4AF7-A89C-8708D5135A48}" type="presParOf" srcId="{CC625C40-115F-4A1F-92F1-C5A416C312C1}" destId="{E024EA8A-63FB-45B8-ACD4-81C078F98B27}" srcOrd="1" destOrd="0" presId="urn:microsoft.com/office/officeart/2005/8/layout/orgChart1"/>
    <dgm:cxn modelId="{93F01AC1-8677-42F0-98FE-AEF94B05B9C0}" type="presParOf" srcId="{C99C96D4-2DCF-4905-B6A7-91356FAC63CE}" destId="{188E6118-5A7C-4AA6-ADB0-E4CFB392AE22}" srcOrd="1" destOrd="0" presId="urn:microsoft.com/office/officeart/2005/8/layout/orgChart1"/>
    <dgm:cxn modelId="{3D12B40C-3D50-4036-B780-F05C672DAFA7}" type="presParOf" srcId="{C99C96D4-2DCF-4905-B6A7-91356FAC63CE}" destId="{3CAC85E8-567D-4173-9885-D28F54B76376}" srcOrd="2" destOrd="0" presId="urn:microsoft.com/office/officeart/2005/8/layout/orgChart1"/>
    <dgm:cxn modelId="{BCFC981F-B0A4-4092-A73B-D819E2472AFC}" type="presParOf" srcId="{B0E4C983-2E89-456B-A716-0138FA984FDB}" destId="{9F5399ED-04E6-4ECB-B741-DE81A6F1F534}" srcOrd="2" destOrd="0" presId="urn:microsoft.com/office/officeart/2005/8/layout/orgChart1"/>
    <dgm:cxn modelId="{47018ADF-6DF9-4C41-B346-FCF7ADA0F40E}" type="presParOf" srcId="{B0E4C983-2E89-456B-A716-0138FA984FDB}" destId="{996A3A7C-A319-4D87-B273-AD8A177A146A}" srcOrd="3" destOrd="0" presId="urn:microsoft.com/office/officeart/2005/8/layout/orgChart1"/>
    <dgm:cxn modelId="{E2E8E48F-3B8B-450E-B143-5D9F8E331D79}" type="presParOf" srcId="{996A3A7C-A319-4D87-B273-AD8A177A146A}" destId="{11684256-EC76-4474-8BDD-1090BC5819FD}" srcOrd="0" destOrd="0" presId="urn:microsoft.com/office/officeart/2005/8/layout/orgChart1"/>
    <dgm:cxn modelId="{AE543E4F-4C2D-49E9-B2EA-CA898933917F}" type="presParOf" srcId="{11684256-EC76-4474-8BDD-1090BC5819FD}" destId="{1ABEC1F7-0F37-45F8-9122-4D1D82F26F2F}" srcOrd="0" destOrd="0" presId="urn:microsoft.com/office/officeart/2005/8/layout/orgChart1"/>
    <dgm:cxn modelId="{73E0F25C-8D36-40D7-8210-06F2DF305A2B}" type="presParOf" srcId="{11684256-EC76-4474-8BDD-1090BC5819FD}" destId="{4481FBCE-C39E-4F43-800F-EF7D5315713A}" srcOrd="1" destOrd="0" presId="urn:microsoft.com/office/officeart/2005/8/layout/orgChart1"/>
    <dgm:cxn modelId="{D9D9A1FF-1E98-4BC6-A431-BE2157D328D2}" type="presParOf" srcId="{996A3A7C-A319-4D87-B273-AD8A177A146A}" destId="{80213604-6ECF-4247-B069-AEB1863E7B31}" srcOrd="1" destOrd="0" presId="urn:microsoft.com/office/officeart/2005/8/layout/orgChart1"/>
    <dgm:cxn modelId="{4F05B166-C3FE-41DD-B2D2-8C6D946A7F5F}" type="presParOf" srcId="{996A3A7C-A319-4D87-B273-AD8A177A146A}" destId="{82CFAC13-F5EA-4784-A3A1-2FD48C0AEBA1}" srcOrd="2" destOrd="0" presId="urn:microsoft.com/office/officeart/2005/8/layout/orgChart1"/>
    <dgm:cxn modelId="{27D2332D-4C7A-49D6-9663-EA0BAE33FEAC}" type="presParOf" srcId="{B0E4C983-2E89-456B-A716-0138FA984FDB}" destId="{B60E6B1C-38EB-4BF7-AD3A-8834CFDF7F8D}" srcOrd="4" destOrd="0" presId="urn:microsoft.com/office/officeart/2005/8/layout/orgChart1"/>
    <dgm:cxn modelId="{43C90D2E-E69E-4176-872D-532506696AE9}" type="presParOf" srcId="{B0E4C983-2E89-456B-A716-0138FA984FDB}" destId="{CCB47374-275F-4949-9681-9CF15B429003}" srcOrd="5" destOrd="0" presId="urn:microsoft.com/office/officeart/2005/8/layout/orgChart1"/>
    <dgm:cxn modelId="{CC64CF2F-3541-47D7-AFD3-48A58BEFA288}" type="presParOf" srcId="{CCB47374-275F-4949-9681-9CF15B429003}" destId="{679BC4A8-7D0C-4602-9C3D-6C0EBD3F4A9D}" srcOrd="0" destOrd="0" presId="urn:microsoft.com/office/officeart/2005/8/layout/orgChart1"/>
    <dgm:cxn modelId="{838B9420-900B-4EE1-831E-37FFE9887AFC}" type="presParOf" srcId="{679BC4A8-7D0C-4602-9C3D-6C0EBD3F4A9D}" destId="{C2785190-D5DC-4E86-AD0D-F01E66F4B172}" srcOrd="0" destOrd="0" presId="urn:microsoft.com/office/officeart/2005/8/layout/orgChart1"/>
    <dgm:cxn modelId="{EF30A428-4A11-408F-96EB-2B7CA1C69D97}" type="presParOf" srcId="{679BC4A8-7D0C-4602-9C3D-6C0EBD3F4A9D}" destId="{3230156C-ED9F-444F-827F-2F13BAF6ABA0}" srcOrd="1" destOrd="0" presId="urn:microsoft.com/office/officeart/2005/8/layout/orgChart1"/>
    <dgm:cxn modelId="{C8EE65D5-C620-4A72-86F0-F0604F392982}" type="presParOf" srcId="{CCB47374-275F-4949-9681-9CF15B429003}" destId="{FD64D925-E810-400B-AF10-C4D9A7EA3137}" srcOrd="1" destOrd="0" presId="urn:microsoft.com/office/officeart/2005/8/layout/orgChart1"/>
    <dgm:cxn modelId="{A9FFF9B3-E308-48B8-81C9-7497A7ED8A23}" type="presParOf" srcId="{CCB47374-275F-4949-9681-9CF15B429003}" destId="{46669861-6F86-4120-8782-EB10623B64C4}" srcOrd="2" destOrd="0" presId="urn:microsoft.com/office/officeart/2005/8/layout/orgChart1"/>
    <dgm:cxn modelId="{07648E5F-FC0E-48F9-A2A0-B07A267B8CB1}" type="presParOf" srcId="{BE9A2D6A-9501-4D0F-924B-93D7E267357C}" destId="{3B81C3E9-A939-42FC-9790-92E7A51F046C}" srcOrd="2" destOrd="0" presId="urn:microsoft.com/office/officeart/2005/8/layout/orgChart1"/>
    <dgm:cxn modelId="{D31DDDA3-78EA-42BB-A0C1-FF1DFF3D6878}" type="presParOf" srcId="{9B6AD594-4C99-4252-9045-F3BA0D6B9EC9}" destId="{B59BF0BC-B13F-46F8-B3A1-A81E837A7889}" srcOrd="20" destOrd="0" presId="urn:microsoft.com/office/officeart/2005/8/layout/orgChart1"/>
    <dgm:cxn modelId="{D0614783-E7FB-4733-913D-4F9740083C66}" type="presParOf" srcId="{9B6AD594-4C99-4252-9045-F3BA0D6B9EC9}" destId="{5325AD5B-8128-41B9-B792-E53A8F28BEF0}" srcOrd="21" destOrd="0" presId="urn:microsoft.com/office/officeart/2005/8/layout/orgChart1"/>
    <dgm:cxn modelId="{F5296292-53B8-44EA-946C-6FDA43917151}" type="presParOf" srcId="{5325AD5B-8128-41B9-B792-E53A8F28BEF0}" destId="{D19881A3-6935-4AA2-940F-D669ABA6FC54}" srcOrd="0" destOrd="0" presId="urn:microsoft.com/office/officeart/2005/8/layout/orgChart1"/>
    <dgm:cxn modelId="{E0997933-12B5-4A79-81DE-489C19B99A7B}" type="presParOf" srcId="{D19881A3-6935-4AA2-940F-D669ABA6FC54}" destId="{21CA6E6C-DDA2-4531-9015-AF496300DB2D}" srcOrd="0" destOrd="0" presId="urn:microsoft.com/office/officeart/2005/8/layout/orgChart1"/>
    <dgm:cxn modelId="{E9FE6ECD-3468-4384-8534-671AB0B46D1B}" type="presParOf" srcId="{D19881A3-6935-4AA2-940F-D669ABA6FC54}" destId="{8D00A992-3113-4063-9B66-9A87543EEF82}" srcOrd="1" destOrd="0" presId="urn:microsoft.com/office/officeart/2005/8/layout/orgChart1"/>
    <dgm:cxn modelId="{A5511364-3515-4B0F-88E6-8C23141A81AE}" type="presParOf" srcId="{5325AD5B-8128-41B9-B792-E53A8F28BEF0}" destId="{F84D293E-6A01-4660-ADCB-6B09971EF2D5}" srcOrd="1" destOrd="0" presId="urn:microsoft.com/office/officeart/2005/8/layout/orgChart1"/>
    <dgm:cxn modelId="{23B15100-5536-413C-90C9-9A74302306EA}" type="presParOf" srcId="{F84D293E-6A01-4660-ADCB-6B09971EF2D5}" destId="{91824D34-E771-4436-8E11-63EF5BC33830}" srcOrd="0" destOrd="0" presId="urn:microsoft.com/office/officeart/2005/8/layout/orgChart1"/>
    <dgm:cxn modelId="{03CAA165-6A0F-4458-86AB-ECBA73B5A5D6}" type="presParOf" srcId="{F84D293E-6A01-4660-ADCB-6B09971EF2D5}" destId="{F9C985E4-BE86-49E3-84D7-98F93B9E2DB6}" srcOrd="1" destOrd="0" presId="urn:microsoft.com/office/officeart/2005/8/layout/orgChart1"/>
    <dgm:cxn modelId="{136E1501-84D9-4BF1-BCCC-39AC9C903B20}" type="presParOf" srcId="{F9C985E4-BE86-49E3-84D7-98F93B9E2DB6}" destId="{C478F88B-D603-4D4A-A356-C7F2848AC6E9}" srcOrd="0" destOrd="0" presId="urn:microsoft.com/office/officeart/2005/8/layout/orgChart1"/>
    <dgm:cxn modelId="{330F26FA-ED30-46E3-84B8-A75A0707DDC9}" type="presParOf" srcId="{C478F88B-D603-4D4A-A356-C7F2848AC6E9}" destId="{F0A32968-93CE-41E7-AB84-865084DBD119}" srcOrd="0" destOrd="0" presId="urn:microsoft.com/office/officeart/2005/8/layout/orgChart1"/>
    <dgm:cxn modelId="{D2803D49-94D1-411E-9143-D28DEABED7D0}" type="presParOf" srcId="{C478F88B-D603-4D4A-A356-C7F2848AC6E9}" destId="{314C260B-E0AB-45E9-AE40-87461443FA92}" srcOrd="1" destOrd="0" presId="urn:microsoft.com/office/officeart/2005/8/layout/orgChart1"/>
    <dgm:cxn modelId="{296868E2-3395-4310-9F6F-64CECDC52DE4}" type="presParOf" srcId="{F9C985E4-BE86-49E3-84D7-98F93B9E2DB6}" destId="{A63C7D1A-7E92-4F5D-893F-9331EF558AAF}" srcOrd="1" destOrd="0" presId="urn:microsoft.com/office/officeart/2005/8/layout/orgChart1"/>
    <dgm:cxn modelId="{B01B43DC-78E8-40BF-B7FD-C86CD228D2AD}" type="presParOf" srcId="{F9C985E4-BE86-49E3-84D7-98F93B9E2DB6}" destId="{507030D2-4EB4-4D4D-BB03-B459A80C9C50}" srcOrd="2" destOrd="0" presId="urn:microsoft.com/office/officeart/2005/8/layout/orgChart1"/>
    <dgm:cxn modelId="{611199B9-3B66-41DF-8EA7-967A81C349F4}" type="presParOf" srcId="{5325AD5B-8128-41B9-B792-E53A8F28BEF0}" destId="{CD8F30A4-AB22-4E43-A7D5-1FBDDBF766A4}" srcOrd="2" destOrd="0" presId="urn:microsoft.com/office/officeart/2005/8/layout/orgChart1"/>
    <dgm:cxn modelId="{E8206912-6389-4405-9410-B629530FF89A}" type="presParOf" srcId="{9B6AD594-4C99-4252-9045-F3BA0D6B9EC9}" destId="{DCCB2701-1E3C-4774-BBD9-18303513AAEF}" srcOrd="22" destOrd="0" presId="urn:microsoft.com/office/officeart/2005/8/layout/orgChart1"/>
    <dgm:cxn modelId="{BE80044D-AA61-4207-8239-257A935DF59D}" type="presParOf" srcId="{9B6AD594-4C99-4252-9045-F3BA0D6B9EC9}" destId="{CD08C686-7BD0-4A7D-A5F6-CB0C3BCAC5CE}" srcOrd="23" destOrd="0" presId="urn:microsoft.com/office/officeart/2005/8/layout/orgChart1"/>
    <dgm:cxn modelId="{7BEFC8CC-46C1-49A0-A893-50DD8DC7E8B2}" type="presParOf" srcId="{CD08C686-7BD0-4A7D-A5F6-CB0C3BCAC5CE}" destId="{175D78F6-A86B-4BA5-B812-5FDAED30C77B}" srcOrd="0" destOrd="0" presId="urn:microsoft.com/office/officeart/2005/8/layout/orgChart1"/>
    <dgm:cxn modelId="{07180402-B2EC-4B83-8446-80B07723E436}" type="presParOf" srcId="{175D78F6-A86B-4BA5-B812-5FDAED30C77B}" destId="{5C43C172-1353-4AC5-A629-4CE2968794C6}" srcOrd="0" destOrd="0" presId="urn:microsoft.com/office/officeart/2005/8/layout/orgChart1"/>
    <dgm:cxn modelId="{17A5013F-1780-4401-AAFB-65730ABF00BC}" type="presParOf" srcId="{175D78F6-A86B-4BA5-B812-5FDAED30C77B}" destId="{D1521D85-3606-4E33-A9A1-8F3FB96888CA}" srcOrd="1" destOrd="0" presId="urn:microsoft.com/office/officeart/2005/8/layout/orgChart1"/>
    <dgm:cxn modelId="{A989184E-6A72-4708-8179-FFF47A01F01C}" type="presParOf" srcId="{CD08C686-7BD0-4A7D-A5F6-CB0C3BCAC5CE}" destId="{CFC73CBE-F2BA-4B23-91F1-D69B50A6BEB4}" srcOrd="1" destOrd="0" presId="urn:microsoft.com/office/officeart/2005/8/layout/orgChart1"/>
    <dgm:cxn modelId="{0F8470BA-8B0E-4B8C-9E7C-050A71908B9C}" type="presParOf" srcId="{CFC73CBE-F2BA-4B23-91F1-D69B50A6BEB4}" destId="{449B0A50-81F9-4F98-800F-6DC93949F6A4}" srcOrd="0" destOrd="0" presId="urn:microsoft.com/office/officeart/2005/8/layout/orgChart1"/>
    <dgm:cxn modelId="{407F9467-394A-4207-B8EC-72C5E7AB32ED}" type="presParOf" srcId="{CFC73CBE-F2BA-4B23-91F1-D69B50A6BEB4}" destId="{9393F3C0-B758-49FD-8CA7-911C6A2ECC08}" srcOrd="1" destOrd="0" presId="urn:microsoft.com/office/officeart/2005/8/layout/orgChart1"/>
    <dgm:cxn modelId="{3CD7C27C-19AF-4FED-AFAC-A9717DF45857}" type="presParOf" srcId="{9393F3C0-B758-49FD-8CA7-911C6A2ECC08}" destId="{767C4FA3-B4A5-4E77-ABD1-FBFBDBC16B26}" srcOrd="0" destOrd="0" presId="urn:microsoft.com/office/officeart/2005/8/layout/orgChart1"/>
    <dgm:cxn modelId="{8FE08C7D-B5DA-4A81-A9E7-6210D12D7A4A}" type="presParOf" srcId="{767C4FA3-B4A5-4E77-ABD1-FBFBDBC16B26}" destId="{CA677FBE-1390-4EC4-8467-022DFD47D962}" srcOrd="0" destOrd="0" presId="urn:microsoft.com/office/officeart/2005/8/layout/orgChart1"/>
    <dgm:cxn modelId="{5097DAA3-C8BD-4969-A01B-D4D8C42B8972}" type="presParOf" srcId="{767C4FA3-B4A5-4E77-ABD1-FBFBDBC16B26}" destId="{8B753E0B-69E4-4725-AAED-6C08F3442CFA}" srcOrd="1" destOrd="0" presId="urn:microsoft.com/office/officeart/2005/8/layout/orgChart1"/>
    <dgm:cxn modelId="{DD0D5B1F-7037-406B-98B4-272135D233D7}" type="presParOf" srcId="{9393F3C0-B758-49FD-8CA7-911C6A2ECC08}" destId="{04BB5650-895D-4C2E-B39F-D0746DD58330}" srcOrd="1" destOrd="0" presId="urn:microsoft.com/office/officeart/2005/8/layout/orgChart1"/>
    <dgm:cxn modelId="{3EF87301-EECF-4D92-8AE9-556CF5F43DBD}" type="presParOf" srcId="{9393F3C0-B758-49FD-8CA7-911C6A2ECC08}" destId="{0C54971B-5D95-479F-8942-1F1C00A5C4B5}" srcOrd="2" destOrd="0" presId="urn:microsoft.com/office/officeart/2005/8/layout/orgChart1"/>
    <dgm:cxn modelId="{0FBE42AC-F449-46B1-A296-3832D11B7CEF}" type="presParOf" srcId="{CFC73CBE-F2BA-4B23-91F1-D69B50A6BEB4}" destId="{3616F778-8B53-4A7C-BAF1-C7FC5798A29D}" srcOrd="2" destOrd="0" presId="urn:microsoft.com/office/officeart/2005/8/layout/orgChart1"/>
    <dgm:cxn modelId="{A022B8D1-1738-4B11-AE64-C22DB3F8C014}" type="presParOf" srcId="{CFC73CBE-F2BA-4B23-91F1-D69B50A6BEB4}" destId="{0440C946-2B34-4A6A-85C9-2972F31EA4C7}" srcOrd="3" destOrd="0" presId="urn:microsoft.com/office/officeart/2005/8/layout/orgChart1"/>
    <dgm:cxn modelId="{5613ACA4-07D7-46C3-AC4B-185B2EBAF08F}" type="presParOf" srcId="{0440C946-2B34-4A6A-85C9-2972F31EA4C7}" destId="{CD59F12B-33ED-41FC-AFAB-D5E239A18AFD}" srcOrd="0" destOrd="0" presId="urn:microsoft.com/office/officeart/2005/8/layout/orgChart1"/>
    <dgm:cxn modelId="{2A3C4DD9-B89D-4F58-9AB2-6EDF69F4CFC1}" type="presParOf" srcId="{CD59F12B-33ED-41FC-AFAB-D5E239A18AFD}" destId="{0AB6630E-0C3E-4074-8EC5-F9EC335009B8}" srcOrd="0" destOrd="0" presId="urn:microsoft.com/office/officeart/2005/8/layout/orgChart1"/>
    <dgm:cxn modelId="{714595E7-DD31-416C-9680-7985EB996E74}" type="presParOf" srcId="{CD59F12B-33ED-41FC-AFAB-D5E239A18AFD}" destId="{7DB977C2-5134-41C5-9C87-6E161EC0428B}" srcOrd="1" destOrd="0" presId="urn:microsoft.com/office/officeart/2005/8/layout/orgChart1"/>
    <dgm:cxn modelId="{594BEC8F-E558-428A-992A-834CA702E0DC}" type="presParOf" srcId="{0440C946-2B34-4A6A-85C9-2972F31EA4C7}" destId="{A78A8DD7-C830-4F81-9444-53D8328DB205}" srcOrd="1" destOrd="0" presId="urn:microsoft.com/office/officeart/2005/8/layout/orgChart1"/>
    <dgm:cxn modelId="{0A1D346E-6059-42E7-9E11-28C9F5E01782}" type="presParOf" srcId="{0440C946-2B34-4A6A-85C9-2972F31EA4C7}" destId="{5741022F-B671-4B9C-82C5-7A20D0129434}" srcOrd="2" destOrd="0" presId="urn:microsoft.com/office/officeart/2005/8/layout/orgChart1"/>
    <dgm:cxn modelId="{71787B2E-1F0E-4391-88B8-2FD20CB14439}" type="presParOf" srcId="{CD08C686-7BD0-4A7D-A5F6-CB0C3BCAC5CE}" destId="{A37BE013-3DD7-46B8-8B00-FDDCD9CFF71F}" srcOrd="2" destOrd="0" presId="urn:microsoft.com/office/officeart/2005/8/layout/orgChart1"/>
    <dgm:cxn modelId="{F84C7DA3-8B18-4903-BCB9-76F7CBD958BF}" type="presParOf" srcId="{9B6AD594-4C99-4252-9045-F3BA0D6B9EC9}" destId="{C9B59072-EFA9-4750-8A66-3CC7FD43E375}" srcOrd="24" destOrd="0" presId="urn:microsoft.com/office/officeart/2005/8/layout/orgChart1"/>
    <dgm:cxn modelId="{B8334A5A-CC52-43CD-B2AC-99069DEF73EB}" type="presParOf" srcId="{9B6AD594-4C99-4252-9045-F3BA0D6B9EC9}" destId="{AE4BD5B9-A8AD-477E-A599-94125A5D2021}" srcOrd="25" destOrd="0" presId="urn:microsoft.com/office/officeart/2005/8/layout/orgChart1"/>
    <dgm:cxn modelId="{CDB34155-46B2-401E-810F-A062085E2797}" type="presParOf" srcId="{AE4BD5B9-A8AD-477E-A599-94125A5D2021}" destId="{6F5FAAC3-E9D0-4B42-8A3B-CAB46356D0FF}" srcOrd="0" destOrd="0" presId="urn:microsoft.com/office/officeart/2005/8/layout/orgChart1"/>
    <dgm:cxn modelId="{010D9C98-D7A7-4B34-9C44-F13770DEBFAB}" type="presParOf" srcId="{6F5FAAC3-E9D0-4B42-8A3B-CAB46356D0FF}" destId="{F8F0E48C-7170-4907-AF04-A34D84F966F2}" srcOrd="0" destOrd="0" presId="urn:microsoft.com/office/officeart/2005/8/layout/orgChart1"/>
    <dgm:cxn modelId="{F9605494-D219-4238-BB33-CE70D9E0AD22}" type="presParOf" srcId="{6F5FAAC3-E9D0-4B42-8A3B-CAB46356D0FF}" destId="{F1C5F45B-0E0D-4B3F-A095-D2DC3EF5AEC0}" srcOrd="1" destOrd="0" presId="urn:microsoft.com/office/officeart/2005/8/layout/orgChart1"/>
    <dgm:cxn modelId="{2CBB5685-4981-4F93-B1CF-D2B9667FEA1C}" type="presParOf" srcId="{AE4BD5B9-A8AD-477E-A599-94125A5D2021}" destId="{DD75E8F1-F234-4833-9008-9CDB02EF125A}" srcOrd="1" destOrd="0" presId="urn:microsoft.com/office/officeart/2005/8/layout/orgChart1"/>
    <dgm:cxn modelId="{88AAFF46-1A29-4D41-956F-A197EAF0DAF9}" type="presParOf" srcId="{DD75E8F1-F234-4833-9008-9CDB02EF125A}" destId="{D4064E19-D9B5-4A3A-8C20-277B5B071998}" srcOrd="0" destOrd="0" presId="urn:microsoft.com/office/officeart/2005/8/layout/orgChart1"/>
    <dgm:cxn modelId="{5C807E56-A07B-4593-8BC2-BD5B7E273FEF}" type="presParOf" srcId="{DD75E8F1-F234-4833-9008-9CDB02EF125A}" destId="{57F02FC0-6977-4457-83E2-FF9E27EEF6EB}" srcOrd="1" destOrd="0" presId="urn:microsoft.com/office/officeart/2005/8/layout/orgChart1"/>
    <dgm:cxn modelId="{8E5C600F-0E9A-44A9-BF5F-33C5BC3681E4}" type="presParOf" srcId="{57F02FC0-6977-4457-83E2-FF9E27EEF6EB}" destId="{F723077E-1B64-465A-8F9C-4083CC34C832}" srcOrd="0" destOrd="0" presId="urn:microsoft.com/office/officeart/2005/8/layout/orgChart1"/>
    <dgm:cxn modelId="{2124AB1E-21DC-439F-BE76-1161B05612CD}" type="presParOf" srcId="{F723077E-1B64-465A-8F9C-4083CC34C832}" destId="{173EF31B-0037-4490-8827-036E9036F548}" srcOrd="0" destOrd="0" presId="urn:microsoft.com/office/officeart/2005/8/layout/orgChart1"/>
    <dgm:cxn modelId="{327EE4F7-7850-40CB-9CF3-BAE01A1D4631}" type="presParOf" srcId="{F723077E-1B64-465A-8F9C-4083CC34C832}" destId="{42DD6EA3-4E9A-4A3E-8A0F-DFD274435298}" srcOrd="1" destOrd="0" presId="urn:microsoft.com/office/officeart/2005/8/layout/orgChart1"/>
    <dgm:cxn modelId="{66933427-573F-44CD-927C-E2362BA77FF9}" type="presParOf" srcId="{57F02FC0-6977-4457-83E2-FF9E27EEF6EB}" destId="{6E703343-D21D-44A4-BDA6-A574FDE82A7C}" srcOrd="1" destOrd="0" presId="urn:microsoft.com/office/officeart/2005/8/layout/orgChart1"/>
    <dgm:cxn modelId="{94495398-75A6-42D3-8C17-108B5BC17C05}" type="presParOf" srcId="{57F02FC0-6977-4457-83E2-FF9E27EEF6EB}" destId="{2C4606C6-4D85-4BC7-9700-B3BBBD4C4E99}" srcOrd="2" destOrd="0" presId="urn:microsoft.com/office/officeart/2005/8/layout/orgChart1"/>
    <dgm:cxn modelId="{E54B314C-CC9E-4464-93CC-AEBD50A2FD7E}" type="presParOf" srcId="{DD75E8F1-F234-4833-9008-9CDB02EF125A}" destId="{9BC43FE2-5D1A-4F9D-AFBA-C1959E14CD4A}" srcOrd="2" destOrd="0" presId="urn:microsoft.com/office/officeart/2005/8/layout/orgChart1"/>
    <dgm:cxn modelId="{F9F56924-C7DA-4432-B499-31CD2277F90C}" type="presParOf" srcId="{DD75E8F1-F234-4833-9008-9CDB02EF125A}" destId="{C45FB3A4-935D-491A-A40F-8ECE2768E293}" srcOrd="3" destOrd="0" presId="urn:microsoft.com/office/officeart/2005/8/layout/orgChart1"/>
    <dgm:cxn modelId="{CCD1C627-4D45-4D3B-9012-66C8371DEE7D}" type="presParOf" srcId="{C45FB3A4-935D-491A-A40F-8ECE2768E293}" destId="{15C73BF4-A823-4751-8D47-5DDDE853D3B0}" srcOrd="0" destOrd="0" presId="urn:microsoft.com/office/officeart/2005/8/layout/orgChart1"/>
    <dgm:cxn modelId="{C7135E45-70E9-4DF1-A766-820AAD2B6B4D}" type="presParOf" srcId="{15C73BF4-A823-4751-8D47-5DDDE853D3B0}" destId="{8CCD5B6E-2E2E-4ED8-9275-5C02239046D4}" srcOrd="0" destOrd="0" presId="urn:microsoft.com/office/officeart/2005/8/layout/orgChart1"/>
    <dgm:cxn modelId="{C9FF83D0-9638-42C0-9517-B002A55855E7}" type="presParOf" srcId="{15C73BF4-A823-4751-8D47-5DDDE853D3B0}" destId="{9B9CF2EF-22F5-44DF-94A7-D1A93C2F97E1}" srcOrd="1" destOrd="0" presId="urn:microsoft.com/office/officeart/2005/8/layout/orgChart1"/>
    <dgm:cxn modelId="{85EC750E-E80D-44AA-B0D2-15478E6F2887}" type="presParOf" srcId="{C45FB3A4-935D-491A-A40F-8ECE2768E293}" destId="{F72F293F-A5DE-450D-AF3A-794ED4E3A838}" srcOrd="1" destOrd="0" presId="urn:microsoft.com/office/officeart/2005/8/layout/orgChart1"/>
    <dgm:cxn modelId="{E671C73E-D375-46A7-92FE-048CEB80BA2A}" type="presParOf" srcId="{C45FB3A4-935D-491A-A40F-8ECE2768E293}" destId="{51597446-8F40-4DE9-BE88-167C44DED2EE}" srcOrd="2" destOrd="0" presId="urn:microsoft.com/office/officeart/2005/8/layout/orgChart1"/>
    <dgm:cxn modelId="{94D3033D-79ED-46F6-9DD7-299460D3E599}" type="presParOf" srcId="{AE4BD5B9-A8AD-477E-A599-94125A5D2021}" destId="{D7E09A6E-002C-4105-A164-FC1184E1577A}" srcOrd="2" destOrd="0" presId="urn:microsoft.com/office/officeart/2005/8/layout/orgChart1"/>
    <dgm:cxn modelId="{C31A7B59-11B2-4E60-9247-AA3CB0843DBB}" type="presParOf" srcId="{1F2394A2-D358-484C-AEDF-9749B136F17E}" destId="{364CE768-C4E8-45E9-BECD-D3EA55A55C0E}" srcOrd="2" destOrd="0" presId="urn:microsoft.com/office/officeart/2005/8/layout/orgChar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C43FE2-5D1A-4F9D-AFBA-C1959E14CD4A}">
      <dsp:nvSpPr>
        <dsp:cNvPr id="0" name=""/>
        <dsp:cNvSpPr/>
      </dsp:nvSpPr>
      <dsp:spPr>
        <a:xfrm>
          <a:off x="8695091" y="1373238"/>
          <a:ext cx="108791" cy="754094"/>
        </a:xfrm>
        <a:custGeom>
          <a:avLst/>
          <a:gdLst/>
          <a:ahLst/>
          <a:cxnLst/>
          <a:rect l="0" t="0" r="0" b="0"/>
          <a:pathLst>
            <a:path>
              <a:moveTo>
                <a:pt x="0" y="0"/>
              </a:moveTo>
              <a:lnTo>
                <a:pt x="0" y="708272"/>
              </a:lnTo>
              <a:lnTo>
                <a:pt x="102181" y="70827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D4064E19-D9B5-4A3A-8C20-277B5B071998}">
      <dsp:nvSpPr>
        <dsp:cNvPr id="0" name=""/>
        <dsp:cNvSpPr/>
      </dsp:nvSpPr>
      <dsp:spPr>
        <a:xfrm>
          <a:off x="8695091" y="1373238"/>
          <a:ext cx="108791" cy="302900"/>
        </a:xfrm>
        <a:custGeom>
          <a:avLst/>
          <a:gdLst/>
          <a:ahLst/>
          <a:cxnLst/>
          <a:rect l="0" t="0" r="0" b="0"/>
          <a:pathLst>
            <a:path>
              <a:moveTo>
                <a:pt x="0" y="0"/>
              </a:moveTo>
              <a:lnTo>
                <a:pt x="0" y="284494"/>
              </a:lnTo>
              <a:lnTo>
                <a:pt x="102181" y="284494"/>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9B59072-EFA9-4750-8A66-3CC7FD43E375}">
      <dsp:nvSpPr>
        <dsp:cNvPr id="0" name=""/>
        <dsp:cNvSpPr/>
      </dsp:nvSpPr>
      <dsp:spPr>
        <a:xfrm>
          <a:off x="4642399" y="630448"/>
          <a:ext cx="4342803" cy="247150"/>
        </a:xfrm>
        <a:custGeom>
          <a:avLst/>
          <a:gdLst/>
          <a:ahLst/>
          <a:cxnLst/>
          <a:rect l="0" t="0" r="0" b="0"/>
          <a:pathLst>
            <a:path>
              <a:moveTo>
                <a:pt x="0" y="0"/>
              </a:moveTo>
              <a:lnTo>
                <a:pt x="0" y="196335"/>
              </a:lnTo>
              <a:lnTo>
                <a:pt x="4078915" y="196335"/>
              </a:lnTo>
              <a:lnTo>
                <a:pt x="4078915" y="23213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3616F778-8B53-4A7C-BAF1-C7FC5798A29D}">
      <dsp:nvSpPr>
        <dsp:cNvPr id="0" name=""/>
        <dsp:cNvSpPr/>
      </dsp:nvSpPr>
      <dsp:spPr>
        <a:xfrm>
          <a:off x="7885997" y="1328792"/>
          <a:ext cx="110056" cy="647485"/>
        </a:xfrm>
        <a:custGeom>
          <a:avLst/>
          <a:gdLst/>
          <a:ahLst/>
          <a:cxnLst/>
          <a:rect l="0" t="0" r="0" b="0"/>
          <a:pathLst>
            <a:path>
              <a:moveTo>
                <a:pt x="0" y="0"/>
              </a:moveTo>
              <a:lnTo>
                <a:pt x="0" y="608141"/>
              </a:lnTo>
              <a:lnTo>
                <a:pt x="103369" y="608141"/>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49B0A50-81F9-4F98-800F-6DC93949F6A4}">
      <dsp:nvSpPr>
        <dsp:cNvPr id="0" name=""/>
        <dsp:cNvSpPr/>
      </dsp:nvSpPr>
      <dsp:spPr>
        <a:xfrm>
          <a:off x="7885997" y="1328792"/>
          <a:ext cx="110056" cy="260075"/>
        </a:xfrm>
        <a:custGeom>
          <a:avLst/>
          <a:gdLst/>
          <a:ahLst/>
          <a:cxnLst/>
          <a:rect l="0" t="0" r="0" b="0"/>
          <a:pathLst>
            <a:path>
              <a:moveTo>
                <a:pt x="0" y="0"/>
              </a:moveTo>
              <a:lnTo>
                <a:pt x="0" y="244272"/>
              </a:lnTo>
              <a:lnTo>
                <a:pt x="103369" y="24427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DCCB2701-1E3C-4774-BBD9-18303513AAEF}">
      <dsp:nvSpPr>
        <dsp:cNvPr id="0" name=""/>
        <dsp:cNvSpPr/>
      </dsp:nvSpPr>
      <dsp:spPr>
        <a:xfrm>
          <a:off x="4642399" y="630448"/>
          <a:ext cx="3537083" cy="247150"/>
        </a:xfrm>
        <a:custGeom>
          <a:avLst/>
          <a:gdLst/>
          <a:ahLst/>
          <a:cxnLst/>
          <a:rect l="0" t="0" r="0" b="0"/>
          <a:pathLst>
            <a:path>
              <a:moveTo>
                <a:pt x="0" y="0"/>
              </a:moveTo>
              <a:lnTo>
                <a:pt x="0" y="196335"/>
              </a:lnTo>
              <a:lnTo>
                <a:pt x="3322153" y="196335"/>
              </a:lnTo>
              <a:lnTo>
                <a:pt x="3322153" y="23213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91824D34-E771-4436-8E11-63EF5BC33830}">
      <dsp:nvSpPr>
        <dsp:cNvPr id="0" name=""/>
        <dsp:cNvSpPr/>
      </dsp:nvSpPr>
      <dsp:spPr>
        <a:xfrm>
          <a:off x="7383901" y="1343833"/>
          <a:ext cx="91440" cy="288884"/>
        </a:xfrm>
        <a:custGeom>
          <a:avLst/>
          <a:gdLst/>
          <a:ahLst/>
          <a:cxnLst/>
          <a:rect l="0" t="0" r="0" b="0"/>
          <a:pathLst>
            <a:path>
              <a:moveTo>
                <a:pt x="45720" y="0"/>
              </a:moveTo>
              <a:lnTo>
                <a:pt x="45720" y="271330"/>
              </a:lnTo>
              <a:lnTo>
                <a:pt x="93743" y="271330"/>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B59BF0BC-B13F-46F8-B3A1-A81E837A7889}">
      <dsp:nvSpPr>
        <dsp:cNvPr id="0" name=""/>
        <dsp:cNvSpPr/>
      </dsp:nvSpPr>
      <dsp:spPr>
        <a:xfrm>
          <a:off x="4642399" y="630448"/>
          <a:ext cx="2923568" cy="247150"/>
        </a:xfrm>
        <a:custGeom>
          <a:avLst/>
          <a:gdLst/>
          <a:ahLst/>
          <a:cxnLst/>
          <a:rect l="0" t="0" r="0" b="0"/>
          <a:pathLst>
            <a:path>
              <a:moveTo>
                <a:pt x="0" y="0"/>
              </a:moveTo>
              <a:lnTo>
                <a:pt x="0" y="196335"/>
              </a:lnTo>
              <a:lnTo>
                <a:pt x="2745919" y="196335"/>
              </a:lnTo>
              <a:lnTo>
                <a:pt x="2745919" y="23213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B60E6B1C-38EB-4BF7-AD3A-8834CFDF7F8D}">
      <dsp:nvSpPr>
        <dsp:cNvPr id="0" name=""/>
        <dsp:cNvSpPr/>
      </dsp:nvSpPr>
      <dsp:spPr>
        <a:xfrm>
          <a:off x="6912890" y="1155757"/>
          <a:ext cx="91440" cy="969606"/>
        </a:xfrm>
        <a:custGeom>
          <a:avLst/>
          <a:gdLst/>
          <a:ahLst/>
          <a:cxnLst/>
          <a:rect l="0" t="0" r="0" b="0"/>
          <a:pathLst>
            <a:path>
              <a:moveTo>
                <a:pt x="45720" y="0"/>
              </a:moveTo>
              <a:lnTo>
                <a:pt x="45720" y="910689"/>
              </a:lnTo>
              <a:lnTo>
                <a:pt x="58811" y="910689"/>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9F5399ED-04E6-4ECB-B741-DE81A6F1F534}">
      <dsp:nvSpPr>
        <dsp:cNvPr id="0" name=""/>
        <dsp:cNvSpPr/>
      </dsp:nvSpPr>
      <dsp:spPr>
        <a:xfrm>
          <a:off x="6912890" y="1155757"/>
          <a:ext cx="91440" cy="567649"/>
        </a:xfrm>
        <a:custGeom>
          <a:avLst/>
          <a:gdLst/>
          <a:ahLst/>
          <a:cxnLst/>
          <a:rect l="0" t="0" r="0" b="0"/>
          <a:pathLst>
            <a:path>
              <a:moveTo>
                <a:pt x="45720" y="0"/>
              </a:moveTo>
              <a:lnTo>
                <a:pt x="45720" y="533156"/>
              </a:lnTo>
              <a:lnTo>
                <a:pt x="58811" y="533156"/>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B70D3E8C-9816-4E0A-B13E-60EA044F03F5}">
      <dsp:nvSpPr>
        <dsp:cNvPr id="0" name=""/>
        <dsp:cNvSpPr/>
      </dsp:nvSpPr>
      <dsp:spPr>
        <a:xfrm>
          <a:off x="6912890" y="1155757"/>
          <a:ext cx="91440" cy="214014"/>
        </a:xfrm>
        <a:custGeom>
          <a:avLst/>
          <a:gdLst/>
          <a:ahLst/>
          <a:cxnLst/>
          <a:rect l="0" t="0" r="0" b="0"/>
          <a:pathLst>
            <a:path>
              <a:moveTo>
                <a:pt x="45720" y="0"/>
              </a:moveTo>
              <a:lnTo>
                <a:pt x="45720" y="201009"/>
              </a:lnTo>
              <a:lnTo>
                <a:pt x="58811" y="201009"/>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621D24C-D297-4921-AF47-18BDC152BBB7}">
      <dsp:nvSpPr>
        <dsp:cNvPr id="0" name=""/>
        <dsp:cNvSpPr/>
      </dsp:nvSpPr>
      <dsp:spPr>
        <a:xfrm>
          <a:off x="4642399" y="630448"/>
          <a:ext cx="2461401" cy="255251"/>
        </a:xfrm>
        <a:custGeom>
          <a:avLst/>
          <a:gdLst/>
          <a:ahLst/>
          <a:cxnLst/>
          <a:rect l="0" t="0" r="0" b="0"/>
          <a:pathLst>
            <a:path>
              <a:moveTo>
                <a:pt x="0" y="0"/>
              </a:moveTo>
              <a:lnTo>
                <a:pt x="0" y="203944"/>
              </a:lnTo>
              <a:lnTo>
                <a:pt x="2311835" y="203944"/>
              </a:lnTo>
              <a:lnTo>
                <a:pt x="2311835" y="239741"/>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5302217-839B-481D-8AFD-4E21DE2ACF48}">
      <dsp:nvSpPr>
        <dsp:cNvPr id="0" name=""/>
        <dsp:cNvSpPr/>
      </dsp:nvSpPr>
      <dsp:spPr>
        <a:xfrm>
          <a:off x="6214865" y="1188022"/>
          <a:ext cx="91440" cy="392510"/>
        </a:xfrm>
        <a:custGeom>
          <a:avLst/>
          <a:gdLst/>
          <a:ahLst/>
          <a:cxnLst/>
          <a:rect l="0" t="0" r="0" b="0"/>
          <a:pathLst>
            <a:path>
              <a:moveTo>
                <a:pt x="45720" y="0"/>
              </a:moveTo>
              <a:lnTo>
                <a:pt x="45720" y="368660"/>
              </a:lnTo>
              <a:lnTo>
                <a:pt x="131032" y="368660"/>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1B1FB411-620F-4B90-A763-9E1EACDC06FD}">
      <dsp:nvSpPr>
        <dsp:cNvPr id="0" name=""/>
        <dsp:cNvSpPr/>
      </dsp:nvSpPr>
      <dsp:spPr>
        <a:xfrm>
          <a:off x="4642399" y="630448"/>
          <a:ext cx="1860405" cy="247150"/>
        </a:xfrm>
        <a:custGeom>
          <a:avLst/>
          <a:gdLst/>
          <a:ahLst/>
          <a:cxnLst/>
          <a:rect l="0" t="0" r="0" b="0"/>
          <a:pathLst>
            <a:path>
              <a:moveTo>
                <a:pt x="0" y="0"/>
              </a:moveTo>
              <a:lnTo>
                <a:pt x="0" y="196335"/>
              </a:lnTo>
              <a:lnTo>
                <a:pt x="1747359" y="196335"/>
              </a:lnTo>
              <a:lnTo>
                <a:pt x="1747359" y="23213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71A98ECE-9F94-4ACA-8E33-272E32FE8150}">
      <dsp:nvSpPr>
        <dsp:cNvPr id="0" name=""/>
        <dsp:cNvSpPr/>
      </dsp:nvSpPr>
      <dsp:spPr>
        <a:xfrm>
          <a:off x="5368588" y="1201039"/>
          <a:ext cx="107281" cy="1223090"/>
        </a:xfrm>
        <a:custGeom>
          <a:avLst/>
          <a:gdLst/>
          <a:ahLst/>
          <a:cxnLst/>
          <a:rect l="0" t="0" r="0" b="0"/>
          <a:pathLst>
            <a:path>
              <a:moveTo>
                <a:pt x="0" y="0"/>
              </a:moveTo>
              <a:lnTo>
                <a:pt x="0" y="1148770"/>
              </a:lnTo>
              <a:lnTo>
                <a:pt x="100762" y="1148770"/>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AD255312-F19B-4884-833A-E7F1570030A7}">
      <dsp:nvSpPr>
        <dsp:cNvPr id="0" name=""/>
        <dsp:cNvSpPr/>
      </dsp:nvSpPr>
      <dsp:spPr>
        <a:xfrm>
          <a:off x="5368588" y="1201039"/>
          <a:ext cx="107281" cy="738616"/>
        </a:xfrm>
        <a:custGeom>
          <a:avLst/>
          <a:gdLst/>
          <a:ahLst/>
          <a:cxnLst/>
          <a:rect l="0" t="0" r="0" b="0"/>
          <a:pathLst>
            <a:path>
              <a:moveTo>
                <a:pt x="0" y="0"/>
              </a:moveTo>
              <a:lnTo>
                <a:pt x="0" y="693734"/>
              </a:lnTo>
              <a:lnTo>
                <a:pt x="100762" y="693734"/>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A9014C39-A9CA-4C72-A113-B2C0FE25A7C4}">
      <dsp:nvSpPr>
        <dsp:cNvPr id="0" name=""/>
        <dsp:cNvSpPr/>
      </dsp:nvSpPr>
      <dsp:spPr>
        <a:xfrm>
          <a:off x="5368588" y="1201039"/>
          <a:ext cx="107281" cy="273593"/>
        </a:xfrm>
        <a:custGeom>
          <a:avLst/>
          <a:gdLst/>
          <a:ahLst/>
          <a:cxnLst/>
          <a:rect l="0" t="0" r="0" b="0"/>
          <a:pathLst>
            <a:path>
              <a:moveTo>
                <a:pt x="0" y="0"/>
              </a:moveTo>
              <a:lnTo>
                <a:pt x="0" y="256968"/>
              </a:lnTo>
              <a:lnTo>
                <a:pt x="100762" y="256968"/>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466725E-70B8-4F56-8524-A9E705F08925}">
      <dsp:nvSpPr>
        <dsp:cNvPr id="0" name=""/>
        <dsp:cNvSpPr/>
      </dsp:nvSpPr>
      <dsp:spPr>
        <a:xfrm>
          <a:off x="4642399" y="630448"/>
          <a:ext cx="1012272" cy="247150"/>
        </a:xfrm>
        <a:custGeom>
          <a:avLst/>
          <a:gdLst/>
          <a:ahLst/>
          <a:cxnLst/>
          <a:rect l="0" t="0" r="0" b="0"/>
          <a:pathLst>
            <a:path>
              <a:moveTo>
                <a:pt x="0" y="0"/>
              </a:moveTo>
              <a:lnTo>
                <a:pt x="0" y="196335"/>
              </a:lnTo>
              <a:lnTo>
                <a:pt x="950762" y="196335"/>
              </a:lnTo>
              <a:lnTo>
                <a:pt x="950762" y="23213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444EAF71-C47B-47C9-8EB6-42D04FC67895}">
      <dsp:nvSpPr>
        <dsp:cNvPr id="0" name=""/>
        <dsp:cNvSpPr/>
      </dsp:nvSpPr>
      <dsp:spPr>
        <a:xfrm>
          <a:off x="4625518" y="1276024"/>
          <a:ext cx="99220" cy="675573"/>
        </a:xfrm>
        <a:custGeom>
          <a:avLst/>
          <a:gdLst/>
          <a:ahLst/>
          <a:cxnLst/>
          <a:rect l="0" t="0" r="0" b="0"/>
          <a:pathLst>
            <a:path>
              <a:moveTo>
                <a:pt x="0" y="0"/>
              </a:moveTo>
              <a:lnTo>
                <a:pt x="0" y="634522"/>
              </a:lnTo>
              <a:lnTo>
                <a:pt x="93191" y="63452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93FF14E-25BD-490D-88BE-4FAA46E62EAC}">
      <dsp:nvSpPr>
        <dsp:cNvPr id="0" name=""/>
        <dsp:cNvSpPr/>
      </dsp:nvSpPr>
      <dsp:spPr>
        <a:xfrm>
          <a:off x="4625518" y="1276024"/>
          <a:ext cx="99220" cy="254886"/>
        </a:xfrm>
        <a:custGeom>
          <a:avLst/>
          <a:gdLst/>
          <a:ahLst/>
          <a:cxnLst/>
          <a:rect l="0" t="0" r="0" b="0"/>
          <a:pathLst>
            <a:path>
              <a:moveTo>
                <a:pt x="0" y="0"/>
              </a:moveTo>
              <a:lnTo>
                <a:pt x="0" y="239398"/>
              </a:lnTo>
              <a:lnTo>
                <a:pt x="93191" y="239398"/>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E2C06DC-C8EB-4EB4-A047-BC704F32D229}">
      <dsp:nvSpPr>
        <dsp:cNvPr id="0" name=""/>
        <dsp:cNvSpPr/>
      </dsp:nvSpPr>
      <dsp:spPr>
        <a:xfrm>
          <a:off x="4642399" y="630448"/>
          <a:ext cx="247707" cy="247150"/>
        </a:xfrm>
        <a:custGeom>
          <a:avLst/>
          <a:gdLst/>
          <a:ahLst/>
          <a:cxnLst/>
          <a:rect l="0" t="0" r="0" b="0"/>
          <a:pathLst>
            <a:path>
              <a:moveTo>
                <a:pt x="0" y="0"/>
              </a:moveTo>
              <a:lnTo>
                <a:pt x="0" y="196335"/>
              </a:lnTo>
              <a:lnTo>
                <a:pt x="232655" y="196335"/>
              </a:lnTo>
              <a:lnTo>
                <a:pt x="232655" y="23213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F17BBDF-2D7B-4703-9FE3-FFCF7FC5CB5B}">
      <dsp:nvSpPr>
        <dsp:cNvPr id="0" name=""/>
        <dsp:cNvSpPr/>
      </dsp:nvSpPr>
      <dsp:spPr>
        <a:xfrm>
          <a:off x="3800294" y="1288810"/>
          <a:ext cx="113808" cy="2902340"/>
        </a:xfrm>
        <a:custGeom>
          <a:avLst/>
          <a:gdLst/>
          <a:ahLst/>
          <a:cxnLst/>
          <a:rect l="0" t="0" r="0" b="0"/>
          <a:pathLst>
            <a:path>
              <a:moveTo>
                <a:pt x="0" y="0"/>
              </a:moveTo>
              <a:lnTo>
                <a:pt x="0" y="2725981"/>
              </a:lnTo>
              <a:lnTo>
                <a:pt x="106893" y="2725981"/>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2E376AE7-0E9D-45EC-A8C8-BD7253972BDB}">
      <dsp:nvSpPr>
        <dsp:cNvPr id="0" name=""/>
        <dsp:cNvSpPr/>
      </dsp:nvSpPr>
      <dsp:spPr>
        <a:xfrm>
          <a:off x="3800294" y="1288810"/>
          <a:ext cx="113808" cy="2451548"/>
        </a:xfrm>
        <a:custGeom>
          <a:avLst/>
          <a:gdLst/>
          <a:ahLst/>
          <a:cxnLst/>
          <a:rect l="0" t="0" r="0" b="0"/>
          <a:pathLst>
            <a:path>
              <a:moveTo>
                <a:pt x="0" y="0"/>
              </a:moveTo>
              <a:lnTo>
                <a:pt x="0" y="2302581"/>
              </a:lnTo>
              <a:lnTo>
                <a:pt x="106893" y="2302581"/>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5898A44-38B6-4884-AD22-934EF443AABC}">
      <dsp:nvSpPr>
        <dsp:cNvPr id="0" name=""/>
        <dsp:cNvSpPr/>
      </dsp:nvSpPr>
      <dsp:spPr>
        <a:xfrm>
          <a:off x="3800294" y="1288810"/>
          <a:ext cx="113808" cy="2064935"/>
        </a:xfrm>
        <a:custGeom>
          <a:avLst/>
          <a:gdLst/>
          <a:ahLst/>
          <a:cxnLst/>
          <a:rect l="0" t="0" r="0" b="0"/>
          <a:pathLst>
            <a:path>
              <a:moveTo>
                <a:pt x="0" y="0"/>
              </a:moveTo>
              <a:lnTo>
                <a:pt x="0" y="1939460"/>
              </a:lnTo>
              <a:lnTo>
                <a:pt x="106893" y="1939460"/>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32D6B37-06BE-49D3-8ACF-05230ECC401E}">
      <dsp:nvSpPr>
        <dsp:cNvPr id="0" name=""/>
        <dsp:cNvSpPr/>
      </dsp:nvSpPr>
      <dsp:spPr>
        <a:xfrm>
          <a:off x="3800294" y="1288810"/>
          <a:ext cx="138113" cy="1636148"/>
        </a:xfrm>
        <a:custGeom>
          <a:avLst/>
          <a:gdLst/>
          <a:ahLst/>
          <a:cxnLst/>
          <a:rect l="0" t="0" r="0" b="0"/>
          <a:pathLst>
            <a:path>
              <a:moveTo>
                <a:pt x="0" y="0"/>
              </a:moveTo>
              <a:lnTo>
                <a:pt x="0" y="1536728"/>
              </a:lnTo>
              <a:lnTo>
                <a:pt x="129721" y="1536728"/>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63A65D8-5189-4747-B43B-EDA5219A3137}">
      <dsp:nvSpPr>
        <dsp:cNvPr id="0" name=""/>
        <dsp:cNvSpPr/>
      </dsp:nvSpPr>
      <dsp:spPr>
        <a:xfrm>
          <a:off x="3800294" y="1288810"/>
          <a:ext cx="113808" cy="1192392"/>
        </a:xfrm>
        <a:custGeom>
          <a:avLst/>
          <a:gdLst/>
          <a:ahLst/>
          <a:cxnLst/>
          <a:rect l="0" t="0" r="0" b="0"/>
          <a:pathLst>
            <a:path>
              <a:moveTo>
                <a:pt x="0" y="0"/>
              </a:moveTo>
              <a:lnTo>
                <a:pt x="0" y="1119937"/>
              </a:lnTo>
              <a:lnTo>
                <a:pt x="106893" y="1119937"/>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64F08B34-45C7-4001-BF55-E321AF73F365}">
      <dsp:nvSpPr>
        <dsp:cNvPr id="0" name=""/>
        <dsp:cNvSpPr/>
      </dsp:nvSpPr>
      <dsp:spPr>
        <a:xfrm>
          <a:off x="3800294" y="1288810"/>
          <a:ext cx="113808" cy="750227"/>
        </a:xfrm>
        <a:custGeom>
          <a:avLst/>
          <a:gdLst/>
          <a:ahLst/>
          <a:cxnLst/>
          <a:rect l="0" t="0" r="0" b="0"/>
          <a:pathLst>
            <a:path>
              <a:moveTo>
                <a:pt x="0" y="0"/>
              </a:moveTo>
              <a:lnTo>
                <a:pt x="0" y="704639"/>
              </a:lnTo>
              <a:lnTo>
                <a:pt x="106893" y="704639"/>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7FB05F4A-3994-4394-BEBF-A0E5E4DB09F6}">
      <dsp:nvSpPr>
        <dsp:cNvPr id="0" name=""/>
        <dsp:cNvSpPr/>
      </dsp:nvSpPr>
      <dsp:spPr>
        <a:xfrm>
          <a:off x="3800294" y="1288810"/>
          <a:ext cx="113808" cy="280321"/>
        </a:xfrm>
        <a:custGeom>
          <a:avLst/>
          <a:gdLst/>
          <a:ahLst/>
          <a:cxnLst/>
          <a:rect l="0" t="0" r="0" b="0"/>
          <a:pathLst>
            <a:path>
              <a:moveTo>
                <a:pt x="0" y="0"/>
              </a:moveTo>
              <a:lnTo>
                <a:pt x="0" y="263287"/>
              </a:lnTo>
              <a:lnTo>
                <a:pt x="106893" y="263287"/>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788DC131-C017-435F-B3B3-86AB1D7120E6}">
      <dsp:nvSpPr>
        <dsp:cNvPr id="0" name=""/>
        <dsp:cNvSpPr/>
      </dsp:nvSpPr>
      <dsp:spPr>
        <a:xfrm>
          <a:off x="4103783" y="630448"/>
          <a:ext cx="538615" cy="247150"/>
        </a:xfrm>
        <a:custGeom>
          <a:avLst/>
          <a:gdLst/>
          <a:ahLst/>
          <a:cxnLst/>
          <a:rect l="0" t="0" r="0" b="0"/>
          <a:pathLst>
            <a:path>
              <a:moveTo>
                <a:pt x="505886" y="0"/>
              </a:moveTo>
              <a:lnTo>
                <a:pt x="505886" y="196335"/>
              </a:lnTo>
              <a:lnTo>
                <a:pt x="0" y="196335"/>
              </a:lnTo>
              <a:lnTo>
                <a:pt x="0" y="23213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5384AB-D124-4F62-8271-7E9CF351A02E}">
      <dsp:nvSpPr>
        <dsp:cNvPr id="0" name=""/>
        <dsp:cNvSpPr/>
      </dsp:nvSpPr>
      <dsp:spPr>
        <a:xfrm>
          <a:off x="2972041" y="1334378"/>
          <a:ext cx="112692" cy="1454581"/>
        </a:xfrm>
        <a:custGeom>
          <a:avLst/>
          <a:gdLst/>
          <a:ahLst/>
          <a:cxnLst/>
          <a:rect l="0" t="0" r="0" b="0"/>
          <a:pathLst>
            <a:path>
              <a:moveTo>
                <a:pt x="0" y="0"/>
              </a:moveTo>
              <a:lnTo>
                <a:pt x="0" y="1366194"/>
              </a:lnTo>
              <a:lnTo>
                <a:pt x="105844" y="1366194"/>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82A0A74-1A0E-43ED-BEDE-914D56767E93}">
      <dsp:nvSpPr>
        <dsp:cNvPr id="0" name=""/>
        <dsp:cNvSpPr/>
      </dsp:nvSpPr>
      <dsp:spPr>
        <a:xfrm>
          <a:off x="2972041" y="1334378"/>
          <a:ext cx="112692" cy="963780"/>
        </a:xfrm>
        <a:custGeom>
          <a:avLst/>
          <a:gdLst/>
          <a:ahLst/>
          <a:cxnLst/>
          <a:rect l="0" t="0" r="0" b="0"/>
          <a:pathLst>
            <a:path>
              <a:moveTo>
                <a:pt x="0" y="0"/>
              </a:moveTo>
              <a:lnTo>
                <a:pt x="0" y="905216"/>
              </a:lnTo>
              <a:lnTo>
                <a:pt x="105844" y="905216"/>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350A219-795F-4B44-9F2C-4059F2DBE2BF}">
      <dsp:nvSpPr>
        <dsp:cNvPr id="0" name=""/>
        <dsp:cNvSpPr/>
      </dsp:nvSpPr>
      <dsp:spPr>
        <a:xfrm>
          <a:off x="2972041" y="1334378"/>
          <a:ext cx="112692" cy="580333"/>
        </a:xfrm>
        <a:custGeom>
          <a:avLst/>
          <a:gdLst/>
          <a:ahLst/>
          <a:cxnLst/>
          <a:rect l="0" t="0" r="0" b="0"/>
          <a:pathLst>
            <a:path>
              <a:moveTo>
                <a:pt x="0" y="0"/>
              </a:moveTo>
              <a:lnTo>
                <a:pt x="0" y="545069"/>
              </a:lnTo>
              <a:lnTo>
                <a:pt x="105844" y="545069"/>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25F54320-8A9C-4FA1-890D-D860BB66CD0C}">
      <dsp:nvSpPr>
        <dsp:cNvPr id="0" name=""/>
        <dsp:cNvSpPr/>
      </dsp:nvSpPr>
      <dsp:spPr>
        <a:xfrm>
          <a:off x="2972041" y="1334378"/>
          <a:ext cx="112692" cy="213456"/>
        </a:xfrm>
        <a:custGeom>
          <a:avLst/>
          <a:gdLst/>
          <a:ahLst/>
          <a:cxnLst/>
          <a:rect l="0" t="0" r="0" b="0"/>
          <a:pathLst>
            <a:path>
              <a:moveTo>
                <a:pt x="0" y="0"/>
              </a:moveTo>
              <a:lnTo>
                <a:pt x="0" y="200485"/>
              </a:lnTo>
              <a:lnTo>
                <a:pt x="105844" y="200485"/>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90FE17B0-9D08-4896-9444-532DE0E6C0E3}">
      <dsp:nvSpPr>
        <dsp:cNvPr id="0" name=""/>
        <dsp:cNvSpPr/>
      </dsp:nvSpPr>
      <dsp:spPr>
        <a:xfrm>
          <a:off x="3272555" y="630448"/>
          <a:ext cx="1369844" cy="247150"/>
        </a:xfrm>
        <a:custGeom>
          <a:avLst/>
          <a:gdLst/>
          <a:ahLst/>
          <a:cxnLst/>
          <a:rect l="0" t="0" r="0" b="0"/>
          <a:pathLst>
            <a:path>
              <a:moveTo>
                <a:pt x="1286606" y="0"/>
              </a:moveTo>
              <a:lnTo>
                <a:pt x="1286606" y="196335"/>
              </a:lnTo>
              <a:lnTo>
                <a:pt x="0" y="196335"/>
              </a:lnTo>
              <a:lnTo>
                <a:pt x="0" y="23213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6A2A6E1-C975-4F15-856D-415CEB672D90}">
      <dsp:nvSpPr>
        <dsp:cNvPr id="0" name=""/>
        <dsp:cNvSpPr/>
      </dsp:nvSpPr>
      <dsp:spPr>
        <a:xfrm>
          <a:off x="1827178" y="1661686"/>
          <a:ext cx="115481" cy="1388675"/>
        </a:xfrm>
        <a:custGeom>
          <a:avLst/>
          <a:gdLst/>
          <a:ahLst/>
          <a:cxnLst/>
          <a:rect l="0" t="0" r="0" b="0"/>
          <a:pathLst>
            <a:path>
              <a:moveTo>
                <a:pt x="0" y="0"/>
              </a:moveTo>
              <a:lnTo>
                <a:pt x="0" y="1304293"/>
              </a:lnTo>
              <a:lnTo>
                <a:pt x="108464" y="1304293"/>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EB1CD0C-3F31-4834-9BF5-00B8C7EED796}">
      <dsp:nvSpPr>
        <dsp:cNvPr id="0" name=""/>
        <dsp:cNvSpPr/>
      </dsp:nvSpPr>
      <dsp:spPr>
        <a:xfrm>
          <a:off x="1827178" y="1661686"/>
          <a:ext cx="156359" cy="615559"/>
        </a:xfrm>
        <a:custGeom>
          <a:avLst/>
          <a:gdLst/>
          <a:ahLst/>
          <a:cxnLst/>
          <a:rect l="0" t="0" r="0" b="0"/>
          <a:pathLst>
            <a:path>
              <a:moveTo>
                <a:pt x="0" y="0"/>
              </a:moveTo>
              <a:lnTo>
                <a:pt x="0" y="578155"/>
              </a:lnTo>
              <a:lnTo>
                <a:pt x="146858" y="578155"/>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007E3F02-8C5D-4601-9EC9-5B234A86A002}">
      <dsp:nvSpPr>
        <dsp:cNvPr id="0" name=""/>
        <dsp:cNvSpPr/>
      </dsp:nvSpPr>
      <dsp:spPr>
        <a:xfrm>
          <a:off x="2178067" y="630448"/>
          <a:ext cx="2464332" cy="247150"/>
        </a:xfrm>
        <a:custGeom>
          <a:avLst/>
          <a:gdLst/>
          <a:ahLst/>
          <a:cxnLst/>
          <a:rect l="0" t="0" r="0" b="0"/>
          <a:pathLst>
            <a:path>
              <a:moveTo>
                <a:pt x="2314587" y="0"/>
              </a:moveTo>
              <a:lnTo>
                <a:pt x="2314587" y="196335"/>
              </a:lnTo>
              <a:lnTo>
                <a:pt x="0" y="196335"/>
              </a:lnTo>
              <a:lnTo>
                <a:pt x="0" y="23213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09F621B-34F7-4681-BD90-7DBCCE201DC3}">
      <dsp:nvSpPr>
        <dsp:cNvPr id="0" name=""/>
        <dsp:cNvSpPr/>
      </dsp:nvSpPr>
      <dsp:spPr>
        <a:xfrm>
          <a:off x="1130003" y="1178307"/>
          <a:ext cx="91440" cy="624476"/>
        </a:xfrm>
        <a:custGeom>
          <a:avLst/>
          <a:gdLst/>
          <a:ahLst/>
          <a:cxnLst/>
          <a:rect l="0" t="0" r="0" b="0"/>
          <a:pathLst>
            <a:path>
              <a:moveTo>
                <a:pt x="45720" y="0"/>
              </a:moveTo>
              <a:lnTo>
                <a:pt x="45720" y="586530"/>
              </a:lnTo>
              <a:lnTo>
                <a:pt x="122034" y="586530"/>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2B06156-C699-4DBB-ABD3-4A7D0EA3B49D}">
      <dsp:nvSpPr>
        <dsp:cNvPr id="0" name=""/>
        <dsp:cNvSpPr/>
      </dsp:nvSpPr>
      <dsp:spPr>
        <a:xfrm>
          <a:off x="1130003" y="1178307"/>
          <a:ext cx="91440" cy="236897"/>
        </a:xfrm>
        <a:custGeom>
          <a:avLst/>
          <a:gdLst/>
          <a:ahLst/>
          <a:cxnLst/>
          <a:rect l="0" t="0" r="0" b="0"/>
          <a:pathLst>
            <a:path>
              <a:moveTo>
                <a:pt x="45720" y="0"/>
              </a:moveTo>
              <a:lnTo>
                <a:pt x="45720" y="222502"/>
              </a:lnTo>
              <a:lnTo>
                <a:pt x="122034" y="22250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7C8DC261-0299-464C-9E4C-F755DA97AFFD}">
      <dsp:nvSpPr>
        <dsp:cNvPr id="0" name=""/>
        <dsp:cNvSpPr/>
      </dsp:nvSpPr>
      <dsp:spPr>
        <a:xfrm>
          <a:off x="1392393" y="630448"/>
          <a:ext cx="3250005" cy="247150"/>
        </a:xfrm>
        <a:custGeom>
          <a:avLst/>
          <a:gdLst/>
          <a:ahLst/>
          <a:cxnLst/>
          <a:rect l="0" t="0" r="0" b="0"/>
          <a:pathLst>
            <a:path>
              <a:moveTo>
                <a:pt x="3052520" y="0"/>
              </a:moveTo>
              <a:lnTo>
                <a:pt x="3052520" y="196335"/>
              </a:lnTo>
              <a:lnTo>
                <a:pt x="0" y="196335"/>
              </a:lnTo>
              <a:lnTo>
                <a:pt x="0" y="23213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D976E6-87C6-463B-A5F1-3E237C32F250}">
      <dsp:nvSpPr>
        <dsp:cNvPr id="0" name=""/>
        <dsp:cNvSpPr/>
      </dsp:nvSpPr>
      <dsp:spPr>
        <a:xfrm>
          <a:off x="551052" y="1059086"/>
          <a:ext cx="91440" cy="1136424"/>
        </a:xfrm>
        <a:custGeom>
          <a:avLst/>
          <a:gdLst/>
          <a:ahLst/>
          <a:cxnLst/>
          <a:rect l="0" t="0" r="0" b="0"/>
          <a:pathLst>
            <a:path>
              <a:moveTo>
                <a:pt x="45720" y="0"/>
              </a:moveTo>
              <a:lnTo>
                <a:pt x="45720" y="1067369"/>
              </a:lnTo>
              <a:lnTo>
                <a:pt x="96857" y="1067369"/>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F3495D6C-EB13-4E3F-B04E-A0DACC6D7EC4}">
      <dsp:nvSpPr>
        <dsp:cNvPr id="0" name=""/>
        <dsp:cNvSpPr/>
      </dsp:nvSpPr>
      <dsp:spPr>
        <a:xfrm>
          <a:off x="551052" y="1059086"/>
          <a:ext cx="91440" cy="662472"/>
        </a:xfrm>
        <a:custGeom>
          <a:avLst/>
          <a:gdLst/>
          <a:ahLst/>
          <a:cxnLst/>
          <a:rect l="0" t="0" r="0" b="0"/>
          <a:pathLst>
            <a:path>
              <a:moveTo>
                <a:pt x="45720" y="0"/>
              </a:moveTo>
              <a:lnTo>
                <a:pt x="45720" y="622217"/>
              </a:lnTo>
              <a:lnTo>
                <a:pt x="96857" y="622217"/>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E1697AE8-2F03-46B7-A77F-7567B713E050}">
      <dsp:nvSpPr>
        <dsp:cNvPr id="0" name=""/>
        <dsp:cNvSpPr/>
      </dsp:nvSpPr>
      <dsp:spPr>
        <a:xfrm>
          <a:off x="551052" y="1059086"/>
          <a:ext cx="91440" cy="226453"/>
        </a:xfrm>
        <a:custGeom>
          <a:avLst/>
          <a:gdLst/>
          <a:ahLst/>
          <a:cxnLst/>
          <a:rect l="0" t="0" r="0" b="0"/>
          <a:pathLst>
            <a:path>
              <a:moveTo>
                <a:pt x="45720" y="0"/>
              </a:moveTo>
              <a:lnTo>
                <a:pt x="45720" y="212692"/>
              </a:lnTo>
              <a:lnTo>
                <a:pt x="96857" y="21269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BACF56AF-80F7-4D1E-8833-AA8E8276FDE3}">
      <dsp:nvSpPr>
        <dsp:cNvPr id="0" name=""/>
        <dsp:cNvSpPr/>
      </dsp:nvSpPr>
      <dsp:spPr>
        <a:xfrm>
          <a:off x="741963" y="630448"/>
          <a:ext cx="3900436" cy="247150"/>
        </a:xfrm>
        <a:custGeom>
          <a:avLst/>
          <a:gdLst/>
          <a:ahLst/>
          <a:cxnLst/>
          <a:rect l="0" t="0" r="0" b="0"/>
          <a:pathLst>
            <a:path>
              <a:moveTo>
                <a:pt x="3663427" y="0"/>
              </a:moveTo>
              <a:lnTo>
                <a:pt x="3663427" y="196335"/>
              </a:lnTo>
              <a:lnTo>
                <a:pt x="0" y="196335"/>
              </a:lnTo>
              <a:lnTo>
                <a:pt x="0" y="23213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56F9696-0050-4C13-8A65-61BC731D2DCC}">
      <dsp:nvSpPr>
        <dsp:cNvPr id="0" name=""/>
        <dsp:cNvSpPr/>
      </dsp:nvSpPr>
      <dsp:spPr>
        <a:xfrm>
          <a:off x="-5962" y="1076050"/>
          <a:ext cx="91440" cy="1072402"/>
        </a:xfrm>
        <a:custGeom>
          <a:avLst/>
          <a:gdLst/>
          <a:ahLst/>
          <a:cxnLst/>
          <a:rect l="0" t="0" r="0" b="0"/>
          <a:pathLst>
            <a:path>
              <a:moveTo>
                <a:pt x="45720" y="0"/>
              </a:moveTo>
              <a:lnTo>
                <a:pt x="45720" y="1007238"/>
              </a:lnTo>
              <a:lnTo>
                <a:pt x="96857" y="1007238"/>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41E88442-60FA-482A-9073-A4E54F4E29E0}">
      <dsp:nvSpPr>
        <dsp:cNvPr id="0" name=""/>
        <dsp:cNvSpPr/>
      </dsp:nvSpPr>
      <dsp:spPr>
        <a:xfrm>
          <a:off x="-5962" y="1076050"/>
          <a:ext cx="91440" cy="683739"/>
        </a:xfrm>
        <a:custGeom>
          <a:avLst/>
          <a:gdLst/>
          <a:ahLst/>
          <a:cxnLst/>
          <a:rect l="0" t="0" r="0" b="0"/>
          <a:pathLst>
            <a:path>
              <a:moveTo>
                <a:pt x="45720" y="0"/>
              </a:moveTo>
              <a:lnTo>
                <a:pt x="45720" y="642191"/>
              </a:lnTo>
              <a:lnTo>
                <a:pt x="96857" y="642191"/>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ADEB7019-9502-48FD-8DC7-5D65F53BE9F6}">
      <dsp:nvSpPr>
        <dsp:cNvPr id="0" name=""/>
        <dsp:cNvSpPr/>
      </dsp:nvSpPr>
      <dsp:spPr>
        <a:xfrm>
          <a:off x="-5962" y="1076050"/>
          <a:ext cx="91440" cy="273871"/>
        </a:xfrm>
        <a:custGeom>
          <a:avLst/>
          <a:gdLst/>
          <a:ahLst/>
          <a:cxnLst/>
          <a:rect l="0" t="0" r="0" b="0"/>
          <a:pathLst>
            <a:path>
              <a:moveTo>
                <a:pt x="45720" y="0"/>
              </a:moveTo>
              <a:lnTo>
                <a:pt x="45720" y="257229"/>
              </a:lnTo>
              <a:lnTo>
                <a:pt x="96857" y="257229"/>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D68DE565-B78C-4A6B-A05A-658AA787D0C7}">
      <dsp:nvSpPr>
        <dsp:cNvPr id="0" name=""/>
        <dsp:cNvSpPr/>
      </dsp:nvSpPr>
      <dsp:spPr>
        <a:xfrm>
          <a:off x="184947" y="630448"/>
          <a:ext cx="4457451" cy="247150"/>
        </a:xfrm>
        <a:custGeom>
          <a:avLst/>
          <a:gdLst/>
          <a:ahLst/>
          <a:cxnLst/>
          <a:rect l="0" t="0" r="0" b="0"/>
          <a:pathLst>
            <a:path>
              <a:moveTo>
                <a:pt x="4186596" y="0"/>
              </a:moveTo>
              <a:lnTo>
                <a:pt x="4186596" y="196335"/>
              </a:lnTo>
              <a:lnTo>
                <a:pt x="0" y="196335"/>
              </a:lnTo>
              <a:lnTo>
                <a:pt x="0" y="232132"/>
              </a:lnTo>
            </a:path>
          </a:pathLst>
        </a:custGeom>
        <a:noFill/>
        <a:ln w="25400" cap="flat" cmpd="sng" algn="ctr">
          <a:solidFill>
            <a:sysClr val="windowText" lastClr="000000"/>
          </a:solidFill>
          <a:prstDash val="solid"/>
          <a:miter lim="800000"/>
        </a:ln>
        <a:effectLst/>
      </dsp:spPr>
      <dsp:style>
        <a:lnRef idx="2">
          <a:scrgbClr r="0" g="0" b="0"/>
        </a:lnRef>
        <a:fillRef idx="0">
          <a:scrgbClr r="0" g="0" b="0"/>
        </a:fillRef>
        <a:effectRef idx="0">
          <a:scrgbClr r="0" g="0" b="0"/>
        </a:effectRef>
        <a:fontRef idx="minor"/>
      </dsp:style>
    </dsp:sp>
    <dsp:sp modelId="{CE8BBD88-BF7E-4CBE-936B-1D246C2CFEA1}">
      <dsp:nvSpPr>
        <dsp:cNvPr id="0" name=""/>
        <dsp:cNvSpPr/>
      </dsp:nvSpPr>
      <dsp:spPr>
        <a:xfrm>
          <a:off x="4173492" y="202578"/>
          <a:ext cx="937812" cy="427870"/>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Directeur Cimenterie</a:t>
          </a:r>
        </a:p>
      </dsp:txBody>
      <dsp:txXfrm>
        <a:off x="4173492" y="202578"/>
        <a:ext cx="937812" cy="427870"/>
      </dsp:txXfrm>
    </dsp:sp>
    <dsp:sp modelId="{EAC9C383-E225-48D4-9CE5-ED19E5733C82}">
      <dsp:nvSpPr>
        <dsp:cNvPr id="0" name=""/>
        <dsp:cNvSpPr/>
      </dsp:nvSpPr>
      <dsp:spPr>
        <a:xfrm>
          <a:off x="3460" y="877598"/>
          <a:ext cx="362975" cy="19845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DFC</a:t>
          </a:r>
        </a:p>
      </dsp:txBody>
      <dsp:txXfrm>
        <a:off x="3460" y="877598"/>
        <a:ext cx="362975" cy="198451"/>
      </dsp:txXfrm>
    </dsp:sp>
    <dsp:sp modelId="{A3AD92F2-40B9-4E1B-85A6-C45697BB92DF}">
      <dsp:nvSpPr>
        <dsp:cNvPr id="0" name=""/>
        <dsp:cNvSpPr/>
      </dsp:nvSpPr>
      <dsp:spPr>
        <a:xfrm>
          <a:off x="94203" y="1152275"/>
          <a:ext cx="341810" cy="395293"/>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C.G</a:t>
          </a:r>
        </a:p>
      </dsp:txBody>
      <dsp:txXfrm>
        <a:off x="94203" y="1152275"/>
        <a:ext cx="341810" cy="395293"/>
      </dsp:txXfrm>
    </dsp:sp>
    <dsp:sp modelId="{492CDC20-1DAC-4C5E-9955-5F1E4613EC1F}">
      <dsp:nvSpPr>
        <dsp:cNvPr id="0" name=""/>
        <dsp:cNvSpPr/>
      </dsp:nvSpPr>
      <dsp:spPr>
        <a:xfrm>
          <a:off x="94203" y="1623793"/>
          <a:ext cx="429483" cy="27199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S/Budget</a:t>
          </a:r>
        </a:p>
      </dsp:txBody>
      <dsp:txXfrm>
        <a:off x="94203" y="1623793"/>
        <a:ext cx="429483" cy="271992"/>
      </dsp:txXfrm>
    </dsp:sp>
    <dsp:sp modelId="{C541AE43-D8D1-4624-B96D-3A025A08B343}">
      <dsp:nvSpPr>
        <dsp:cNvPr id="0" name=""/>
        <dsp:cNvSpPr/>
      </dsp:nvSpPr>
      <dsp:spPr>
        <a:xfrm>
          <a:off x="94203" y="1972010"/>
          <a:ext cx="480790" cy="352884"/>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C.A</a:t>
          </a:r>
        </a:p>
      </dsp:txBody>
      <dsp:txXfrm>
        <a:off x="94203" y="1972010"/>
        <a:ext cx="480790" cy="352884"/>
      </dsp:txXfrm>
    </dsp:sp>
    <dsp:sp modelId="{D21453E4-939B-484E-B28C-B7186970EC6F}">
      <dsp:nvSpPr>
        <dsp:cNvPr id="0" name=""/>
        <dsp:cNvSpPr/>
      </dsp:nvSpPr>
      <dsp:spPr>
        <a:xfrm>
          <a:off x="560475" y="877598"/>
          <a:ext cx="362975" cy="181487"/>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DRH</a:t>
          </a:r>
        </a:p>
      </dsp:txBody>
      <dsp:txXfrm>
        <a:off x="560475" y="877598"/>
        <a:ext cx="362975" cy="181487"/>
      </dsp:txXfrm>
    </dsp:sp>
    <dsp:sp modelId="{19FD574C-4967-4970-8FD1-29CF1794ED5E}">
      <dsp:nvSpPr>
        <dsp:cNvPr id="0" name=""/>
        <dsp:cNvSpPr/>
      </dsp:nvSpPr>
      <dsp:spPr>
        <a:xfrm>
          <a:off x="651219" y="1135311"/>
          <a:ext cx="362975" cy="300456"/>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S/Pers.</a:t>
          </a:r>
        </a:p>
      </dsp:txBody>
      <dsp:txXfrm>
        <a:off x="651219" y="1135311"/>
        <a:ext cx="362975" cy="300456"/>
      </dsp:txXfrm>
    </dsp:sp>
    <dsp:sp modelId="{8DB10BD3-029C-491A-8EA5-8E975A31C55F}">
      <dsp:nvSpPr>
        <dsp:cNvPr id="0" name=""/>
        <dsp:cNvSpPr/>
      </dsp:nvSpPr>
      <dsp:spPr>
        <a:xfrm>
          <a:off x="651219" y="1511993"/>
          <a:ext cx="529530" cy="41913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S/Formation et Social</a:t>
          </a:r>
        </a:p>
      </dsp:txBody>
      <dsp:txXfrm>
        <a:off x="651219" y="1511993"/>
        <a:ext cx="529530" cy="419131"/>
      </dsp:txXfrm>
    </dsp:sp>
    <dsp:sp modelId="{4A7C8FB7-F8AD-4A66-9AF6-03F6DE0EE98E}">
      <dsp:nvSpPr>
        <dsp:cNvPr id="0" name=""/>
        <dsp:cNvSpPr/>
      </dsp:nvSpPr>
      <dsp:spPr>
        <a:xfrm>
          <a:off x="651219" y="2007349"/>
          <a:ext cx="438892" cy="37632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S/MGX</a:t>
          </a:r>
        </a:p>
      </dsp:txBody>
      <dsp:txXfrm>
        <a:off x="651219" y="2007349"/>
        <a:ext cx="438892" cy="376322"/>
      </dsp:txXfrm>
    </dsp:sp>
    <dsp:sp modelId="{10B4C24A-4FEC-4904-908C-FED9BC45E196}">
      <dsp:nvSpPr>
        <dsp:cNvPr id="0" name=""/>
        <dsp:cNvSpPr/>
      </dsp:nvSpPr>
      <dsp:spPr>
        <a:xfrm>
          <a:off x="1121555" y="877598"/>
          <a:ext cx="541675" cy="300709"/>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Dept Appros</a:t>
          </a:r>
        </a:p>
      </dsp:txBody>
      <dsp:txXfrm>
        <a:off x="1121555" y="877598"/>
        <a:ext cx="541675" cy="300709"/>
      </dsp:txXfrm>
    </dsp:sp>
    <dsp:sp modelId="{CA88CE62-F1F7-4366-A9B3-E30E69895C4D}">
      <dsp:nvSpPr>
        <dsp:cNvPr id="0" name=""/>
        <dsp:cNvSpPr/>
      </dsp:nvSpPr>
      <dsp:spPr>
        <a:xfrm>
          <a:off x="1256974" y="1254532"/>
          <a:ext cx="362975" cy="321345"/>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Achats</a:t>
          </a:r>
        </a:p>
      </dsp:txBody>
      <dsp:txXfrm>
        <a:off x="1256974" y="1254532"/>
        <a:ext cx="362975" cy="321345"/>
      </dsp:txXfrm>
    </dsp:sp>
    <dsp:sp modelId="{C90D9B03-4909-42E3-A338-BF05FE4D0158}">
      <dsp:nvSpPr>
        <dsp:cNvPr id="0" name=""/>
        <dsp:cNvSpPr/>
      </dsp:nvSpPr>
      <dsp:spPr>
        <a:xfrm>
          <a:off x="1256974" y="1652103"/>
          <a:ext cx="362975" cy="301360"/>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GDS</a:t>
          </a:r>
        </a:p>
      </dsp:txBody>
      <dsp:txXfrm>
        <a:off x="1256974" y="1652103"/>
        <a:ext cx="362975" cy="301360"/>
      </dsp:txXfrm>
    </dsp:sp>
    <dsp:sp modelId="{ED3F8A15-9BAB-4476-A6A8-CF146BFEDF69}">
      <dsp:nvSpPr>
        <dsp:cNvPr id="0" name=""/>
        <dsp:cNvSpPr/>
      </dsp:nvSpPr>
      <dsp:spPr>
        <a:xfrm>
          <a:off x="1739456" y="877598"/>
          <a:ext cx="877221" cy="784087"/>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Marketing et Commercial</a:t>
          </a:r>
        </a:p>
      </dsp:txBody>
      <dsp:txXfrm>
        <a:off x="1739456" y="877598"/>
        <a:ext cx="877221" cy="784087"/>
      </dsp:txXfrm>
    </dsp:sp>
    <dsp:sp modelId="{607CEF2E-C573-463D-9295-5D6061BA8D35}">
      <dsp:nvSpPr>
        <dsp:cNvPr id="0" name=""/>
        <dsp:cNvSpPr/>
      </dsp:nvSpPr>
      <dsp:spPr>
        <a:xfrm>
          <a:off x="1983538" y="2109576"/>
          <a:ext cx="403487" cy="335338"/>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Fact</a:t>
          </a:r>
        </a:p>
      </dsp:txBody>
      <dsp:txXfrm>
        <a:off x="1983538" y="2109576"/>
        <a:ext cx="403487" cy="335338"/>
      </dsp:txXfrm>
    </dsp:sp>
    <dsp:sp modelId="{BD12FDC5-D293-4C2C-A620-82140B8CCD1A}">
      <dsp:nvSpPr>
        <dsp:cNvPr id="0" name=""/>
        <dsp:cNvSpPr/>
      </dsp:nvSpPr>
      <dsp:spPr>
        <a:xfrm>
          <a:off x="1942660" y="2761313"/>
          <a:ext cx="1049747" cy="578096"/>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Marketing et Prog</a:t>
          </a:r>
        </a:p>
      </dsp:txBody>
      <dsp:txXfrm>
        <a:off x="1942660" y="2761313"/>
        <a:ext cx="1049747" cy="578096"/>
      </dsp:txXfrm>
    </dsp:sp>
    <dsp:sp modelId="{35D1FEDA-C270-4F10-9DAA-944E00885646}">
      <dsp:nvSpPr>
        <dsp:cNvPr id="0" name=""/>
        <dsp:cNvSpPr/>
      </dsp:nvSpPr>
      <dsp:spPr>
        <a:xfrm>
          <a:off x="2896913" y="877598"/>
          <a:ext cx="751283" cy="456779"/>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Production</a:t>
          </a:r>
        </a:p>
      </dsp:txBody>
      <dsp:txXfrm>
        <a:off x="2896913" y="877598"/>
        <a:ext cx="751283" cy="456779"/>
      </dsp:txXfrm>
    </dsp:sp>
    <dsp:sp modelId="{C14F1350-9618-41CD-857F-112F76CFC248}">
      <dsp:nvSpPr>
        <dsp:cNvPr id="0" name=""/>
        <dsp:cNvSpPr/>
      </dsp:nvSpPr>
      <dsp:spPr>
        <a:xfrm>
          <a:off x="3084734" y="1410603"/>
          <a:ext cx="490311" cy="27446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S/Fab.</a:t>
          </a:r>
        </a:p>
      </dsp:txBody>
      <dsp:txXfrm>
        <a:off x="3084734" y="1410603"/>
        <a:ext cx="490311" cy="274462"/>
      </dsp:txXfrm>
    </dsp:sp>
    <dsp:sp modelId="{B281BE40-EEFD-4FA5-9495-7A87E0C4C366}">
      <dsp:nvSpPr>
        <dsp:cNvPr id="0" name=""/>
        <dsp:cNvSpPr/>
      </dsp:nvSpPr>
      <dsp:spPr>
        <a:xfrm>
          <a:off x="3084734" y="1761290"/>
          <a:ext cx="508256" cy="306843"/>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S/Proc.</a:t>
          </a:r>
        </a:p>
      </dsp:txBody>
      <dsp:txXfrm>
        <a:off x="3084734" y="1761290"/>
        <a:ext cx="508256" cy="306843"/>
      </dsp:txXfrm>
    </dsp:sp>
    <dsp:sp modelId="{7E30F57F-D06F-4EDB-B112-D8FCB292B0A4}">
      <dsp:nvSpPr>
        <dsp:cNvPr id="0" name=""/>
        <dsp:cNvSpPr/>
      </dsp:nvSpPr>
      <dsp:spPr>
        <a:xfrm>
          <a:off x="3084734" y="2144358"/>
          <a:ext cx="507537" cy="307600"/>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S/Exp</a:t>
          </a:r>
          <a:r>
            <a:rPr lang="fr-FR" sz="800" kern="1200">
              <a:solidFill>
                <a:sysClr val="window" lastClr="FFFFFF"/>
              </a:solidFill>
              <a:latin typeface="Calibri"/>
              <a:ea typeface="+mn-ea"/>
              <a:cs typeface="+mn-cs"/>
            </a:rPr>
            <a:t>.</a:t>
          </a:r>
        </a:p>
      </dsp:txBody>
      <dsp:txXfrm>
        <a:off x="3084734" y="2144358"/>
        <a:ext cx="507537" cy="307600"/>
      </dsp:txXfrm>
    </dsp:sp>
    <dsp:sp modelId="{F30BA301-AC62-43BD-B317-1448DBA572AD}">
      <dsp:nvSpPr>
        <dsp:cNvPr id="0" name=""/>
        <dsp:cNvSpPr/>
      </dsp:nvSpPr>
      <dsp:spPr>
        <a:xfrm>
          <a:off x="3084734" y="2528183"/>
          <a:ext cx="548078" cy="52155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S/Entret.</a:t>
          </a:r>
        </a:p>
      </dsp:txBody>
      <dsp:txXfrm>
        <a:off x="3084734" y="2528183"/>
        <a:ext cx="548078" cy="521552"/>
      </dsp:txXfrm>
    </dsp:sp>
    <dsp:sp modelId="{85359C4F-E8B7-464A-9ECB-98AC1C089295}">
      <dsp:nvSpPr>
        <dsp:cNvPr id="0" name=""/>
        <dsp:cNvSpPr/>
      </dsp:nvSpPr>
      <dsp:spPr>
        <a:xfrm>
          <a:off x="3724421" y="877598"/>
          <a:ext cx="758724" cy="41121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Mécanique</a:t>
          </a:r>
        </a:p>
      </dsp:txBody>
      <dsp:txXfrm>
        <a:off x="3724421" y="877598"/>
        <a:ext cx="758724" cy="411211"/>
      </dsp:txXfrm>
    </dsp:sp>
    <dsp:sp modelId="{EF983BCA-2EAE-4246-96DB-67318AA4C0E7}">
      <dsp:nvSpPr>
        <dsp:cNvPr id="0" name=""/>
        <dsp:cNvSpPr/>
      </dsp:nvSpPr>
      <dsp:spPr>
        <a:xfrm>
          <a:off x="3914102" y="1365035"/>
          <a:ext cx="627559" cy="408193"/>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S/Dépous.</a:t>
          </a:r>
        </a:p>
      </dsp:txBody>
      <dsp:txXfrm>
        <a:off x="3914102" y="1365035"/>
        <a:ext cx="627559" cy="408193"/>
      </dsp:txXfrm>
    </dsp:sp>
    <dsp:sp modelId="{3392D758-A951-4F3C-A4D2-17A686B61970}">
      <dsp:nvSpPr>
        <dsp:cNvPr id="0" name=""/>
        <dsp:cNvSpPr/>
      </dsp:nvSpPr>
      <dsp:spPr>
        <a:xfrm>
          <a:off x="3914102" y="1849453"/>
          <a:ext cx="630612" cy="379168"/>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S/Transp</a:t>
          </a:r>
        </a:p>
      </dsp:txBody>
      <dsp:txXfrm>
        <a:off x="3914102" y="1849453"/>
        <a:ext cx="630612" cy="379168"/>
      </dsp:txXfrm>
    </dsp:sp>
    <dsp:sp modelId="{DB1421E8-3CB7-4215-B0C6-8D58B1056CAB}">
      <dsp:nvSpPr>
        <dsp:cNvPr id="0" name=""/>
        <dsp:cNvSpPr/>
      </dsp:nvSpPr>
      <dsp:spPr>
        <a:xfrm>
          <a:off x="3914102" y="2304846"/>
          <a:ext cx="772339" cy="35271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 C/Z Conc.</a:t>
          </a:r>
        </a:p>
      </dsp:txBody>
      <dsp:txXfrm>
        <a:off x="3914102" y="2304846"/>
        <a:ext cx="772339" cy="352712"/>
      </dsp:txXfrm>
    </dsp:sp>
    <dsp:sp modelId="{FFA8DDB0-A8AB-489A-92E7-01B0C9AF040D}">
      <dsp:nvSpPr>
        <dsp:cNvPr id="0" name=""/>
        <dsp:cNvSpPr/>
      </dsp:nvSpPr>
      <dsp:spPr>
        <a:xfrm>
          <a:off x="3938407" y="2725682"/>
          <a:ext cx="779599" cy="39855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C/Z Cru</a:t>
          </a:r>
        </a:p>
      </dsp:txBody>
      <dsp:txXfrm>
        <a:off x="3938407" y="2725682"/>
        <a:ext cx="779599" cy="398552"/>
      </dsp:txXfrm>
    </dsp:sp>
    <dsp:sp modelId="{331792F2-7839-4964-8707-4FE863F487EA}">
      <dsp:nvSpPr>
        <dsp:cNvPr id="0" name=""/>
        <dsp:cNvSpPr/>
      </dsp:nvSpPr>
      <dsp:spPr>
        <a:xfrm>
          <a:off x="3914102" y="3208561"/>
          <a:ext cx="783221" cy="290369"/>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C/Z Cuis.</a:t>
          </a:r>
        </a:p>
      </dsp:txBody>
      <dsp:txXfrm>
        <a:off x="3914102" y="3208561"/>
        <a:ext cx="783221" cy="290369"/>
      </dsp:txXfrm>
    </dsp:sp>
    <dsp:sp modelId="{55A4C566-6482-4A51-884A-C2F906107BFC}">
      <dsp:nvSpPr>
        <dsp:cNvPr id="0" name=""/>
        <dsp:cNvSpPr/>
      </dsp:nvSpPr>
      <dsp:spPr>
        <a:xfrm>
          <a:off x="3914102" y="3575155"/>
          <a:ext cx="736114" cy="330405"/>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C/Z BK</a:t>
          </a:r>
        </a:p>
      </dsp:txBody>
      <dsp:txXfrm>
        <a:off x="3914102" y="3575155"/>
        <a:ext cx="736114" cy="330405"/>
      </dsp:txXfrm>
    </dsp:sp>
    <dsp:sp modelId="{14AFACCB-FC9A-4462-B368-88D3A89BFF94}">
      <dsp:nvSpPr>
        <dsp:cNvPr id="0" name=""/>
        <dsp:cNvSpPr/>
      </dsp:nvSpPr>
      <dsp:spPr>
        <a:xfrm>
          <a:off x="3914102" y="3981786"/>
          <a:ext cx="697889" cy="418728"/>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C/Z Exped.</a:t>
          </a:r>
        </a:p>
      </dsp:txBody>
      <dsp:txXfrm>
        <a:off x="3914102" y="3981786"/>
        <a:ext cx="697889" cy="418728"/>
      </dsp:txXfrm>
    </dsp:sp>
    <dsp:sp modelId="{2BCA9B6B-F1DE-42A5-8301-8C1B6E46CFE6}">
      <dsp:nvSpPr>
        <dsp:cNvPr id="0" name=""/>
        <dsp:cNvSpPr/>
      </dsp:nvSpPr>
      <dsp:spPr>
        <a:xfrm>
          <a:off x="4559370" y="877598"/>
          <a:ext cx="661472" cy="398425"/>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CMR/Electr.</a:t>
          </a:r>
        </a:p>
      </dsp:txBody>
      <dsp:txXfrm>
        <a:off x="4559370" y="877598"/>
        <a:ext cx="661472" cy="398425"/>
      </dsp:txXfrm>
    </dsp:sp>
    <dsp:sp modelId="{4DE1D7EA-0372-4DC0-8968-E99D5EC38045}">
      <dsp:nvSpPr>
        <dsp:cNvPr id="0" name=""/>
        <dsp:cNvSpPr/>
      </dsp:nvSpPr>
      <dsp:spPr>
        <a:xfrm>
          <a:off x="4724738" y="1352249"/>
          <a:ext cx="531802" cy="35732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S/Electricité</a:t>
          </a:r>
        </a:p>
      </dsp:txBody>
      <dsp:txXfrm>
        <a:off x="4724738" y="1352249"/>
        <a:ext cx="531802" cy="357322"/>
      </dsp:txXfrm>
    </dsp:sp>
    <dsp:sp modelId="{B75C517C-3F68-45CA-B13C-94FB2B301AB2}">
      <dsp:nvSpPr>
        <dsp:cNvPr id="0" name=""/>
        <dsp:cNvSpPr/>
      </dsp:nvSpPr>
      <dsp:spPr>
        <a:xfrm>
          <a:off x="4724738" y="1785796"/>
          <a:ext cx="562024" cy="331603"/>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S/Autom.</a:t>
          </a:r>
        </a:p>
      </dsp:txBody>
      <dsp:txXfrm>
        <a:off x="4724738" y="1785796"/>
        <a:ext cx="562024" cy="331603"/>
      </dsp:txXfrm>
    </dsp:sp>
    <dsp:sp modelId="{A9B19B02-2CC9-461F-9535-25D92E6433B8}">
      <dsp:nvSpPr>
        <dsp:cNvPr id="0" name=""/>
        <dsp:cNvSpPr/>
      </dsp:nvSpPr>
      <dsp:spPr>
        <a:xfrm>
          <a:off x="5297068" y="877598"/>
          <a:ext cx="715207" cy="323440"/>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Mat. Prem.</a:t>
          </a:r>
        </a:p>
      </dsp:txBody>
      <dsp:txXfrm>
        <a:off x="5297068" y="877598"/>
        <a:ext cx="715207" cy="323440"/>
      </dsp:txXfrm>
    </dsp:sp>
    <dsp:sp modelId="{49A629FC-D389-4BE9-989F-231A8AAA905F}">
      <dsp:nvSpPr>
        <dsp:cNvPr id="0" name=""/>
        <dsp:cNvSpPr/>
      </dsp:nvSpPr>
      <dsp:spPr>
        <a:xfrm>
          <a:off x="5475869" y="1277264"/>
          <a:ext cx="755860" cy="394737"/>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Expl. Car.</a:t>
          </a:r>
        </a:p>
      </dsp:txBody>
      <dsp:txXfrm>
        <a:off x="5475869" y="1277264"/>
        <a:ext cx="755860" cy="394737"/>
      </dsp:txXfrm>
    </dsp:sp>
    <dsp:sp modelId="{422CACE0-425F-4A44-AC51-D3E59FC914E4}">
      <dsp:nvSpPr>
        <dsp:cNvPr id="0" name=""/>
        <dsp:cNvSpPr/>
      </dsp:nvSpPr>
      <dsp:spPr>
        <a:xfrm>
          <a:off x="5475869" y="1748226"/>
          <a:ext cx="799323" cy="382857"/>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EMR</a:t>
          </a:r>
        </a:p>
      </dsp:txBody>
      <dsp:txXfrm>
        <a:off x="5475869" y="1748226"/>
        <a:ext cx="799323" cy="382857"/>
      </dsp:txXfrm>
    </dsp:sp>
    <dsp:sp modelId="{80924799-3078-4ECA-B2E9-C59C8EF8EC69}">
      <dsp:nvSpPr>
        <dsp:cNvPr id="0" name=""/>
        <dsp:cNvSpPr/>
      </dsp:nvSpPr>
      <dsp:spPr>
        <a:xfrm>
          <a:off x="5475869" y="2207309"/>
          <a:ext cx="804894" cy="43364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Ajouts</a:t>
          </a:r>
        </a:p>
      </dsp:txBody>
      <dsp:txXfrm>
        <a:off x="5475869" y="2207309"/>
        <a:ext cx="804894" cy="433641"/>
      </dsp:txXfrm>
    </dsp:sp>
    <dsp:sp modelId="{B1089591-6996-4E84-8569-433487959C2B}">
      <dsp:nvSpPr>
        <dsp:cNvPr id="0" name=""/>
        <dsp:cNvSpPr/>
      </dsp:nvSpPr>
      <dsp:spPr>
        <a:xfrm>
          <a:off x="6200030" y="877598"/>
          <a:ext cx="605548" cy="310424"/>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Qualité</a:t>
          </a:r>
        </a:p>
      </dsp:txBody>
      <dsp:txXfrm>
        <a:off x="6200030" y="877598"/>
        <a:ext cx="605548" cy="310424"/>
      </dsp:txXfrm>
    </dsp:sp>
    <dsp:sp modelId="{F2024299-3489-43B7-850E-A51AA184696C}">
      <dsp:nvSpPr>
        <dsp:cNvPr id="0" name=""/>
        <dsp:cNvSpPr/>
      </dsp:nvSpPr>
      <dsp:spPr>
        <a:xfrm>
          <a:off x="6351418" y="1264247"/>
          <a:ext cx="454627" cy="632572"/>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Contrôle Qualité</a:t>
          </a:r>
        </a:p>
      </dsp:txBody>
      <dsp:txXfrm>
        <a:off x="6351418" y="1264247"/>
        <a:ext cx="454627" cy="632572"/>
      </dsp:txXfrm>
    </dsp:sp>
    <dsp:sp modelId="{131F852A-79C3-46B4-AD41-15C2E26C30F6}">
      <dsp:nvSpPr>
        <dsp:cNvPr id="0" name=""/>
        <dsp:cNvSpPr/>
      </dsp:nvSpPr>
      <dsp:spPr>
        <a:xfrm>
          <a:off x="6922312" y="885700"/>
          <a:ext cx="362975" cy="270057"/>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Dpt HSE</a:t>
          </a:r>
        </a:p>
      </dsp:txBody>
      <dsp:txXfrm>
        <a:off x="6922312" y="885700"/>
        <a:ext cx="362975" cy="270057"/>
      </dsp:txXfrm>
    </dsp:sp>
    <dsp:sp modelId="{C467CE64-17E6-4869-BA5D-1B6745EF6B13}">
      <dsp:nvSpPr>
        <dsp:cNvPr id="0" name=""/>
        <dsp:cNvSpPr/>
      </dsp:nvSpPr>
      <dsp:spPr>
        <a:xfrm>
          <a:off x="6972548" y="1223881"/>
          <a:ext cx="346761" cy="29178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Env.</a:t>
          </a:r>
        </a:p>
      </dsp:txBody>
      <dsp:txXfrm>
        <a:off x="6972548" y="1223881"/>
        <a:ext cx="346761" cy="291781"/>
      </dsp:txXfrm>
    </dsp:sp>
    <dsp:sp modelId="{1ABEC1F7-0F37-45F8-9122-4D1D82F26F2F}">
      <dsp:nvSpPr>
        <dsp:cNvPr id="0" name=""/>
        <dsp:cNvSpPr/>
      </dsp:nvSpPr>
      <dsp:spPr>
        <a:xfrm>
          <a:off x="6972548" y="1591887"/>
          <a:ext cx="423527" cy="263039"/>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H.S</a:t>
          </a:r>
        </a:p>
      </dsp:txBody>
      <dsp:txXfrm>
        <a:off x="6972548" y="1591887"/>
        <a:ext cx="423527" cy="263039"/>
      </dsp:txXfrm>
    </dsp:sp>
    <dsp:sp modelId="{C2785190-D5DC-4E86-AD0D-F01E66F4B172}">
      <dsp:nvSpPr>
        <dsp:cNvPr id="0" name=""/>
        <dsp:cNvSpPr/>
      </dsp:nvSpPr>
      <dsp:spPr>
        <a:xfrm>
          <a:off x="6972548" y="1931151"/>
          <a:ext cx="444685" cy="388425"/>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 Sec Indust </a:t>
          </a:r>
        </a:p>
      </dsp:txBody>
      <dsp:txXfrm>
        <a:off x="6972548" y="1931151"/>
        <a:ext cx="444685" cy="388425"/>
      </dsp:txXfrm>
    </dsp:sp>
    <dsp:sp modelId="{21CA6E6C-DDA2-4531-9015-AF496300DB2D}">
      <dsp:nvSpPr>
        <dsp:cNvPr id="0" name=""/>
        <dsp:cNvSpPr/>
      </dsp:nvSpPr>
      <dsp:spPr>
        <a:xfrm>
          <a:off x="7395534" y="877598"/>
          <a:ext cx="340866" cy="466234"/>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latin typeface="Calibri"/>
              <a:ea typeface="+mn-ea"/>
              <a:cs typeface="+mn-cs"/>
            </a:rPr>
            <a:t>DER</a:t>
          </a:r>
        </a:p>
      </dsp:txBody>
      <dsp:txXfrm>
        <a:off x="7395534" y="877598"/>
        <a:ext cx="340866" cy="466234"/>
      </dsp:txXfrm>
    </dsp:sp>
    <dsp:sp modelId="{F0A32968-93CE-41E7-AB84-865084DBD119}">
      <dsp:nvSpPr>
        <dsp:cNvPr id="0" name=""/>
        <dsp:cNvSpPr/>
      </dsp:nvSpPr>
      <dsp:spPr>
        <a:xfrm>
          <a:off x="7480751" y="1420058"/>
          <a:ext cx="411683" cy="425318"/>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S/Suivi Proj.</a:t>
          </a:r>
        </a:p>
      </dsp:txBody>
      <dsp:txXfrm>
        <a:off x="7480751" y="1420058"/>
        <a:ext cx="411683" cy="425318"/>
      </dsp:txXfrm>
    </dsp:sp>
    <dsp:sp modelId="{5C43C172-1353-4AC5-A629-4CE2968794C6}">
      <dsp:nvSpPr>
        <dsp:cNvPr id="0" name=""/>
        <dsp:cNvSpPr/>
      </dsp:nvSpPr>
      <dsp:spPr>
        <a:xfrm>
          <a:off x="7812626" y="877598"/>
          <a:ext cx="733711" cy="451193"/>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Dpt Méthodes</a:t>
          </a:r>
        </a:p>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et Planning</a:t>
          </a:r>
        </a:p>
      </dsp:txBody>
      <dsp:txXfrm>
        <a:off x="7812626" y="877598"/>
        <a:ext cx="733711" cy="451193"/>
      </dsp:txXfrm>
    </dsp:sp>
    <dsp:sp modelId="{CA677FBE-1390-4EC4-8467-022DFD47D962}">
      <dsp:nvSpPr>
        <dsp:cNvPr id="0" name=""/>
        <dsp:cNvSpPr/>
      </dsp:nvSpPr>
      <dsp:spPr>
        <a:xfrm>
          <a:off x="7996054" y="1405016"/>
          <a:ext cx="672158" cy="36770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S/Méthodes</a:t>
          </a:r>
        </a:p>
      </dsp:txBody>
      <dsp:txXfrm>
        <a:off x="7996054" y="1405016"/>
        <a:ext cx="672158" cy="367701"/>
      </dsp:txXfrm>
    </dsp:sp>
    <dsp:sp modelId="{0AB6630E-0C3E-4074-8EC5-F9EC335009B8}">
      <dsp:nvSpPr>
        <dsp:cNvPr id="0" name=""/>
        <dsp:cNvSpPr/>
      </dsp:nvSpPr>
      <dsp:spPr>
        <a:xfrm>
          <a:off x="7996054" y="1848943"/>
          <a:ext cx="611799" cy="254669"/>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S/Systèmes</a:t>
          </a:r>
        </a:p>
      </dsp:txBody>
      <dsp:txXfrm>
        <a:off x="7996054" y="1848943"/>
        <a:ext cx="611799" cy="254669"/>
      </dsp:txXfrm>
    </dsp:sp>
    <dsp:sp modelId="{F8F0E48C-7170-4907-AF04-A34D84F966F2}">
      <dsp:nvSpPr>
        <dsp:cNvPr id="0" name=""/>
        <dsp:cNvSpPr/>
      </dsp:nvSpPr>
      <dsp:spPr>
        <a:xfrm>
          <a:off x="8622563" y="877598"/>
          <a:ext cx="725279" cy="495639"/>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Dpt Informatique</a:t>
          </a:r>
        </a:p>
        <a:p>
          <a:pPr marL="0" lvl="0" indent="0" algn="ctr" defTabSz="355600">
            <a:lnSpc>
              <a:spcPct val="90000"/>
            </a:lnSpc>
            <a:spcBef>
              <a:spcPct val="0"/>
            </a:spcBef>
            <a:spcAft>
              <a:spcPct val="35000"/>
            </a:spcAft>
            <a:buNone/>
          </a:pPr>
          <a:endParaRPr lang="fr-FR" sz="800" kern="1200">
            <a:solidFill>
              <a:sysClr val="window" lastClr="FFFFFF"/>
            </a:solidFill>
            <a:latin typeface="Calibri"/>
            <a:ea typeface="+mn-ea"/>
            <a:cs typeface="+mn-cs"/>
          </a:endParaRPr>
        </a:p>
      </dsp:txBody>
      <dsp:txXfrm>
        <a:off x="8622563" y="877598"/>
        <a:ext cx="725279" cy="495639"/>
      </dsp:txXfrm>
    </dsp:sp>
    <dsp:sp modelId="{173EF31B-0037-4490-8827-036E9036F548}">
      <dsp:nvSpPr>
        <dsp:cNvPr id="0" name=""/>
        <dsp:cNvSpPr/>
      </dsp:nvSpPr>
      <dsp:spPr>
        <a:xfrm>
          <a:off x="8803883" y="1449463"/>
          <a:ext cx="463501" cy="453351"/>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S/Réseaux et Systèmes</a:t>
          </a:r>
        </a:p>
      </dsp:txBody>
      <dsp:txXfrm>
        <a:off x="8803883" y="1449463"/>
        <a:ext cx="463501" cy="453351"/>
      </dsp:txXfrm>
    </dsp:sp>
    <dsp:sp modelId="{8CCD5B6E-2E2E-4ED8-9275-5C02239046D4}">
      <dsp:nvSpPr>
        <dsp:cNvPr id="0" name=""/>
        <dsp:cNvSpPr/>
      </dsp:nvSpPr>
      <dsp:spPr>
        <a:xfrm>
          <a:off x="8803883" y="1979039"/>
          <a:ext cx="660506" cy="296587"/>
        </a:xfrm>
        <a:prstGeom prst="rect">
          <a:avLst/>
        </a:prstGeom>
        <a:no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Calibri"/>
              <a:ea typeface="+mn-ea"/>
              <a:cs typeface="+mn-cs"/>
            </a:rPr>
            <a:t>Suivi Applicatifs</a:t>
          </a:r>
        </a:p>
      </dsp:txBody>
      <dsp:txXfrm>
        <a:off x="8803883" y="1979039"/>
        <a:ext cx="660506" cy="29658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95711-079A-C149-8223-3ADFE3A7C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129</Pages>
  <Words>29427</Words>
  <Characters>161851</Characters>
  <Application>Microsoft Office Word</Application>
  <DocSecurity>0</DocSecurity>
  <Lines>1348</Lines>
  <Paragraphs>381</Paragraphs>
  <ScaleCrop>false</ScaleCrop>
  <HeadingPairs>
    <vt:vector size="2" baseType="variant">
      <vt:variant>
        <vt:lpstr>Titre</vt:lpstr>
      </vt:variant>
      <vt:variant>
        <vt:i4>1</vt:i4>
      </vt:variant>
    </vt:vector>
  </HeadingPairs>
  <TitlesOfParts>
    <vt:vector size="1" baseType="lpstr">
      <vt:lpstr>Chapitre 01:                                  Le greenwashing: concepts et enjeux.</vt:lpstr>
    </vt:vector>
  </TitlesOfParts>
  <Company/>
  <LinksUpToDate>false</LinksUpToDate>
  <CharactersWithSpaces>190897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01:                                  Le greenwashing: concepts et enjeux.</dc:title>
  <dc:subject/>
  <dc:creator>bignetwork</dc:creator>
  <cp:keywords/>
  <dc:description/>
  <cp:lastModifiedBy>SOUFYANE SOUFYANE</cp:lastModifiedBy>
  <cp:revision>4</cp:revision>
  <cp:lastPrinted>2025-06-17T21:21:00Z</cp:lastPrinted>
  <dcterms:created xsi:type="dcterms:W3CDTF">2025-06-18T19:13:00Z</dcterms:created>
  <dcterms:modified xsi:type="dcterms:W3CDTF">2025-06-26T01:08:00Z</dcterms:modified>
</cp:coreProperties>
</file>